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May 20, 2005</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Statement No. 333-124052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71755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13"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88-0494878</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49"/>
        </w:trPr>
        <w:tc>
          <w:tcPr>
            <w:tcW w:w="2120" w:type="dxa"/>
            <w:vAlign w:val="bottom"/>
          </w:tcPr>
          <w:p>
            <w:pPr>
              <w:spacing w:after="0"/>
              <w:rPr>
                <w:sz w:val="12"/>
                <w:szCs w:val="12"/>
                <w:color w:val="auto"/>
              </w:rPr>
            </w:pPr>
          </w:p>
        </w:tc>
        <w:tc>
          <w:tcPr>
            <w:tcW w:w="526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2"/>
                <w:szCs w:val="12"/>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62"/>
        </w:trPr>
        <w:tc>
          <w:tcPr>
            <w:tcW w:w="2120" w:type="dxa"/>
            <w:vAlign w:val="bottom"/>
          </w:tcPr>
          <w:p>
            <w:pPr>
              <w:jc w:val="center"/>
              <w:ind w:right="292"/>
              <w:spacing w:after="0"/>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ind w:right="143"/>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770-1100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60325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jc w:val="center"/>
        <w:spacing w:after="0" w:line="221" w:lineRule="auto"/>
        <w:rPr>
          <w:sz w:val="20"/>
          <w:szCs w:val="20"/>
          <w:color w:val="auto"/>
        </w:rPr>
      </w:pPr>
      <w:r>
        <w:rPr>
          <w:rFonts w:ascii="Arial" w:cs="Arial" w:eastAsia="Arial" w:hAnsi="Arial"/>
          <w:sz w:val="14"/>
          <w:szCs w:val="14"/>
          <w:b w:val="1"/>
          <w:bCs w:val="1"/>
          <w:color w:val="auto"/>
        </w:rPr>
        <w:t>Jerome L. Coben, Esq.</w:t>
      </w:r>
    </w:p>
    <w:p>
      <w:pPr>
        <w:jc w:val="center"/>
        <w:spacing w:after="0" w:line="221" w:lineRule="auto"/>
        <w:rPr>
          <w:sz w:val="20"/>
          <w:szCs w:val="20"/>
          <w:color w:val="auto"/>
        </w:rPr>
      </w:pPr>
      <w:r>
        <w:rPr>
          <w:rFonts w:ascii="Arial" w:cs="Arial" w:eastAsia="Arial" w:hAnsi="Arial"/>
          <w:sz w:val="14"/>
          <w:szCs w:val="14"/>
          <w:b w:val="1"/>
          <w:bCs w:val="1"/>
          <w:color w:val="auto"/>
        </w:rPr>
        <w:t>Jonathan L. Friedman, Esq.</w:t>
      </w:r>
    </w:p>
    <w:p>
      <w:pPr>
        <w:jc w:val="center"/>
        <w:spacing w:after="0" w:line="222"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1"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2"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1"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74295</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3"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6" w:lineRule="exact"/>
        <w:rPr>
          <w:sz w:val="24"/>
          <w:szCs w:val="24"/>
          <w:color w:val="auto"/>
        </w:rPr>
      </w:pPr>
    </w:p>
    <w:p>
      <w:pPr>
        <w:ind w:right="6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342"/>
        <w:spacing w:after="0" w:line="161"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52070</wp:posOffset>
            </wp:positionV>
            <wp:extent cx="1329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1"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5520" w:type="dxa"/>
            <w:vAlign w:val="bottom"/>
            <w:gridSpan w:val="3"/>
          </w:tcPr>
          <w:p>
            <w:pPr>
              <w:ind w:left="1940"/>
              <w:spacing w:after="0"/>
              <w:rPr>
                <w:sz w:val="20"/>
                <w:szCs w:val="20"/>
                <w:color w:val="auto"/>
              </w:rPr>
            </w:pPr>
            <w:r>
              <w:rPr>
                <w:rFonts w:ascii="Arial" w:cs="Arial" w:eastAsia="Arial" w:hAnsi="Arial"/>
                <w:sz w:val="14"/>
                <w:szCs w:val="14"/>
                <w:b w:val="1"/>
                <w:bCs w:val="1"/>
                <w:color w:val="auto"/>
              </w:rPr>
              <w:t>TABLE OF ADDITIONAL REGISTRANTS</w:t>
            </w: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2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4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State or Other Jurisdiction of</w:t>
            </w:r>
          </w:p>
        </w:tc>
        <w:tc>
          <w:tcPr>
            <w:tcW w:w="2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Primary Standard Industrial</w:t>
            </w:r>
          </w:p>
        </w:tc>
        <w:tc>
          <w:tcPr>
            <w:tcW w:w="3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I.R.S. Employer</w:t>
            </w:r>
          </w:p>
        </w:tc>
      </w:tr>
      <w:tr>
        <w:trPr>
          <w:trHeight w:val="174"/>
        </w:trPr>
        <w:tc>
          <w:tcPr>
            <w:tcW w:w="2480" w:type="dxa"/>
            <w:vAlign w:val="bottom"/>
          </w:tcPr>
          <w:p>
            <w:pPr>
              <w:spacing w:after="0"/>
              <w:rPr>
                <w:sz w:val="20"/>
                <w:szCs w:val="20"/>
                <w:color w:val="auto"/>
              </w:rPr>
            </w:pPr>
            <w:r>
              <w:rPr>
                <w:rFonts w:ascii="Arial" w:cs="Arial" w:eastAsia="Arial" w:hAnsi="Arial"/>
                <w:sz w:val="14"/>
                <w:szCs w:val="14"/>
                <w:b w:val="1"/>
                <w:bCs w:val="1"/>
                <w:color w:val="auto"/>
              </w:rPr>
              <w:t>Name of Additional Registrant*</w:t>
            </w:r>
          </w:p>
        </w:tc>
        <w:tc>
          <w:tcPr>
            <w:tcW w:w="3100" w:type="dxa"/>
            <w:vAlign w:val="bottom"/>
          </w:tcPr>
          <w:p>
            <w:pPr>
              <w:spacing w:after="0"/>
              <w:rPr>
                <w:sz w:val="15"/>
                <w:szCs w:val="15"/>
                <w:color w:val="auto"/>
              </w:rPr>
            </w:pPr>
          </w:p>
        </w:tc>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Incorporation or Formation</w:t>
            </w:r>
          </w:p>
        </w:tc>
        <w:tc>
          <w:tcPr>
            <w:tcW w:w="20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 Code Number</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Identification No.</w:t>
            </w:r>
          </w:p>
        </w:tc>
      </w:tr>
      <w:tr>
        <w:trPr>
          <w:trHeight w:val="95"/>
        </w:trPr>
        <w:tc>
          <w:tcPr>
            <w:tcW w:w="2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r>
      <w:tr>
        <w:trPr>
          <w:trHeight w:val="239"/>
        </w:trPr>
        <w:tc>
          <w:tcPr>
            <w:tcW w:w="2480" w:type="dxa"/>
            <w:vAlign w:val="bottom"/>
          </w:tcPr>
          <w:p>
            <w:pPr>
              <w:spacing w:after="0"/>
              <w:rPr>
                <w:sz w:val="20"/>
                <w:szCs w:val="20"/>
                <w:color w:val="auto"/>
              </w:rPr>
            </w:pPr>
            <w:r>
              <w:rPr>
                <w:rFonts w:ascii="Arial" w:cs="Arial" w:eastAsia="Arial" w:hAnsi="Arial"/>
                <w:sz w:val="14"/>
                <w:szCs w:val="14"/>
                <w:color w:val="auto"/>
              </w:rPr>
              <w:t>Las Vegas Jet, LLC</w:t>
            </w:r>
          </w:p>
        </w:tc>
        <w:tc>
          <w:tcPr>
            <w:tcW w:w="3100" w:type="dxa"/>
            <w:vAlign w:val="bottom"/>
          </w:tcPr>
          <w:p>
            <w:pPr>
              <w:spacing w:after="0"/>
              <w:rPr>
                <w:sz w:val="20"/>
                <w:szCs w:val="20"/>
                <w:color w:val="auto"/>
              </w:rPr>
            </w:pPr>
          </w:p>
        </w:tc>
        <w:tc>
          <w:tcPr>
            <w:tcW w:w="2420" w:type="dxa"/>
            <w:vAlign w:val="bottom"/>
            <w:gridSpan w:val="2"/>
          </w:tcPr>
          <w:p>
            <w:pPr>
              <w:jc w:val="right"/>
              <w:ind w:right="720"/>
              <w:spacing w:after="0"/>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360"/>
              <w:spacing w:after="0"/>
              <w:rPr>
                <w:sz w:val="20"/>
                <w:szCs w:val="20"/>
                <w:color w:val="auto"/>
              </w:rPr>
            </w:pPr>
            <w:r>
              <w:rPr>
                <w:rFonts w:ascii="Arial" w:cs="Arial" w:eastAsia="Arial" w:hAnsi="Arial"/>
                <w:sz w:val="14"/>
                <w:szCs w:val="14"/>
                <w:color w:val="auto"/>
              </w:rPr>
              <w:t>7990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88-0460935</w:t>
            </w: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World Travel, LLC</w:t>
            </w:r>
          </w:p>
        </w:tc>
        <w:tc>
          <w:tcPr>
            <w:tcW w:w="3100" w:type="dxa"/>
            <w:vAlign w:val="bottom"/>
          </w:tcPr>
          <w:p>
            <w:pPr>
              <w:spacing w:after="0"/>
              <w:rPr>
                <w:sz w:val="12"/>
                <w:szCs w:val="12"/>
                <w:color w:val="auto"/>
              </w:rPr>
            </w:pPr>
          </w:p>
        </w:tc>
        <w:tc>
          <w:tcPr>
            <w:tcW w:w="24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7990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Wynn Golf, LLC</w:t>
            </w:r>
          </w:p>
        </w:tc>
        <w:tc>
          <w:tcPr>
            <w:tcW w:w="3100" w:type="dxa"/>
            <w:vAlign w:val="bottom"/>
          </w:tcPr>
          <w:p>
            <w:pPr>
              <w:spacing w:after="0"/>
              <w:rPr>
                <w:sz w:val="12"/>
                <w:szCs w:val="12"/>
                <w:color w:val="auto"/>
              </w:rPr>
            </w:pPr>
          </w:p>
        </w:tc>
        <w:tc>
          <w:tcPr>
            <w:tcW w:w="24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7990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2480" w:type="dxa"/>
            <w:vAlign w:val="bottom"/>
          </w:tcPr>
          <w:p>
            <w:pPr>
              <w:spacing w:after="0" w:line="149" w:lineRule="exact"/>
              <w:rPr>
                <w:sz w:val="20"/>
                <w:szCs w:val="20"/>
                <w:color w:val="auto"/>
              </w:rPr>
            </w:pPr>
            <w:r>
              <w:rPr>
                <w:rFonts w:ascii="Arial" w:cs="Arial" w:eastAsia="Arial" w:hAnsi="Arial"/>
                <w:sz w:val="14"/>
                <w:szCs w:val="14"/>
                <w:color w:val="auto"/>
              </w:rPr>
              <w:t>Wynn Show Performers, LLC</w:t>
            </w:r>
          </w:p>
        </w:tc>
        <w:tc>
          <w:tcPr>
            <w:tcW w:w="3100" w:type="dxa"/>
            <w:vAlign w:val="bottom"/>
          </w:tcPr>
          <w:p>
            <w:pPr>
              <w:spacing w:after="0"/>
              <w:rPr>
                <w:sz w:val="12"/>
                <w:szCs w:val="12"/>
                <w:color w:val="auto"/>
              </w:rPr>
            </w:pPr>
          </w:p>
        </w:tc>
        <w:tc>
          <w:tcPr>
            <w:tcW w:w="24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7990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20-0475541</w:t>
            </w:r>
          </w:p>
        </w:tc>
      </w:tr>
      <w:tr>
        <w:trPr>
          <w:trHeight w:val="172"/>
        </w:trPr>
        <w:tc>
          <w:tcPr>
            <w:tcW w:w="2480" w:type="dxa"/>
            <w:vAlign w:val="bottom"/>
          </w:tcPr>
          <w:p>
            <w:pPr>
              <w:spacing w:after="0"/>
              <w:rPr>
                <w:sz w:val="20"/>
                <w:szCs w:val="20"/>
                <w:color w:val="auto"/>
              </w:rPr>
            </w:pPr>
            <w:r>
              <w:rPr>
                <w:rFonts w:ascii="Arial" w:cs="Arial" w:eastAsia="Arial" w:hAnsi="Arial"/>
                <w:sz w:val="14"/>
                <w:szCs w:val="14"/>
                <w:color w:val="auto"/>
              </w:rPr>
              <w:t>Wynn Sunrise, LLC</w:t>
            </w:r>
          </w:p>
        </w:tc>
        <w:tc>
          <w:tcPr>
            <w:tcW w:w="3100" w:type="dxa"/>
            <w:vAlign w:val="bottom"/>
          </w:tcPr>
          <w:p>
            <w:pPr>
              <w:spacing w:after="0"/>
              <w:rPr>
                <w:sz w:val="14"/>
                <w:szCs w:val="14"/>
                <w:color w:val="auto"/>
              </w:rPr>
            </w:pPr>
          </w:p>
        </w:tc>
        <w:tc>
          <w:tcPr>
            <w:tcW w:w="2420" w:type="dxa"/>
            <w:vAlign w:val="bottom"/>
            <w:gridSpan w:val="2"/>
          </w:tcPr>
          <w:p>
            <w:pPr>
              <w:jc w:val="right"/>
              <w:ind w:right="720"/>
              <w:spacing w:after="0"/>
              <w:rPr>
                <w:sz w:val="20"/>
                <w:szCs w:val="20"/>
                <w:color w:val="auto"/>
              </w:rPr>
            </w:pPr>
            <w:r>
              <w:rPr>
                <w:rFonts w:ascii="Arial" w:cs="Arial" w:eastAsia="Arial" w:hAnsi="Arial"/>
                <w:sz w:val="14"/>
                <w:szCs w:val="14"/>
                <w:color w:val="auto"/>
              </w:rPr>
              <w:t>Nevada</w:t>
            </w:r>
          </w:p>
        </w:tc>
        <w:tc>
          <w:tcPr>
            <w:tcW w:w="2040" w:type="dxa"/>
            <w:vAlign w:val="bottom"/>
            <w:gridSpan w:val="2"/>
          </w:tcPr>
          <w:p>
            <w:pPr>
              <w:jc w:val="right"/>
              <w:ind w:right="360"/>
              <w:spacing w:after="0"/>
              <w:rPr>
                <w:sz w:val="20"/>
                <w:szCs w:val="20"/>
                <w:color w:val="auto"/>
              </w:rPr>
            </w:pPr>
            <w:r>
              <w:rPr>
                <w:rFonts w:ascii="Arial" w:cs="Arial" w:eastAsia="Arial" w:hAnsi="Arial"/>
                <w:sz w:val="14"/>
                <w:szCs w:val="14"/>
                <w:color w:val="auto"/>
              </w:rPr>
              <w:t>7990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20-1366675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68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81" w:lineRule="exact"/>
        <w:rPr>
          <w:sz w:val="24"/>
          <w:szCs w:val="24"/>
          <w:color w:val="auto"/>
        </w:rPr>
      </w:pPr>
    </w:p>
    <w:p>
      <w:pPr>
        <w:ind w:left="120" w:right="220" w:hanging="112"/>
        <w:spacing w:after="0" w:line="188" w:lineRule="auto"/>
        <w:tabs>
          <w:tab w:leader="none" w:pos="120" w:val="left"/>
        </w:tabs>
        <w:numPr>
          <w:ilvl w:val="0"/>
          <w:numId w:val="2"/>
        </w:numPr>
        <w:rPr>
          <w:rFonts w:ascii="Arial" w:cs="Arial" w:eastAsia="Arial" w:hAnsi="Arial"/>
          <w:sz w:val="26"/>
          <w:szCs w:val="26"/>
          <w:color w:val="auto"/>
          <w:vertAlign w:val="superscript"/>
        </w:rPr>
      </w:pPr>
      <w:r>
        <w:rPr>
          <w:rFonts w:ascii="Arial" w:cs="Arial" w:eastAsia="Arial" w:hAnsi="Arial"/>
          <w:sz w:val="13"/>
          <w:szCs w:val="13"/>
          <w:color w:val="auto"/>
        </w:rPr>
        <w:t xml:space="preserve">Address and telephone number of principal executive offices are the same as Wynn Las Vegas, LLC. The 6 </w:t>
      </w:r>
      <w:r>
        <w:rPr>
          <w:rFonts w:ascii="Arial" w:cs="Arial" w:eastAsia="Arial" w:hAnsi="Arial"/>
          <w:sz w:val="21"/>
          <w:szCs w:val="21"/>
          <w:color w:val="auto"/>
          <w:vertAlign w:val="superscript"/>
        </w:rPr>
        <w:t>5</w:t>
      </w:r>
      <w:r>
        <w:rPr>
          <w:rFonts w:ascii="Arial" w:cs="Arial" w:eastAsia="Arial" w:hAnsi="Arial"/>
          <w:sz w:val="13"/>
          <w:szCs w:val="13"/>
          <w:color w:val="auto"/>
        </w:rPr>
        <w:t>/8% First Mortgage Notes due 2014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DE1A1E"/>
        </w:rPr>
        <w:t>Subject to completion, dated May 20,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Wynn Las Vegas Capital Corp.</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Offer to exchange $1,300,000,000 of its outstanding</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w:t>
      </w:r>
    </w:p>
    <w:p>
      <w:pPr>
        <w:spacing w:after="0" w:line="4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3"/>
          <w:szCs w:val="13"/>
          <w:b w:val="1"/>
          <w:bCs w:val="1"/>
          <w:color w:val="auto"/>
        </w:rPr>
        <w:t>8</w:t>
      </w:r>
      <w:r>
        <w:rPr>
          <w:rFonts w:ascii="Arial" w:cs="Arial" w:eastAsia="Arial" w:hAnsi="Arial"/>
          <w:sz w:val="22"/>
          <w:szCs w:val="22"/>
          <w:b w:val="1"/>
          <w:bCs w:val="1"/>
          <w:color w:val="auto"/>
        </w:rPr>
        <w:t>% First Mortgage Notes due 2014</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128"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b w:val="1"/>
          <w:bCs w:val="1"/>
          <w:color w:val="auto"/>
        </w:rPr>
        <w:t>The exchange offer will expire at 5:00 p.m., New York City time, on , 2005, unless we extend the exchange offer in our sole and absolute discretion.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the exchange offer:</w:t>
      </w:r>
    </w:p>
    <w:p>
      <w:pPr>
        <w:spacing w:after="0" w:line="7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exchange the new notes for all outstanding old notes that are validly tendered and not withdrawn pursuant to the exchange offer.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outstanding old notes, except that the transfer restrictions and registration rights relating to the old notes will not apply to the new notes.</w:t>
      </w:r>
    </w:p>
    <w:p>
      <w:pPr>
        <w:spacing w:after="0" w:line="37" w:lineRule="exact"/>
        <w:rPr>
          <w:rFonts w:ascii="Arial" w:cs="Arial" w:eastAsia="Arial" w:hAnsi="Arial"/>
          <w:sz w:val="18"/>
          <w:szCs w:val="18"/>
          <w:color w:val="auto"/>
        </w:rPr>
      </w:pPr>
    </w:p>
    <w:p>
      <w:pPr>
        <w:ind w:left="900" w:right="640" w:hanging="446"/>
        <w:spacing w:after="0" w:line="325"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You should see the discussion under the heading “Material United States Federal Income Tax Considerations” for more information.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issued the old notes in a transaction not requiring registration under the Securities Act, and as a result, transfer of the old notes is restricted. We are making the exchange offer to satisfy your registration rights, as a holder of the old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established trading market for the new notes or the old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64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See “ </w:t>
      </w:r>
      <w:hyperlink w:anchor="page21">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19 for a discussion of risks you should consider prior to tendering your outstanding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146685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i w:val="1"/>
          <w:iCs w:val="1"/>
          <w:color w:val="auto"/>
        </w:rPr>
        <w:t>Neither the Nevada Gaming Commission, the Nevada State Gaming Control Board nor any other gaming authority has passed upon the accuracy or adequacy of this prospectus or the investment merits of the notes being offered by this prospectus. Any representation to the contrary is unlawful.</w:t>
      </w:r>
    </w:p>
    <w:p>
      <w:pPr>
        <w:spacing w:after="0" w:line="72" w:lineRule="exact"/>
        <w:rPr>
          <w:sz w:val="20"/>
          <w:szCs w:val="20"/>
          <w:color w:val="auto"/>
        </w:rPr>
      </w:pPr>
    </w:p>
    <w:tbl>
      <w:tblPr>
        <w:tblLayout w:type="fixed"/>
        <w:tblInd w:w="400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00" w:type="dxa"/>
            <w:vAlign w:val="bottom"/>
          </w:tcPr>
          <w:p>
            <w:pPr>
              <w:jc w:val="right"/>
              <w:spacing w:after="0"/>
              <w:rPr>
                <w:sz w:val="20"/>
                <w:szCs w:val="20"/>
                <w:color w:val="auto"/>
              </w:rPr>
            </w:pPr>
            <w:r>
              <w:rPr>
                <w:rFonts w:ascii="Arial" w:cs="Arial" w:eastAsia="Arial" w:hAnsi="Arial"/>
                <w:sz w:val="18"/>
                <w:szCs w:val="18"/>
                <w:color w:val="auto"/>
              </w:rPr>
              <w:t>, 2005</w:t>
            </w:r>
          </w:p>
        </w:tc>
      </w:tr>
    </w:tbl>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Foreign Currency Translations</w:t>
              </w:r>
            </w:hyperlink>
          </w:p>
        </w:tc>
        <w:tc>
          <w:tcPr>
            <w:tcW w:w="89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Ratio of Earnings to Fixed Charges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9"/>
          </w:tcPr>
          <w:p>
            <w:pPr>
              <w:spacing w:after="0"/>
              <w:rPr>
                <w:sz w:val="17"/>
                <w:szCs w:val="17"/>
                <w:color w:val="auto"/>
              </w:rPr>
            </w:pPr>
          </w:p>
        </w:tc>
        <w:tc>
          <w:tcPr>
            <w:tcW w:w="85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Consolidated Historical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5">
              <w:r>
                <w:rPr>
                  <w:rFonts w:ascii="Arial" w:cs="Arial" w:eastAsia="Arial" w:hAnsi="Arial"/>
                  <w:sz w:val="18"/>
                  <w:szCs w:val="18"/>
                  <w:color w:val="0000EE"/>
                  <w:w w:val="84"/>
                </w:rPr>
                <w:t>Business</w:t>
              </w:r>
            </w:hyperlink>
          </w:p>
        </w:tc>
        <w:tc>
          <w:tcPr>
            <w:tcW w:w="5660" w:type="dxa"/>
            <w:vAlign w:val="bottom"/>
            <w:tcBorders>
              <w:top w:val="single" w:sz="8" w:color="0000EE"/>
            </w:tcBorders>
            <w:gridSpan w:val="22"/>
          </w:tcPr>
          <w:p>
            <w:pPr>
              <w:spacing w:after="0"/>
              <w:rPr>
                <w:sz w:val="17"/>
                <w:szCs w:val="17"/>
                <w:color w:val="auto"/>
              </w:rPr>
            </w:pPr>
          </w:p>
        </w:tc>
        <w:tc>
          <w:tcPr>
            <w:tcW w:w="47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6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Our Affiliate’s Opportunity in Macau</w:t>
              </w:r>
            </w:hyperlink>
          </w:p>
        </w:tc>
        <w:tc>
          <w:tcPr>
            <w:tcW w:w="842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Executive Compensation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33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Certain Relationships and Related Transactions</w:t>
              </w:r>
            </w:hyperlink>
          </w:p>
        </w:tc>
        <w:tc>
          <w:tcPr>
            <w:tcW w:w="76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Description of the New Notes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Description of Credit Facilities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2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Disbursement Agreement</w:t>
              </w:r>
            </w:hyperlink>
          </w:p>
        </w:tc>
        <w:tc>
          <w:tcPr>
            <w:tcW w:w="88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196"/>
        </w:trPr>
        <w:tc>
          <w:tcPr>
            <w:tcW w:w="18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182">
              <w:r>
                <w:rPr>
                  <w:rFonts w:ascii="Arial" w:cs="Arial" w:eastAsia="Arial" w:hAnsi="Arial"/>
                  <w:sz w:val="18"/>
                  <w:szCs w:val="18"/>
                  <w:color w:val="0000EE"/>
                  <w:w w:val="94"/>
                </w:rPr>
                <w:t>Intercreditor Agreement</w:t>
              </w:r>
            </w:hyperlink>
          </w:p>
        </w:tc>
        <w:tc>
          <w:tcPr>
            <w:tcW w:w="92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88">
              <w:r>
                <w:rPr>
                  <w:rFonts w:ascii="Arial" w:cs="Arial" w:eastAsia="Arial" w:hAnsi="Arial"/>
                  <w:sz w:val="18"/>
                  <w:szCs w:val="18"/>
                  <w:color w:val="0000EE"/>
                  <w:w w:val="88"/>
                </w:rPr>
                <w:t>Material United States Federal Income Tax Considerations</w:t>
              </w:r>
            </w:hyperlink>
          </w:p>
        </w:tc>
        <w:tc>
          <w:tcPr>
            <w:tcW w:w="6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Plan of Distribution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Where You Can Find More Information</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20"/>
        </w:trPr>
        <w:tc>
          <w:tcPr>
            <w:tcW w:w="2800" w:type="dxa"/>
            <w:vAlign w:val="bottom"/>
            <w:gridSpan w:val="18"/>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191">
              <w:r>
                <w:rPr>
                  <w:rFonts w:ascii="Arial" w:cs="Arial" w:eastAsia="Arial" w:hAnsi="Arial"/>
                  <w:sz w:val="18"/>
                  <w:szCs w:val="18"/>
                  <w:color w:val="0000EE"/>
                  <w:w w:val="88"/>
                </w:rPr>
                <w:t>Index to Consolidated Financial Statements</w:t>
              </w:r>
            </w:hyperlink>
          </w:p>
        </w:tc>
        <w:tc>
          <w:tcPr>
            <w:tcW w:w="798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6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6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CURRENCY TRANSLATIONS</w:t>
      </w:r>
    </w:p>
    <w:p>
      <w:pPr>
        <w:spacing w:after="0" w:line="164" w:lineRule="exact"/>
        <w:rPr>
          <w:sz w:val="20"/>
          <w:szCs w:val="20"/>
          <w:color w:val="auto"/>
        </w:rPr>
      </w:pPr>
    </w:p>
    <w:p>
      <w:pPr>
        <w:jc w:val="both"/>
        <w:ind w:right="60" w:firstLine="456"/>
        <w:spacing w:after="0" w:line="318" w:lineRule="auto"/>
        <w:rPr>
          <w:sz w:val="20"/>
          <w:szCs w:val="20"/>
          <w:color w:val="auto"/>
        </w:rPr>
      </w:pPr>
      <w:r>
        <w:rPr>
          <w:rFonts w:ascii="Arial" w:cs="Arial" w:eastAsia="Arial" w:hAnsi="Arial"/>
          <w:sz w:val="15"/>
          <w:szCs w:val="15"/>
          <w:color w:val="auto"/>
        </w:rPr>
        <w:t>Solely for the convenience of the reader, this prospectus contains a translation of a certain Macau pataca amount into U.S. dollars. This translation should not be construed as a representation that the Macau pataca amount actually represents such U.S. dollar amount or could be converted into U.S. dollars at the rate indicated or at all. The translation of Macau patacas into U.S. dollars has been made at the rate of 8.317 Macau patacas to one U.S. dollar, the rate as reported on OANDA.com (http://www.oanda.com) as of March 31, 2005. OANDA.com is an on-line currency converter operated by OANDA Corporation, a technology and financial services provider of foreign currency tools, data and transaction services. All references to “$” in this offering memorandum denote U.S. dollars.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21" w:lineRule="exact"/>
        <w:rPr>
          <w:sz w:val="20"/>
          <w:szCs w:val="20"/>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 governing the disbursement of funds from the accounts holding certain proceeds of the issuance of the old notes and borrowings under our credit facilities;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casino/hotel and resorts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development and construction costs of Encore at Wynn Las Vegas;</w:t>
      </w:r>
    </w:p>
    <w:p>
      <w:pPr>
        <w:spacing w:after="0" w:line="103"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operating history;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 for licenses and 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900" w:right="60" w:hanging="446"/>
        <w:spacing w:after="0" w:line="32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severe acute respiratory syndrome (“SARS”) or Asian bird flu, or the impact of a natural disaster, such as the tsunami that struck southeast Asia in December 2004, may have on the travel and leisure industry; and</w:t>
      </w:r>
    </w:p>
    <w:p>
      <w:pPr>
        <w:spacing w:after="0" w:line="1"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consequences of the war in Iraq and other military conflicts in the Middle East and any future security alerts and/or terrorist attacks such as the attacks that occurred on September 11, 2001.</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19 before making an investment decision. You should read this summary together with the more detailed information contained elsewhere in this prospectus and in our financial statements and accompanying notes.</w:t>
      </w:r>
    </w:p>
    <w:p>
      <w:pPr>
        <w:spacing w:after="0" w:line="130" w:lineRule="exact"/>
        <w:rPr>
          <w:sz w:val="20"/>
          <w:szCs w:val="20"/>
          <w:color w:val="auto"/>
        </w:rPr>
      </w:pPr>
    </w:p>
    <w:p>
      <w:pPr>
        <w:ind w:right="140" w:firstLine="456"/>
        <w:spacing w:after="0" w:line="234" w:lineRule="auto"/>
        <w:rPr>
          <w:sz w:val="20"/>
          <w:szCs w:val="20"/>
          <w:color w:val="auto"/>
        </w:rPr>
      </w:pPr>
      <w:r>
        <w:rPr>
          <w:rFonts w:ascii="Arial" w:cs="Arial" w:eastAsia="Arial" w:hAnsi="Arial"/>
          <w:sz w:val="18"/>
          <w:szCs w:val="18"/>
          <w:i w:val="1"/>
          <w:iCs w:val="1"/>
          <w:color w:val="auto"/>
        </w:rPr>
        <w:t xml:space="preserve">The new notes will be jointly issued by Wynn Las Vegas, LLC, a Nevada limited liability company, and its wholly owned subsidiary, Wynn Las Vegas Capital Corp., a Nevada corporation (“Wynn Capital”). The new notes will be guaranteed by all of our subsidiaries other than Wynn Completion Guarantor, LLC. Unless the context otherwise requires, all references in this prospectus to “we,” “us” or “our,” or similar terms, refer to Wynn Las Vegas, LLC and its consolidated subsidiaries. The “old notes” consisting of the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xml:space="preserve">% First Mortgage Notes due 2014 that were issued on December 14, 2004 and the “new notes” consisting of the 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2014 offered pursuant to this prospectus are sometimes referred to in this prospectus, individually or together, as the “notes” or the “First Mortgage Notes.”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own and operate Wynn Las Vegas, a new destination casino resort which opened to the public on April 28, 2005. Wynn Las Vegas is the concept of Stephen A. Wynn, Chairman of the Board, Chief Executive Officer and one of the principal stockholders of our ultimate parent, Wynn Resorts, Limited (“Wynn Resorts”).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has set a new standard of luxury and elegance for destination casino resorts in Las Vegas.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Wynn Las Vegas is located on Las Vegas Boulevard (the “Las Vegas Strip” or the “Strip) on the site of the former Desert Inn Resort &amp; Casino (the “Desert Inn”), at the northeast corner of the intersection of the Strip and Sands Avenue, one-half block north of The Venetian and Treasure Island at The Mirage and across the Strip from the recently expanded Fashion Show Mall. Wynn Las Vegas also is adjacent to both the Sands Expo Center and Las Vegas Convention Center, which together contain more than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A second casino resort to be developed on land adjacent to Wynn Las Vegas, known as Encore at Wynn Las Vegas (“Encore”), will occupy an additional 20 acres of land on the Las Vegas Strip.</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Las Vegas features 2,716 luxurious guest rooms and suites, an approximately 111,000 square foot casino, 22 food and beverage outlets, an on-site 18-hole golf course, approximately 223,000 square feet of meeting space, an on-site Ferrari and Maserati dealership and approximately 76,290 square feet of retail space. The resort will also have two showrooms featuring live entertainment productions. The Wynn Theater opened concurrently with Wynn Las Vegas and features “Le Rêve, a small collection of imperfect dreams,” a water-based show produced by Franco Dragone, who created “O,” “Mystère” and the Celine Dion show. Our second showroom, the Broadway Theater, is expected to open in September 2005 and will feature the 2004 Tony Award winning Broadway musical, “Avenue Q.”</w:t>
      </w:r>
    </w:p>
    <w:p>
      <w:pPr>
        <w:spacing w:after="0" w:line="131" w:lineRule="exact"/>
        <w:rPr>
          <w:sz w:val="20"/>
          <w:szCs w:val="20"/>
          <w:color w:val="auto"/>
        </w:rPr>
      </w:pPr>
    </w:p>
    <w:p>
      <w:pPr>
        <w:jc w:val="center"/>
        <w:ind w:left="460" w:right="240"/>
        <w:spacing w:after="0" w:line="440" w:lineRule="auto"/>
        <w:rPr>
          <w:sz w:val="20"/>
          <w:szCs w:val="20"/>
          <w:color w:val="auto"/>
        </w:rPr>
      </w:pPr>
      <w:r>
        <w:rPr>
          <w:rFonts w:ascii="Arial" w:cs="Arial" w:eastAsia="Arial" w:hAnsi="Arial"/>
          <w:sz w:val="18"/>
          <w:szCs w:val="18"/>
          <w:color w:val="auto"/>
        </w:rPr>
        <w:t>Our principal executive offices are located at 3131 Las Vegas Boulevard South, Las Vegas, Nevada 89109, and our telephone number is (702) 770-7000. 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w:t>
      </w:r>
    </w:p>
    <w:p>
      <w:pPr>
        <w:spacing w:after="0" w:line="16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total cost of Wynn Las Vegas is estimated to be in the range of $2.7 to $2.75 billion, including the cost of acquiring approximately 235 acres of land, costs of design and construction, capitalized interest, pre-opening expenses, financing fees and construction contingencies, but excluding the incremental cost for Encore, other than the land for Encore. Through March 31, 2005, we had funded approximately $2.4 billion of project costs for Wynn Las Vegas primarily from a combination of contributed capital, proceeds from the initial public offering of Wynn Resorts’ common stock, proceeds from the issuance of our 12% Second Mortgage Notes due 2010 (the “Second Mortgage Notes”) which recently were discharged, a portion of the proceeds from the issuance of the First Mortgage Notes and a portion of the borrowings under our credit facilities.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Encore at Wynn Las Vegas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continue to refine the scope of Encore. We have elevated Encore to the status of a free standing casino resort which is fully integrated with Wynn Las Vegas. As currently designed, Encore includes a hotel tower consisting of approximately 1,100 suites and approximately 1,400 guest rooms. In addition, the current plans for Encore include approximately 200,000 square feet of convention and meeting space, a 50,000 square foot casino, additional entertainment venues, restaurants, a spa and salon, swimming pools and retail space. The scope and design of Encore remain subject to the approval of Wynn Resorts’ board of directors. We currently anticipate that Encore will open in the first half of 2008.</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expect that the portion of the proceeds from the sale of the First Mortgage Notes remaining after completion of Wynn Las Vegas, together with remaining availability under our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First Mortgage Notes and borrowings under our credit facilities to fund costs related to Encore prior to the time the construction budget, construction schedule and certain plans, specifications, schematic drawings and other specified deliverables for Encore (collectively,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a majority of the arrangers or a majority of lenders under our credit facilities by June 30, 2005. Once we have finalized the scope and plans for Encore, we will seek necessary consents and approvals from our lenders and noteholders.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indirect wholly owned subsidiaries of Wynn Resorts, a Nevada corporation formed in June 2002, which consummated an initial public offering of its common stock in October 2002. Wynn Resorts’ predecessor, Valvino Lamore, LLC (“Valvino”), was formed in April 2000 as a Nevada limited liability company to acquire land and design, develop and finance Wynn Las Vegas (then known as “Le Rêve”). In June 2000, Valvino completed the purchase of the Desert Inn for approximately $270.0 million plus an adjustment for working capital, and later purchased additional lots located in and around the Desert Inn golf course for an additional $47.8 million. Valvino ceased the operations of the hotel and casino in August 2000 to focus on the design and development of Wynn Las Vegas. Valvino continued to operate the Desert Inn golf course until summer 2002. During 2004, Wynn Resorts purchased the ten remaining residences of the former Desert Inn County Club Estates for approximately $23.0 million as part of a settlement of litigation involving those residences.</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Resorts’ efforts to date have been devoted principally to the design, development, financing and construction of Wynn Las Vegas and the concession negotiation, design, development, financing, land acquisition and construction of a casino development (referred to herein as “Wynn Macau”) in the Macau Special Administrative Region of the People’s Republic of China (“Macau”).</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i w:val="1"/>
          <w:iCs w:val="1"/>
          <w:color w:val="auto"/>
        </w:rPr>
        <w:t xml:space="preserve">Showcase the “Wynn Brand.” </w:t>
      </w:r>
      <w:r>
        <w:rPr>
          <w:rFonts w:ascii="Arial" w:cs="Arial" w:eastAsia="Arial" w:hAnsi="Arial"/>
          <w:sz w:val="16"/>
          <w:szCs w:val="16"/>
          <w:color w:val="auto"/>
        </w:rPr>
        <w:t>Mr. Wynn’s involvement with Wynn Las Vegas provides a distinct advantage over other gaming enterprises.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Wynn Las Vegas is Mr. Wynn’s most innovative work to date and has set a new standard of luxury and elegance for destination casino resorts in Las Vegas, much as the Bellagio and The Mirage did when they were built by Mirage Resorts, Incorporated under the guidance of Mr. Wynn.</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Create the Preeminent Destination Casino Resort on the Las Vegas Strip. </w:t>
      </w:r>
      <w:r>
        <w:rPr>
          <w:rFonts w:ascii="Arial" w:cs="Arial" w:eastAsia="Arial" w:hAnsi="Arial"/>
          <w:sz w:val="16"/>
          <w:szCs w:val="16"/>
          <w:color w:val="auto"/>
        </w:rPr>
        <w:t>We plan to attract a range of customers, including middle-market and high-end</w:t>
      </w:r>
      <w:r>
        <w:rPr>
          <w:rFonts w:ascii="Arial" w:cs="Arial" w:eastAsia="Arial" w:hAnsi="Arial"/>
          <w:sz w:val="16"/>
          <w:szCs w:val="16"/>
          <w:i w:val="1"/>
          <w:iCs w:val="1"/>
          <w:color w:val="auto"/>
        </w:rPr>
        <w:t xml:space="preserve"> </w:t>
      </w:r>
      <w:r>
        <w:rPr>
          <w:rFonts w:ascii="Arial" w:cs="Arial" w:eastAsia="Arial" w:hAnsi="Arial"/>
          <w:sz w:val="16"/>
          <w:szCs w:val="16"/>
          <w:color w:val="auto"/>
        </w:rPr>
        <w:t>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offer at Wynn Las Vegas, together with Mr. Wynn’s experience and reputation in building and operating premier Las Vegas destination casino resorts, appeals to international and domestic high-roller gaming patrons. Wynn Las Vegas has a sophisticated, casually elegant ambience rather than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Capitalize on the Attractive Location of Wynn Las Vegas and Encore. </w:t>
      </w:r>
      <w:r>
        <w:rPr>
          <w:rFonts w:ascii="Arial" w:cs="Arial" w:eastAsia="Arial" w:hAnsi="Arial"/>
          <w:sz w:val="16"/>
          <w:szCs w:val="16"/>
          <w:color w:val="auto"/>
        </w:rPr>
        <w:t>Wynn Las Vegas has approximately 1,350 feet of frontage on the Las Vegas Strip at</w:t>
      </w:r>
      <w:r>
        <w:rPr>
          <w:rFonts w:ascii="Arial" w:cs="Arial" w:eastAsia="Arial" w:hAnsi="Arial"/>
          <w:sz w:val="16"/>
          <w:szCs w:val="16"/>
          <w:i w:val="1"/>
          <w:iCs w:val="1"/>
          <w:color w:val="auto"/>
        </w:rPr>
        <w:t xml:space="preserve"> </w:t>
      </w:r>
      <w:r>
        <w:rPr>
          <w:rFonts w:ascii="Arial" w:cs="Arial" w:eastAsia="Arial" w:hAnsi="Arial"/>
          <w:sz w:val="16"/>
          <w:szCs w:val="16"/>
          <w:color w:val="auto"/>
        </w:rPr>
        <w:t>the site of the former Desert Inn on the northeast corner of the intersection of the Las Vegas Strip and Sands Avenue. Wynn Las Vegas is located close to a number of premium retail stores and two of the nation’s largest convention centers: the Las Vegas Convention Center and the Sands Expo and Convention Center. Encore will be immediately adjacent and connected to Wynn Las Vegas and will have approximately 900 feet of Strip frontage.</w:t>
      </w:r>
    </w:p>
    <w:p>
      <w:pPr>
        <w:spacing w:after="0" w:line="99"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Our marketing strategy consists of positioning Wynn Las Vegas as a full-service luxury resort and casino in the leisure, convention and tour and</w:t>
      </w:r>
      <w:r>
        <w:rPr>
          <w:rFonts w:ascii="Arial" w:cs="Arial" w:eastAsia="Arial" w:hAnsi="Arial"/>
          <w:sz w:val="16"/>
          <w:szCs w:val="16"/>
          <w:i w:val="1"/>
          <w:iCs w:val="1"/>
          <w:color w:val="auto"/>
        </w:rPr>
        <w:t xml:space="preserve"> </w:t>
      </w:r>
      <w:r>
        <w:rPr>
          <w:rFonts w:ascii="Arial" w:cs="Arial" w:eastAsia="Arial" w:hAnsi="Arial"/>
          <w:sz w:val="16"/>
          <w:szCs w:val="16"/>
          <w:color w:val="auto"/>
        </w:rPr>
        <w:t>travel markets. We market the casino directly to gaming customers using database marketing techniques and traditional incentives, such as reduced room rates and complimentary meals and suites. We offer high-roller gaming customers premium suites and special hotel services, and have developed a guest loyalty program. We expect to capitalize on the substantial network of international and domestic high-roller and premium customers who are familiar with Mr. Wynn from his tenure at Mirage Resorts, Incorporated. We also intend to implement cross-marketing strategies between Wynn Las Vegas and Wynn Macau to encourage international business between the Macau and Las Vegas markets.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 xml:space="preserve">Master-planned Design for Future Las Vegas Expansion. </w:t>
      </w:r>
      <w:r>
        <w:rPr>
          <w:rFonts w:ascii="Arial" w:cs="Arial" w:eastAsia="Arial" w:hAnsi="Arial"/>
          <w:sz w:val="18"/>
          <w:szCs w:val="18"/>
          <w:color w:val="auto"/>
        </w:rPr>
        <w:t>We are creating a long-range plan to develop the 142-acre golf course parcel into a large mixed</w:t>
      </w:r>
      <w:r>
        <w:rPr>
          <w:rFonts w:ascii="Arial" w:cs="Arial" w:eastAsia="Arial" w:hAnsi="Arial"/>
          <w:sz w:val="18"/>
          <w:szCs w:val="18"/>
          <w:i w:val="1"/>
          <w:iCs w:val="1"/>
          <w:color w:val="auto"/>
        </w:rPr>
        <w:t xml:space="preserve"> </w:t>
      </w:r>
      <w:r>
        <w:rPr>
          <w:rFonts w:ascii="Arial" w:cs="Arial" w:eastAsia="Arial" w:hAnsi="Arial"/>
          <w:sz w:val="18"/>
          <w:szCs w:val="18"/>
          <w:color w:val="auto"/>
        </w:rPr>
        <w:t>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Pr>
          <w:p>
            <w:pPr>
              <w:spacing w:after="0"/>
              <w:rPr>
                <w:sz w:val="19"/>
                <w:szCs w:val="19"/>
                <w:color w:val="auto"/>
              </w:rPr>
            </w:pPr>
          </w:p>
        </w:tc>
        <w:tc>
          <w:tcPr>
            <w:tcW w:w="6740" w:type="dxa"/>
            <w:vAlign w:val="bottom"/>
          </w:tcPr>
          <w:p>
            <w:pPr>
              <w:ind w:left="2020"/>
              <w:spacing w:after="0"/>
              <w:rPr>
                <w:sz w:val="20"/>
                <w:szCs w:val="20"/>
                <w:color w:val="auto"/>
              </w:rPr>
            </w:pPr>
            <w:r>
              <w:rPr>
                <w:rFonts w:ascii="Arial" w:cs="Arial" w:eastAsia="Arial" w:hAnsi="Arial"/>
                <w:sz w:val="18"/>
                <w:szCs w:val="18"/>
                <w:b w:val="1"/>
                <w:bCs w:val="1"/>
                <w:color w:val="auto"/>
              </w:rPr>
              <w:t>The Exchange Offer</w:t>
            </w:r>
          </w:p>
        </w:tc>
        <w:tc>
          <w:tcPr>
            <w:tcW w:w="1700" w:type="dxa"/>
            <w:vAlign w:val="bottom"/>
          </w:tcPr>
          <w:p>
            <w:pPr>
              <w:spacing w:after="0"/>
              <w:rPr>
                <w:sz w:val="19"/>
                <w:szCs w:val="19"/>
                <w:color w:val="auto"/>
              </w:rPr>
            </w:pPr>
          </w:p>
        </w:tc>
      </w:tr>
      <w:tr>
        <w:trPr>
          <w:trHeight w:val="441"/>
        </w:trPr>
        <w:tc>
          <w:tcPr>
            <w:tcW w:w="2940" w:type="dxa"/>
            <w:vAlign w:val="bottom"/>
          </w:tcPr>
          <w:p>
            <w:pPr>
              <w:spacing w:after="0"/>
              <w:rPr>
                <w:sz w:val="20"/>
                <w:szCs w:val="20"/>
                <w:color w:val="auto"/>
              </w:rPr>
            </w:pPr>
            <w:r>
              <w:rPr>
                <w:rFonts w:ascii="Arial" w:cs="Arial" w:eastAsia="Arial" w:hAnsi="Arial"/>
                <w:sz w:val="18"/>
                <w:szCs w:val="18"/>
                <w:color w:val="auto"/>
              </w:rPr>
              <w:t>Old Notes</w:t>
            </w:r>
          </w:p>
        </w:tc>
        <w:tc>
          <w:tcPr>
            <w:tcW w:w="6740" w:type="dxa"/>
            <w:vAlign w:val="bottom"/>
          </w:tcPr>
          <w:p>
            <w:pPr>
              <w:ind w:left="1180"/>
              <w:spacing w:after="0"/>
              <w:rPr>
                <w:sz w:val="20"/>
                <w:szCs w:val="20"/>
                <w:color w:val="auto"/>
              </w:rPr>
            </w:pPr>
            <w:r>
              <w:rPr>
                <w:rFonts w:ascii="Arial" w:cs="Arial" w:eastAsia="Arial" w:hAnsi="Arial"/>
                <w:sz w:val="18"/>
                <w:szCs w:val="18"/>
                <w:color w:val="auto"/>
                <w:w w:val="90"/>
              </w:rPr>
              <w:t xml:space="preserve">6 </w:t>
            </w:r>
            <w:r>
              <w:rPr>
                <w:rFonts w:ascii="Arial" w:cs="Arial" w:eastAsia="Arial" w:hAnsi="Arial"/>
                <w:sz w:val="22"/>
                <w:szCs w:val="22"/>
                <w:color w:val="auto"/>
                <w:w w:val="90"/>
                <w:vertAlign w:val="superscript"/>
              </w:rPr>
              <w:t>5</w:t>
            </w:r>
            <w:r>
              <w:rPr>
                <w:rFonts w:ascii="Arial" w:cs="Arial" w:eastAsia="Arial" w:hAnsi="Arial"/>
                <w:sz w:val="18"/>
                <w:szCs w:val="18"/>
                <w:color w:val="auto"/>
                <w:w w:val="90"/>
              </w:rPr>
              <w:t>/</w:t>
            </w:r>
            <w:r>
              <w:rPr>
                <w:rFonts w:ascii="Arial" w:cs="Arial" w:eastAsia="Arial" w:hAnsi="Arial"/>
                <w:sz w:val="13"/>
                <w:szCs w:val="13"/>
                <w:color w:val="auto"/>
                <w:w w:val="90"/>
              </w:rPr>
              <w:t>8</w:t>
            </w:r>
            <w:r>
              <w:rPr>
                <w:rFonts w:ascii="Arial" w:cs="Arial" w:eastAsia="Arial" w:hAnsi="Arial"/>
                <w:sz w:val="18"/>
                <w:szCs w:val="18"/>
                <w:color w:val="auto"/>
                <w:w w:val="90"/>
              </w:rPr>
              <w:t>% First Mortgage Notes due 2014, which we issued December 14, 2004.</w:t>
            </w:r>
          </w:p>
        </w:tc>
        <w:tc>
          <w:tcPr>
            <w:tcW w:w="1700" w:type="dxa"/>
            <w:vAlign w:val="bottom"/>
          </w:tcPr>
          <w:p>
            <w:pPr>
              <w:spacing w:after="0"/>
              <w:rPr>
                <w:sz w:val="24"/>
                <w:szCs w:val="24"/>
                <w:color w:val="auto"/>
              </w:rPr>
            </w:pPr>
          </w:p>
        </w:tc>
      </w:tr>
      <w:tr>
        <w:trPr>
          <w:trHeight w:val="295"/>
        </w:trPr>
        <w:tc>
          <w:tcPr>
            <w:tcW w:w="2940" w:type="dxa"/>
            <w:vAlign w:val="bottom"/>
          </w:tcPr>
          <w:p>
            <w:pPr>
              <w:spacing w:after="0"/>
              <w:rPr>
                <w:sz w:val="20"/>
                <w:szCs w:val="20"/>
                <w:color w:val="auto"/>
              </w:rPr>
            </w:pPr>
            <w:r>
              <w:rPr>
                <w:rFonts w:ascii="Arial" w:cs="Arial" w:eastAsia="Arial" w:hAnsi="Arial"/>
                <w:sz w:val="18"/>
                <w:szCs w:val="18"/>
                <w:color w:val="auto"/>
              </w:rPr>
              <w:t>New Notes</w:t>
            </w: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88"/>
              </w:rPr>
              <w:t xml:space="preserve">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First Mortgage Notes due 2014, the issuance of which has been registered under the Securities</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0"/>
              </w:rPr>
              <w:t>Act of 1933. The form and the terms of the new notes are identical in all material respects to those of</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88"/>
              </w:rPr>
              <w:t>the old notes, except that the transfer restrictions and registration rights relating to the old notes do not</w:t>
            </w:r>
          </w:p>
        </w:tc>
      </w:tr>
      <w:tr>
        <w:trPr>
          <w:trHeight w:val="222"/>
        </w:trPr>
        <w:tc>
          <w:tcPr>
            <w:tcW w:w="2940" w:type="dxa"/>
            <w:vAlign w:val="bottom"/>
          </w:tcPr>
          <w:p>
            <w:pPr>
              <w:spacing w:after="0"/>
              <w:rPr>
                <w:sz w:val="19"/>
                <w:szCs w:val="19"/>
                <w:color w:val="auto"/>
              </w:rPr>
            </w:pPr>
          </w:p>
        </w:tc>
        <w:tc>
          <w:tcPr>
            <w:tcW w:w="6740" w:type="dxa"/>
            <w:vAlign w:val="bottom"/>
          </w:tcPr>
          <w:p>
            <w:pPr>
              <w:ind w:left="1180"/>
              <w:spacing w:after="0"/>
              <w:rPr>
                <w:sz w:val="20"/>
                <w:szCs w:val="20"/>
                <w:color w:val="auto"/>
              </w:rPr>
            </w:pPr>
            <w:r>
              <w:rPr>
                <w:rFonts w:ascii="Arial" w:cs="Arial" w:eastAsia="Arial" w:hAnsi="Arial"/>
                <w:sz w:val="18"/>
                <w:szCs w:val="18"/>
                <w:color w:val="auto"/>
              </w:rPr>
              <w:t>apply to the new notes.</w:t>
            </w:r>
          </w:p>
        </w:tc>
        <w:tc>
          <w:tcPr>
            <w:tcW w:w="1700" w:type="dxa"/>
            <w:vAlign w:val="bottom"/>
          </w:tcPr>
          <w:p>
            <w:pPr>
              <w:spacing w:after="0"/>
              <w:rPr>
                <w:sz w:val="19"/>
                <w:szCs w:val="19"/>
                <w:color w:val="auto"/>
              </w:rPr>
            </w:pPr>
          </w:p>
        </w:tc>
      </w:tr>
      <w:tr>
        <w:trPr>
          <w:trHeight w:val="372"/>
        </w:trPr>
        <w:tc>
          <w:tcPr>
            <w:tcW w:w="2940" w:type="dxa"/>
            <w:vAlign w:val="bottom"/>
          </w:tcPr>
          <w:p>
            <w:pPr>
              <w:spacing w:after="0"/>
              <w:rPr>
                <w:sz w:val="20"/>
                <w:szCs w:val="20"/>
                <w:color w:val="auto"/>
              </w:rPr>
            </w:pPr>
            <w:r>
              <w:rPr>
                <w:rFonts w:ascii="Arial" w:cs="Arial" w:eastAsia="Arial" w:hAnsi="Arial"/>
                <w:sz w:val="18"/>
                <w:szCs w:val="18"/>
                <w:color w:val="auto"/>
              </w:rPr>
              <w:t>Exchange Offer</w:t>
            </w: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87"/>
              </w:rPr>
              <w:t>We are offering to issue up to $1,300,000,000 aggregate principal amount of the new notes in exchange</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5"/>
              </w:rPr>
              <w:t>for a like principal amount of the old notes to satisfy our obligations under the registration rights</w:t>
            </w:r>
          </w:p>
        </w:tc>
      </w:tr>
      <w:tr>
        <w:trPr>
          <w:trHeight w:val="216"/>
        </w:trPr>
        <w:tc>
          <w:tcPr>
            <w:tcW w:w="2940" w:type="dxa"/>
            <w:vAlign w:val="bottom"/>
          </w:tcPr>
          <w:p>
            <w:pPr>
              <w:spacing w:after="0"/>
              <w:rPr>
                <w:sz w:val="18"/>
                <w:szCs w:val="18"/>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3"/>
              </w:rPr>
              <w:t>agreement that we entered into when the old notes were issued in a transaction consummated in</w:t>
            </w:r>
          </w:p>
        </w:tc>
      </w:tr>
      <w:tr>
        <w:trPr>
          <w:trHeight w:val="222"/>
        </w:trPr>
        <w:tc>
          <w:tcPr>
            <w:tcW w:w="2940" w:type="dxa"/>
            <w:vAlign w:val="bottom"/>
          </w:tcPr>
          <w:p>
            <w:pPr>
              <w:spacing w:after="0"/>
              <w:rPr>
                <w:sz w:val="19"/>
                <w:szCs w:val="19"/>
                <w:color w:val="auto"/>
              </w:rPr>
            </w:pPr>
          </w:p>
        </w:tc>
        <w:tc>
          <w:tcPr>
            <w:tcW w:w="8440" w:type="dxa"/>
            <w:vAlign w:val="bottom"/>
            <w:gridSpan w:val="2"/>
          </w:tcPr>
          <w:p>
            <w:pPr>
              <w:ind w:left="1180"/>
              <w:spacing w:after="0"/>
              <w:rPr>
                <w:sz w:val="20"/>
                <w:szCs w:val="20"/>
                <w:color w:val="auto"/>
              </w:rPr>
            </w:pPr>
            <w:r>
              <w:rPr>
                <w:rFonts w:ascii="Arial" w:cs="Arial" w:eastAsia="Arial" w:hAnsi="Arial"/>
                <w:sz w:val="18"/>
                <w:szCs w:val="18"/>
                <w:color w:val="auto"/>
                <w:w w:val="96"/>
              </w:rPr>
              <w:t>reliance upon the exemption from registration provided by Rule 144A under the Securities Act.</w:t>
            </w:r>
          </w:p>
        </w:tc>
      </w:tr>
      <w:tr>
        <w:trPr>
          <w:trHeight w:val="378"/>
        </w:trPr>
        <w:tc>
          <w:tcPr>
            <w:tcW w:w="2940" w:type="dxa"/>
            <w:vAlign w:val="bottom"/>
          </w:tcPr>
          <w:p>
            <w:pPr>
              <w:spacing w:after="0"/>
              <w:rPr>
                <w:sz w:val="20"/>
                <w:szCs w:val="20"/>
                <w:color w:val="auto"/>
              </w:rPr>
            </w:pPr>
            <w:r>
              <w:rPr>
                <w:rFonts w:ascii="Arial" w:cs="Arial" w:eastAsia="Arial" w:hAnsi="Arial"/>
                <w:sz w:val="18"/>
                <w:szCs w:val="18"/>
                <w:color w:val="auto"/>
              </w:rPr>
              <w:t>Expiration Date; Tenders</w:t>
            </w:r>
          </w:p>
        </w:tc>
        <w:tc>
          <w:tcPr>
            <w:tcW w:w="6740" w:type="dxa"/>
            <w:vAlign w:val="bottom"/>
          </w:tcPr>
          <w:p>
            <w:pPr>
              <w:ind w:left="1180"/>
              <w:spacing w:after="0"/>
              <w:rPr>
                <w:sz w:val="20"/>
                <w:szCs w:val="20"/>
                <w:color w:val="auto"/>
              </w:rPr>
            </w:pPr>
            <w:r>
              <w:rPr>
                <w:rFonts w:ascii="Arial" w:cs="Arial" w:eastAsia="Arial" w:hAnsi="Arial"/>
                <w:sz w:val="18"/>
                <w:szCs w:val="18"/>
                <w:color w:val="auto"/>
              </w:rPr>
              <w:t>The exchange offer will expire at 5:00 p.m., New York City time, on</w:t>
            </w:r>
          </w:p>
        </w:tc>
        <w:tc>
          <w:tcPr>
            <w:tcW w:w="1700" w:type="dxa"/>
            <w:vAlign w:val="bottom"/>
          </w:tcPr>
          <w:p>
            <w:pPr>
              <w:ind w:left="160"/>
              <w:spacing w:after="0"/>
              <w:rPr>
                <w:sz w:val="20"/>
                <w:szCs w:val="20"/>
                <w:color w:val="auto"/>
              </w:rPr>
            </w:pPr>
            <w:r>
              <w:rPr>
                <w:rFonts w:ascii="Arial" w:cs="Arial" w:eastAsia="Arial" w:hAnsi="Arial"/>
                <w:sz w:val="18"/>
                <w:szCs w:val="18"/>
                <w:color w:val="auto"/>
              </w:rPr>
              <w:t>, 2005, unless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00" w:type="dxa"/>
            <w:vAlign w:val="bottom"/>
          </w:tcPr>
          <w:p>
            <w:pPr>
              <w:spacing w:after="0"/>
              <w:rPr>
                <w:sz w:val="19"/>
                <w:szCs w:val="19"/>
                <w:color w:val="auto"/>
              </w:rPr>
            </w:pP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2"/>
              </w:rPr>
              <w:t>extended in our sole and absolute discretion. By tendering your old notes, you represent to us that:</w:t>
            </w:r>
          </w:p>
        </w:tc>
      </w:tr>
      <w:tr>
        <w:trPr>
          <w:trHeight w:val="291"/>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you are not our “affiliate,” as defined in Rule 405 under the Securities Act;</w:t>
            </w:r>
          </w:p>
        </w:tc>
      </w:tr>
      <w:tr>
        <w:trPr>
          <w:trHeight w:val="304"/>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0"/>
              </w:rPr>
              <w:t>any new notes you receive in the exchange offer are being acquired by you in the ordinary</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course of your business;</w:t>
            </w:r>
          </w:p>
        </w:tc>
      </w:tr>
      <w:tr>
        <w:trPr>
          <w:trHeight w:val="277"/>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8"/>
              </w:rPr>
              <w:t>at the time of the commencement of the exchange offer, neither you nor, to your knowledge,</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3"/>
              </w:rPr>
              <w:t>anyone receiving new notes from you, has any arrangement or understanding with any</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9"/>
              </w:rPr>
              <w:t>person to participate in the distribution, as defined in the Securities Act, of the new notes in</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violation of the Securities Act;</w:t>
            </w:r>
          </w:p>
        </w:tc>
      </w:tr>
      <w:tr>
        <w:trPr>
          <w:trHeight w:val="277"/>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9"/>
              </w:rPr>
              <w:t>if you are a broker-dealer, you will receive the new notes for your own account in exchange</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1"/>
              </w:rPr>
              <w:t>for old notes that were acquired by you as a result of your market making or other trading</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3"/>
              </w:rPr>
              <w:t>activities and that you will deliver a prospectus in connection with any resale of the new</w:t>
            </w:r>
          </w:p>
        </w:tc>
      </w:tr>
      <w:tr>
        <w:trPr>
          <w:trHeight w:val="216"/>
        </w:trPr>
        <w:tc>
          <w:tcPr>
            <w:tcW w:w="3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notes you receive. For further information regarding resales of the new notes by</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88"/>
              </w:rPr>
              <w:t>participating broker-dealers, see the discussion under the caption “Plan of Distribution”; and</w:t>
            </w:r>
          </w:p>
        </w:tc>
      </w:tr>
      <w:tr>
        <w:trPr>
          <w:trHeight w:val="277"/>
        </w:trPr>
        <w:tc>
          <w:tcPr>
            <w:tcW w:w="3100" w:type="dxa"/>
            <w:vAlign w:val="bottom"/>
          </w:tcPr>
          <w:p>
            <w:pPr>
              <w:spacing w:after="0"/>
              <w:rPr>
                <w:sz w:val="24"/>
                <w:szCs w:val="24"/>
                <w:color w:val="auto"/>
              </w:rPr>
            </w:pPr>
          </w:p>
        </w:tc>
        <w:tc>
          <w:tcPr>
            <w:tcW w:w="1560" w:type="dxa"/>
            <w:vAlign w:val="bottom"/>
          </w:tcPr>
          <w:p>
            <w:pPr>
              <w:ind w:left="1240"/>
              <w:spacing w:after="0"/>
              <w:rPr>
                <w:sz w:val="20"/>
                <w:szCs w:val="20"/>
                <w:color w:val="auto"/>
              </w:rPr>
            </w:pPr>
            <w:r>
              <w:rPr>
                <w:rFonts w:ascii="Arial" w:cs="Arial" w:eastAsia="Arial" w:hAnsi="Arial"/>
                <w:sz w:val="18"/>
                <w:szCs w:val="18"/>
                <w:color w:val="auto"/>
              </w:rPr>
              <w:t>•</w:t>
            </w: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w w:val="92"/>
              </w:rPr>
              <w:t>if you are not a participating broker-dealer, you are not engaged in, and do not intend to</w:t>
            </w:r>
          </w:p>
        </w:tc>
      </w:tr>
      <w:tr>
        <w:trPr>
          <w:trHeight w:val="222"/>
        </w:trPr>
        <w:tc>
          <w:tcPr>
            <w:tcW w:w="3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720" w:type="dxa"/>
            <w:vAlign w:val="bottom"/>
            <w:gridSpan w:val="2"/>
          </w:tcPr>
          <w:p>
            <w:pPr>
              <w:ind w:left="240"/>
              <w:spacing w:after="0"/>
              <w:rPr>
                <w:sz w:val="20"/>
                <w:szCs w:val="20"/>
                <w:color w:val="auto"/>
              </w:rPr>
            </w:pPr>
            <w:r>
              <w:rPr>
                <w:rFonts w:ascii="Arial" w:cs="Arial" w:eastAsia="Arial" w:hAnsi="Arial"/>
                <w:sz w:val="18"/>
                <w:szCs w:val="18"/>
                <w:color w:val="auto"/>
              </w:rPr>
              <w:t>engage in, the distribution of the new notes, as defined in the Securities Act.</w:t>
            </w:r>
          </w:p>
        </w:tc>
      </w:tr>
      <w:tr>
        <w:trPr>
          <w:trHeight w:val="358"/>
        </w:trPr>
        <w:tc>
          <w:tcPr>
            <w:tcW w:w="3100" w:type="dxa"/>
            <w:vAlign w:val="bottom"/>
          </w:tcPr>
          <w:p>
            <w:pPr>
              <w:spacing w:after="0"/>
              <w:rPr>
                <w:sz w:val="20"/>
                <w:szCs w:val="20"/>
                <w:color w:val="auto"/>
              </w:rPr>
            </w:pPr>
            <w:r>
              <w:rPr>
                <w:rFonts w:ascii="Arial" w:cs="Arial" w:eastAsia="Arial" w:hAnsi="Arial"/>
                <w:sz w:val="18"/>
                <w:szCs w:val="18"/>
                <w:color w:val="auto"/>
              </w:rPr>
              <w:t>Withdrawal; Non-Acceptance</w:t>
            </w: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1"/>
              </w:rPr>
              <w:t>You may withdraw any old notes tendered in the exchange offer at any time prior to 5:00 p.m., New</w:t>
            </w:r>
          </w:p>
        </w:tc>
      </w:tr>
      <w:tr>
        <w:trPr>
          <w:trHeight w:val="216"/>
        </w:trPr>
        <w:tc>
          <w:tcPr>
            <w:tcW w:w="3100" w:type="dxa"/>
            <w:vAlign w:val="bottom"/>
          </w:tcPr>
          <w:p>
            <w:pPr>
              <w:spacing w:after="0"/>
              <w:rPr>
                <w:sz w:val="18"/>
                <w:szCs w:val="18"/>
                <w:color w:val="auto"/>
              </w:rPr>
            </w:pPr>
          </w:p>
        </w:tc>
        <w:tc>
          <w:tcPr>
            <w:tcW w:w="2440" w:type="dxa"/>
            <w:vAlign w:val="bottom"/>
            <w:gridSpan w:val="2"/>
          </w:tcPr>
          <w:p>
            <w:pPr>
              <w:ind w:left="1020"/>
              <w:spacing w:after="0"/>
              <w:rPr>
                <w:sz w:val="20"/>
                <w:szCs w:val="20"/>
                <w:color w:val="auto"/>
              </w:rPr>
            </w:pPr>
            <w:r>
              <w:rPr>
                <w:rFonts w:ascii="Arial" w:cs="Arial" w:eastAsia="Arial" w:hAnsi="Arial"/>
                <w:sz w:val="18"/>
                <w:szCs w:val="18"/>
                <w:color w:val="auto"/>
                <w:w w:val="98"/>
              </w:rPr>
              <w:t>York City time, on</w:t>
            </w:r>
          </w:p>
        </w:tc>
        <w:tc>
          <w:tcPr>
            <w:tcW w:w="5840" w:type="dxa"/>
            <w:vAlign w:val="bottom"/>
          </w:tcPr>
          <w:p>
            <w:pPr>
              <w:jc w:val="right"/>
              <w:spacing w:after="0"/>
              <w:rPr>
                <w:sz w:val="20"/>
                <w:szCs w:val="20"/>
                <w:color w:val="auto"/>
              </w:rPr>
            </w:pPr>
            <w:r>
              <w:rPr>
                <w:rFonts w:ascii="Arial" w:cs="Arial" w:eastAsia="Arial" w:hAnsi="Arial"/>
                <w:sz w:val="18"/>
                <w:szCs w:val="18"/>
                <w:color w:val="auto"/>
              </w:rPr>
              <w:t>, 2005. If we decide for any reason not to accept any old notes tendered</w:t>
            </w:r>
          </w:p>
        </w:tc>
      </w:tr>
      <w:tr>
        <w:trPr>
          <w:trHeight w:val="216"/>
        </w:trPr>
        <w:tc>
          <w:tcPr>
            <w:tcW w:w="3100" w:type="dxa"/>
            <w:vAlign w:val="bottom"/>
          </w:tcPr>
          <w:p>
            <w:pPr>
              <w:spacing w:after="0"/>
              <w:rPr>
                <w:sz w:val="18"/>
                <w:szCs w:val="18"/>
                <w:color w:val="auto"/>
              </w:rPr>
            </w:pP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0"/>
              </w:rPr>
              <w:t>for exchange, the old notes will be returned to the registered holder at our expense promptly after the</w:t>
            </w:r>
          </w:p>
        </w:tc>
      </w:tr>
      <w:tr>
        <w:trPr>
          <w:trHeight w:val="216"/>
        </w:trPr>
        <w:tc>
          <w:tcPr>
            <w:tcW w:w="3100" w:type="dxa"/>
            <w:vAlign w:val="bottom"/>
          </w:tcPr>
          <w:p>
            <w:pPr>
              <w:spacing w:after="0"/>
              <w:rPr>
                <w:sz w:val="18"/>
                <w:szCs w:val="18"/>
                <w:color w:val="auto"/>
              </w:rPr>
            </w:pP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w w:val="92"/>
              </w:rPr>
              <w:t>expiration or termination of the exchange offer. In the case of the old notes tendered by book-entry</w:t>
            </w:r>
          </w:p>
        </w:tc>
      </w:tr>
      <w:tr>
        <w:trPr>
          <w:trHeight w:val="222"/>
        </w:trPr>
        <w:tc>
          <w:tcPr>
            <w:tcW w:w="3100" w:type="dxa"/>
            <w:vAlign w:val="bottom"/>
          </w:tcPr>
          <w:p>
            <w:pPr>
              <w:spacing w:after="0"/>
              <w:rPr>
                <w:sz w:val="19"/>
                <w:szCs w:val="19"/>
                <w:color w:val="auto"/>
              </w:rPr>
            </w:pPr>
          </w:p>
        </w:tc>
        <w:tc>
          <w:tcPr>
            <w:tcW w:w="8280" w:type="dxa"/>
            <w:vAlign w:val="bottom"/>
            <w:gridSpan w:val="3"/>
          </w:tcPr>
          <w:p>
            <w:pPr>
              <w:ind w:left="1020"/>
              <w:spacing w:after="0"/>
              <w:rPr>
                <w:sz w:val="20"/>
                <w:szCs w:val="20"/>
                <w:color w:val="auto"/>
              </w:rPr>
            </w:pPr>
            <w:r>
              <w:rPr>
                <w:rFonts w:ascii="Arial" w:cs="Arial" w:eastAsia="Arial" w:hAnsi="Arial"/>
                <w:sz w:val="18"/>
                <w:szCs w:val="18"/>
                <w:color w:val="auto"/>
              </w:rPr>
              <w:t>transfer into the exchange agent’s account at The Depository Trust</w:t>
            </w:r>
          </w:p>
        </w:tc>
      </w:tr>
      <w:tr>
        <w:trPr>
          <w:trHeight w:val="378"/>
        </w:trPr>
        <w:tc>
          <w:tcPr>
            <w:tcW w:w="3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40" w:type="dxa"/>
            <w:vAlign w:val="bottom"/>
          </w:tcPr>
          <w:p>
            <w:pPr>
              <w:jc w:val="right"/>
              <w:ind w:right="553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40"/>
        <w:spacing w:after="0" w:line="256" w:lineRule="auto"/>
        <w:rPr>
          <w:sz w:val="20"/>
          <w:szCs w:val="20"/>
          <w:color w:val="auto"/>
        </w:rPr>
      </w:pPr>
      <w:r>
        <w:rPr>
          <w:rFonts w:ascii="Arial" w:cs="Arial" w:eastAsia="Arial" w:hAnsi="Arial"/>
          <w:sz w:val="18"/>
          <w:szCs w:val="18"/>
          <w:color w:val="auto"/>
        </w:rPr>
        <w:t>Company (“DTC”), any withdrawn or unaccepted old notes will be credited to the tendering holders’ account at DTC. For further information regarding the withdrawal of the tendered old notes, see “The Exchange Offer—Terms of the Exchange Offer; Period for Tendering Old Notes” and “The Exchange Offer—Withdrawal Rights.”</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required to accept for exchange or to issue new notes in exchange for any old notes, and we may terminate or amend the exchange offer, if any of the following events occur prior to our acceptance of the old notes:</w:t>
      </w:r>
    </w:p>
    <w:p>
      <w:pPr>
        <w:spacing w:after="0" w:line="59"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the exchange offer violates any applicable law or applicable interpretation of the staff of the Securities and Exchange Commission (the “SEC”);</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an action or proceeding shall have been instituted or threatened in any court or by any governmental agency that might materially impair our or our guarantors’ ability to proceed with the exchange offer;</w:t>
      </w:r>
    </w:p>
    <w:p>
      <w:pPr>
        <w:spacing w:after="0" w:line="46"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800"/>
        <w:spacing w:after="0" w:line="268" w:lineRule="auto"/>
        <w:rPr>
          <w:sz w:val="20"/>
          <w:szCs w:val="20"/>
          <w:color w:val="auto"/>
        </w:rPr>
      </w:pPr>
      <w:r>
        <w:rPr>
          <w:rFonts w:ascii="Arial" w:cs="Arial" w:eastAsia="Arial" w:hAnsi="Arial"/>
          <w:sz w:val="18"/>
          <w:szCs w:val="18"/>
          <w:color w:val="auto"/>
        </w:rPr>
        <w:t>we do not receive all the governmental approvals that we believe are necessary to consummate the exchange offer; or</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370" w:lineRule="auto"/>
        <w:rPr>
          <w:sz w:val="20"/>
          <w:szCs w:val="20"/>
          <w:color w:val="auto"/>
        </w:rPr>
      </w:pPr>
      <w:r>
        <w:rPr>
          <w:rFonts w:ascii="Arial" w:cs="Arial" w:eastAsia="Arial" w:hAnsi="Arial"/>
          <w:sz w:val="15"/>
          <w:szCs w:val="15"/>
          <w:color w:val="auto"/>
        </w:rPr>
        <w:t>there has been proposed, adopted, or enacted any law, statute, rule or regulation that, in our reasonable judgment, would materially impair our ability to consummate the exchange offer.</w:t>
      </w:r>
    </w:p>
    <w:p>
      <w:pPr>
        <w:spacing w:after="0" w:line="49"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Procedures for Tendering Old Notes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Unless you comply with the procedure described below under the caption “The Exchange Offer— Guaranteed Delivery Procedures,” you must do one of the following on or prior to the expiration or termination of the exchange offer to participate in the exchange offer:</w:t>
      </w:r>
    </w:p>
    <w:p>
      <w:pPr>
        <w:spacing w:after="0" w:line="26"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tender your old notes by sending (i) the certificates for your old notes (in proper form for transfer), (ii) a properly completed and duly executed letter of transmittal and (iii) all other documents required by the letter of transmittal to U.S. Bank National Association, as exchange agent, at one of the addresses listed below under the caption “The Exchange Offer —Exchange Agent”; or</w:t>
      </w:r>
    </w:p>
    <w:p>
      <w:pPr>
        <w:spacing w:after="0" w:line="4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303" w:lineRule="auto"/>
        <w:rPr>
          <w:sz w:val="20"/>
          <w:szCs w:val="20"/>
          <w:color w:val="auto"/>
        </w:rPr>
      </w:pPr>
      <w:r>
        <w:rPr>
          <w:rFonts w:ascii="Arial" w:cs="Arial" w:eastAsia="Arial" w:hAnsi="Arial"/>
          <w:sz w:val="15"/>
          <w:szCs w:val="15"/>
          <w:color w:val="auto"/>
        </w:rPr>
        <w:t>tender your old notes by using the book-entry transfer procedures described below and transmitting a properly completed and duly executed letter of transmittal, or an agent’s message instead of the letter of transmittal, to the exchange agent. In order for a book-entry</w:t>
      </w:r>
    </w:p>
    <w:p>
      <w:pPr>
        <w:spacing w:after="0" w:line="1"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900" w:right="500"/>
        <w:spacing w:after="0" w:line="361" w:lineRule="auto"/>
        <w:rPr>
          <w:sz w:val="20"/>
          <w:szCs w:val="20"/>
          <w:color w:val="auto"/>
        </w:rPr>
      </w:pPr>
      <w:r>
        <w:rPr>
          <w:rFonts w:ascii="Arial" w:cs="Arial" w:eastAsia="Arial" w:hAnsi="Arial"/>
          <w:sz w:val="15"/>
          <w:szCs w:val="15"/>
          <w:color w:val="auto"/>
        </w:rPr>
        <w:t>transfer to constitute a valid tender of your old notes in the exchange offer, U.S. Bank National Association, as exchange agent, must receive a confirmation of book-entry</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780"/>
        <w:spacing w:after="0" w:line="288" w:lineRule="auto"/>
        <w:rPr>
          <w:sz w:val="20"/>
          <w:szCs w:val="20"/>
          <w:color w:val="auto"/>
        </w:rPr>
      </w:pPr>
      <w:r>
        <w:rPr>
          <w:rFonts w:ascii="Arial" w:cs="Arial" w:eastAsia="Arial" w:hAnsi="Arial"/>
          <w:sz w:val="16"/>
          <w:szCs w:val="16"/>
          <w:color w:val="auto"/>
        </w:rPr>
        <w:t>transfer of your old notes into the exchange agent’s account at DTC prior to the expiration or termination of the exchange offer. For more information regarding the use of book-entry transfer procedures, including a description of the required agent’s message, see the discussion below under the caption “The Exchange Offer—Book-Entry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420"/>
          </w:cols>
          <w:pgMar w:left="240" w:top="459" w:right="2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If you are a registered holder of old notes and wish to tender your old notes in the exchange offer, but</w:t>
      </w:r>
    </w:p>
    <w:p>
      <w:pPr>
        <w:spacing w:after="0" w:line="12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old notes are not immediately available;</w:t>
      </w:r>
    </w:p>
    <w:p>
      <w:pPr>
        <w:spacing w:after="0" w:line="13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time will not permit your old notes or other required documents to reach the exchange agent before the expiration or termination of the exchange offer; or</w:t>
      </w:r>
    </w:p>
    <w:p>
      <w:pPr>
        <w:spacing w:after="0" w:line="37"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60"/>
        <w:spacing w:after="0" w:line="268" w:lineRule="auto"/>
        <w:rPr>
          <w:sz w:val="20"/>
          <w:szCs w:val="20"/>
          <w:color w:val="auto"/>
        </w:rPr>
      </w:pPr>
      <w:r>
        <w:rPr>
          <w:rFonts w:ascii="Arial" w:cs="Arial" w:eastAsia="Arial" w:hAnsi="Arial"/>
          <w:sz w:val="18"/>
          <w:szCs w:val="18"/>
          <w:color w:val="auto"/>
        </w:rPr>
        <w:t>the procedure for book-entry transfer cannot be completed prior to the expiration or termination of the exchange offer;</w:t>
      </w:r>
    </w:p>
    <w:p>
      <w:pPr>
        <w:spacing w:after="0" w:line="118" w:lineRule="exact"/>
        <w:rPr>
          <w:sz w:val="20"/>
          <w:szCs w:val="20"/>
          <w:color w:val="auto"/>
        </w:rPr>
      </w:pPr>
    </w:p>
    <w:p>
      <w:pPr>
        <w:sectPr>
          <w:pgSz w:w="11900" w:h="16838" w:orient="portrait"/>
          <w:cols w:equalWidth="0" w:num="2">
            <w:col w:w="4400" w:space="500"/>
            <w:col w:w="6520"/>
          </w:cols>
          <w:pgMar w:left="240" w:top="459" w:right="239" w:bottom="1440" w:gutter="0" w:footer="0" w:header="0"/>
          <w:type w:val="continuous"/>
        </w:sectPr>
      </w:pPr>
    </w:p>
    <w:p>
      <w:pPr>
        <w:ind w:left="4120" w:right="32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420"/>
          </w:cols>
          <w:pgMar w:left="240" w:top="459" w:right="2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05"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Material United States Federal Income Tax</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Considerations</w:t>
      </w:r>
    </w:p>
    <w:p>
      <w:pPr>
        <w:spacing w:after="0" w:line="20" w:lineRule="exact"/>
        <w:rPr>
          <w:sz w:val="20"/>
          <w:szCs w:val="20"/>
          <w:color w:val="auto"/>
        </w:rPr>
      </w:pPr>
      <w:r>
        <w:rPr>
          <w:sz w:val="20"/>
          <w:szCs w:val="20"/>
          <w:color w:val="auto"/>
        </w:rPr>
        <w:br w:type="column"/>
      </w:r>
    </w:p>
    <w:p>
      <w:pPr>
        <w:spacing w:after="0" w:line="298" w:lineRule="auto"/>
        <w:rPr>
          <w:sz w:val="20"/>
          <w:szCs w:val="20"/>
          <w:color w:val="auto"/>
        </w:rPr>
      </w:pPr>
      <w:r>
        <w:rPr>
          <w:rFonts w:ascii="Arial" w:cs="Arial" w:eastAsia="Arial" w:hAnsi="Arial"/>
          <w:sz w:val="16"/>
          <w:szCs w:val="16"/>
          <w:color w:val="auto"/>
        </w:rPr>
        <w:t>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13"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jc w:val="center"/>
        <w:ind w:right="2760"/>
        <w:spacing w:after="0"/>
        <w:rPr>
          <w:sz w:val="20"/>
          <w:szCs w:val="20"/>
          <w:color w:val="auto"/>
        </w:rPr>
      </w:pPr>
      <w:r>
        <w:rPr>
          <w:rFonts w:ascii="Arial" w:cs="Arial" w:eastAsia="Arial" w:hAnsi="Arial"/>
          <w:sz w:val="15"/>
          <w:szCs w:val="15"/>
          <w:color w:val="auto"/>
        </w:rPr>
        <w:t>We will not receive any cash proceeds from the exchange offer.</w:t>
      </w:r>
    </w:p>
    <w:p>
      <w:pPr>
        <w:spacing w:after="0" w:line="20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U.S. Bank National Association is the exchange agent for the exchange offer. You can find the address and telephone number of the exchange agent below under the caption, “The Exchange Offer— Exchange Agent.”</w:t>
      </w:r>
    </w:p>
    <w:p>
      <w:pPr>
        <w:spacing w:after="0" w:line="140"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spacing w:after="0"/>
        <w:rPr>
          <w:sz w:val="20"/>
          <w:szCs w:val="20"/>
          <w:color w:val="auto"/>
        </w:rPr>
      </w:pPr>
      <w:r>
        <w:rPr>
          <w:rFonts w:ascii="Arial" w:cs="Arial" w:eastAsia="Arial" w:hAnsi="Arial"/>
          <w:sz w:val="14"/>
          <w:szCs w:val="14"/>
          <w:color w:val="auto"/>
        </w:rPr>
        <w:t>Resales</w:t>
      </w:r>
    </w:p>
    <w:p>
      <w:pPr>
        <w:spacing w:after="0" w:line="20" w:lineRule="exact"/>
        <w:rPr>
          <w:sz w:val="20"/>
          <w:szCs w:val="20"/>
          <w:color w:val="auto"/>
        </w:rPr>
      </w:pPr>
      <w:r>
        <w:rPr>
          <w:sz w:val="20"/>
          <w:szCs w:val="20"/>
          <w:color w:val="auto"/>
        </w:rPr>
        <w:br w:type="column"/>
      </w:r>
    </w:p>
    <w:p>
      <w:pPr>
        <w:ind w:right="40"/>
        <w:spacing w:after="0" w:line="256" w:lineRule="auto"/>
        <w:rPr>
          <w:sz w:val="20"/>
          <w:szCs w:val="20"/>
          <w:color w:val="auto"/>
        </w:rPr>
      </w:pPr>
      <w:r>
        <w:rPr>
          <w:rFonts w:ascii="Arial" w:cs="Arial" w:eastAsia="Arial" w:hAnsi="Arial"/>
          <w:sz w:val="18"/>
          <w:szCs w:val="18"/>
          <w:color w:val="auto"/>
        </w:rPr>
        <w:t>Based on interpretations by the staff of the SEC, as set forth in no-action letters issued to third parties, we believe that the new notes issued in the exchange offer may be offered for resale, resold or otherwise transferred by you without compliance with the registration and prospectus delivery requirements of the Securities Act as long as:</w:t>
      </w:r>
    </w:p>
    <w:p>
      <w:pPr>
        <w:spacing w:after="0" w:line="62" w:lineRule="exact"/>
        <w:rPr>
          <w:sz w:val="20"/>
          <w:szCs w:val="20"/>
          <w:color w:val="auto"/>
        </w:rPr>
      </w:pPr>
    </w:p>
    <w:p>
      <w:pPr>
        <w:sectPr>
          <w:pgSz w:w="11900" w:h="16838" w:orient="portrait"/>
          <w:cols w:equalWidth="0" w:num="2">
            <w:col w:w="3400" w:space="720"/>
            <w:col w:w="720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you are acquiring the new notes in the ordinary course of your business;</w:t>
      </w:r>
    </w:p>
    <w:p>
      <w:pPr>
        <w:spacing w:after="0" w:line="138"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0"/>
        <w:spacing w:after="0" w:line="347" w:lineRule="auto"/>
        <w:rPr>
          <w:sz w:val="20"/>
          <w:szCs w:val="20"/>
          <w:color w:val="auto"/>
        </w:rPr>
      </w:pPr>
      <w:r>
        <w:rPr>
          <w:rFonts w:ascii="Arial" w:cs="Arial" w:eastAsia="Arial" w:hAnsi="Arial"/>
          <w:sz w:val="15"/>
          <w:szCs w:val="15"/>
          <w:color w:val="auto"/>
        </w:rPr>
        <w:t>you are not participating, do not intend to participate and have no arrangement or understanding with any person to participate in a distribution of the new notes; and</w:t>
      </w:r>
    </w:p>
    <w:p>
      <w:pPr>
        <w:spacing w:after="0" w:line="1"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are not an affiliate of ours.</w:t>
      </w:r>
    </w:p>
    <w:p>
      <w:pPr>
        <w:spacing w:after="0" w:line="200" w:lineRule="exact"/>
        <w:rPr>
          <w:sz w:val="20"/>
          <w:szCs w:val="20"/>
          <w:color w:val="auto"/>
        </w:rPr>
      </w:pPr>
    </w:p>
    <w:p>
      <w:pPr>
        <w:sectPr>
          <w:pgSz w:w="11900" w:h="16838" w:orient="portrait"/>
          <w:cols w:equalWidth="0" w:num="2">
            <w:col w:w="4400" w:space="500"/>
            <w:col w:w="6420"/>
          </w:cols>
          <w:pgMar w:left="240" w:top="459" w:right="339" w:bottom="1440" w:gutter="0" w:footer="0" w:header="0"/>
          <w:type w:val="continuous"/>
        </w:sectPr>
      </w:pPr>
    </w:p>
    <w:p>
      <w:pPr>
        <w:spacing w:after="0" w:line="8" w:lineRule="exact"/>
        <w:rPr>
          <w:sz w:val="20"/>
          <w:szCs w:val="20"/>
          <w:color w:val="auto"/>
        </w:rPr>
      </w:pPr>
    </w:p>
    <w:p>
      <w:pPr>
        <w:ind w:left="4120" w:right="54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the new notes:</w:t>
      </w:r>
    </w:p>
    <w:p>
      <w:pPr>
        <w:spacing w:after="0" w:line="4" w:lineRule="exact"/>
        <w:rPr>
          <w:sz w:val="20"/>
          <w:szCs w:val="20"/>
          <w:color w:val="auto"/>
        </w:rPr>
      </w:pPr>
    </w:p>
    <w:p>
      <w:pPr>
        <w:ind w:left="4780" w:hanging="437"/>
        <w:spacing w:after="0"/>
        <w:tabs>
          <w:tab w:leader="none" w:pos="4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 and</w:t>
      </w:r>
    </w:p>
    <w:p>
      <w:pPr>
        <w:spacing w:after="0" w:line="76" w:lineRule="exact"/>
        <w:rPr>
          <w:rFonts w:ascii="Arial" w:cs="Arial" w:eastAsia="Arial" w:hAnsi="Arial"/>
          <w:sz w:val="18"/>
          <w:szCs w:val="18"/>
          <w:color w:val="auto"/>
        </w:rPr>
      </w:pPr>
    </w:p>
    <w:p>
      <w:pPr>
        <w:ind w:left="4780" w:right="60" w:hanging="437"/>
        <w:spacing w:after="0" w:line="268" w:lineRule="auto"/>
        <w:tabs>
          <w:tab w:leader="none" w:pos="4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18" w:lineRule="exact"/>
        <w:rPr>
          <w:sz w:val="20"/>
          <w:szCs w:val="20"/>
          <w:color w:val="auto"/>
        </w:rPr>
      </w:pPr>
    </w:p>
    <w:p>
      <w:pPr>
        <w:ind w:left="4120"/>
        <w:spacing w:after="0" w:line="254" w:lineRule="auto"/>
        <w:rPr>
          <w:sz w:val="20"/>
          <w:szCs w:val="20"/>
          <w:color w:val="auto"/>
        </w:rPr>
      </w:pPr>
      <w:r>
        <w:rPr>
          <w:rFonts w:ascii="Arial" w:cs="Arial" w:eastAsia="Arial" w:hAnsi="Arial"/>
          <w:sz w:val="18"/>
          <w:szCs w:val="18"/>
          <w:color w:val="auto"/>
        </w:rPr>
        <w:t>Each broker or dealer that receives new notes for its own account in exchange for old notes that were acquired as a result of market- 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4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4900" w:right="20" w:hanging="557"/>
        <w:spacing w:after="0" w:line="256" w:lineRule="auto"/>
        <w:tabs>
          <w:tab w:leader="none" w:pos="4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Co. Inc., SEC no-action letter (June 5, 1991) and Shearman Sterling, SEC no-action letter (July 2, 1993); and</w:t>
      </w:r>
    </w:p>
    <w:p>
      <w:pPr>
        <w:spacing w:after="0" w:line="48" w:lineRule="exact"/>
        <w:rPr>
          <w:rFonts w:ascii="Arial" w:cs="Arial" w:eastAsia="Arial" w:hAnsi="Arial"/>
          <w:sz w:val="18"/>
          <w:szCs w:val="18"/>
          <w:color w:val="auto"/>
        </w:rPr>
      </w:pPr>
    </w:p>
    <w:p>
      <w:pPr>
        <w:ind w:left="4900" w:right="240" w:hanging="557"/>
        <w:spacing w:after="0" w:line="370" w:lineRule="auto"/>
        <w:tabs>
          <w:tab w:leader="none" w:pos="4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We have agreed that for a period of up to 180 days after the consummation of this exchange offer, we will make this prospectus available to any broker-dealer for use in connection with any such resale. See “Plan of Distribution” beginning on page 187 for more information.</w:t>
      </w:r>
    </w:p>
    <w:p>
      <w:pPr>
        <w:spacing w:after="0" w:line="12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jc w:val="both"/>
        <w:ind w:right="140"/>
        <w:spacing w:after="0" w:line="259" w:lineRule="auto"/>
        <w:rPr>
          <w:sz w:val="20"/>
          <w:szCs w:val="20"/>
          <w:color w:val="auto"/>
        </w:rPr>
      </w:pPr>
      <w:r>
        <w:rPr>
          <w:rFonts w:ascii="Arial" w:cs="Arial" w:eastAsia="Arial" w:hAnsi="Arial"/>
          <w:sz w:val="18"/>
          <w:szCs w:val="18"/>
          <w:color w:val="auto"/>
        </w:rPr>
        <w:t>When we issued the old notes in December 2004,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cause the exchange offer registration statement to be filed with the Securities and Exchange Commission on or prior to April 13, 2005;</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80"/>
        <w:spacing w:after="0" w:line="268" w:lineRule="auto"/>
        <w:rPr>
          <w:sz w:val="20"/>
          <w:szCs w:val="20"/>
          <w:color w:val="auto"/>
        </w:rPr>
      </w:pPr>
      <w:r>
        <w:rPr>
          <w:rFonts w:ascii="Arial" w:cs="Arial" w:eastAsia="Arial" w:hAnsi="Arial"/>
          <w:sz w:val="18"/>
          <w:szCs w:val="18"/>
          <w:color w:val="auto"/>
        </w:rPr>
        <w:t>use all commercially reasonable efforts to have the exchange offer registration statement declared effective no later than August 11, 2005;</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use all commercially reasonable efforts to consummate the exchange offer within 30 business days after the date on which the exchange offer registration statement is declared effective;</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4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303" w:lineRule="auto"/>
        <w:rPr>
          <w:sz w:val="20"/>
          <w:szCs w:val="20"/>
          <w:color w:val="auto"/>
        </w:rPr>
      </w:pPr>
      <w:r>
        <w:rPr>
          <w:rFonts w:ascii="Arial" w:cs="Arial" w:eastAsia="Arial" w:hAnsi="Arial"/>
          <w:sz w:val="15"/>
          <w:szCs w:val="15"/>
          <w:color w:val="auto"/>
        </w:rPr>
        <w:t>if we fail to meet our registration obligations, we will pay liquidated damages in an amount equal to $0.05 per week per $1,000 of the principal amount of old notes held by a holder for each day that we default on our registration obligations, increasing by an additional $0.05</w:t>
      </w:r>
    </w:p>
    <w:p>
      <w:pPr>
        <w:spacing w:after="0" w:line="1"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900" w:right="40"/>
        <w:spacing w:after="0" w:line="302" w:lineRule="auto"/>
        <w:rPr>
          <w:sz w:val="20"/>
          <w:szCs w:val="20"/>
          <w:color w:val="auto"/>
        </w:rPr>
      </w:pPr>
      <w:r>
        <w:rPr>
          <w:rFonts w:ascii="Arial" w:cs="Arial" w:eastAsia="Arial" w:hAnsi="Arial"/>
          <w:sz w:val="16"/>
          <w:szCs w:val="16"/>
          <w:color w:val="auto"/>
        </w:rPr>
        <w:t>per week per $1,000 of the principal amount of old notes for each subsequent 90-day period our registration obligations are not met, up to a maximum of liquidated damages equal to $0.50 per week per $1,000 of the principal amount of old notes.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6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3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these holders. For more information regarding the consequences of not tendering your old notes and our obligations to file a shelf registration statement, see “The Exchange Offer—Consequences of Exchanging or Failing to Exchange Old Notes” and “Description of the New Notes—Registration Rights.”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6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terms of the new notes and those of the outstanding old notes are substantially identical, except that the transfer restrictions and registration rights relating to the old notes do not apply to the new notes. For a more complete understanding of the new notes, see “Description of New Notes” in this prospectus.</w:t>
      </w:r>
    </w:p>
    <w:p>
      <w:pPr>
        <w:sectPr>
          <w:pgSz w:w="11900" w:h="16838" w:orient="portrait"/>
          <w:cols w:equalWidth="0" w:num="1">
            <w:col w:w="11400"/>
          </w:cols>
          <w:pgMar w:left="240" w:top="459" w:right="259" w:bottom="1440" w:gutter="0" w:footer="0" w:header="0"/>
        </w:sectPr>
      </w:pP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Issuers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Wynn Las Vegas, LLC and Wynn Las Vegas Capital Corp.</w:t>
      </w:r>
    </w:p>
    <w:p>
      <w:pPr>
        <w:spacing w:after="0" w:line="20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w:t>
      </w:r>
    </w:p>
    <w:p>
      <w:pPr>
        <w:spacing w:after="0" w:line="19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 2014.</w:t>
      </w:r>
    </w:p>
    <w:p>
      <w:pPr>
        <w:spacing w:after="0" w:line="20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June 1 and December 1 of each year, commencing June 1, 2005. Interest will accrue from the issue date of the new notes.</w:t>
      </w:r>
    </w:p>
    <w:p>
      <w:pPr>
        <w:spacing w:after="0" w:line="132"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Subsidiary Guarantees</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The notes will be unconditionally guaranteed by all of our subsidiaries (except Wynn Completion Guarantor, LLC) on an equal and ratable basis with the guarantees by such guarantors of our existing credit facilities. The guarantees may be released if the lenders under our existing credit facilities release the corresponding guarantees provided by such guarantors in respect of the existing facilities and certain other conditions set forth in the indenture are satisfied.</w:t>
      </w:r>
    </w:p>
    <w:p>
      <w:pPr>
        <w:spacing w:after="0" w:line="116"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new notes will be senior obligations of the issuers and will rank pari passu in right of payment with all other senior indebtedness of the issuers, including our obligations under our credit facilities.</w:t>
      </w:r>
    </w:p>
    <w:p>
      <w:pPr>
        <w:spacing w:after="0" w:line="85"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Security</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To the extent permitted by gaming and other applicable laws and subject to certain permitted liens, the new notes will be secured on an equal and ratable basis (with certain exceptions) with our obligations under our credit facilities by:</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91" w:lineRule="auto"/>
        <w:rPr>
          <w:sz w:val="20"/>
          <w:szCs w:val="20"/>
          <w:color w:val="auto"/>
        </w:rPr>
      </w:pPr>
      <w:r>
        <w:rPr>
          <w:rFonts w:ascii="Arial" w:cs="Arial" w:eastAsia="Arial" w:hAnsi="Arial"/>
          <w:sz w:val="16"/>
          <w:szCs w:val="16"/>
          <w:color w:val="auto"/>
        </w:rPr>
        <w:t>a perfected first priority lien on substantially all of our existing and future assets, including the land on which Wynn Las Vegas has been constructed and the land on which Encore will be constructed, all improvements constructed as part of the Wynn Las Vegas resort and Encore, all other real property held by us, certain personal property, including items of furniture, fixtures and equipment located within Wynn Las Vegas and Encore, water rights for the resort’s water feature, and all material agreements and contractual rights;</w:t>
      </w:r>
    </w:p>
    <w:p>
      <w:pPr>
        <w:spacing w:after="0" w:line="26"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a perfected first priority pledge of the equity interests in Wynn Las Vegas, LLC, Wynn Capital, Wynn Completion Guarantor, LLC and the guarantors;</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 perfected first priority lien on all amounts on deposit from time to time in the completion guarantee deposit account ($50.0 million as of March 31, 2005); and</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a perfected first priority lien on all amounts on deposit from time to time in our liquidity reserve account ($30.0 million as of March 31, 2005).</w:t>
      </w:r>
    </w:p>
    <w:p>
      <w:pPr>
        <w:spacing w:after="0" w:line="11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jc w:val="both"/>
        <w:ind w:left="4120" w:right="80"/>
        <w:spacing w:after="0" w:line="306" w:lineRule="auto"/>
        <w:rPr>
          <w:sz w:val="20"/>
          <w:szCs w:val="20"/>
          <w:color w:val="auto"/>
        </w:rPr>
      </w:pPr>
      <w:r>
        <w:rPr>
          <w:rFonts w:ascii="Arial" w:cs="Arial" w:eastAsia="Arial" w:hAnsi="Arial"/>
          <w:sz w:val="16"/>
          <w:szCs w:val="16"/>
          <w:color w:val="auto"/>
        </w:rPr>
        <w:t>In addition, the holders of the new notes will have a sole perfected first priority lien on any remaining net proceeds of the offering of the old notes deposited into the notes proceeds account, pending release to fund disbursement requests under a disbursement agreement.</w:t>
      </w:r>
    </w:p>
    <w:p>
      <w:pPr>
        <w:spacing w:after="0" w:line="107" w:lineRule="exact"/>
        <w:rPr>
          <w:sz w:val="20"/>
          <w:szCs w:val="20"/>
          <w:color w:val="auto"/>
        </w:rPr>
      </w:pPr>
    </w:p>
    <w:p>
      <w:pPr>
        <w:ind w:left="4120" w:right="20"/>
        <w:spacing w:after="0" w:line="255" w:lineRule="auto"/>
        <w:rPr>
          <w:sz w:val="20"/>
          <w:szCs w:val="20"/>
          <w:color w:val="auto"/>
        </w:rPr>
      </w:pPr>
      <w:r>
        <w:rPr>
          <w:rFonts w:ascii="Arial" w:cs="Arial" w:eastAsia="Arial" w:hAnsi="Arial"/>
          <w:sz w:val="18"/>
          <w:szCs w:val="18"/>
          <w:color w:val="auto"/>
        </w:rPr>
        <w:t>To the extent permitted by gaming and other applicable laws and subject to certain permitted liens, the subsidiary guarantors’ obligations under the guarantees on the new notes will be secured by a perfected first priority lien on substantially all of the existing and future assets of the subsidiary guarantors, including the Wynn Las Vegas golf course, water rights for the golf course, and all agreements and contractual rights.</w:t>
      </w:r>
    </w:p>
    <w:p>
      <w:pPr>
        <w:spacing w:after="0" w:line="143" w:lineRule="exact"/>
        <w:rPr>
          <w:sz w:val="20"/>
          <w:szCs w:val="20"/>
          <w:color w:val="auto"/>
        </w:rPr>
      </w:pPr>
    </w:p>
    <w:p>
      <w:pPr>
        <w:ind w:left="4120" w:right="40"/>
        <w:spacing w:after="0" w:line="291" w:lineRule="auto"/>
        <w:rPr>
          <w:sz w:val="20"/>
          <w:szCs w:val="20"/>
          <w:color w:val="auto"/>
        </w:rPr>
      </w:pPr>
      <w:r>
        <w:rPr>
          <w:rFonts w:ascii="Arial" w:cs="Arial" w:eastAsia="Arial" w:hAnsi="Arial"/>
          <w:sz w:val="16"/>
          <w:szCs w:val="16"/>
          <w:color w:val="auto"/>
        </w:rPr>
        <w:t>The new notes will not be secured by World Travel, LLC’s aircraft; provided, however, the aircraft will secure the new notes in the event that we do not obtain secured financing from another source in an amount not to exceed up to 100% of the fair market value of the aircraft, by June 12, 2005. The new notes will also not be secured by any proceeds on deposit in the bank proceeds account, which will be drawn and used to pay certain costs in connection with completion of construction of Wynn Las Vegas and the development and construction of Encore.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security interests in all of the collateral securing our obligations under the notes and the obligations of the subsidiary guarantors under the subsidiary guarantees, including the golf course land, may be released if:</w:t>
      </w:r>
    </w:p>
    <w:p>
      <w:pPr>
        <w:spacing w:after="0" w:line="59"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completion date for Encore has occurred;</w:t>
      </w:r>
    </w:p>
    <w:p>
      <w:pPr>
        <w:spacing w:after="0" w:line="13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37"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38"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240"/>
        <w:spacing w:after="0" w:line="370" w:lineRule="auto"/>
        <w:rPr>
          <w:sz w:val="20"/>
          <w:szCs w:val="20"/>
          <w:color w:val="auto"/>
        </w:rPr>
      </w:pPr>
      <w:r>
        <w:rPr>
          <w:rFonts w:ascii="Arial" w:cs="Arial" w:eastAsia="Arial" w:hAnsi="Arial"/>
          <w:sz w:val="15"/>
          <w:szCs w:val="15"/>
          <w:color w:val="auto"/>
        </w:rPr>
        <w:t>the lenders under any other outstanding secured debt (other than capital lease obligations and purchase money indebtedness) have released their security interest in such collateral.</w:t>
      </w:r>
    </w:p>
    <w:p>
      <w:pPr>
        <w:spacing w:after="0" w:line="49" w:lineRule="exact"/>
        <w:rPr>
          <w:sz w:val="20"/>
          <w:szCs w:val="20"/>
          <w:color w:val="auto"/>
        </w:rPr>
      </w:pPr>
    </w:p>
    <w:p>
      <w:pPr>
        <w:sectPr>
          <w:pgSz w:w="11900" w:h="16838" w:orient="portrait"/>
          <w:cols w:equalWidth="0" w:num="2">
            <w:col w:w="4400" w:space="500"/>
            <w:col w:w="6500"/>
          </w:cols>
          <w:pgMar w:left="240" w:top="459" w:right="259" w:bottom="1440" w:gutter="0" w:footer="0" w:header="0"/>
          <w:type w:val="continuous"/>
        </w:sectPr>
      </w:pPr>
    </w:p>
    <w:p>
      <w:pPr>
        <w:ind w:left="4120"/>
        <w:spacing w:after="0"/>
        <w:rPr>
          <w:sz w:val="20"/>
          <w:szCs w:val="20"/>
          <w:color w:val="auto"/>
        </w:rPr>
      </w:pPr>
      <w:r>
        <w:rPr>
          <w:rFonts w:ascii="Arial" w:cs="Arial" w:eastAsia="Arial" w:hAnsi="Arial"/>
          <w:sz w:val="18"/>
          <w:szCs w:val="18"/>
          <w:color w:val="auto"/>
        </w:rPr>
        <w:t>The security interests in the golf course land may also be released if:</w:t>
      </w:r>
    </w:p>
    <w:p>
      <w:pPr>
        <w:spacing w:after="0" w:line="90" w:lineRule="exact"/>
        <w:rPr>
          <w:sz w:val="20"/>
          <w:szCs w:val="20"/>
          <w:color w:val="auto"/>
        </w:rPr>
      </w:pPr>
    </w:p>
    <w:p>
      <w:pPr>
        <w:ind w:left="4900" w:hanging="557"/>
        <w:spacing w:after="0"/>
        <w:tabs>
          <w:tab w:leader="none" w:pos="4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03" w:lineRule="exact"/>
        <w:rPr>
          <w:rFonts w:ascii="Arial" w:cs="Arial" w:eastAsia="Arial" w:hAnsi="Arial"/>
          <w:sz w:val="18"/>
          <w:szCs w:val="18"/>
          <w:color w:val="auto"/>
        </w:rPr>
      </w:pPr>
    </w:p>
    <w:p>
      <w:pPr>
        <w:ind w:left="4900" w:right="80" w:hanging="557"/>
        <w:spacing w:after="0" w:line="268" w:lineRule="auto"/>
        <w:tabs>
          <w:tab w:leader="none" w:pos="4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lenders under our existing credit facilities concurrently release their security interests in the golf course land (other than in connection with a refinancing);</w:t>
      </w:r>
    </w:p>
    <w:p>
      <w:pPr>
        <w:spacing w:after="0" w:line="37" w:lineRule="exact"/>
        <w:rPr>
          <w:rFonts w:ascii="Arial" w:cs="Arial" w:eastAsia="Arial" w:hAnsi="Arial"/>
          <w:sz w:val="18"/>
          <w:szCs w:val="18"/>
          <w:color w:val="auto"/>
        </w:rPr>
      </w:pPr>
    </w:p>
    <w:p>
      <w:pPr>
        <w:ind w:left="4900" w:hanging="557"/>
        <w:spacing w:after="0"/>
        <w:tabs>
          <w:tab w:leader="none" w:pos="4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Encore is open and operating; and</w:t>
      </w:r>
    </w:p>
    <w:p>
      <w:pPr>
        <w:spacing w:after="0" w:line="103" w:lineRule="exact"/>
        <w:rPr>
          <w:rFonts w:ascii="Arial" w:cs="Arial" w:eastAsia="Arial" w:hAnsi="Arial"/>
          <w:sz w:val="18"/>
          <w:szCs w:val="18"/>
          <w:color w:val="auto"/>
        </w:rPr>
      </w:pPr>
    </w:p>
    <w:p>
      <w:pPr>
        <w:ind w:left="4900" w:right="520" w:hanging="557"/>
        <w:spacing w:after="0" w:line="268" w:lineRule="auto"/>
        <w:tabs>
          <w:tab w:leader="none" w:pos="4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total debt does not exceed 6.5 times our Consolidated EBITDA (as defined in the indenture) for the most recent four full fiscal quarters.</w:t>
      </w:r>
    </w:p>
    <w:p>
      <w:pPr>
        <w:spacing w:after="0" w:line="118" w:lineRule="exact"/>
        <w:rPr>
          <w:sz w:val="20"/>
          <w:szCs w:val="20"/>
          <w:color w:val="auto"/>
        </w:rPr>
      </w:pPr>
    </w:p>
    <w:p>
      <w:pPr>
        <w:ind w:left="4120"/>
        <w:spacing w:after="0" w:line="291" w:lineRule="auto"/>
        <w:rPr>
          <w:sz w:val="20"/>
          <w:szCs w:val="20"/>
          <w:color w:val="auto"/>
        </w:rPr>
      </w:pPr>
      <w:r>
        <w:rPr>
          <w:rFonts w:ascii="Arial" w:cs="Arial" w:eastAsia="Arial" w:hAnsi="Arial"/>
          <w:sz w:val="16"/>
          <w:szCs w:val="16"/>
          <w:color w:val="auto"/>
        </w:rPr>
        <w:t>However, if we incur or guarantee debt to finance costs related to the development of the golf course parcel into a mixed use hotel, casino and residence resort complex pursuant to the debt incurrence baskets described below under the caption “Description of First Mortgage Notes—Certain Covenants— Incurrence of Indebtedness and Issuance of Disqualified Stock,” then the security interest in the golf course land may not be released without obtaining the consent of holders of at least 90% of the outstanding principal amount of the notes.</w:t>
      </w:r>
    </w:p>
    <w:p>
      <w:pPr>
        <w:spacing w:after="0" w:line="120" w:lineRule="exact"/>
        <w:rPr>
          <w:sz w:val="20"/>
          <w:szCs w:val="20"/>
          <w:color w:val="auto"/>
        </w:rPr>
      </w:pPr>
    </w:p>
    <w:p>
      <w:pPr>
        <w:ind w:left="4120" w:right="160"/>
        <w:spacing w:after="0" w:line="256" w:lineRule="auto"/>
        <w:rPr>
          <w:sz w:val="20"/>
          <w:szCs w:val="20"/>
          <w:color w:val="auto"/>
        </w:rPr>
      </w:pPr>
      <w:r>
        <w:rPr>
          <w:rFonts w:ascii="Arial" w:cs="Arial" w:eastAsia="Arial" w:hAnsi="Arial"/>
          <w:sz w:val="18"/>
          <w:szCs w:val="18"/>
          <w:color w:val="auto"/>
        </w:rPr>
        <w:t>The security interest in approximately 20 acres of the golf course land granted by one of our subsidiaries may be released if the lenders under our credit facilities concurrently release their lien on such land (other than pursuant to a refinancing) and no default or event of default exists or is continuing.</w:t>
      </w:r>
    </w:p>
    <w:p>
      <w:pPr>
        <w:spacing w:after="0" w:line="143" w:lineRule="exact"/>
        <w:rPr>
          <w:sz w:val="20"/>
          <w:szCs w:val="20"/>
          <w:color w:val="auto"/>
        </w:rPr>
      </w:pPr>
    </w:p>
    <w:p>
      <w:pPr>
        <w:ind w:left="4120" w:right="380"/>
        <w:spacing w:after="0" w:line="306"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 after Qualified Equity Offerings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At any time prior to December 1, 2007, we may, on one or more occasions, redeem up to 35% of the outstanding notes at a redemption price of 106.625% of the principal amount, plus accrued and unpaid interest, with the net cash proceeds of one or more qualified equity offerings 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occurs within 60 days of the closing of the qualified equity offering.</w:t>
      </w:r>
    </w:p>
    <w:p>
      <w:pPr>
        <w:spacing w:after="0" w:line="143" w:lineRule="exact"/>
        <w:rPr>
          <w:sz w:val="20"/>
          <w:szCs w:val="20"/>
          <w:color w:val="auto"/>
        </w:rPr>
      </w:pPr>
    </w:p>
    <w:p>
      <w:pPr>
        <w:sectPr>
          <w:pgSz w:w="11900" w:h="16838" w:orient="portrait"/>
          <w:cols w:equalWidth="0" w:num="2">
            <w:col w:w="3820" w:space="30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Except in connection with a qualified equity offering of Wynn Resorts, we cannot redeem the notes until December 1, 2009. Thereafter, we may redeem some or all of the notes at a premium declining ratably to zero, plus accrued and unpaid interest.</w:t>
      </w:r>
    </w:p>
    <w:p>
      <w:pPr>
        <w:spacing w:after="0" w:line="140"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Gaming Redemption</w:t>
      </w:r>
    </w:p>
    <w:p>
      <w:pPr>
        <w:spacing w:after="0" w:line="20" w:lineRule="exact"/>
        <w:rPr>
          <w:sz w:val="20"/>
          <w:szCs w:val="20"/>
          <w:color w:val="auto"/>
        </w:rPr>
      </w:pPr>
      <w:r>
        <w:rPr>
          <w:sz w:val="20"/>
          <w:szCs w:val="20"/>
          <w:color w:val="auto"/>
        </w:rPr>
        <w:br w:type="column"/>
      </w:r>
    </w:p>
    <w:p>
      <w:pPr>
        <w:ind w:right="400"/>
        <w:spacing w:after="0" w:line="268" w:lineRule="auto"/>
        <w:rPr>
          <w:sz w:val="20"/>
          <w:szCs w:val="20"/>
          <w:color w:val="auto"/>
        </w:rPr>
      </w:pPr>
      <w:r>
        <w:rPr>
          <w:rFonts w:ascii="Arial" w:cs="Arial" w:eastAsia="Arial" w:hAnsi="Arial"/>
          <w:sz w:val="18"/>
          <w:szCs w:val="18"/>
          <w:color w:val="auto"/>
        </w:rPr>
        <w:t>The notes will be subject to redemption requirements imposed by gaming laws and regulations of gaming authorities in Nevada or other jurisdictions.</w:t>
      </w:r>
    </w:p>
    <w:p>
      <w:pPr>
        <w:spacing w:after="0" w:line="13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Change of Control Offer</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If a change of control occurs, we must offer to repurchase the notes at 101% of their principal amount, plus accrued and unpaid interest.</w:t>
      </w:r>
    </w:p>
    <w:p>
      <w:pPr>
        <w:spacing w:after="0" w:line="13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Asset Sales and Events of Loss</w:t>
      </w:r>
    </w:p>
    <w:p>
      <w:pPr>
        <w:spacing w:after="0" w:line="20" w:lineRule="exact"/>
        <w:rPr>
          <w:sz w:val="20"/>
          <w:szCs w:val="20"/>
          <w:color w:val="auto"/>
        </w:rPr>
      </w:pPr>
      <w:r>
        <w:rPr>
          <w:sz w:val="20"/>
          <w:szCs w:val="20"/>
          <w:color w:val="auto"/>
        </w:rPr>
        <w:br w:type="column"/>
      </w:r>
    </w:p>
    <w:p>
      <w:pPr>
        <w:ind w:right="80"/>
        <w:spacing w:after="0" w:line="298" w:lineRule="auto"/>
        <w:rPr>
          <w:sz w:val="20"/>
          <w:szCs w:val="20"/>
          <w:color w:val="auto"/>
        </w:rPr>
      </w:pPr>
      <w:r>
        <w:rPr>
          <w:rFonts w:ascii="Arial" w:cs="Arial" w:eastAsia="Arial" w:hAnsi="Arial"/>
          <w:sz w:val="16"/>
          <w:szCs w:val="16"/>
          <w:color w:val="auto"/>
        </w:rPr>
        <w:t>If we or any of our restricted subsidiaries sell certain assets or experience certain events of loss, we must either reinvest the proceeds of such sale in Wynn Las Vegas or Encore, or offer to repurchase the notes and repay indebtedness under our credit facilities on a pro rata basis, subject to certain exceptions, with any proceeds not reinvested in our business.</w:t>
      </w:r>
    </w:p>
    <w:p>
      <w:pPr>
        <w:spacing w:after="0" w:line="113"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Certain Indenture Provisions</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indenture governing the notes contains covenants restricting our and our restricted subsidiaries’ ability to:</w:t>
      </w:r>
    </w:p>
    <w:p>
      <w:pPr>
        <w:spacing w:after="0" w:line="51"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pay dividends or distributions or repurchase equity;</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incur additional debt;</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make investments;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create liens on assets to secure debt;</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transactions with affiliates;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stock of, or member’s interests in, subsidiaries;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enter into sale-leaseback transactions;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engage in other businesses;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merge or consolidate with another company;</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transfer and sell assets;</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issue disqualified stock;</w:t>
      </w:r>
    </w:p>
    <w:p>
      <w:pPr>
        <w:spacing w:after="0" w:line="104"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create dividend and other payment restrictions affecting subsidiaries; and</w:t>
      </w:r>
    </w:p>
    <w:p>
      <w:pPr>
        <w:spacing w:after="0" w:line="138" w:lineRule="exact"/>
        <w:rPr>
          <w:sz w:val="20"/>
          <w:szCs w:val="20"/>
          <w:color w:val="auto"/>
        </w:rPr>
      </w:pPr>
    </w:p>
    <w:p>
      <w:pPr>
        <w:ind w:left="4340"/>
        <w:spacing w:after="0"/>
        <w:tabs>
          <w:tab w:leader="none" w:pos="4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Disbursement Agreement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entered into a disbursement agreement with the agent for the lenders under our credit facilities, a disbursement agent and the trustee under the indenture governing the notes (the “Indenture Trustee”). Upon consummation of the offering of the old notes, the net proceeds of the offering (after expenses and payments in connection with certain refinancing transactions) were deposited into a notes proceeds account to be disbursed pursuant to the disbursement agreement. The disbursement agreement establishes the conditions and sequence for, among other things, (i) disbursements of funds from the notes proceeds account, (ii) borrowings under our credit facilities to pay construction costs of Wynn Las Vegas and development and construction costs for Encore and (iii) disbursement of funds from an account holding certain other cash proceeds available to us, including equity contributions and certain operating cash flows.</w:t>
      </w:r>
    </w:p>
    <w:p>
      <w:pPr>
        <w:spacing w:after="0" w:line="123"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160"/>
        <w:spacing w:after="0" w:line="335" w:lineRule="auto"/>
        <w:rPr>
          <w:sz w:val="20"/>
          <w:szCs w:val="20"/>
          <w:color w:val="auto"/>
        </w:rPr>
      </w:pPr>
      <w:r>
        <w:rPr>
          <w:rFonts w:ascii="Arial" w:cs="Arial" w:eastAsia="Arial" w:hAnsi="Arial"/>
          <w:sz w:val="15"/>
          <w:szCs w:val="15"/>
          <w:color w:val="auto"/>
        </w:rPr>
        <w:t>Under the disbursement agreement, until the amounts on deposit in the notes proceeds account have been exhausted, the proceeds of the notes will be used to fund two-thirds of each disbursement, while the proceeds of our credit facilities will be used to fund one-third of each disbursement.</w:t>
      </w:r>
    </w:p>
    <w:p>
      <w:pPr>
        <w:spacing w:after="0" w:line="88" w:lineRule="exact"/>
        <w:rPr>
          <w:sz w:val="20"/>
          <w:szCs w:val="20"/>
          <w:color w:val="auto"/>
        </w:rPr>
      </w:pPr>
    </w:p>
    <w:p>
      <w:pPr>
        <w:ind w:left="4120"/>
        <w:spacing w:after="0" w:line="286" w:lineRule="auto"/>
        <w:rPr>
          <w:sz w:val="20"/>
          <w:szCs w:val="20"/>
          <w:color w:val="auto"/>
        </w:rPr>
      </w:pPr>
      <w:r>
        <w:rPr>
          <w:rFonts w:ascii="Arial" w:cs="Arial" w:eastAsia="Arial" w:hAnsi="Arial"/>
          <w:sz w:val="16"/>
          <w:szCs w:val="16"/>
          <w:color w:val="auto"/>
        </w:rPr>
        <w:t>The disbursement agreement provides that, at all times, the agent for the lenders under our credit facilities, acting under the credit agreement, is entitled to waive any conditions precedent to the disbursement of funds under the disbursement agreement, including disbursements from the notes proceeds account, without the consent of the trustee or holders of the notes. The trustee (acting under the indenture) is entitled to waive the conditions precedent to advances from the notes proceeds account without the disbursement agent’s consent or the lenders’ consent under our credit facilities. Furthermore, the disbursement agreement provides that the agent, acting under the credit agreement, and without the consent of the trustee or the holders of the notes, is entitled to waive events of default by or with respect to us under the disbursement agreement or to amend the disbursement agreement, other than the provisions providing for the funding ratio between the notes proceeds account and our existing credit facilities (which requires the consent of both the agent and the trustee to amend).</w:t>
      </w:r>
    </w:p>
    <w:p>
      <w:pPr>
        <w:spacing w:after="0" w:line="127" w:lineRule="exact"/>
        <w:rPr>
          <w:sz w:val="20"/>
          <w:szCs w:val="20"/>
          <w:color w:val="auto"/>
        </w:rPr>
      </w:pPr>
    </w:p>
    <w:p>
      <w:pPr>
        <w:ind w:left="4120" w:right="60"/>
        <w:spacing w:after="0" w:line="290" w:lineRule="auto"/>
        <w:rPr>
          <w:sz w:val="20"/>
          <w:szCs w:val="20"/>
          <w:color w:val="auto"/>
        </w:rPr>
      </w:pPr>
      <w:r>
        <w:rPr>
          <w:rFonts w:ascii="Arial" w:cs="Arial" w:eastAsia="Arial" w:hAnsi="Arial"/>
          <w:sz w:val="16"/>
          <w:szCs w:val="16"/>
          <w:color w:val="auto"/>
        </w:rPr>
        <w:t>Until such time as the Encore Budget, Plans and Specifications have been submitted by us and approved by a majority of the arrangers or a majority of the lenders under the our credit facilities (in consultation with Inspection &amp; Valuation International, Inc., or “IVI”) pursuant to the terms of the disbursement agreement, the disbursement agreement permits disbursements of up to $100.0 million to pay for costs for Encore pursuant to abbreviated disbursement procedures set forth in the disbursement agreement (of which a maximum of $66.7 million may be disbursed from the notes proceeds account). If the Encore Budget, Plans and Specifications are approved, any funds remaining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00"/>
        <w:spacing w:after="0" w:line="268" w:lineRule="auto"/>
        <w:rPr>
          <w:sz w:val="20"/>
          <w:szCs w:val="20"/>
          <w:color w:val="auto"/>
        </w:rPr>
      </w:pPr>
      <w:r>
        <w:rPr>
          <w:rFonts w:ascii="Arial" w:cs="Arial" w:eastAsia="Arial" w:hAnsi="Arial"/>
          <w:sz w:val="18"/>
          <w:szCs w:val="18"/>
          <w:color w:val="auto"/>
        </w:rPr>
        <w:t>in the notes proceeds account are available to be disbursed pursuant to the disbursement agreement to fund development and construction costs for Encore.</w:t>
      </w:r>
    </w:p>
    <w:p>
      <w:pPr>
        <w:spacing w:after="0" w:line="132" w:lineRule="exact"/>
        <w:rPr>
          <w:sz w:val="20"/>
          <w:szCs w:val="20"/>
          <w:color w:val="auto"/>
        </w:rPr>
      </w:pPr>
    </w:p>
    <w:p>
      <w:pPr>
        <w:ind w:left="4120" w:right="120"/>
        <w:spacing w:after="0" w:line="291" w:lineRule="auto"/>
        <w:rPr>
          <w:sz w:val="20"/>
          <w:szCs w:val="20"/>
          <w:color w:val="auto"/>
        </w:rPr>
      </w:pPr>
      <w:r>
        <w:rPr>
          <w:rFonts w:ascii="Arial" w:cs="Arial" w:eastAsia="Arial" w:hAnsi="Arial"/>
          <w:sz w:val="16"/>
          <w:szCs w:val="16"/>
          <w:color w:val="auto"/>
        </w:rPr>
        <w:t>Pursuant to our credit facilities, if the Encore Budget, Plans and Specifications are not approved in accordance with the disbursement agreement by June 30, 2005, then the commitments thereunder will be reduced by $550.0 million and, upon final completion of Wynn Las Vegas, any remaining funds in the notes proceeds account will be released to us. In addition, if the Encore Budget, Plans and Specifications are not so approved by such date, the amount of debt which the indenture permits to be incurred under our credit facilities will be reduced by $550.0 million.</w:t>
      </w:r>
    </w:p>
    <w:p>
      <w:pPr>
        <w:spacing w:after="0" w:line="120" w:lineRule="exact"/>
        <w:rPr>
          <w:sz w:val="20"/>
          <w:szCs w:val="20"/>
          <w:color w:val="auto"/>
        </w:rPr>
      </w:pPr>
    </w:p>
    <w:p>
      <w:pPr>
        <w:ind w:left="4120" w:right="40"/>
        <w:spacing w:after="0" w:line="290" w:lineRule="auto"/>
        <w:rPr>
          <w:sz w:val="20"/>
          <w:szCs w:val="20"/>
          <w:color w:val="auto"/>
        </w:rPr>
      </w:pPr>
      <w:r>
        <w:rPr>
          <w:rFonts w:ascii="Arial" w:cs="Arial" w:eastAsia="Arial" w:hAnsi="Arial"/>
          <w:sz w:val="16"/>
          <w:szCs w:val="16"/>
          <w:color w:val="auto"/>
        </w:rPr>
        <w:t>The disbursement agreement will terminate after final completion of Wynn Las Vegas or, if applicable, after final completion of Encore. The trustee shall cease to be a party to the disbursement agreement (and will not have any rights, obligations or remedies thereunder) upon exhaustion of the amounts on deposit in the notes proceeds account (at which time Wynn Las Vegas will be entitled to close the notes proceeds account). Upon termination of the disbursement agreement, all amounts remaining in all disbursement agreement accounts will be released to us, and the covenants contained in the disbursement agreement will cease to apply.</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Intercreditor Agreement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Indenture Trustee and the agent for the lenders under our credit facilities have entered into an amended and restated intercreditor agreement that governs the relationship among the holders of the notes, the lenders under our credit facilities and holders of future senior and junior indebtedness. Under the intercreditor agreement, the trustee on behalf of the holders of the notes and the agent for the lenders under our credit facilities have appointed a collateral agent with respect to all of the collateral granted in favor of the holders of the notes and the lenders under our credit facilities. The intercreditor agreement provides that the collateral agent holds a lien on the notes proceeds account for the sole benefit of the holders of the notes, and a lien on the bank proceeds account for the sole benefit of the lenders under our credit facilities. Except for such proceeds accounts, the liens on the collateral that secure the notes rank pari passu with the liens on such collateral that secure our credit facilities and any other permitted senior debt, and rank prior to the liens on such collateral that secure any other permitted junior debt.</w:t>
      </w:r>
    </w:p>
    <w:p>
      <w:pPr>
        <w:spacing w:after="0" w:line="12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ind w:left="4120" w:right="60"/>
        <w:spacing w:after="0" w:line="294" w:lineRule="auto"/>
        <w:rPr>
          <w:sz w:val="20"/>
          <w:szCs w:val="20"/>
          <w:color w:val="auto"/>
        </w:rPr>
      </w:pPr>
      <w:r>
        <w:rPr>
          <w:rFonts w:ascii="Arial" w:cs="Arial" w:eastAsia="Arial" w:hAnsi="Arial"/>
          <w:sz w:val="16"/>
          <w:szCs w:val="16"/>
          <w:color w:val="auto"/>
        </w:rPr>
        <w:t>Pursuant to the intercreditor agreement, each of the agent under our credit facilities and, from and after the expiration of 30 days after a payment default or acceleration under the indenture governing the notes, lenders under our credit facilities and holders of notes controlling a majority of the aggregate amount of loans and notes outstanding may instruct the collateral agent to commence the exercise of remedies against the collateral. In addition, the agent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88" w:lineRule="auto"/>
        <w:rPr>
          <w:sz w:val="20"/>
          <w:szCs w:val="20"/>
          <w:color w:val="auto"/>
        </w:rPr>
      </w:pPr>
      <w:r>
        <w:rPr>
          <w:rFonts w:ascii="Arial" w:cs="Arial" w:eastAsia="Arial" w:hAnsi="Arial"/>
          <w:sz w:val="16"/>
          <w:szCs w:val="16"/>
          <w:color w:val="auto"/>
        </w:rPr>
        <w:t>under our credit facilities has the right, subject to certain limited exceptions, to direct the collateral agent to enter into amendments of, or waive defaults under, or, subject to certain conditions, release all of the collateral from, the security documents that grant liens on the collateral without obtaining the consent of the trustee or the holders of the notes. The agent under our credit facilities also has the right, at any time when amounts outstanding under our credit facilities equal or exceed $100.0 million, to amend the intercreditor agreement without the consent of the trustee or the holders of the notes, so long as such amendment only affects the subordination provisions in respect of any junior debt but does not affect the provisions governing the relationship between the lenders under our credit facilities and the holders of the notes. See “Intercreditor Agreement.”</w:t>
      </w:r>
    </w:p>
    <w:p>
      <w:pPr>
        <w:sectPr>
          <w:pgSz w:w="11900" w:h="16838" w:orient="portrait"/>
          <w:cols w:equalWidth="0" w:num="1">
            <w:col w:w="11360"/>
          </w:cols>
          <w:pgMar w:left="240" w:top="459" w:right="29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Completion Guarantee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One of our wholly owned unrestricted subsidiaries, Wynn Completion Guarantor, LLC, sometimes referred to as the Completion Guarantor, has provided a $50.0 million completion guarantee in favor of the Indenture Trustee (for the benefit of the holders of the notes) and the agent (as the representative of the lenders under our credit facilities), supported by $50.0 million in a deposit account pledged to the lenders under our credit facilities and the holders of the notes on a first priority basis. The completion guarantee, subject to the $50.0 million cap (as such amount may be reduced as described below), guarantees the completion of Wynn Las Vegas and, in the event the Encore Budget, Plans and Specifications are approved as described above, Encore. In the event the Encore Budget, Plans and Specifications are approved, then upon completion of Wynn Las Vegas, no less than $30.0 million will be required to be on deposit in the completion guarantee deposit account for utilization with respect to Encore. Amounts in the completion guarantee deposit account are available to us on a gradual basis to fund construction.</w:t>
      </w:r>
    </w:p>
    <w:p>
      <w:pPr>
        <w:spacing w:after="0" w:line="124"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jc w:val="both"/>
        <w:ind w:left="4120"/>
        <w:spacing w:after="0" w:line="259" w:lineRule="auto"/>
        <w:rPr>
          <w:sz w:val="20"/>
          <w:szCs w:val="20"/>
          <w:color w:val="auto"/>
        </w:rPr>
      </w:pPr>
      <w:r>
        <w:rPr>
          <w:rFonts w:ascii="Arial" w:cs="Arial" w:eastAsia="Arial" w:hAnsi="Arial"/>
          <w:sz w:val="18"/>
          <w:szCs w:val="18"/>
          <w:color w:val="auto"/>
        </w:rPr>
        <w:t>Upon final completion of Wynn Las Vegas or, in the event the Encore Budget, Plans and Specifications are approved, upon final completion of Encore, any amounts remaining in this account will be released to us.</w:t>
      </w:r>
    </w:p>
    <w:p>
      <w:pPr>
        <w:sectPr>
          <w:pgSz w:w="11900" w:h="16838" w:orient="portrait"/>
          <w:cols w:equalWidth="0" w:num="1">
            <w:col w:w="11360"/>
          </w:cols>
          <w:pgMar w:left="240" w:top="459" w:right="29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Liquidity Reserve Account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maintain a liquidity reserve account in an amount equal to $30.0 million, which funds are held in cash or permitted securities and are pledged to the lenders under our credit facilities and the holders of the notes on a first priority basis. Amounts in the liquidity reserve account are available to us on a gradual basis to apply to the development costs of Wynn Las Vegas, including cost overruns.</w:t>
      </w:r>
    </w:p>
    <w:p>
      <w:pPr>
        <w:spacing w:after="0" w:line="113"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jc w:val="both"/>
        <w:ind w:left="4340" w:right="140"/>
        <w:spacing w:after="0" w:line="306" w:lineRule="auto"/>
        <w:rPr>
          <w:sz w:val="20"/>
          <w:szCs w:val="20"/>
          <w:color w:val="auto"/>
        </w:rPr>
      </w:pPr>
      <w:r>
        <w:rPr>
          <w:rFonts w:ascii="Arial" w:cs="Arial" w:eastAsia="Arial" w:hAnsi="Arial"/>
          <w:sz w:val="16"/>
          <w:szCs w:val="16"/>
          <w:color w:val="auto"/>
        </w:rPr>
        <w:t>Once we have met prescribed financial tests for a period of two consecutive calendar quarters, but not prior to the later of December 31, 2005 and the final completion date of Wynn Las Vegas, any remaining funds in the liquidity reserve account will be used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200"/>
        <w:spacing w:after="0" w:line="268" w:lineRule="auto"/>
        <w:rPr>
          <w:sz w:val="20"/>
          <w:szCs w:val="20"/>
          <w:color w:val="auto"/>
        </w:rPr>
      </w:pPr>
      <w:r>
        <w:rPr>
          <w:rFonts w:ascii="Arial" w:cs="Arial" w:eastAsia="Arial" w:hAnsi="Arial"/>
          <w:sz w:val="18"/>
          <w:szCs w:val="18"/>
          <w:color w:val="auto"/>
        </w:rPr>
        <w:t>reduce the outstanding balance of our credit facilities but without reducing the revolving credit facility commitment.</w:t>
      </w:r>
    </w:p>
    <w:p>
      <w:pPr>
        <w:sectPr>
          <w:pgSz w:w="11900" w:h="16838" w:orient="portrait"/>
          <w:cols w:equalWidth="0" w:num="1">
            <w:col w:w="11200"/>
          </w:cols>
          <w:pgMar w:left="240" w:top="459" w:right="45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Trading</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Securities issued in book-entry form will be issued to Cede &amp; Co. as nominee of DTC. The notes are expected to be eligible for trading in the PORTAL market.</w:t>
      </w:r>
    </w:p>
    <w:p>
      <w:pPr>
        <w:spacing w:after="0" w:line="132" w:lineRule="exact"/>
        <w:rPr>
          <w:sz w:val="20"/>
          <w:szCs w:val="20"/>
          <w:color w:val="auto"/>
        </w:rPr>
      </w:pPr>
    </w:p>
    <w:p>
      <w:pPr>
        <w:sectPr>
          <w:pgSz w:w="11900" w:h="16838" w:orient="portrait"/>
          <w:cols w:equalWidth="0" w:num="2">
            <w:col w:w="3400" w:space="720"/>
            <w:col w:w="7080"/>
          </w:cols>
          <w:pgMar w:left="240" w:top="459" w:right="45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laws of the State of New York.</w:t>
      </w:r>
    </w:p>
    <w:p>
      <w:pPr>
        <w:spacing w:after="0" w:line="205" w:lineRule="exact"/>
        <w:rPr>
          <w:sz w:val="20"/>
          <w:szCs w:val="20"/>
          <w:color w:val="auto"/>
        </w:rPr>
      </w:pPr>
    </w:p>
    <w:p>
      <w:pPr>
        <w:sectPr>
          <w:pgSz w:w="11900" w:h="16838" w:orient="portrait"/>
          <w:cols w:equalWidth="0" w:num="2">
            <w:col w:w="3400" w:space="720"/>
            <w:col w:w="7080"/>
          </w:cols>
          <w:pgMar w:left="240" w:top="459" w:right="4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You should refer to the section entitled “Risk Factors,” beginning on page 19, for a discussion of certain risks involved in investing in the notes.</w:t>
      </w:r>
    </w:p>
    <w:p>
      <w:pPr>
        <w:spacing w:after="0" w:line="132" w:lineRule="exact"/>
        <w:rPr>
          <w:sz w:val="20"/>
          <w:szCs w:val="20"/>
          <w:color w:val="auto"/>
        </w:rPr>
      </w:pPr>
    </w:p>
    <w:p>
      <w:pPr>
        <w:sectPr>
          <w:pgSz w:w="11900" w:h="16838" w:orient="portrait"/>
          <w:cols w:equalWidth="0" w:num="2">
            <w:col w:w="3400" w:space="720"/>
            <w:col w:w="708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00"/>
          </w:cols>
          <w:pgMar w:left="240" w:top="459"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The following risk factors, among others, could cause our financial performance to differ significantly from the goals, plans, objectives, intentions and expectations expressed in this prospectus. If any of the following risks and uncertainties or other risks and uncertainties not currently known to us or not currently considered to be material actually occur, our business, financial condition or operating results could be harmed substantially.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Wynn Las Vegas and Encore.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2005, we had approximately $435.8 million in remaining net proceeds from the offering of the First Mortgage Notes held in a notes proceeds account, approximately $286.9 million of borrowings under our credit facilities held in a bank proceeds account and $600.0 million of availability under our credit facilities, which we intend to use to fund the remaining construction costs of Wynn Las Vegas and Encore.</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that the portion of the proceeds from the sale of the First Mortgage Notes remaining after the date of final completion (as defined in the contract with the general contractor) of Wynn Las Vegas, together with remaining availability under our credit facilities and cash flow from the operations of Wynn Las Vegas, will be sufficient to fund Encore project costs of up to $1.4 billion without incurring additional debt or receiving additional capital contributions from Wynn Resorts.</w:t>
      </w:r>
    </w:p>
    <w:p>
      <w:pPr>
        <w:spacing w:after="0" w:line="13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entered into a disbursement agreement with the agent under our credit facilities and the Indenture Trustee, which sets forth the sequence of funding and establishes conditions for the disbursement of funds for the Wynn Las Vegas and Encore projects. Our ability to borrow, from time to time, under our credit facilities and receive advances from the notes proceeds account is subject to various conditions precedent set forth in the disbursement agreement.</w:t>
      </w:r>
    </w:p>
    <w:p>
      <w:pPr>
        <w:spacing w:after="0" w:line="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achieve final completion of Wynn Las Vegas as scheduled or to develop and construct Encore. We may not have access to alternative sources of funds necessary to develop and construct Encore on satisfactory terms or at 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the total development costs of Wynn Las Vegas to be in the range of approximately $2.7 to $2.75 billion, including design and construction costs, cost of the land, capitalized interest, pre-opening expenses and all financing fees. Determination of the final project cost is subject to a complete accounting after the date of final completion, which will occur in late 2005. This amount has increased from our initial anticipated cost of $2.4 billion as a result of various enhancements to the design of Wynn Las Vegas, which we have already implemented. The required cash interest payments and commitment fees on our credit facilities, the notes and our other indebtedness and obligations which were due and payable prior to the commencement of operations of Wynn Las Vegas have been included in our estimate of the total development cost.</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While we believe that the estimated range of total development costs for Wynn Las Vegas is reasonable, these development costs are estimates and the actual development costs may be higher than expected. Although we have certain owners’ contingencies plus a $50.0 million completion guarantee and a $30.0 million liquidity reserve account to cover cost overruns, these contingencies may not be sufficient to cover the full amount of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overruns. If these contingencies are not sufficient to cover these costs, we may not have the funds required to pay the excess costs and would be dependent upon Wynn Resorts, which is not a guarantor of our debt, to contribute capital to achieve final completion of the project.</w:t>
      </w:r>
    </w:p>
    <w:p>
      <w:pPr>
        <w:spacing w:after="0" w:line="11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Not all of the construction costs of Wynn Las Vegas are covered by our amended guaranteed maximum price construction contract, and we will be responsible for any cost overruns of these excluded items.</w:t>
      </w:r>
    </w:p>
    <w:p>
      <w:pPr>
        <w:spacing w:after="0" w:line="3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entered into an amended guaranteed maximum price construction contract for the construction of Wynn Las Vegas with Marnell Corrao Associates, Inc. (“Marnell Corrao”), covering approximately $1.1 billion of the $1.6 billion design and construction costs for Wynn Las Vegas. The contract does not include items such as the costs to complete construction of the golf course, parking garage, and interior design costs and related furniture, fixtures and equipment. We are responsible for cost overruns with respect to the components that are not part of the amended guaranteed maximum price contract.</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amended guaranteed maximum price under the Marnell Corrao construction contract may increase, and we would be responsible for the amount of any increase.</w:t>
      </w:r>
    </w:p>
    <w:p>
      <w:pPr>
        <w:spacing w:after="0" w:line="3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Although we have an amended $1.1 billion guaranteed maximum price construction contract with Marnell Corrao for the construction of Wynn Las Vegas, it provides that the guaranteed maximum price will be appropriately increased (as it has increased from its original amount of $901.9 million), and the deadline for the contractor’s obligation to complete construction will be appropriately adjusted, on account of, among other things:</w:t>
      </w:r>
    </w:p>
    <w:p>
      <w:pPr>
        <w:spacing w:after="0" w:line="1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any of these events occurs and the guaranteed maximum price is increased, we may not be able to achieve final completion of Wynn Las Vegas within the estimated range of total development costs.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for which it is responsible under the amended guaranteed maximum price contract.</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the terms of the amended guaranteed maximum price construction contract, Marnell Corrao is, subject to specific conditions and limitations, responsible for all construction costs covered by the construction contract that exceed the approximately $1.1 billion guaranteed maximum price contained in the contract.</w:t>
      </w:r>
    </w:p>
    <w:p>
      <w:pPr>
        <w:spacing w:after="0" w:line="127"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Austi, Inc. (“Austi”),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has provided a $150.0 million contractor performance and payment bond.</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and we are unable to obtain funds under the performance and payment bond in a timely manner, or if the performance and payment bond is insufficient to cover any shortfall, we may need to pay these excess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laws. While it appears that some of these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Availability under our credit facilities will be reduced by $550.0 million if the Encore Budget, Plans and Specifications are not approved by June 30, 2005.</w:t>
      </w:r>
    </w:p>
    <w:p>
      <w:pPr>
        <w:spacing w:after="0" w:line="11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credit facilities provide that a majority of the arrangers or a majority of the lenders must approve the Encore Budget, Plans and Specifications on or before June 30, 2005. If the Encore Budget, Plans and Specifications are not approved by such date, availability under our credit facilities is reduced by $550.0 million.</w:t>
      </w:r>
    </w:p>
    <w:p>
      <w:pPr>
        <w:spacing w:after="0" w:line="12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Once we have finalized the scope and plans for Encore, we will seek necessary consents and approvals from our lenders and noteholders, which may include an extension of the deadline for approval of the Encore Budget, Plans and Specifications. We cannot assure you that the Encore Budget, Plans and Specifications will be satisfactory to the arrangers or lenders under our credit facilities, or that we will be able to amend the credit agreement and the indenture governing the notes to accommodate the increased scope and any necessary changes in the dates for delivery of the Encore Budget, Plans and Specifications. Such decisions are subject to lender and noteholder discretion and are beyond our control. If we do not have this availability under our credit facilities or are unable to obtain the required consents, we may not have access to alternative sources of funds necessary to develop and construct Encore on satisfactory terms or at all.</w:t>
      </w:r>
    </w:p>
    <w:p>
      <w:pPr>
        <w:spacing w:after="0" w:line="134"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b w:val="1"/>
          <w:bCs w:val="1"/>
          <w:i w:val="1"/>
          <w:iCs w:val="1"/>
          <w:color w:val="auto"/>
        </w:rPr>
        <w:t>We intend to fund a substantial portion of the development costs of Encore, and our substantial debt service and other obligations (including the notes), with cash flows generated at Wynn Las Vegas, which may not be sufficient to fund such development costs and debt service obligations.</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ability to fund a substantial portion of the development costs of Encore, and to make interest payments under our credit facilities, the notes and any other indebtedness, depends on our ability to generate sufficient cash flow from operations. We cannot assure you that Wynn Las Vegas will generate sufficient cash flow to fund such development costs and make the interest payments under our credit facilities, the notes and any other indebtedness. Our ability to generate cash flow will depend upon many factors, including:</w:t>
      </w:r>
    </w:p>
    <w:p>
      <w:pPr>
        <w:spacing w:after="0" w:line="4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the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a substantial amount of consolidated debt in relation to our equity. At the time of the opening of Wynn Las Vegas on April 28, 2005, we had total outstanding debt of approximately $1.7 billion. If the Encore Budget, Plans and Specifications are approved in accordance with the disbursement agreement, we will be able to incur up to an additional $550.0 million of debt under our credit facilities to fund the construction of Encore. In addition to the $550.0 million, which may be available under the credit facilities for Encore, the credit agreement will permit us to incur additional indebtedness in connection with potential expansion plans under certain circumstances in the future. Our substantial indebtedness could have important consequences. For example:</w:t>
      </w:r>
    </w:p>
    <w:p>
      <w:pPr>
        <w:spacing w:after="0" w:line="2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could make it more difficult to satisfy our obligations with respect to our indebtedness;</w:t>
      </w:r>
    </w:p>
    <w:p>
      <w:pPr>
        <w:spacing w:after="0" w:line="103" w:lineRule="exact"/>
        <w:rPr>
          <w:rFonts w:ascii="Arial" w:cs="Arial" w:eastAsia="Arial" w:hAnsi="Arial"/>
          <w:sz w:val="18"/>
          <w:szCs w:val="18"/>
          <w:color w:val="auto"/>
        </w:rPr>
      </w:pPr>
    </w:p>
    <w:p>
      <w:pPr>
        <w:ind w:left="900" w:hanging="446"/>
        <w:spacing w:after="0" w:line="34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rights to:</w:t>
      </w:r>
    </w:p>
    <w:p>
      <w:pPr>
        <w:ind w:left="1360" w:hanging="555"/>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03" w:lineRule="exact"/>
        <w:rPr>
          <w:rFonts w:ascii="Arial" w:cs="Arial" w:eastAsia="Arial" w:hAnsi="Arial"/>
          <w:sz w:val="18"/>
          <w:szCs w:val="18"/>
          <w:color w:val="auto"/>
        </w:rPr>
      </w:pPr>
    </w:p>
    <w:p>
      <w:pPr>
        <w:ind w:left="1360" w:right="540" w:hanging="555"/>
        <w:spacing w:after="0" w:line="325" w:lineRule="auto"/>
        <w:tabs>
          <w:tab w:leader="none" w:pos="13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1" w:lineRule="exact"/>
        <w:rPr>
          <w:rFonts w:ascii="Arial" w:cs="Arial" w:eastAsia="Arial" w:hAnsi="Arial"/>
          <w:sz w:val="16"/>
          <w:szCs w:val="16"/>
          <w:color w:val="auto"/>
        </w:rPr>
      </w:pPr>
    </w:p>
    <w:p>
      <w:pPr>
        <w:ind w:left="900" w:right="220" w:hanging="446"/>
        <w:spacing w:after="0" w:line="34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will be required to use a substantial portion of our cash flow from operations to service and amortize our indebtedness and to pay development costs of Encore, which will reduce the available cash flow to fund working capital, capital expenditures and other general corporate purposes;</w:t>
      </w:r>
    </w:p>
    <w:p>
      <w:pPr>
        <w:ind w:left="900" w:right="2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900" w:right="480" w:hanging="446"/>
        <w:spacing w:after="0" w:line="325"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have a limited ability to obtain additional financing, if needed, to fund development and construction costs of Encore, working capital requirements, capital expenditures, debt service, general corporate or other obligations, including our obligations with respect to the notes;</w:t>
      </w:r>
    </w:p>
    <w:p>
      <w:pPr>
        <w:spacing w:after="0" w:line="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our credit facilities, a portion of the interest rates we pay will fluctuate with market rates and, accordingly, our interest expense will increase if market interest rates increase;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terms of our credit agreement and the indenture for the notes, we are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credit agreement and the indenture for the notes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credit agreement and the indenture for the notes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credit agreement and the indenture for the notes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comply with these provisions may be affected by general economic conditions, industry conditions, other events beyond our control. As a result, we cannot assure you that we will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w:t>
      </w:r>
    </w:p>
    <w:p>
      <w:pPr>
        <w:spacing w:after="0" w:line="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were formed principally to develop and operate Wynn Las Vegas and had no revenue or earnings until Wynn Las Vegas opened on April 28, 2005. Encore is not expected to open until the first half of 2008. We cannot assure you that we will be able to attract a sufficient number of hotel guests, gaming customers and other visitors to either Wynn Las Vegas or Encore to make our operations profitable.</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operations are subject to the significant business, economic, regulatory and competitive uncertainties and contingencies frequently encountered by new businesses in competitive environments, many of which are beyond our control. Because we have a limited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opening of Encore on schedule and within budget.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7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7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this project will post bonds guaranteeing timely completion of a subcontractor’s work and payment for all of that subcontractor’s labor and materials. We cannot assure you that these bonds will be adequate to ensure completion of the work.</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not yet hired a general contractor or any trade contractors with respect to the construction of Encore. We cannot assure you that we will agree with general or trade contractors on financial and other terms that will meet our forecasted cost budget and schedule.</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cannot assure you that Encore will commence operations on schedule or that construction costs will not exceed budgeted amounts. Failure to complete Encore on schedule or within budget may have a significant negative effect on us and on our ability to make payments on our debt.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On August 6,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notes and would constitute an event of default under our credit facilities.</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Because we will be entirely dependent upon one property for all of our cash flow for some time, we will be subject to greater risks than a gaming company with more operating properties.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do not expect to have material assets or operations other than Wynn Las Vegas until the opening of Encore, which is anticipated in the first half of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will be entirely dependent upon Wynn Las Vegas for all of our cash flow for some time.</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Given that our operations initially will only focus on one property in Las Vegas, we will be subject to a greater degree of risk than a gaming company with more operating properties. The risks to which we will have a greater degree of exposure include the following:</w:t>
      </w:r>
    </w:p>
    <w:p>
      <w:pPr>
        <w:spacing w:after="0" w:line="3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electric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on the notes or under our credit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casino, hotel, convention and other facilities at Wynn Las Vegas and Encore will face intense competition.</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casino/hotel industry is highly competitive. Resorts located on or near the Las Vegas Strip compete with other Las Vegas Strip hotels and with other hotel casinos in Las Vegas on the basis of overall atmosphere, range of amenities, level of service, price, location, entertainment, theme and size. Wynn Las Vegas and Encore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According to the Las Vegas Convention and Visitors Authority, there were approximately 131,503 hotel rooms in Las Vegas as of December 2004. Competitors of Wynn Las Vegas and Encore will include resorts on the Las Vegas Strip, among which are Bally’s Las Vegas, the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In June 2003, the Venetian completed and opened an expansion consisting of a 1,013-room hotel tower and approximately 150,000 square feet of additional meeting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conference space. In addition, in December 2003, Mandalay Bay Resort &amp; Casino opened a 1,117-room, all-suite tower connected to the pre-existing hotel casino resort and a new convention, meeting and retail complex. The Forum Shops at Caesars Palace also completed a 175,000 square foot expansion project in October 2004. Also, in December 2004, MGM Mirage opened an approximately 925-room “spa tower” addition to the Bellagio, as well as an expansion of the Bellagio’s spa and salon, meeting space and retail space. Furthermore, Caesars Palace has begun construction of a 949-room tower addition, which is expected to open in the second half of 2005, and the Venetian Resort and Casino’s expansion named “Palazzo” will open on the Las Vegas Strip adjacent to the existing property in the first quarter of 2007. It is also anticipated that the New Frontier and the Stardust, located on the Las Vegas Strip just north of Wynn Las Vegas, may be replaced by newer properties which would, if constructed, provide additional competition.</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assure you that the Las Vegas market will continue to grow or that hotel casino resorts will continue to be popular. A decline or leveling off of the growth or popularity of hotel casino resorts or the appeal of the features offered by Wynn Las Vegas or Encore would impair our financial condition and future results of operations.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Wynn Las Vegas and Encore are designed to be different from many other Las Vegas resorts in that they do not focus on a highly themed experience. Instead, Wynn Las Vegas offers, and Encore is designed to offer, an environment having a sophisticated, casually elegant ambience. This environment may not appeal to customers. In addition, customer preferences and trends can change, often without warning, and we may not be able to predict or respond to changes in customer preferences in time to adapt Wynn Las Vegas and Encore and the attractions and amenities they offer to address new trends.</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 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Wynn Las Vegas and Encore will also compete, to some extent, with other forms of gaming on both a local and national level, including state-sponsored lotteries, on- and off-track pari-mutuel wagering and card parlors. The expansion of legalized gaming to new jurisdictions throughout the United States will also increase the competition we face and will continue to do so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we offer. Changes in consumer preferences or discretionary consumer spending could harm our business. The terrorist attacks of September 11, 2001, other terrorist activities in the United States and elsewhere, military conflicts in Iraq and in the Middle East and past outbreaks of SARS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spacing w:after="0" w:line="370" w:lineRule="auto"/>
        <w:rPr>
          <w:sz w:val="20"/>
          <w:szCs w:val="20"/>
          <w:color w:val="auto"/>
        </w:rPr>
      </w:pPr>
      <w:r>
        <w:rPr>
          <w:rFonts w:ascii="Arial" w:cs="Arial" w:eastAsia="Arial" w:hAnsi="Arial"/>
          <w:sz w:val="15"/>
          <w:szCs w:val="15"/>
          <w:color w:val="auto"/>
        </w:rPr>
        <w:t>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4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terrorist activities, military conflicts, the outbreak of infectious diseases or the impact of a natural disaster such as a tsunami or typhoon, other factors affecting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$500.0 million of losses that could result from these acts. We also intend to obtain insurance coverage for occurrences of terrorist acts with respect to Encore prior to beginning construction of Encore. However, these types of acts could expose us to losses that exceed our coverage and could have a significant negative impact on our operations.</w:t>
      </w:r>
    </w:p>
    <w:p>
      <w:pPr>
        <w:spacing w:after="0" w:line="8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with respect to Wynn Las Vegas and intend to obtain similar coverage for Encore, such insurance may not be adequate to cover all losses in such event. In addition, if insurance premiums increase in the future, we may not be able to maintain the insurance coverages we currently have or otherwise be able to maintain adequate insurance protection.</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operation of Wynn Las Vegas is contingent upon maintenance of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operate a facility is extensive. Failure to maintain the necessary approvals could significantly impair our financial position and results of operations.</w:t>
      </w:r>
    </w:p>
    <w:p>
      <w:pPr>
        <w:spacing w:after="0" w:line="1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that we, Wynn Resorts Holdings, LLC (“Holdings”) and Wynn Resorts issue to file applications, be investigated and be found suitable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may extend credit, and we may not be able to collect gaming receivables from our credit players.</w:t>
      </w:r>
    </w:p>
    <w:p>
      <w:pPr>
        <w:spacing w:after="0" w:line="3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such an extension.</w:t>
      </w:r>
    </w:p>
    <w:p>
      <w:pPr>
        <w:spacing w:after="0" w:line="127"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In connection with the demolition of the existing buildings situated on the 20-acre parcel where we intend to construct Encore, we discovered a small amount of asbestos which we incurred costs to dispose of appropriately. We may be required to incur costs to remediate other potential environmental hazards or to mitigate environmental risks in the future.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harmed.</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Holdings has filed applications with the United States Patent and Trademark Office (“PTO”), to register a variety of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127"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Holdings has been successful in demonstrating to the PTO such secondary meaning for the Wynn name, in certain of the applications, based upon Mr. Wynn’s prominence as a resort developer, but we cannot assure you that it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seek unionization.</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Unions may seek to organize the workers at Wynn Las Vegas. Unionization, pressure to unionize or other forms of collective bargaining could increase our labor costs. We entered into an agreement with the Culinary and Bartenders Union local pursuant to which the union has recently been recognized as the exclusive bargaining agent of certain of our employees. As a result of this recognition, Wynn Las Vegas is obligated to negotiate a collective bargaining agreement with the union.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Resorts’ officers, directors and substantial stockholders are able to exert significant control over our future direction.</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ultimate parent company is Wynn Resorts. Mr. Wynn and Aruze USA, Inc. each own approximately 25% of Wynn Resorts’ outstanding common stock. As a result, Mr. Wynn and Aruze USA, Inc., to the extent they vote their shares in a similar manner, effectively are able to control all matters requiring Wynn Resorts stockholders’ approval, including the approval of significant corporate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the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construction of Encore and Wynn Macau may interfere with our operation of Wynn Los Vegas.</w:t>
      </w:r>
    </w:p>
    <w:p>
      <w:pPr>
        <w:spacing w:after="0" w:line="7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Wynn Las Vegas opened on April 28, 2005, and our affiliate, Wynn Resorts (Macau), S.A. (“Wynn Macau, S.A.”), is currently constructing Wynn Macau. Furthermore, development and preconstruction efforts for Encore continue. Since there is significant overlap of the development and construction of these projects, members of Wynn Resorts’ senior management are simultaneously involved in planning, developing and operating these three projects. Constructing Wynn Macau simultaneously with the operation of Wynn Las Vegas and the planned development and construction of Encore may divert corporate management resources from the construction and/or opening of any one project. Management’s inability to devote sufficient time and attention to any one project may delay the construction or opening of Wynn Macau or Encore. Any delay caused by such circumstances could have a negative effect on our business and operations.</w:t>
      </w:r>
    </w:p>
    <w:p>
      <w:pPr>
        <w:spacing w:after="0" w:line="9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we cannot assure you that the construction will not disrupt the operations of Wynn Las Vegas or that it will be implemented as planned. Therefore, the construction of Encore may adversely impact the business, operations and revenues of Wynn Las Vegas.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 and the Exchange Offer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there is a default, the value of the collateral may not be sufficient to repay both the lenders under our credit facilities and the holders of the notes.</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notes and our credit facilities. If these proceeds were not sufficient to repay amounts outstanding under the notes and our credit facilities, then holders of the notes, to the extent not repaid from the proceeds of the sale of the collateral, would have unsecured claims against our remaining assets, which claims would rank equally with all of our general unsecured indebtedness and obligations, including trade payables.</w:t>
      </w:r>
    </w:p>
    <w:p>
      <w:pPr>
        <w:spacing w:after="0" w:line="10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At the opening of Wynn Las Vegas on April 28, 2005, we had approximately $400.0 million outstanding under our credit facilities and, in July 2005, we expect to borrow an additional $122.0 million under our credit facilities to fund a loan to Wynn Group Asia, Inc. Under the indenture governing the notes, we are permitted to incur additional indebtedness that could be secured by first priority liens on the collateral including up to $550.0 million to fund development and construction costs for Encore and additional indebtedness in connection with potential expansion plans under certain circumstances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agent under our credit facilities has the ability to waive defaults and conditions to disbursement of funds under the disbursement agreement.</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disbursement agreement sets forth, among other things, our obligation to complete Wynn Las Vegas and, if applicable, to construct and complete Encore, and contains the conditions we must satisfy in order to obtain disbursement of the proceeds of the notes and the proceeds of the credit facilities. Under the disbursement agreement, certain rights of the agent under our credit facilities could subject the holders of the notes to certain risks. For example, the disbursement agreement permits the agent for the lenders under our credit facilities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(acting without consent of the trustee or holders of the notes) to waive any defaults and conditions to the disbursement of funds under the disbursement agreement. The disbursement agreement further provides that the agent under the credit facilities is fully released and indemnified from and against any losses, damages or other claims related to such waivers except in very limited circumstances. While any such waiver may facilitate the development and construction of Encore and thus benefit the holders of the notes, it also could result in funding additional amounts from the proceeds of the notes to the detriment of the holders of the notes. The disbursement agreement provides that, until all funds in the notes proceeds account have been exhausted, the proceeds of the notes will be used to fund two-thirds of each disbursement, while borrowings under our credit facilities will be used to fund one-third of each disbursement. As a result, the interests of the lenders under the credit facilities may not be aligned with those of the holders of the notes and, therefore, the lenders may be more willing to permit disbursements before the notes proceeds account is exhausted than after.</w:t>
      </w:r>
    </w:p>
    <w:p>
      <w:pPr>
        <w:spacing w:after="0" w:line="10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The intercreditor agreement permits the agent under our credit facilities to amend the terms of, and waive defaults under, the security documents and to amend certain provisions of the intercreditor agreement.</w:t>
      </w:r>
    </w:p>
    <w:p>
      <w:pPr>
        <w:spacing w:after="0" w:line="3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security documents create the liens on the collateral in favor of a collateral agent for the benefit of the holders of the notes and the lenders under our credit facilities. However, the intercreditor agreement grants the agent under the credit facilities certain rights that may adversely affect the interests of the holders of the notes under the security documents. The intercreditor agreement permits the agent under the credit facilities, without the consent of the holders of the notes, to direct the collateral agent to amend various terms of, and waive defaults under, the security documents. The agent under the credit facilities is entitled to exercise this right even at a time when no amounts are outstanding under the credit facilities. If the agent under the credit facilities exercises such rights, the holders of the notes may not be able to enforce the terms of the security documents and exercise their rights thereunder. The intercreditor agreement releases the agent for the lenders from all liability to the extent permitted by law, except for fraud or willful misconduct.</w:t>
      </w:r>
    </w:p>
    <w:p>
      <w:pPr>
        <w:spacing w:after="0" w:line="105"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addition, the agent under the credit facilities is entitled, at any time when the amount outstanding under the credit facilities equals or exceeds $100.0 million and without the consent of the trustee or the holders of the notes, to amend the subordination provisions that apply to any junior debt that we may incur. Any such amendment could increase, perhaps significantly, the rights of any holders of junior debt under the intercreditor agreement to the detriment of the holders of the notes. Any such amendment could also adversely affect the ability of the trustee or the holders of the notes to enforce remedies against the collateral and recover the proceeds thereof.</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intercreditor agreement limits the ability of holders of the notes to control decisions regarding the collateral and to take enforcement action.</w:t>
      </w:r>
    </w:p>
    <w:p>
      <w:pPr>
        <w:spacing w:after="0" w:line="10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intercreditor agreement provides that for the first 30 days following an occurrence of a payment default under the credit facilities or the indenture governing the notes, only the agent for the lenders under the credit facilities has the right to instruct the collateral agent to enforce their security interests and initiate the exercise of remedies against the collateral, and the holders of the notes have no right to direct such remedies. From and after the expiration of such 30 day period, either the agent for the lenders under the credit facilities, or the lenders under the credit facilities and holders of notes controlling a majority of the aggregate amount of loans and notes outstanding, may instruct the collateral agent to commence the exercise of remedies against the collateral. Given that the amount of loans advanced by the lenders under the credit facilities may, from time to time, be substantially smaller than the outstanding amount of the notes, the lenders’ interests may not be aligned with those of noteholders and the lenders may have different motives or strategies to protect their investment. As such, the lenders under the credit facilities may choose to instruct the collateral agent to enforce their security interests or may initiate the exercise of other remedies against the collateral at a given time even though allowing us additional time to resolve any issues or take any other actions could increase the likelihood of repayment of the notes.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gaming restrictions, in any foreclosure sale of Wynn Las Vegas or the gaming equipment constituting collateral securing the notes, the purchaser or the operator of the facility and/or such gaming equipment would need to be licensed to operate the resort’s casino under the Nevada gaming laws and regulations. If the trustee acting on behalf of the holders of the notes or the lenders under our credit facilities purchases Wynn Las Vegas at a foreclosure sale, the trustee or such lenders would not be permitted to continue gaming operations at Wynn Las Vegas unless it retained an entity licensed under the Nevada gaming laws to conduct gaming operations at the facility. The holders of the notes may have to be licensed or found suitable in any event.</w:t>
      </w:r>
    </w:p>
    <w:p>
      <w:pPr>
        <w:spacing w:after="0" w:line="10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notes upon acceleration of the notes is likely to be significantly impaired or delayed by applicable bankruptcy law if a bankruptcy case is commenced by or against us prior to a taking of possession or disposition of the collateral securing the notes by the trustee for the benefit of the holders of the notes.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Holders—Change of Control.”</w:t>
      </w:r>
    </w:p>
    <w:p>
      <w:pPr>
        <w:spacing w:after="0" w:line="13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our credit facilities will contain, and any future credit agreement likely will contain, restrictions or prohibitions on our ability to repurchase the notes under certain circumstances. If these change of control events occur at a time when we are prohibited from repurchasing the notes, we may seek the consent of our lenders to purchase the notes or could attempt to refinance the borrowings that contain these prohibitions or restrictions. If we do not obtain our lenders’ consent or refinance these borrowings, we will not be able to repurchase the notes. Accordingly, the holders of the notes may not receive the change of control purchase price for their notes in the event of a sale or other change of control, which will give the trustee and the holders of the notes the right to declare an event of default and accelerate the repayment of the mortgage notes. See “Description of the New Notes—Events of Default and Remedies.”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bankruptcy case were to be commenced by or against us, the right of the indenture trustee to repossess and dispose of the collateral upon the occurrence of an event of default under the indenture is likely to be significantly impaired by applicable bankruptcy law and may be affected by a bankruptcy even if repossession and disposition of the collateral occurs before bankruptcy. A bankruptcy case may be commenced by us or by unsecured or unsecured creditors, which may include the holders of notes, the lenders under our credit facilities or any other creditors, including junior creditors.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notes and the lenders under our credit facilities, from repossessing their security from a debtor in a bankruptcy case, or from disposing of collateral in their possession, without prior bankruptcy court approval. Moreover,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bankruptcy law permits the debtor to continue to retain and use the collateral even though the debtor is in default under the applicable debt instruments; provided that the secured creditor is given “adequate protection.”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term “adequate protection” is not specifically defined by applicable bankruptcy law and its meaning may vary according to circumstances, but it is generally intended to protect the value of the secured creditor’s interest in the collateral as of the commencement of bankruptcy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to use the funds in the notes proceeds account as cash collateral if the debtor provided adequate protection for such use by granting replacement liens on other collateral, which might not consist of liquid assets.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trustee could repossess or dispose of the collateral or whether or to what extent, through the requirement of “adequate protection,” the holders of the notes would be compensated for any delay in payment or loss of value of the collateral.</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Other factors specific to bankruptcy that might bear on the recovery by the holders of the notes in these circumstances, among others, would include:</w:t>
      </w:r>
    </w:p>
    <w:p>
      <w:pPr>
        <w:spacing w:after="0" w:line="100" w:lineRule="exact"/>
        <w:rPr>
          <w:sz w:val="20"/>
          <w:szCs w:val="20"/>
          <w:color w:val="auto"/>
        </w:rPr>
      </w:pPr>
    </w:p>
    <w:p>
      <w:pPr>
        <w:ind w:left="900" w:right="4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completion of Wynn Las Vegas;</w:t>
      </w:r>
    </w:p>
    <w:p>
      <w:pPr>
        <w:spacing w:after="0" w:line="37" w:lineRule="exact"/>
        <w:rPr>
          <w:rFonts w:ascii="Arial" w:cs="Arial" w:eastAsia="Arial" w:hAnsi="Arial"/>
          <w:sz w:val="18"/>
          <w:szCs w:val="18"/>
          <w:color w:val="auto"/>
        </w:rPr>
      </w:pPr>
    </w:p>
    <w:p>
      <w:pPr>
        <w:ind w:left="900" w:right="440" w:hanging="446"/>
        <w:spacing w:after="0" w:line="325"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lenders with higher priority liens may seek, and perhaps receive, relief from the automatic stay to foreclose their respective liens (see “—Under applicable law, certain liens securing any second mortgage notes may rank ahead in priority of the liens securing the notes”); and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a bankruptcy proceeding, the court would have broad discretion to approve transactions that could disadvantage the holders of the notes. For example, under certain circumstances, a court could approve our or third parties’ motions for sales of collateral on terms unfavorable to us, require you to accept subordinated or other securities in exchange for the notes, or substantive consolidation of us with Wynn Resorts in a bankruptcy in which Wynn Resorts was debtor. Regardless of the ultimate disposition of any of these or other motions or claims, we cannot assure you that during litigation of these issues our payments on the notes would be paid in full or on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rights under agreements serving as collateral for the notes may be rejected in bankruptcy.</w:t>
      </w:r>
    </w:p>
    <w:p>
      <w:pPr>
        <w:spacing w:after="0" w:line="77"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Among other things, contract rights under certain of our agreements serve as collateral for the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Sections 1123 and 1129 of the United States Bankruptcy Code and thus not be specifically enforceable against the debtor. Additionally, to the extent any rejected agreement constitutes a lease of real property, the resulting claim of the lessor for damages resulting from termination may be capped pursuant to Section 502(b)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(6) of the bankruptcy code.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such other affiliates becomes a debtor under the bankruptcy code. If a bankruptcy court concludes that substantive consolidation of us with any affiliated party referred to in this paragraph is warranted, the risks described above under “—Bankruptcy laws may significantly impair your rights to repossess and dispose of collateral securing the notes” and “—Contract rights under agreements serving as collateral for the notes may be rejected in bankruptcy” would apply as a result of such bankruptcy filing, whether or not we were then successfully operating Wynn Las Vegas and able to pay our obligations as they become due. If substantive consolidation is ordered, noteholders should expect payments on the notes to be delayed and/or reduced.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not secured by certain of our assets.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holders of the notes do not have a lien on our gaming or liquor licenses, because under the Nevada gaming laws they may not be pledged as collateral. Also, the aircraft owned by our subsidiary, World Travel, LLC will be financed separately, and does not secure the notes. Although the notes are expected to be secured by our planned $122.0 million loan to our affiliate, Wynn Group Asia, Inc., which holds Wynn Resorts’ interest in Wynn Macau, Wynn Macau is not owned by us and will not secure the notes. Accordingly, such assets will not be available to the holders upon an exercise of remedies under the collateral documents.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 holders’ liens on all or part of the collateral will be released if certain conditions are met.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liens on all of the collateral will be released if the lenders under our credit facilities release their security interest in such collateral (other than in connection with a refinancing) and (i) no default or event of default has occurred and is continuing, (ii) the completion date for Encore has occurred and (iii) the lenders under any other outstanding secured debt (other than capital lease obligations and purchase money indebtedness) have released their security interest in such collateral.</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so long as Encore is open and operating and (i) no default or event of default has occurred and is continuing immediately prior to or after giving effect to such release, (ii) the lenders under our credit facilities concurrently release their first priority security interest in the golf course land (other than in connection with a refinancing) and (iii) both immediately prior to the release of the security interest and after giving pro forma effect to such release our and our restricted subsidiaries’ total debt does not exceed 6.5 times Consolidated EBITDA (as defined in the indenture) for the last four full fiscal quarters.</w:t>
      </w:r>
    </w:p>
    <w:p>
      <w:pPr>
        <w:spacing w:after="0" w:line="1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that the security interests on all of the collateral are released, the notes will essentially become our unsecured obligations. Once the security interests in the golf course land and the related water rights are released, the note holders will have only a first priority lien on the assets comprising the hotel and casino and the equity interests of our restricted subsidiaries.</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primary purpose of the guarantees is to provide first priority liens on the assets of the subsidiary guarantors, including the golf course land and water rights but excluding, among other things, our aircraft. While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these assets are integral to Wynn Las Vegas, they are not expected to have operations that generate significant cash flows. As such, you should not expect any of the guarantors to contribute to any payments of principal, interest or other amounts required to be made on the notes.</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guarantees and the liens securing the guarantees and to require note holders to return payments received from us or the guarantors.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creditors or the creditors of our guarantors could challenge the note guarantees and the liens securing those guarantees as fraudulent conveyances or on other grounds. Under the federal bankruptcy law and comparable provisions of state fraudulent transfer laws, the delivery of the guarantees and the grant of the first priority liens securing the guarantees could be avoided as fraudulent transfers if a court determined that the guarantor, at the time it incurred the indebtedness evidenced by its guarantee or granted its lien:</w:t>
      </w:r>
    </w:p>
    <w:p>
      <w:pPr>
        <w:spacing w:after="0" w:line="4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126" w:lineRule="exact"/>
        <w:rPr>
          <w:rFonts w:ascii="Arial" w:cs="Arial" w:eastAsia="Arial" w:hAnsi="Arial"/>
          <w:sz w:val="16"/>
          <w:szCs w:val="16"/>
          <w:color w:val="auto"/>
        </w:rPr>
      </w:pPr>
    </w:p>
    <w:p>
      <w:pPr>
        <w:ind w:left="1360" w:hanging="555"/>
        <w:spacing w:after="0"/>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18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If the guarantees were avoided or limited under fraudulent transfer or other laws, any claim you may make against us for amounts payable on the notes would be unenforceable to the extent of such avoidance or limitation.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3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103"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guarantees or liens on collateral provided after the notes are issued could also be avoided as preferential transfers.</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indenture provides that certain future restricted subsidiaries will guarantee the notes and secure their guarantees with liens on their assets. The notes indenture also requires us to grant liens on certain assets that we and the existing guarantors acquire after the notes are issued. If any new guarantor providing new collateral for the notes is insolvent or anticipates insolvency at the time the guarantee or lien is granted, the guarantee or lien, as applicable, could be avoided as a preferential transfer. The guarantee or lien, as applicable, could also be avoided if the new guarantor commenced a bankruptcy within 90 days following the time the guarantee or lien is granted.</w:t>
      </w:r>
    </w:p>
    <w:p>
      <w:pPr>
        <w:spacing w:after="0" w:line="12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3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Unrestricted subsidiaries will generally not be subject to the covenants under the notes indenture, and their assets will not be available as security for the notes. Unrestricted subsidiaries may enter into financing arrangements that limit their ability to make loans or other payments to fund payments in respect of the notes. Accordingly, we may not be able to rely on the cash flow or assets of unrestricted subsidiaries to pay any of our indebtedness, including the notes.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0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indenture grants us the power to redeem the notes that you own or control if any gaming authority requires you, or a beneficial owner of the notes, to be licensed, qualified or found suitable under any applicable gaming law and:</w:t>
      </w:r>
    </w:p>
    <w:p>
      <w:pPr>
        <w:spacing w:after="0" w:line="37" w:lineRule="exact"/>
        <w:rPr>
          <w:sz w:val="20"/>
          <w:szCs w:val="20"/>
          <w:color w:val="auto"/>
        </w:rPr>
      </w:pPr>
    </w:p>
    <w:p>
      <w:pPr>
        <w:ind w:left="900" w:right="1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Under the foregoing circumstances, under the indenture, we may redeem, and if required by the applicable gaming authority, we must redeem, your notes to the extent required by the gaming authority or deemed necessary or advisable by us. The redemption price will be equal to:</w:t>
      </w:r>
    </w:p>
    <w:p>
      <w:pPr>
        <w:spacing w:after="0" w:line="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03"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any other requirement under applicable gaming laws. If you purchase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26" w:lineRule="exact"/>
        <w:rPr>
          <w:sz w:val="20"/>
          <w:szCs w:val="20"/>
          <w:color w:val="auto"/>
        </w:rPr>
      </w:pPr>
    </w:p>
    <w:p>
      <w:pPr>
        <w:ind w:left="900" w:right="3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103" w:lineRule="exact"/>
        <w:rPr>
          <w:rFonts w:ascii="Arial" w:cs="Arial" w:eastAsia="Arial" w:hAnsi="Arial"/>
          <w:sz w:val="18"/>
          <w:szCs w:val="18"/>
          <w:color w:val="auto"/>
        </w:rPr>
      </w:pPr>
    </w:p>
    <w:p>
      <w:pPr>
        <w:ind w:left="1360" w:right="180" w:hanging="555"/>
        <w:spacing w:after="0" w:line="268"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will also provide that as soon as you are required to sell your notes as a result of a gaming authority action, you will, to the extent required by applicable gaming laws, have no further right:</w:t>
      </w:r>
    </w:p>
    <w:p>
      <w:pPr>
        <w:spacing w:after="0" w:line="4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103"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15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and, if so,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established trading market for the new notes, and you may find it difficult to sell your new notes.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There is no existing trading market for the new notes. We do not intend to apply for listing or quotation of the new notes on any exchange. Therefore, we do not know if investor interest will lead to the development of a trading market or how liquid that market may be, if new note holders will be able to sell their new notes, the amount of new notes that will be outstanding following the exchange offer or the price at which the new notes might be sold. As a result, the market price of the new notes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who fail to exchange their old notes will continue to be subject to restrictions on transfer.</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you do not exchange your old notes for new notes in the exchange offer, you will continue to be subject to the restrictions on transfer of your old notes described in the legend on the certificates for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 of old notes will decrease the liquidity of the old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not conditioned the exchange offer on receipt of any minimum or maximum principal amount of old notes. As old notes are tendered and accepted in the exchange offer, the principal amount of remaining outstanding old notes will decrease. This decrease will reduce the liquidity of the trading market of the old notes, which decrease may be substantial. There may not be a trading market for the outstanding notes following the exchange offer. For further information regarding the consequences of tendering your old notes in the exchange offer, see the discussions below under the captions “The Exchange Offer—Consequences of Exchanging or Failing to Exchange Old Notes” and “Material United States Federal Income Tax Considerations.”</w:t>
      </w:r>
    </w:p>
    <w:p>
      <w:pPr>
        <w:spacing w:after="0" w:line="10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notes. If you fail to comply with the exchange offer procedures, your notes will continue to be subject to restrictions on transfer.</w:t>
      </w:r>
    </w:p>
    <w:p>
      <w:pPr>
        <w:spacing w:after="0" w:line="3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37" w:lineRule="exact"/>
        <w:rPr>
          <w:sz w:val="20"/>
          <w:szCs w:val="20"/>
          <w:color w:val="auto"/>
        </w:rPr>
      </w:pPr>
    </w:p>
    <w:p>
      <w:pPr>
        <w:ind w:left="900" w:right="320" w:hanging="446"/>
        <w:spacing w:after="0" w:line="325"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certificates for old notes or a book-entry confirmation of a book-entry transfer of old notes into the exchange agent’s account at DTC, New York, New York as a depository, including an agent’s message if the tendering holder does not deliver a letter of transmittal;</w:t>
      </w:r>
    </w:p>
    <w:p>
      <w:pPr>
        <w:spacing w:after="0" w:line="1"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completed and signed letter of transmittal (or facsimile thereof), with any required signature guarantees, or, in the case of a book-entry transfer, an agent’s message in lieu of the letter of transmittal;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old notes to be delivered on time or the procedure for book entry transfer to be completed prior to the expiration or termination of the exchange offer.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“The Exchange Offer—Procedures for Tendering Old Notes” and “The Exchange Offer—Consequences of Exchanging or Failing to Exchange Old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earnings were insufficient to cover our fixed charges by $1.5 million, $8.0 million, $18.3 million, $103.2 million and $277.0 million for the period from inception to December 31, 2000, and for the years ended December 31, 2001, 2002, 2003 and 2004, respectively. Our earnings were insufficient to cover our fixed charges by $53.6 million and $33.1 million for the three months ended March 31, 2005 and 2004, respectively, and by $461.6 million for the period from inception to March 31, 2005. For purposes of computing the ratio of earnings to fixed charges, “earnings” consist of (loss) income before income taxes and fixed charges. “Fixed charges” consist of interest cost whether expensed or capitalized and amortization of debt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on a consolidated basis, as of March 31, 2005.</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data should be read in conjunction with “Management’s Discussion and Analysis of Financial Condition and Results of Operations” and the consolidated financial statements and notes thereto included in this prospectus.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88"/>
              </w:rPr>
              <w:t>As of 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86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w:t>
            </w:r>
          </w:p>
        </w:tc>
        <w:tc>
          <w:tcPr>
            <w:tcW w:w="6100" w:type="dxa"/>
            <w:vAlign w:val="bottom"/>
            <w:gridSpan w:val="3"/>
          </w:tcPr>
          <w:p>
            <w:pPr>
              <w:ind w:left="59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12% second mortgage notes</w:t>
            </w: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860"/>
              <w:spacing w:after="0"/>
              <w:rPr>
                <w:sz w:val="20"/>
                <w:szCs w:val="20"/>
                <w:color w:val="auto"/>
              </w:rPr>
            </w:pPr>
            <w:r>
              <w:rPr>
                <w:rFonts w:ascii="Arial" w:cs="Arial" w:eastAsia="Arial" w:hAnsi="Arial"/>
                <w:sz w:val="18"/>
                <w:szCs w:val="18"/>
                <w:color w:val="auto"/>
              </w:rPr>
              <w:t>Credit facilities</w:t>
            </w:r>
          </w:p>
        </w:tc>
        <w:tc>
          <w:tcPr>
            <w:tcW w:w="5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5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members’ equity</w:t>
            </w:r>
          </w:p>
        </w:tc>
        <w:tc>
          <w:tcPr>
            <w:tcW w:w="5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1,250,238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100" w:type="dxa"/>
            <w:vAlign w:val="bottom"/>
            <w:gridSpan w:val="3"/>
            <w:shd w:val="clear" w:color="auto" w:fill="CCEEFF"/>
          </w:tcPr>
          <w:p>
            <w:pPr>
              <w:ind w:left="59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940" w:type="dxa"/>
            <w:vAlign w:val="bottom"/>
            <w:vMerge w:val="restart"/>
          </w:tcPr>
          <w:p>
            <w:pPr>
              <w:jc w:val="right"/>
              <w:ind w:right="4292"/>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6469380</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selected data presented below as of December 31, 2004, 2003, 2002, 2001 and 2000, and for the years ended December 31, 2004, 2003, 2002 and 2001 and the period from inception (April 21, 2000) through December 31, 2000 is derived from the consolidated financial statements of the Company, which have been audited by Deloitte &amp; Touche LLP, independent registered public accountants. The consolidated financial statements as of December 31, 2004 and 2003, and for the years ended December 31, 2004, 2003 and 2002 and the period from inception through December 31, 2004, and the auditors’ report thereon, are included elsewhere in this prospectus. The consolidated statement of operations data for the three months ended March 31, 2005 and 2004 and for the period from inception to March 31, 2005, and the consolidated balance sheet data as of March 31, 2005, have been derived from our unaudited interim consolidated financial statements and related notes included elsewhere in this prospectus.</w:t>
      </w:r>
    </w:p>
    <w:p>
      <w:pPr>
        <w:spacing w:after="0" w:line="105"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This data should be read together with the Company’s consolidated financial statements and notes thereto, “Management’s Discussion and Analysis of Financial Condition and Results of Operations” and the other information contained in this prospectus.</w:t>
      </w:r>
    </w:p>
    <w:tbl>
      <w:tblPr>
        <w:tblLayout w:type="fixed"/>
        <w:tblInd w:w="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8"/>
          </w:tcPr>
          <w:p>
            <w:pPr>
              <w:jc w:val="right"/>
              <w:ind w:right="460"/>
              <w:spacing w:after="0" w:line="139"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gridSpan w:val="9"/>
            <w:vMerge w:val="restart"/>
          </w:tcPr>
          <w:p>
            <w:pPr>
              <w:jc w:val="right"/>
              <w:ind w:right="140"/>
              <w:spacing w:after="0"/>
              <w:rPr>
                <w:sz w:val="20"/>
                <w:szCs w:val="20"/>
                <w:color w:val="auto"/>
              </w:rPr>
            </w:pPr>
            <w:r>
              <w:rPr>
                <w:rFonts w:ascii="Arial" w:cs="Arial" w:eastAsia="Arial" w:hAnsi="Arial"/>
                <w:sz w:val="14"/>
                <w:szCs w:val="14"/>
                <w:b w:val="1"/>
                <w:bCs w:val="1"/>
                <w:color w:val="auto"/>
                <w:w w:val="87"/>
              </w:rPr>
              <w:t>Years Ended December 31,</w:t>
            </w: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gridSpan w:val="8"/>
            <w:vMerge w:val="restart"/>
          </w:tcPr>
          <w:p>
            <w:pPr>
              <w:jc w:val="right"/>
              <w:ind w:right="36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11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1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6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76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7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2000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8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13"/>
          </w:tcPr>
          <w:p>
            <w:pPr>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Net revenues(1)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center"/>
              <w:ind w:left="54"/>
              <w:spacing w:after="0"/>
              <w:rPr>
                <w:sz w:val="20"/>
                <w:szCs w:val="20"/>
                <w:color w:val="auto"/>
              </w:rPr>
            </w:pPr>
            <w:r>
              <w:rPr>
                <w:rFonts w:ascii="Arial" w:cs="Arial" w:eastAsia="Arial" w:hAnsi="Arial"/>
                <w:sz w:val="18"/>
                <w:szCs w:val="18"/>
                <w:color w:val="auto"/>
                <w:w w:val="88"/>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w w:val="79"/>
              </w:rPr>
              <w:t>712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(16,437)</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(2,972)</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(29,091)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(6,813)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(93,528)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(46,431)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(18,981)</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(4,855)</w:t>
            </w:r>
          </w:p>
        </w:tc>
        <w:tc>
          <w:tcPr>
            <w:tcW w:w="920" w:type="dxa"/>
            <w:vAlign w:val="bottom"/>
            <w:gridSpan w:val="5"/>
          </w:tcPr>
          <w:p>
            <w:pPr>
              <w:jc w:val="right"/>
              <w:ind w:right="140"/>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(30,659)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(7,548)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(104,093)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loss accumulated during the development stage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(161,917)</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(15,973)</w:t>
            </w:r>
          </w:p>
        </w:tc>
        <w:tc>
          <w:tcPr>
            <w:tcW w:w="8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$(4,833)</w:t>
            </w:r>
          </w:p>
        </w:tc>
        <w:tc>
          <w:tcPr>
            <w:tcW w:w="9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(1,463)</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5"/>
              </w:rPr>
              <w:t>$ (26,908)</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$(6,770)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310"/>
        </w:trPr>
        <w:tc>
          <w:tcPr>
            <w:tcW w:w="1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2"/>
              </w:rPr>
              <w:t>As of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w w:val="83"/>
              </w:rPr>
              <w:t>2003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0"/>
              </w:rPr>
              <w:t>March 31, 2005</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25,691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18,234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57,270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792,729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1,448,328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565,230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89,893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1,731,475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2,788,101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1,155,710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3,204,152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Total long-term obligations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1,356,593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927,327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914,949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180"/>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1,710,207</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 (deficiency)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$ 1,276,667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229,075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3"/>
              </w:rPr>
              <w:t>$ (3,167)</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3"/>
              </w:rPr>
              <w:t>$ (1,463)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1,250,238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revenues in 2002, 2001 and 2000 reflect charter revenue earned from the ownership and charter of an aircraft that was sold in February 2002.</w:t>
      </w:r>
    </w:p>
    <w:p>
      <w:pPr>
        <w:spacing w:after="0" w:line="99" w:lineRule="exact"/>
        <w:rPr>
          <w:rFonts w:ascii="Arial" w:cs="Arial" w:eastAsia="Arial" w:hAnsi="Arial"/>
          <w:sz w:val="16"/>
          <w:szCs w:val="16"/>
          <w:color w:val="auto"/>
        </w:rPr>
      </w:pPr>
    </w:p>
    <w:p>
      <w:pPr>
        <w:ind w:left="460" w:right="2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financings and capital contributions from Wynn Resorts that are restricted for the construction of Wynn Las Vegas and the development of Encore. These proceeds are primarily in relatively short-term government-backed debt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With the opening of Wynn Las Vegas on April 28, 2005, we have commenced our principal operations. From inception until the opening of Wynn Las Vegas, we had been primarily a casino resort development company. Our efforts had been devoted principally to the development and construction activities described below with respect to Wynn Las Vegas.</w:t>
      </w:r>
    </w:p>
    <w:p>
      <w:pPr>
        <w:spacing w:after="0" w:line="12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continue to develop the Encore Budget, Plans and Specifications, and we expect Encore to open in the first half of 2008. There are significant risks associated with any major construction project, and unexpected developments or delays could occur.</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Las Vegas, including the resort’s on-site golf course, occupies approximately 197 acres of land fronting the Las Vegas Strip and utilizes an additional 18 acres across Sands Avenue for employee parking. The resort opened on April 28, 2005, offering 2,716 rooms and suites and a full complement of restaurants, nightclubs, bars, lounges and entertainment and recreational venues. Approximately 10,000 employees were recently hired and trained. Management believes it has appropriately staffed Wynn Las Vegas to account for the increased needs at and immediately following its opening. Management expects that natural staffing attrition will occur as operations stabilize.</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total cost of Wynn Las Vegas is estimated to be in the range of $2.7 to $2.75 billion, including the cost of acquiring approximately 235 acres of land, costs of design and construction, capitalized interest, pre-opening expenses, financing fees and construction contingencies, but excluding the incremental cost for Encore, other than the land for Encore. Through March 31, 2005, we had funded approximately $2.4 billion of project costs for Wynn Las Vegas primarily from a combination of cash on hand from capital contributed by our ultimate parent company, Wynn Resorts, proceeds from the issuance of the Second Mortgage Notes which recently were discharged, a portion of the proceeds from the issuance of the First Mortgage Notes and a portion of the borrowings under our previous and currrent credit facilities. As of March 31, 2005, we estimated that $335.0 to $385.0 million would be needed to complete Wynn Las Vegas. However, consistent with large-scale construction projects, determination of the final project cost is subject to a complete accounting after the date of final completion (as defined in the contract with the general contractor), which will occur in late 2005. Remaining work includes completing construction punch lists and the Broadway Theater, which will open in September 2005.</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December 2004, Wynn Resorts contributed $400.0 million to us from the proceeds of the November 2004 offering of 7.5 million shares of Wynn Resorts’ common stock. Also, on December 14, 2004, we effected a series of transactions to refinance our debt and raise additional funds for Encore. These transactions included, among other things, the issuance of First Mortgage Notes, a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provides the financial flexibility to allow for the further development of our real estate assets.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$400.0 million contribution from Wynn Resorts’ common stock offering, a portion of the remaining proceeds from the First Mortgage Notes, availability under our credit facilities, our construction contingencies and our completion guarantee and liquidity reserve are expected to provide sufficient funds to pay for the actual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cost of developing Wynn Las Vegas. We anticipate using a significant portion of our $50.0 million completion guarantee balance for Wynn Las Vegas and to the extent such funds are used, Wynn Las Vegas’ development costs will increase accordingly.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Wynn Resorts is not a guarantor of our debt and is not obligated to apply any of its funds to the Wynn Las Vegas project, although it has more than $300.0 million in unrestricted cash that could be made available.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continue to refine the scope of Encore. We have elevated Encore to the status of a free standing casino resort which is fully integrated with Wynn Las Vegas. As currently designed, Encore includes a hotel tower consisting of approximately 1,100 suites and approximately 1,400 guest rooms. In addition, the current plans for Encore include approximately 200,000 square feet of convention and meeting space, a 50,000 square foot casino, additional entertainment venues, restaurants, a spa and salon, swimming pools and retail space. The scope and design of Encore remain subject to the approval of Wynn Resorts’ board of directors. We currently anticipate that Encore will open in the first half of 2008.</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expect that the remaining proceeds from the First Mortgage Notes, together with availability under our existing credit facilities and cash flow from the operations of Wynn Las Vegas, will be sufficient to pay for expenditures of up to $1.4 billion on the Encore project without incurring additional debt or receiving additional capital contributions from Wynn Resorts. We are permitted to spend up to $100.0 million from the proceeds of the First Mortgage Notes and our credit facilities to fund costs related to Encore prior to the time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a majority of the arrangers or a majority of lenders under our credit facilities by June 30, 2005. Once we have finalized the scope and plans for Encore, we will seek the necessary consents and approvals from our lenders and noteholders.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consolidated financial statements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March 31, 2005,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105" w:lineRule="exact"/>
        <w:rPr>
          <w:sz w:val="20"/>
          <w:szCs w:val="20"/>
          <w:color w:val="auto"/>
        </w:rPr>
      </w:pPr>
    </w:p>
    <w:p>
      <w:pPr>
        <w:jc w:val="center"/>
        <w:ind w:right="22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period of the construction of Wynn Las Vegas, direct costs such as those expected to be incurred for the design and construction of the Wynn Las Vegas hotel and casino, the golf course, parking garage and the water-based entertainment production, including interest, are capitalized. Accordingly, the recorded amounts of property and equipment increased significantly during the construction period. Depreciation expense related to the capitalized construction costs are recognized when the related assets are put in service. Accordingly, as a result of the commencement of operations at Wynn Las Vegas on April 28, 2005, significant amounts of depreciation expense will be recognized in the second quarter of 2005 based on the estimated useful life of the corresponding assets. This will have a significant effect on the results of our operations.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commenced principal operations on April 28, 2005, when Wynn Las Vegas opened to the public. For the period from inception to March 31, 2005, we were a development stage company. As is customary for a development stage company, we did not have revenues and, consequently, we incurred losses during this period. These losses increased commensurate with increased staff salaries and other pre-opening expenses as the Wynn Las Vegas project progressed. The acceleration of these costs was expected and was included in the project budget. We do not expect that our operating results prior to opening Wynn Las Vegas will be indicative of operating results thereafter.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three months ended March 31, 2005 compared to the three months ended March 31, 2004.</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development stage operations resulted in a net loss for the three months ended March 31, 2005 of approximately $26.9 million, a 297% increase over the net loss of approximately $6.8 million for the three months ended March 31, 2004, due to increased development activities.</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Total expenses for the three months ended March 31, 2005 increased approximately $23.1 million, or 306%, to $30.7 million, as compared to $7.5 million for the three months ended March 31, 2004, primarily due to an approximately $22.3 million, or 327%, increase in preopening costs to $29.1 million for the three months ended March 31, 2005, from $6.8 million for the three months ended March 31, 2004. The increase in pre-opening costs, which consist primarily of salaries and wages and consulting and legal fees, is directly attributable to the increase in preopening activities of Wynn Las Vegas as compared to the same period in the prior year.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(expense), net for the three months ended March 31, 2005, increased approximately $3.0 million to approximately $3.8 million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$778,000 for the three months ended March 31, 2004, as a result of the increase in interest income compared to the first quarter of 2004. The increase resulted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increased cash available and invested from the proceeds from the First Mortgage Notes originally issued in December 2004.</w:t>
      </w:r>
    </w:p>
    <w:p>
      <w:pPr>
        <w:spacing w:after="0" w:line="1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Comprehensive income for the three months ended March 31, 2005 of approximately $7.7 million increased from a comprehensive loss of $11.9 million for the three months ended March 31, 2004, due to the change in the fair value of our two interest rate swaps.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regulations. As of March 31, 2005 and December 31, 2004, we recorded approximately $8.3 million and $583,000 in other assets, respectively, to reflect their fair value. These fair value amounts approximate the amount we would pay or receive if these contracts were settled at these dates. The increase in fair value of $7.7 million recorded as a component of comprehensive income at March 31, 2005, was primarily due to higher short-term interest rates at March 31, 2005, compared to those rates at December 31, 2004.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 ended December 31, 2004 compared to the year ended December 31, 2003</w:t>
      </w:r>
    </w:p>
    <w:p>
      <w:pPr>
        <w:spacing w:after="0" w:line="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development operations resulted in a net loss for the year ended December 31, 2004 of approximately $161.9 million, a 914% increase over the net loss of approximately $16.0 million for the year ended December 31, 2003, due to increased development activities, such as increased staffing, and financing activities, such as the loss on early retirement of debt.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$2.5 million, $2.7 million and $6.9 million for the years ended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December 31, 2003 and 2002 and for the period from inception to December 31, 2004. Total expenses for the year ended December 31, 2004 increased approximately $27.5 million, or 145%, to $46.4 million, as compared to $19.0 million for the year ended December 31, 2003. Preopening costs increased by $24.6 million to $41.1 million for the year ended December 31, 2004, as compared to $16.4 million for 2003. The increase in pre-opening costs, which consist primarily of salaries and wages and consulting and legal fees, is directly attributable to an increase in pre-opening activities, including staffing increases, as compared to the same period in the prior year. Management expects pre-opening costs to continue to increase as the development of Wynn Las Vegas progresses. In 2004, we sold our existing corporate aircraft and purchased another aircraft. The aircraft sale resulted in a loss of approximately $550,000. In addition, depreciation expenses increased as a result of the aircraft purchases. The increased depreciation of approximately $1.7 million for 2004 compared to 2003 and the additional losses on the sale of the aircraft, are the primary components of the remaining increase in total expenses over the prior year.</w:t>
      </w:r>
    </w:p>
    <w:p>
      <w:pPr>
        <w:spacing w:after="0" w:line="10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during the year ended December 31, 2004, incidental operations relating to certain cellular tower rental income plus the loss from the brief operation of an apartment complex purchased in July 2004 for the future development of a parking facility produced an increase in the loss from incidental operations of approximately $575,000 from $425,000 to $1.0 million.</w:t>
      </w:r>
    </w:p>
    <w:p>
      <w:pPr>
        <w:spacing w:after="0" w:line="12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Other income (expense), net for the year ended December 31, 2004 decreased approximately $118.5 million to an expense of approximately $115.5 million from income of approximately $3.0 million for the year ended December 31, 2003, primarily as a result of losses sustained from the early retirement of debt in both the second and fourth quarters of 2004. On June 14, 2004, we recorded a loss of approximately $25.6 million due to the early retirement of a portion of the Second Mortgage Notes. This loss is attributable to the 112% redemption premium and to write-offs of unamortized original issue discount and debt issuance costs. On December 14, 2004, as part of the refinancing discussed below (See Liquidity and Capital Resources—Refinancing), we recorded an additional loss on the early retirement of debt totaling approximately $92.7 million. This loss reflects the tender price on approximately $237.4 million of Second Mortgage Notes plus the writeoffs of the related unamortized original issue discount and debt issuance costs. Also, during the year ended December 31, 2004 there was a $5.0 million decrease in interest expense, and an approximately $5.2 million decrease in interest income. Lower interest income is primarily attributable to the decrease in average amount of cash from the net proceeds from equity and debt financing activity as the funds were used to construct Wynn Las Vegas, while the interest expense decreased due to increased capitalization of interest expense commensurate with the progress on the construction of Wynn Las Vegas.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Comprehensive income decreased from a gain of $8.8 million for the year ended December 31, 2003 to a gain of approximately $1.2 million for the year ended December 31, 2004, due to the increase and decrease, respectively, in the fair value of our two interest rate swaps entered into during the second quarter of 2003 combined with (for 2004 only) the change in the fair value of two new interest rate swaps that we entered into in connection with the refinancing on December 14, 2004. When we refinanced our outstanding indebtedness, we terminated the interest rate swaps associated with our former credit facilities and entered into two new interest rate swaps to hedge the interest rate risk on $400.0 million of term loan borrowings under our credit facilities. Although we received a cash settlement of approximately $9.6 million on terminating the former swaps, we are amortizing this amount from other comprehensive income into earnings over the original life of the former swap contracts (December 2006). Both our former and our new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for the year ended December 31, 2003 compared to the year ended December 31, 2002</w:t>
      </w:r>
    </w:p>
    <w:p>
      <w:pPr>
        <w:spacing w:after="0" w:line="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year ended December 31, 2003, of approximately $16.0 million, an $11.1 million or 230% increase over the net loss of approximately $4.8 million for the year ended December 31, 2002, due to increased development activities.</w:t>
      </w:r>
    </w:p>
    <w:p>
      <w:pPr>
        <w:spacing w:after="0" w:line="7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$2.5 million, $2.7 million and $6.9 million for the years ended December 31, 2003 and 2002 and for the period from inception to December 31, 2004. Consequently, all periods presented were reclassified to conform to this presentation. As a result, the aircraft revenue in 2002 reflects third party charter revenue. The corporate aircraft owned by us subsequent to February 2002, when we sold our first corporate aircraft, have not been licensed for charter services. Accordingly, we no longer have third party charter revenues. Total revenues for the year ended December 31, 2003, decreased approximately $14,000 or 100% from total revenues of approximately $14,000 for the year ended December 31, 2002, primarily due to increased patronage of the art gallery and related retail store.</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Total expenses for the year ended December 31, 2003 increased approximately $14.1 million, or 290%, to $19.0 million, as compared to $4.9 million for the year ended December 31, 2002, primarily due to an approximately $13.5 million or 453% increase in pre-opening costs to $16.4 million for the year ended December 31, 2003 from $3.0 million for the year ended December 31, 2002. The increase in pre-opening costs, which consist primarily of salaries and wages, including non-recurring employee separation expenses of approximately $1.4 million, and consulting and legal fees, is directly attributable to an increase in pre-opening activities as compared to the same period in the prior year. We expect pre-opening costs to continue to increase as development of Wynn Las Vegas progresses.</w:t>
      </w:r>
    </w:p>
    <w:p>
      <w:pPr>
        <w:spacing w:after="0" w:line="13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income/(expense)—net for the year ended December 31, 2003, increased to approximately $3.0 million from approximately $22,000 of income during the year ended December 31, 2002. Interest expense for the year ended December 31, 2003 increased approximately $3.2 million, or 170%, to approximately $5.1 million over the interest expense of approximately $1.9 million for the year ended December 31, 2002, due primarily to the commitment fees related to certain of the unused outstanding debt facilities entered into in October 2002. Offsetting the increase in interest expense is an increase in interest income for the year ended December 31, 2003 of approximately $6.2 million, or 325%, to approximately $8.1 million over interest income of approximately $1.9 million for the year ended December 31, 2002, as a result of the significant increase in invested cash from the net proceeds from equity and debt financing activity.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strength and profitability of our business depends on consumer demand for casino resorts, in general, and for the specific types of luxury amenities that Wynn Las Vegas will offer. Adverse changes in consumer preferences, discretionary income and general economic conditions, as well as fears of recession, reduced consumer confidence in the economy, the possibility of continued terrorist activities in the United States and elsewhere, the war in Iraq and other military conflicts in the Middle East, a resurgence of SARS or another infectious disease or a natural disaster such as the tsunami that struck southeast Asia in December 2004, could reduce customer demand for the products and services we will offer, thus imposing practical limits on pricing and harming our operations. Furthermore, in the near term, our development activities may be impacted by various economic factors, including, among other things, the availability and cost of materials, the availability of labor resources, interest rate levels and legislative and regulatory issues relating to gaming and taxes.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At March 31, 2005, we had approximately $57.3 million of cash and cash equivalents. In addition, we had approximately $827.3 million in restricted cash and investments from the proceeds of our debt financings. These funds are restricted for the development, construction and preopening expenses associated with Wynn Las Vegas and Encore. These amounts include $80.0 million restricted for a Wynn Las Vegas liquidity reserve and completion guarantee ($30.0 million of which must be retained or replenished for Encore for a completion guarantee if the Encore Budget, Plans and Specifications are approved).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for Wynn Las Vegas and Encore</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March 31, 2005, approximately $2.4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issuance of our recently discharged Second Mortgage Notes, a portion of the proceeds from the First Mortgage Notes and a portion of the borrowings under our previous and current credit facilities. On December 14, 2004, as described in more detail below, we completed a series of transactions that refinanced our debt structure and raised additional funds that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provides us with the financial flexibility to continue to develop our real estate assets.</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May 2004, we amended documents governing our former credit facilities to release from certain development and other restrictions, the approximately 20 acres owned by our affiliate, on which the remaining buildings of the former Desert Inn then stood, so that the land would be available for what is to become Encore. The land was then used to collateralize a $143.4 million borrowing (the “Land Loan”) by our affiliate under a credit agreement bearing interest at London Interbank Offered Rate (“LIBOR”) plus 5.5%. The proceeds of the Land Loan were contributed to us by our affiliate and used to fund a portion of the costs of Wynn Las Vegas and Encore.</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Later in May 2004, Wynn Resorts completed a public offering of seven million shares of its common stock at a price of $38.75 per share, which, after underwriting discounts and commissions, generated net proceeds of approximately $268.2 million. A portion of the proceeds were contributed to us to repurchase a portion of the Second Mortgage Notes, as discussed below.</w:t>
      </w:r>
    </w:p>
    <w:p>
      <w:pPr>
        <w:spacing w:after="0" w:line="12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On June 14, 2004, pursuant to the indenture governing the Second Mortgage Notes, the issuers repurchased approximately $122.4 million of the $370 million in aggregate principal amount of the Second Mortgage Notes outstanding. The total price of the redemption was approximately $138.9 million, equal to 112.0% of the aggregate principal amount of the Second Mortgage Notes repurchased, plus accrued and unpaid interest thereon. In connection with the redemption, we wrote off approximately $7.0 million of the unamortized original issue discount and approximately $3.9 million of unamortized deferred financing costs associated with the Second Mortgage Notes. Accordingly, we recognized a loss on the early retirement of debt in the second quarter of 2004 of approximately $25.6 million to reflect the write-offs and the $14.7 million redemption premium.</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November and December 2004, Wynn Resorts completed the sale of 8,625,000 shares of its common stock at a price of $61.00 per share, which, after underwriting discounts and commissions, generated net proceeds of approximately $521.2 million. We received a capital contribution of $400.0 million of the net proceeds, which was used for the development of Wynn Las Vegas and Encore.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During 2004, we continued to borrow available amounts under our former credit facilities. On December 14, 2004, we completed a refinancing of our indebtedness whereby the issuers:</w:t>
      </w:r>
    </w:p>
    <w:p>
      <w:pPr>
        <w:spacing w:after="0" w:line="37"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Issued $1.3 billion of First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Repurchased $237.4 million of the outstanding $247.6 million of Second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Repaid our affiliate’s outstanding $143.4 million balance on the Land Loan described above;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Repaid the outstanding $250.0 million balance of term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Repaid the outstanding $208.6 million balance of revolving credit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Repaid the outstanding $70.3 million balance of loans under our previous furniture, fixtures and equipment loan facility (the “FF&amp;E Facility”);</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a new $1.0 billion credit facility;</w:t>
      </w:r>
    </w:p>
    <w:p>
      <w:pPr>
        <w:spacing w:after="0" w:line="103"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Terminated the two former interest rate swap agreements hedging the interest rate risk on a total of $825.0 million of available variable-rate borrowings under our previous credit facilities; and</w:t>
      </w:r>
    </w:p>
    <w:p>
      <w:pPr>
        <w:spacing w:after="0" w:line="37"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two new interest rate swap agreements to hedge the interest rate risk on $400.0 million of term loan borrowings under the credit facilities.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this refinancing, we recorded a loss on the extinguishment of debt of approximately $92.7 million. This loss consists of the Second Mortgage Notes tender premium and associated consent fees of approximately $62.9 million, prepayment penalties on the FF&amp;E Facility of approximately $1.6 million, the writeoff of the tendered portion of the original issue discount relating to the Second Mortgage Notes of approximately $12.6 million and writeoffs of debt issue costs associated with the Second Mortgage Notes and the former debt facilities of approximately $15.6 million. The refinancing lowers our long-term interest expense and also provides the financial flexibility for the further development of our real property assets.</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Also, in connection with the termination of the two former interest rate swaps noted above, we received a cash settlement of approximately $9.6 million. The gain realized from the former swaps is being amortized out of other comprehensive income into earnings through December 2006 (the life of the original swaps).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first quarter of 2005, we borrowed the remaining $373.4 million available under the $400.0 million delay draw term loan facility, as was required under the agreements governing the credit facilities. The total $400.0 million of proceeds are being used to help finance the construction of Wynn Las Vegas and Encore. For a summary of our credit facilities, see “Description of Credit Facilities.”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will fund the costs to achieve final completion (as defined in the contract with the general contractor) of Wynn Las Vegas pursuant to the disbursement agreement that we entered into with the agent for the lenders under the credit facilities and the Indenture Trustee. Under the disbursement agreement, we will use funds in the following order of priority:</w:t>
      </w:r>
    </w:p>
    <w:p>
      <w:pPr>
        <w:spacing w:after="0" w:line="46" w:lineRule="exact"/>
        <w:rPr>
          <w:sz w:val="20"/>
          <w:szCs w:val="20"/>
          <w:color w:val="auto"/>
        </w:rPr>
      </w:pPr>
    </w:p>
    <w:p>
      <w:pPr>
        <w:ind w:left="900" w:hanging="446"/>
        <w:spacing w:after="0" w:line="325"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First, by using any remaining proceeds from the First Mortgage Notes, and the proceeds of borrowings under the credit facilities, until exhaustion of the First Mortgage Notes proceeds, with amounts funded 66.67% from notes proceeds and 33.33% from the credit facilities;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by using proceeds of additional borrowings under our credit facilities; and</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by using the funds made available to us on a gradual basis from the $50 million completion guarantee deposit account and the $30 million liquidity reserve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summary of the disbursement agreement, see “Disbursement Agreement.”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expect to use our construction contingencies and a significant portion of the completion guarantee to achieve final completion of Wynn Las Vegas. As the completion guarantee funds are committed for use, the final cost of the Wynn Las Vegas project will increase correspondingly. Consistent with large-scale construction projects, determination of the final project cost is subject to a complete accounting after the date of final completion (as defined in the contract with the general contractor), which will occur in late 2005.</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Through March 31, 2005, we have funded approximately $36.7 million of costs associated with the design and pre-development of Encore. Until such time as the Encore Budget, Plans and Specifications have been submitted by us and approved by a majority of the arrangers or a majority of the lenders under our credit facilities, the disbursement agreement permits disbursements of up to $100.0 million to pay for development costs for Encore. If the Encore Budget, Plans and Specifications are approved by June 30, 2005, then we expect to fund construction of Encore with remaining proceeds of the First Mortgage Notes, borrowings under our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June 30, 2005, then the amount available under our credit facilities, and the amount of indebtedness that the indenture for the First Mortgage Notes will permit us to incur for this purpose, will be reduced by $550.0 million.</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and the use of derivative financial instruments. Our two new interest rate swaps have been designated as cash flow hedges of $400.0 million of term loan borrowings under our credit facilities in accordance Statement of Financial Accounting Standards No. 133, “Accounting for Derivative Instruments and Hedging Activities” (“SFAS No. 133”). As of March 31, 2005, we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 for the year ended December 31, 2004.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Commercial Commitments</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 at December 31, 2004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80" w:type="dxa"/>
            <w:vAlign w:val="bottom"/>
            <w:gridSpan w:val="3"/>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740" w:type="dxa"/>
            <w:vAlign w:val="bottom"/>
          </w:tcPr>
          <w:p>
            <w:pPr>
              <w:spacing w:after="0"/>
              <w:rPr>
                <w:sz w:val="15"/>
                <w:szCs w:val="15"/>
                <w:color w:val="auto"/>
              </w:rPr>
            </w:pPr>
          </w:p>
        </w:tc>
      </w:tr>
      <w:tr>
        <w:trPr>
          <w:trHeight w:val="95"/>
        </w:trPr>
        <w:tc>
          <w:tcPr>
            <w:tcW w:w="7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r>
      <w:tr>
        <w:trPr>
          <w:trHeight w:val="237"/>
        </w:trPr>
        <w:tc>
          <w:tcPr>
            <w:tcW w:w="7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Less Than</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1 to 3</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4 to 5</w:t>
            </w: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91"/>
              </w:rPr>
              <w:t>After</w:t>
            </w:r>
          </w:p>
        </w:tc>
      </w:tr>
      <w:tr>
        <w:trPr>
          <w:trHeight w:val="174"/>
        </w:trPr>
        <w:tc>
          <w:tcPr>
            <w:tcW w:w="7480" w:type="dxa"/>
            <w:vAlign w:val="bottom"/>
          </w:tcPr>
          <w:p>
            <w:pPr>
              <w:spacing w:after="0"/>
              <w:rPr>
                <w:sz w:val="20"/>
                <w:szCs w:val="20"/>
                <w:color w:val="auto"/>
              </w:rPr>
            </w:pPr>
            <w:r>
              <w:rPr>
                <w:rFonts w:ascii="Arial" w:cs="Arial" w:eastAsia="Arial" w:hAnsi="Arial"/>
                <w:sz w:val="14"/>
                <w:szCs w:val="14"/>
                <w:b w:val="1"/>
                <w:bCs w:val="1"/>
                <w:color w:val="auto"/>
              </w:rPr>
              <w:t>Long-Term Indebtedness</w:t>
            </w: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1 Year</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Years</w:t>
            </w:r>
          </w:p>
        </w:tc>
        <w:tc>
          <w:tcPr>
            <w:tcW w:w="760" w:type="dxa"/>
            <w:vAlign w:val="bottom"/>
          </w:tcPr>
          <w:p>
            <w:pPr>
              <w:ind w:left="200"/>
              <w:spacing w:after="0"/>
              <w:rPr>
                <w:sz w:val="20"/>
                <w:szCs w:val="20"/>
                <w:color w:val="auto"/>
              </w:rPr>
            </w:pPr>
            <w:r>
              <w:rPr>
                <w:rFonts w:ascii="Arial" w:cs="Arial" w:eastAsia="Arial" w:hAnsi="Arial"/>
                <w:sz w:val="14"/>
                <w:szCs w:val="14"/>
                <w:b w:val="1"/>
                <w:bCs w:val="1"/>
                <w:color w:val="auto"/>
              </w:rPr>
              <w:t>Years</w:t>
            </w:r>
          </w:p>
        </w:tc>
        <w:tc>
          <w:tcPr>
            <w:tcW w:w="740" w:type="dxa"/>
            <w:vAlign w:val="bottom"/>
          </w:tcPr>
          <w:p>
            <w:pPr>
              <w:jc w:val="center"/>
              <w:ind w:left="52"/>
              <w:spacing w:after="0"/>
              <w:rPr>
                <w:sz w:val="20"/>
                <w:szCs w:val="20"/>
                <w:color w:val="auto"/>
              </w:rPr>
            </w:pPr>
            <w:r>
              <w:rPr>
                <w:rFonts w:ascii="Arial" w:cs="Arial" w:eastAsia="Arial" w:hAnsi="Arial"/>
                <w:sz w:val="14"/>
                <w:szCs w:val="14"/>
                <w:b w:val="1"/>
                <w:bCs w:val="1"/>
                <w:color w:val="auto"/>
                <w:w w:val="84"/>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8235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3595" cy="8890"/>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60325</wp:posOffset>
            </wp:positionV>
            <wp:extent cx="24955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Mortgage Notes</w:t>
            </w:r>
          </w:p>
        </w:tc>
        <w:tc>
          <w:tcPr>
            <w:tcW w:w="3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Term Loans(1)</w:t>
            </w:r>
          </w:p>
        </w:tc>
        <w:tc>
          <w:tcPr>
            <w:tcW w:w="3980" w:type="dxa"/>
            <w:vAlign w:val="bottom"/>
            <w:gridSpan w:val="4"/>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Mortgage Notes(2)</w:t>
            </w:r>
          </w:p>
        </w:tc>
        <w:tc>
          <w:tcPr>
            <w:tcW w:w="3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3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$1,336.7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gridSpan w:val="19"/>
          </w:tcPr>
          <w:p>
            <w:pPr>
              <w:ind w:left="40"/>
              <w:spacing w:after="0"/>
              <w:rPr>
                <w:sz w:val="20"/>
                <w:szCs w:val="20"/>
                <w:color w:val="auto"/>
              </w:rPr>
            </w:pPr>
            <w:r>
              <w:rPr>
                <w:rFonts w:ascii="Arial" w:cs="Arial" w:eastAsia="Arial" w:hAnsi="Arial"/>
                <w:sz w:val="14"/>
                <w:szCs w:val="14"/>
                <w:b w:val="1"/>
                <w:bCs w:val="1"/>
                <w:color w:val="auto"/>
                <w:w w:val="90"/>
              </w:rPr>
              <w:t>Amount of Commitment Expiration Per Period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2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20" w:type="dxa"/>
            <w:vAlign w:val="bottom"/>
            <w:gridSpan w:val="3"/>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Amounts</w:t>
            </w:r>
          </w:p>
        </w:tc>
        <w:tc>
          <w:tcPr>
            <w:tcW w:w="180" w:type="dxa"/>
            <w:vAlign w:val="bottom"/>
          </w:tcPr>
          <w:p>
            <w:pPr>
              <w:spacing w:after="0"/>
              <w:rPr>
                <w:sz w:val="12"/>
                <w:szCs w:val="12"/>
                <w:color w:val="auto"/>
              </w:rPr>
            </w:pPr>
          </w:p>
        </w:tc>
        <w:tc>
          <w:tcPr>
            <w:tcW w:w="7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2"/>
                <w:szCs w:val="12"/>
                <w:color w:val="auto"/>
              </w:rPr>
            </w:pPr>
          </w:p>
        </w:tc>
        <w:tc>
          <w:tcPr>
            <w:tcW w:w="52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1 to 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rPr>
              <w:t>4 to 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4"/>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Other Commercial Commitments</w:t>
            </w:r>
          </w:p>
        </w:tc>
        <w:tc>
          <w:tcPr>
            <w:tcW w:w="3160" w:type="dxa"/>
            <w:vAlign w:val="bottom"/>
          </w:tcPr>
          <w:p>
            <w:pPr>
              <w:spacing w:after="0"/>
              <w:rPr>
                <w:sz w:val="15"/>
                <w:szCs w:val="15"/>
                <w:color w:val="auto"/>
              </w:rPr>
            </w:pPr>
          </w:p>
        </w:tc>
        <w:tc>
          <w:tcPr>
            <w:tcW w:w="820" w:type="dxa"/>
            <w:vAlign w:val="bottom"/>
            <w:gridSpan w:val="3"/>
          </w:tcPr>
          <w:p>
            <w:pPr>
              <w:jc w:val="center"/>
              <w:ind w:right="92"/>
              <w:spacing w:after="0"/>
              <w:rPr>
                <w:sz w:val="20"/>
                <w:szCs w:val="20"/>
                <w:color w:val="auto"/>
              </w:rPr>
            </w:pPr>
            <w:r>
              <w:rPr>
                <w:rFonts w:ascii="Arial" w:cs="Arial" w:eastAsia="Arial" w:hAnsi="Arial"/>
                <w:sz w:val="14"/>
                <w:szCs w:val="14"/>
                <w:b w:val="1"/>
                <w:bCs w:val="1"/>
                <w:color w:val="auto"/>
                <w:w w:val="90"/>
              </w:rPr>
              <w:t>Committed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5"/>
                <w:szCs w:val="15"/>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Years</w:t>
            </w:r>
          </w:p>
        </w:tc>
        <w:tc>
          <w:tcPr>
            <w:tcW w:w="120" w:type="dxa"/>
            <w:vAlign w:val="bottom"/>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contracts(3)</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246.2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Term Loans(1)</w:t>
            </w:r>
          </w:p>
        </w:tc>
        <w:tc>
          <w:tcPr>
            <w:tcW w:w="3820" w:type="dxa"/>
            <w:vAlign w:val="bottom"/>
            <w:gridSpan w:val="3"/>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Revolver(4)</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Employment agreements(5)</w:t>
            </w:r>
          </w:p>
        </w:tc>
        <w:tc>
          <w:tcPr>
            <w:tcW w:w="3820" w:type="dxa"/>
            <w:vAlign w:val="bottom"/>
            <w:gridSpan w:val="3"/>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Estimated interest payments(6)</w:t>
            </w:r>
          </w:p>
        </w:tc>
        <w:tc>
          <w:tcPr>
            <w:tcW w:w="3820" w:type="dxa"/>
            <w:vAlign w:val="bottom"/>
            <w:gridSpan w:val="3"/>
          </w:tcPr>
          <w:p>
            <w:pPr>
              <w:jc w:val="right"/>
              <w:spacing w:after="0"/>
              <w:rPr>
                <w:sz w:val="20"/>
                <w:szCs w:val="20"/>
                <w:color w:val="auto"/>
              </w:rPr>
            </w:pPr>
            <w:r>
              <w:rPr>
                <w:rFonts w:ascii="Arial" w:cs="Arial" w:eastAsia="Arial" w:hAnsi="Arial"/>
                <w:sz w:val="18"/>
                <w:szCs w:val="18"/>
                <w:color w:val="auto"/>
              </w:rPr>
              <w:t>1,015.2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221.6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219.7</w:t>
            </w:r>
          </w:p>
        </w:tc>
        <w:tc>
          <w:tcPr>
            <w:tcW w:w="2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3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$ 1,672.6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370.8</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$242.6</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221.4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160" w:type="dxa"/>
            <w:vAlign w:val="bottom"/>
            <w:vMerge w:val="restart"/>
          </w:tcPr>
          <w:p>
            <w:pPr>
              <w:jc w:val="right"/>
              <w:ind w:right="1412"/>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-2358390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-2358390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-2358390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-2358390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-2358390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-2358390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-2358390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-2358390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-2358390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-2358390</wp:posOffset>
            </wp:positionV>
            <wp:extent cx="23558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-2358390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-2358390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-2358390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3849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849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30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2004, we had borrowed approximately $26.5 million of the available $400.0 million under the Term Loans. We borrowed all of the remaining $373.4 million by March 14, 2005. The Term Loans mature on December 14, 2011.</w:t>
      </w:r>
    </w:p>
    <w:p>
      <w:pPr>
        <w:ind w:left="460" w:right="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w:t>
      </w:r>
    </w:p>
    <w:p>
      <w:pPr>
        <w:spacing w:after="0" w:line="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obligations under our signed construction contracts with Marnell Corrao, Wadsworth Golf Construction Company, Bomel Construction Company, Inc., and certain other construction companies in connection with the construction of Wynn Las Vegas. We expect to satisfy some of the payment obligations under these contracts using amounts borrowed under the long-term indebtedness shown above.</w:t>
      </w:r>
    </w:p>
    <w:p>
      <w:pPr>
        <w:spacing w:after="0" w:line="2"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December 31, 2004, we have not borrowed any amounts under the Revolver. The $600.0 million available under the Revolver may be used for working capital for Wynn Las Vegas or, upon satisfaction of certain conditions, for the construction and development of Encore. The Revolver matures on December 14, 2009.</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we terminate certain executives without “cause” or if certain executives terminate employment with us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 Amounts represent the aggregate contractual salaries and guaranteed bonuses during the periods specified in the agreements.</w:t>
      </w:r>
    </w:p>
    <w:p>
      <w:pPr>
        <w:spacing w:after="0" w:line="4" w:lineRule="exact"/>
        <w:rPr>
          <w:rFonts w:ascii="Arial" w:cs="Arial" w:eastAsia="Arial" w:hAnsi="Arial"/>
          <w:sz w:val="16"/>
          <w:szCs w:val="16"/>
          <w:color w:val="auto"/>
        </w:rPr>
      </w:pPr>
    </w:p>
    <w:p>
      <w:pPr>
        <w:ind w:left="460" w:right="18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currently existing commitments, anticipated LIBOR rates based upon expected yield curves (including the effect of our interest rate swaps) as well as expected levels of borrowings and the timing of repayments.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whether through acquisition, investment or development, including the potential development of our golf course land. Any new development would require us to obtain additional financing.</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Furthermore, if completion of Encore is delayed, then our debt service obligations accruing prior to the actual opening of Encore will increase correspondingly. Wynn Las Vegas will fund its operations and capital requirements from operating cash flow and remaining availability under our credit facilities. We cannot assure you, however, that Wynn Las Vegas will generate sufficient cash flow from operations or that future borrowings available to us under our credit facilities will be sufficient to enable us to service and repay our indebtedness and to fund our other liquidity needs. We may refinance all or a portion of our indebtedness on or before maturity. We cannot assure you that we will be able to refinance any of the indebtedness on acceptable terms or at all.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our long-term indebtedness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Face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520" w:type="dxa"/>
            <w:vAlign w:val="bottom"/>
            <w:gridSpan w:val="2"/>
          </w:tcPr>
          <w:p>
            <w:pPr>
              <w:ind w:left="30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Mortgage Notes</w:t>
            </w:r>
          </w:p>
        </w:tc>
        <w:tc>
          <w:tcPr>
            <w:tcW w:w="1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December 2014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gridSpan w:val="2"/>
          </w:tcPr>
          <w:p>
            <w:pPr>
              <w:spacing w:after="0"/>
              <w:rPr>
                <w:sz w:val="20"/>
                <w:szCs w:val="20"/>
                <w:color w:val="auto"/>
              </w:rPr>
            </w:pPr>
            <w:r>
              <w:rPr>
                <w:rFonts w:ascii="Arial" w:cs="Arial" w:eastAsia="Arial" w:hAnsi="Arial"/>
                <w:sz w:val="18"/>
                <w:szCs w:val="18"/>
                <w:color w:val="auto"/>
                <w:w w:val="93"/>
              </w:rPr>
              <w:t>Term Loans, interest at LIBOR plus 2.125%, (approximately 4.575% at December 31,</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80" w:type="dxa"/>
            <w:vAlign w:val="bottom"/>
          </w:tcPr>
          <w:p>
            <w:pPr>
              <w:jc w:val="right"/>
              <w:ind w:right="452"/>
              <w:spacing w:after="0"/>
              <w:rPr>
                <w:sz w:val="20"/>
                <w:szCs w:val="20"/>
                <w:color w:val="auto"/>
              </w:rPr>
            </w:pPr>
            <w:r>
              <w:rPr>
                <w:rFonts w:ascii="Arial" w:cs="Arial" w:eastAsia="Arial" w:hAnsi="Arial"/>
                <w:sz w:val="18"/>
                <w:szCs w:val="18"/>
                <w:color w:val="auto"/>
              </w:rPr>
              <w:t>2004)</w:t>
            </w:r>
          </w:p>
        </w:tc>
        <w:tc>
          <w:tcPr>
            <w:tcW w:w="5200" w:type="dxa"/>
            <w:vAlign w:val="bottom"/>
          </w:tcPr>
          <w:p>
            <w:pPr>
              <w:spacing w:after="0"/>
              <w:rPr>
                <w:sz w:val="19"/>
                <w:szCs w:val="19"/>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color w:val="auto"/>
                <w:w w:val="92"/>
              </w:rPr>
              <w:t>December 2011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8"/>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Second Mortgage Notes(1)</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November 2010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1,336,706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-172720</wp:posOffset>
            </wp:positionV>
            <wp:extent cx="216535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65350"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 The estimated fair value reflects the face value of the Second Mortgage Notes reflected at the 112% redemption price at November 1, 2006).</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2004 on our expected long-term indebtedness See Item 7. “Management’s Discussion and Analysis of Financial Condition and Results of Operations—Liquidity and Capital Resources”. However, we cannot predict the LIBOR rates that will be in effect in the future. Accordingly, the LIBOR rate at December 31, 2004 equal to 2.45% is used for all calculations in the table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6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63"/>
        </w:trPr>
        <w:tc>
          <w:tcPr>
            <w:tcW w:w="63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22"/>
                <w:szCs w:val="22"/>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Thereafter</w:t>
            </w:r>
          </w:p>
        </w:tc>
        <w:tc>
          <w:tcPr>
            <w:tcW w:w="140" w:type="dxa"/>
            <w:vAlign w:val="bottom"/>
          </w:tcPr>
          <w:p>
            <w:pPr>
              <w:spacing w:after="0"/>
              <w:rPr>
                <w:sz w:val="22"/>
                <w:szCs w:val="2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95"/>
        </w:trPr>
        <w:tc>
          <w:tcPr>
            <w:tcW w:w="6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50"/>
        </w:trPr>
        <w:tc>
          <w:tcPr>
            <w:tcW w:w="6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Fixed rate</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w w:val="84"/>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20" w:type="dxa"/>
            <w:vAlign w:val="bottom"/>
          </w:tcPr>
          <w:p>
            <w:pPr>
              <w:spacing w:after="0"/>
              <w:rPr>
                <w:sz w:val="18"/>
                <w:szCs w:val="18"/>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84"/>
              </w:rPr>
              <w:t>$ —</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1,310.1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1,310.1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r>
      <w:tr>
        <w:trPr>
          <w:trHeight w:val="322"/>
        </w:trPr>
        <w:tc>
          <w:tcPr>
            <w:tcW w:w="6380" w:type="dxa"/>
            <w:vAlign w:val="bottom"/>
          </w:tcPr>
          <w:p>
            <w:pPr>
              <w:spacing w:after="0"/>
              <w:rPr>
                <w:sz w:val="20"/>
                <w:szCs w:val="20"/>
                <w:color w:val="auto"/>
              </w:rPr>
            </w:pPr>
            <w:r>
              <w:rPr>
                <w:rFonts w:ascii="Arial" w:cs="Arial" w:eastAsia="Arial" w:hAnsi="Arial"/>
                <w:sz w:val="18"/>
                <w:szCs w:val="18"/>
                <w:color w:val="auto"/>
              </w:rPr>
              <w:t>Variable rate</w:t>
            </w:r>
          </w:p>
        </w:tc>
        <w:tc>
          <w:tcPr>
            <w:tcW w:w="400" w:type="dxa"/>
            <w:vAlign w:val="bottom"/>
          </w:tcPr>
          <w:p>
            <w:pPr>
              <w:jc w:val="right"/>
              <w:ind w:right="16"/>
              <w:spacing w:after="0"/>
              <w:rPr>
                <w:sz w:val="20"/>
                <w:szCs w:val="20"/>
                <w:color w:val="auto"/>
              </w:rPr>
            </w:pPr>
            <w:r>
              <w:rPr>
                <w:rFonts w:ascii="Arial" w:cs="Arial" w:eastAsia="Arial" w:hAnsi="Arial"/>
                <w:sz w:val="18"/>
                <w:szCs w:val="18"/>
                <w:color w:val="auto"/>
                <w:w w:val="84"/>
              </w:rPr>
              <w:t>$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 —</w:t>
            </w:r>
          </w:p>
        </w:tc>
        <w:tc>
          <w:tcPr>
            <w:tcW w:w="220" w:type="dxa"/>
            <w:vAlign w:val="bottom"/>
          </w:tcPr>
          <w:p>
            <w:pPr>
              <w:spacing w:after="0"/>
              <w:rPr>
                <w:sz w:val="24"/>
                <w:szCs w:val="24"/>
                <w:color w:val="auto"/>
              </w:rPr>
            </w:pPr>
          </w:p>
        </w:tc>
        <w:tc>
          <w:tcPr>
            <w:tcW w:w="400" w:type="dxa"/>
            <w:vAlign w:val="bottom"/>
          </w:tcPr>
          <w:p>
            <w:pPr>
              <w:jc w:val="right"/>
              <w:ind w:right="19"/>
              <w:spacing w:after="0"/>
              <w:rPr>
                <w:sz w:val="20"/>
                <w:szCs w:val="20"/>
                <w:color w:val="auto"/>
              </w:rPr>
            </w:pPr>
            <w:r>
              <w:rPr>
                <w:rFonts w:ascii="Arial" w:cs="Arial" w:eastAsia="Arial" w:hAnsi="Arial"/>
                <w:sz w:val="18"/>
                <w:szCs w:val="18"/>
                <w:color w:val="auto"/>
                <w:w w:val="84"/>
              </w:rPr>
              <w:t>$ —</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400.0</w:t>
            </w:r>
          </w:p>
        </w:tc>
      </w:tr>
      <w:tr>
        <w:trPr>
          <w:trHeight w:val="21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r>
    </w:tbl>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our former credit facilities, we were required to obtain interest rate protection for at least $325 million of borrowings thereunder, and in May 2003 and June 2003, we entered into two interest rate swap arrangements to hedge the underlying interest rate risk on a total of $825 million of expected future borrowings under such credit facilities, which bore interest at LIBOR plus 4% and LIBOR plus 5.5%, on the former revolving credit facility and the former term loan facility, respectively, and were to mature in October 2008 and October 2009, respectively. These two interest rate swaps were accounted for as cash flow hedges under the provisions of SFAS No. 133.</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concurrent with the refinancing of Wynn Las Vegas’ indebtedness, we terminated the two interest rate swaps. As a result of the termination, we received approximately $9.6 million in settlement of the related asset, which is being amortized from accumulated other comprehensive income to reduce interest expense over the original contract life of the two interest rate swaps. Approximately $1.2 million was amortized against interest expense during the first quarter of 2005.</w:t>
      </w:r>
    </w:p>
    <w:p>
      <w:pPr>
        <w:spacing w:after="0" w:line="13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Also concurrent with the refinancing, we entered into two new interest rate swap arrangements to hedge the underlying interest rate risk on the $400.0 million of term loan borrowings under our current credit facilities, which bear interest at LIBOR plus 2.125%. Under each of these two new interest rate swap arrangements, we will receive payments at a variable rate of LIBOR and pay a fixed rate of 3.793% on $200 million notional amount set forth in each of the swap instruments through December 2008. The interest rate swaps are expected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be effective as hedging instruments as long as sufficient term loan borrowings are outstanding, and effectively fix the interest rate on these borrowings at approximately 5.918%. Any ineffectiveness will increase our recorded interest expense in our consolidated financial statements.</w:t>
      </w:r>
    </w:p>
    <w:p>
      <w:pPr>
        <w:spacing w:after="0" w:line="72"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As of December 31, 2003, we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we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 As of March 31, 2005, we recorded in other assets the fair value of the net effect of the two new interest rate swaps of approximately $8.3 million, an increase of $7.7 million compared to the value at December 31, 2004.</w:t>
      </w:r>
    </w:p>
    <w:p>
      <w:pPr>
        <w:spacing w:after="0" w:line="9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9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as of December 31, 2004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20" w:type="dxa"/>
            <w:vAlign w:val="bottom"/>
            <w:gridSpan w:val="8"/>
          </w:tcPr>
          <w:p>
            <w:pPr>
              <w:jc w:val="right"/>
              <w:ind w:right="232"/>
              <w:spacing w:after="0"/>
              <w:rPr>
                <w:sz w:val="20"/>
                <w:szCs w:val="20"/>
                <w:color w:val="auto"/>
              </w:rPr>
            </w:pPr>
            <w:r>
              <w:rPr>
                <w:rFonts w:ascii="Arial" w:cs="Arial" w:eastAsia="Arial" w:hAnsi="Arial"/>
                <w:sz w:val="14"/>
                <w:szCs w:val="14"/>
                <w:b w:val="1"/>
                <w:bCs w:val="1"/>
                <w:color w:val="auto"/>
                <w:w w:val="91"/>
              </w:rPr>
              <w:t>Expected Averages as of December 31,</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3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3440" w:type="dxa"/>
            <w:vAlign w:val="bottom"/>
          </w:tcPr>
          <w:p>
            <w:pPr>
              <w:spacing w:after="0"/>
              <w:rPr>
                <w:sz w:val="22"/>
                <w:szCs w:val="22"/>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4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r>
      <w:tr>
        <w:trPr>
          <w:trHeight w:val="95"/>
        </w:trPr>
        <w:tc>
          <w:tcPr>
            <w:tcW w:w="34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34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$333.3</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$400.0</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Average pay rate</w:t>
            </w:r>
          </w:p>
        </w:tc>
        <w:tc>
          <w:tcPr>
            <w:tcW w:w="252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3.79%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3.79%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3.79%</w:t>
            </w: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Approximately $400.0 million of our outstanding indebtedness at March 31, 2005 was based upon a variable, LIBOR rate plus a premium. As such, a 1% increase in the LIBOR would have increased our interest cost by approximately $394,000, based upon the average amounts outstanding over the first quarter of 2005.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LLC was formed on April 17, 2001. Originally named Hotel A, LLC, its name was changed to Wynn Las Vegas, LLC on May 15, 2002.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sole member of the Company is Holdings. The sole member of Holdings is Wynn Resorts. The Company was organized primarily to construct and operate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a destination resort and casino on the site of the former Desert Inn in Las Vegas, Nevada, which opened to the public on April 28, 2005.</w:t>
      </w:r>
    </w:p>
    <w:p>
      <w:pPr>
        <w:spacing w:after="0" w:line="17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Capital is a wholly owned subsidiary of the Company incorporated on June 3, 2002, solely for the purpose of obtaining financing for Wynn Las Vegas. Wynn Capital is authorized to issue 2,000 shares of common stock, par value $0.01. At March 31, 2005, the Company owned the one share that was issued and outstanding. At and for the period from its inception through March 31, 2005, Wynn Capital has neither any significant net assets nor any operating activity. Its sole function is to serve as the co-issuer of the mortgage notes described below.</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25, 2002, Wynn Resorts completed the initial public offering of approximately $450.0 million of its common stock (before underwriting discounts and commissions), the issuers concurrently issued $370.0 million aggregate principal amount of Second Mortgage Notes and the Company obtained commitments for approximately $1.2 billion of various credit facilities. Capital contributions from Wynn Resorts, the proceeds of the Second Mortgage Notes and borrowings under our credit facilities were used to fund construction of Wynn Las Vegas. Also in October 2002, Valvino (Wynn Resorts’ predecessor) transferred certain of its assets directly to the Company, including its 100% equity interests in both World Travel, LLC (“World Travel”) and Las Vegas Jet, LLC (“Las Vegas Jet”), companies which own and operate, respectively, the Company’s aircraft.</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On December 14, 2004, the Company effected a series of transactions to refinance its debt and to facilitate the development of Encore. These transactions included, among other things, issuance by the issuers of the old notes, a tender offer for all of the outstanding Second Mortgage Notes, satisfaction and discharge of the remaining Second Mortgage Notes, and replacement of the Company’s previous credit facilities with new credit facilities.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We own and operate Wynn Las Vegas, a new destination casino resort which opened to the public on April 28, 2005. Wynn Las Vegas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concept of Stephen A. Wynn, the Chairman of the Board and Chief Executive Officer and one of the principal stockholders of Wynn Resorts.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has set a new standard of luxury and elegance for destination casino resorts in Las Vegas.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is located on the Las Vegas Strip on the site of the former Desert Inn, at the northeast corner of the intersection of the Strip and Sands Avenue, one-half block north of The Venetian and Treasure Island at The Mirage and across the Strip from the recently expanded Fashion Show Mall. Wynn Las Vegas also is adjacent to both the Sands Expo Center and Las Vegas Convention Center, which together contain more than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Encore will occupy an additional 20 acres of land on the Las Vegas Strip immediately adjacent to Wynn Las Vegas.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Las Vegas features 2,716 luxurious guest rooms and suites, an approximately 111,000 square foot casino, 22 food and beverage outlets, an on-site 18-hole golf course, approximately 223,000 square feet of meeting space, an on-site Ferrari and Maserati dealership and approximately 76,290 square feet of retail space. The resort will also have two showrooms featuring live entertainment productions. The Wynn Theater opened concurrently with Wynn Las Vegas and features “Le Rêve, a small collection of imperfect dreams,” a water-based show produced by Franco Dragone, who created “O,” “Mystère” and the Celine Dion show titled “A new day...”. Our second showroom, the Broadway Theater, is expected to open in September 2005 and will feature the 2004 Tony Award winning Broadway musical, “Avenue Q.”</w:t>
      </w:r>
    </w:p>
    <w:p>
      <w:pPr>
        <w:spacing w:after="0" w:line="13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The Hotel. </w:t>
      </w:r>
      <w:r>
        <w:rPr>
          <w:rFonts w:ascii="Arial" w:cs="Arial" w:eastAsia="Arial" w:hAnsi="Arial"/>
          <w:sz w:val="18"/>
          <w:szCs w:val="18"/>
          <w:color w:val="auto"/>
        </w:rPr>
        <w:t>Wynn Las Vegas’ hotel tower contains 45 floors of hotel rooms and suites on top of a five-story low-rise building housing the casino,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retail outlets and entertainment and recreational venues. The hotel also features a three-story low-rise with 36 fairway villas situated along the golf course. The building has a total area of approximately 5.2 million square feet. The high-rise building is configured in the shape of a gentle arc with the focal point of the arc being the Wynn Las Vegas man-made, lake-mountain feature situated in front of the hotel. The hotel guest main arrival area features an atrium garden adjacent to the registration desk with a view of the lake-mountain feature, which provides special effects intended to entertain hotel guests and other visitors who come to the resort.</w:t>
      </w:r>
    </w:p>
    <w:p>
      <w:pPr>
        <w:spacing w:after="0" w:line="13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The 2,359 standard guest rooms are decorated with sophisticated interior design elements and are equipped with plush comforts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elegant bathrooms, European linens and bedding, and flat screen televisions in both the living and bathroom areas. The standard guest rooms have a floor layout of approximately 620 square feet, which is 100 to 125 square feet more than the industry standard for a guest room. The arc-shaped design of our high-rise building provides rooms with a view of the Las Vegas Strip, the golf course, the lake-mountain feature or the surrounding mountains. Wynn Las Vegas includes single and multiple bedroom luxury suites with superior amenities and furnishings designed to accommodate high-end hotel guests. Many suites include private massage rooms. Wynn Las Vegas offers 270 parlor and salon suites, 45 executive suites, 36 one- and two-bedroom fairway villas, and six private-entry villas averaging approximately 7,000 square feet.</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The Casino. </w:t>
      </w:r>
      <w:r>
        <w:rPr>
          <w:rFonts w:ascii="Arial" w:cs="Arial" w:eastAsia="Arial" w:hAnsi="Arial"/>
          <w:sz w:val="18"/>
          <w:szCs w:val="18"/>
          <w:color w:val="auto"/>
        </w:rPr>
        <w:t>Wynn Las Vegas has an approximately 111,000 square foot casino located in the center of the first level of the low-rise building. The casino’s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 gaming area contains an estimated 137 table games and 1,960 slot machines, a race and sports book, poker room, keno lounge, a baccarat salon and VIP gaming rooms. Our gaming limits accommodate a full range of casino customers.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Golf Course. </w:t>
      </w:r>
      <w:r>
        <w:rPr>
          <w:rFonts w:ascii="Arial" w:cs="Arial" w:eastAsia="Arial" w:hAnsi="Arial"/>
          <w:sz w:val="18"/>
          <w:szCs w:val="18"/>
          <w:color w:val="auto"/>
        </w:rPr>
        <w:t>We have constructed a world-class, 18-hole golf course at the site of the former Desert Inn golf course. This golf course is the only golf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on the site of a hotel casino resort on the Las Vegas Strip. Tom Fazio and Mr. Wynn, the designers of the Shadow Creek golf course owned by MGM MIRAGE, have designed Wynn Las Vegas’ golf course, which may be played only by hotel guests of Wynn Las Vegas. The golf course features three lakes and a series of meandering streams that carve their way from the west to east end of the property. The golf course features dramatic elevation changes and water on almost every hole.</w:t>
      </w:r>
    </w:p>
    <w:p>
      <w:pPr>
        <w:spacing w:after="0" w:line="129"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Restaurants, Lounges, Bars and Nightclubs. </w:t>
      </w:r>
      <w:r>
        <w:rPr>
          <w:rFonts w:ascii="Arial" w:cs="Arial" w:eastAsia="Arial" w:hAnsi="Arial"/>
          <w:sz w:val="18"/>
          <w:szCs w:val="18"/>
          <w:color w:val="auto"/>
        </w:rPr>
        <w:t>Wynn Las Vegas has 22 food and beverage outlets, including six fine-dining restaurants and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600-seat buffet, and has engaged signature chefs to provide unique experiences to appeal to our guests. Wynn Las Vegas also offers a full complement of lounges, bars and nightclubs.</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The Wynn Theater. </w:t>
      </w:r>
      <w:r>
        <w:rPr>
          <w:rFonts w:ascii="Arial" w:cs="Arial" w:eastAsia="Arial" w:hAnsi="Arial"/>
          <w:sz w:val="16"/>
          <w:szCs w:val="16"/>
          <w:color w:val="auto"/>
        </w:rPr>
        <w:t>The Wynn Theater in Wynn Las Vegas offers “Le Rêve, a small collection of imperfect dreams,” Franco Dragone’s new water-based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production. Mr. Dragone is the creative force behind the Bellagio’s production of “O” and Treasure Island at The Mirage’s production of “Mystère,” as well as Celine Dion’s production titled “A new day...” at the approximately 4,000-seat performing arts “Colosseum” at Caesars Palace.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Wynn Theater seats approximately 2,080 guests and features an approximately 1,000,000 gallon performance pool. The seating for the Wynn Theater extends around the performance area a full 360 degrees and no seat is farther than approximately 42 feet from the performance area.</w:t>
      </w:r>
    </w:p>
    <w:p>
      <w:pPr>
        <w:spacing w:after="0" w:line="72"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Wynn Las Vegas also offers an art gallery displaying rare paintings from The Wynn Collection, a private collection of fine art owned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and Mrs. Wynn. The Wynn Collection consists primarily of works from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century European and American masters, and at various times has included works by Pierre-Auguste Renoir, Pieter Brueghel, Paul Cézanne, Paul Gaugin, Édouard Manet, Henri Matisse, Amedeo Modigliani, Claude Monet, Pablo Picasso, Vincent Van Gogh and Johannes Vermeer. Subject to certain notice restrictions, Mr. and Mrs. Wynn have the right to remove or replace any or all of the works of art displayed in the art gallery. We have leased The Wynn Collection from Mr. and Mrs. Wynn for an annual fee of $1. The arrangement entitles us to retain all revenues from the public display of The Wynn Collection and the related merchandising revenues, while we are responsible for all expenses incurred in exhibiting and safeguarding The Wynn Collection, including the cost of insurance (including terrorism insurance) and taxes relating to the rental of the Wynn Collection. After specified notice periods, we or Mr. and Mrs. Wynn may terminate this lease.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The Ferrari and Maserati Dealership. </w:t>
      </w:r>
      <w:r>
        <w:rPr>
          <w:rFonts w:ascii="Arial" w:cs="Arial" w:eastAsia="Arial" w:hAnsi="Arial"/>
          <w:sz w:val="16"/>
          <w:szCs w:val="16"/>
          <w:color w:val="auto"/>
        </w:rPr>
        <w:t>Wynn Las Vegas has on-site an authorized, full-service Ferrari and Maserati dealership, including a service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facility. Currently, there are only 32 Ferrari and 45 Maserati dealerships in the United States, and our dealership is the first in Nevada. The dealership is located near the main entrance to the hotel. Our affiliate, Kevyn, LLC, has formed a joint venture with United Auto Group, a New York Stock Exchange-listed operator of auto dealerships whose largest shareholder is the Penske Corporation. United Auto Group is experienced in first class, exotic car dealership operations, and is primarily responsible for the management and operation of the dealership through the joint venture. Kevyn, LLC and United Auto Group have each invested an initial $1.0 million in the joint venture for working capital, and the joint venture is required to pay market rent for the space to operate the dealership, pay for tenant improvements and allocate profits and losses equally to United Auto Group and Kevyn, LLC.</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dealership must satisfy certain financing and other ongoing conditions, including minimum working capital and net worth requirements, and we must also continuously meet all capital, facility, personnel, customer satisfaction and operational standards of Ferrari North America and Maserati North America. Under the agreements with Ferrari North America and Maserati North America, Mr. Wynn may not hold less than 20% of Wynn Resorts’ issued and outstanding voting stock without the prior written approval of Ferrari North America and Maserati North America, which approval will not be unreasonably withheld. Mr. Wynn currently meets and, is expected to continue to meet, this requirement. The Dealership commenced operations on April 28, 2005.</w:t>
      </w:r>
    </w:p>
    <w:p>
      <w:pPr>
        <w:spacing w:after="0" w:line="10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Retail Space. </w:t>
      </w:r>
      <w:r>
        <w:rPr>
          <w:rFonts w:ascii="Arial" w:cs="Arial" w:eastAsia="Arial" w:hAnsi="Arial"/>
          <w:sz w:val="18"/>
          <w:szCs w:val="18"/>
          <w:color w:val="auto"/>
        </w:rPr>
        <w:t>Wynn Las Vegas includes approximately 76,290 square feet dedicated to 31 retail shops. We have entered into leases for five retail outlets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Cartier, Chanel, Christian Dior, Graff and Louis Vuitton. We or other retailers operate the remaining stores, including a golf shop and other shops selling, among other things, men’s clothing, women’s apparel and accessories, women’s shoes, art, watches, jewelry, sundries and proprietary Wynn Las Vegas products, either under license agreements or through joint ventures with other high-end, brand-name retailers such as Brioni, Oscar de la Renta, Jean Paul Gaultier, Anne Geddes, Judith Lieber and Jo Malone.</w:t>
      </w:r>
    </w:p>
    <w:p>
      <w:pPr>
        <w:spacing w:after="0" w:line="129"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Spa, Salon and Fitness Complex. </w:t>
      </w:r>
      <w:r>
        <w:rPr>
          <w:rFonts w:ascii="Arial" w:cs="Arial" w:eastAsia="Arial" w:hAnsi="Arial"/>
          <w:sz w:val="15"/>
          <w:szCs w:val="15"/>
          <w:color w:val="auto"/>
        </w:rPr>
        <w:t>Wynn Las Vegas offers an approximately 38,000 square foot world-class spa, salon and fitness complex offering high-end spa treatments and fitness equipment and custom label and branded skin and body treatment products, as well as clothing, accessories, and athletic wear.</w:t>
      </w:r>
    </w:p>
    <w:p>
      <w:pPr>
        <w:spacing w:after="0" w:line="4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Wynn Las Vegas offers its guests five outdoor swimming pools and two whirlpool spas. Two swimming pools are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feature private cabanas and lush landscaping.</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Convention, Meeting and Reception Facilities. </w:t>
      </w:r>
      <w:r>
        <w:rPr>
          <w:rFonts w:ascii="Arial" w:cs="Arial" w:eastAsia="Arial" w:hAnsi="Arial"/>
          <w:sz w:val="18"/>
          <w:szCs w:val="18"/>
          <w:color w:val="auto"/>
        </w:rPr>
        <w:t>Wynn Las Vegas features approximately 223,000 square feet of convention, meeting and reception 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corridors and patio space), including a grand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ballroom, a junior ballroom and meeting rooms with outdoor patios overlooking either the pool area or the golf course, as well as boardrooms and a business center. Covered patios off the meeting rooms are available as pre-function or break-out areas.</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Wedding Chapels. </w:t>
      </w:r>
      <w:r>
        <w:rPr>
          <w:rFonts w:ascii="Arial" w:cs="Arial" w:eastAsia="Arial" w:hAnsi="Arial"/>
          <w:sz w:val="18"/>
          <w:szCs w:val="18"/>
          <w:color w:val="auto"/>
        </w:rPr>
        <w:t>Wynn Las Vegas has two intimate wedding chapels. The larger chapel accommodates 120 guests while the smaller accommodates 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guests. There is also a private outdoor courtyard, which accommodates up to 40 guests, available for pre-event cocktails, day and evening weddings, post-ceremony cake and champagne or an intimate post-event cocktail party.</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Wynn Las Vegas has two parking garages, a surface parking lot and an underground valet parking facility for its hotel guests, other visitors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 kept and expanded the former Desert Inn parking garage for Wynn Las Vegas’ use and constructed the second parking garage as well as the underground valet parking. Our parking garages provide easy access to our hotel. We also have a separate surface parking lot for employees on the 18-acre parcel across Sands Avenue adjacent to Wynn Las Vegas. In total, there are approximately 5,830 parking spaces available to guests, visitors and employees of Wynn Las Vegas.</w:t>
      </w:r>
    </w:p>
    <w:p>
      <w:pPr>
        <w:spacing w:after="0" w:line="129"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b w:val="1"/>
          <w:bCs w:val="1"/>
          <w:i w:val="1"/>
          <w:iCs w:val="1"/>
          <w:color w:val="auto"/>
        </w:rPr>
        <w:t xml:space="preserve">Entertainment Productions. </w:t>
      </w:r>
      <w:r>
        <w:rPr>
          <w:rFonts w:ascii="Arial" w:cs="Arial" w:eastAsia="Arial" w:hAnsi="Arial"/>
          <w:sz w:val="15"/>
          <w:szCs w:val="15"/>
          <w:color w:val="auto"/>
        </w:rPr>
        <w:t>Wynn Las Vegas has two showrooms. The Wynn Theater described above presents “Le Rêve, a small collection of imperfect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dreams.” The second showroom, the Broadway Theater, will open in September 2005 and will present the Tony-Award winning Broadway musical, “Avenue Q.”</w:t>
      </w:r>
    </w:p>
    <w:p>
      <w:pPr>
        <w:spacing w:after="0" w:line="4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Le Rêve. </w:t>
      </w:r>
      <w:r>
        <w:rPr>
          <w:rFonts w:ascii="Arial" w:cs="Arial" w:eastAsia="Arial" w:hAnsi="Arial"/>
          <w:sz w:val="18"/>
          <w:szCs w:val="18"/>
          <w:color w:val="auto"/>
        </w:rPr>
        <w:t>We have entered into license and production services agreements for the creation, development and production of “Le Rêve, a small collection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imperfect dreams.” Franco Dragone is the executive producer and principal creator of the water-based show production.</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these two ten-year license and production services agreements, which have five-year renewal options, we paid Mr. Dragone’s production company a $2.0 million up-front creation fee and will pay a royalty of 10% of the net retail revenues, 10% of the net ticket revenues and 50% of the show’s profits. We also have an option with respect to a second production for Wynn Las Vegas or for another project. We or one of our affiliates will be required to pay $1.0 million if we exercise the option.</w:t>
      </w:r>
    </w:p>
    <w:p>
      <w:pPr>
        <w:spacing w:after="0" w:line="13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As part of the show licensing and production agreements, Wynn Resorts granted to the production company an award of 189,723 shares of restricted stock. The restricted stock will vest on June 30, 2006. However, the restricted stock will not vest, but instead will be immediately cancelled and retired, if, as of June 30, 2006, the entertainment production at Wynn Las Vegas has been cancelled due to any act or omission of the production company.</w:t>
      </w:r>
    </w:p>
    <w:p>
      <w:pPr>
        <w:spacing w:after="0" w:line="9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i w:val="1"/>
          <w:iCs w:val="1"/>
          <w:color w:val="auto"/>
        </w:rPr>
        <w:t xml:space="preserve">Avenue Q. </w:t>
      </w:r>
      <w:r>
        <w:rPr>
          <w:rFonts w:ascii="Arial" w:cs="Arial" w:eastAsia="Arial" w:hAnsi="Arial"/>
          <w:sz w:val="16"/>
          <w:szCs w:val="16"/>
          <w:color w:val="auto"/>
        </w:rPr>
        <w:t>We have purchased the exclusive rights to produce and present “Avenue Q” in the United States and Canada. We have already paid $3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total $5 million purchase price, and the final $2 million installment will be paid immediately after opening of “Avenue Q.”</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also entered into a Production Services Agreement with the producer of “Avenue Q” for the production services necessary to present the show. The initial term of the agreement is from the opening of the show through December 31, 2006, and the agreement is renewable for one-year terms if the annual Show Net Profits, as defined in the agreement, is equal to or greater than $2 million. Under the terms of the agreement, we are required to advance to the producer $2 million to fund the costs of producing “Avenue Q.” We have advanced approximately $1.1 million of these expected costs to date and will further advance an additional $900,000 in the third quarter of 2005. In addition, we will pay the producer $15,000 per performance to pay for the costs of presenting the show and we will receive rental payments and real estate tax reimbursements amounting to 11% of the final project cost annually, up to a maximum of $440,000 per year. Furthermore, Wynn Las Vegas will pay the producer 60% of both the Show Net Profits and Merchandise Net Profits, as defined in the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the continued strength in the Las Vegas market, and our desire to maximize the potential of our substantial real estate assets, we continue to refine the scope of Encore. We have elevated Encore to the status of a free standing casino resort which is fully integrated with Wynn Las Vegas. As currently designed, Encore includes a hotel tower consisting of approximately 1,100 suites and approximately 1,400 guest rooms. In addition, the current plans for Encore include approximately 200,000 square feet of convention and meeting space, a 50,000 square foot casino, additional entertainment venues, restaurants, a spa and salon, swimming pools and retail space. The scope and design of Encore remain subject to the approval of Wynn Resorts’ board of directors. We currently anticipate that Encore will open in the first half of 2008.</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Costs and Financing for Wynn Las Vegas and Encore</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Wynn Las Vegas. </w:t>
      </w:r>
      <w:r>
        <w:rPr>
          <w:rFonts w:ascii="Arial" w:cs="Arial" w:eastAsia="Arial" w:hAnsi="Arial"/>
          <w:sz w:val="16"/>
          <w:szCs w:val="16"/>
          <w:color w:val="auto"/>
        </w:rPr>
        <w:t>Wynn Design &amp; Development, LLC, a design and development subsidiary of Wynn Resorts, is responsible for the design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architecture of Wynn Las Vegas (except for the Wynn Theater, the golf course and the hotel parking garage). Marnell Corrao is the builder and general contractor for Wynn Las Vegas (except for the hotel parking garage and the golf course). Marnell Corrao has had extensive experience in building large Las Vegas destination resorts, including the Bellagio, The Mirage, Treasure Island at The Mirage and New York-New York Hotel and Casino.</w:t>
      </w:r>
    </w:p>
    <w:p>
      <w:pPr>
        <w:spacing w:after="0" w:line="9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Las Vegas’ project costs, excluding the incremental cost anticipated for Encore, was, as of March 31, 2005, in the range of approximately $2.7 to $2.75 billion, including the cost of acquiring approximately 235 acres of land, costs of design and construction, capitalized interest, pre-opening expenses, financing fees and construction contingencies. Through March 31, 2005, we had funded approximately $2.4 billion of project costs primarily from a combination cash contributions from Wynn Resorts, proceeds from the issuance of our recently discharged Second Mortgage Notes, a portion of the proceeds from the First Mortgage Notes and borrowings under our previous and current credit facilities. As of March 31, 2005, we estimated that approximately $335.0 million to $385.0 million would be needed to complete Wynn Las Vegas. However, consistent with large-scale construction projects, determination of the final project cost is subject to a complete accounting after the date of final completion (as defined in the contract with the general contractor), which will occur in late 2005. Remaining work includes completing construction punch lists and the Broadway Theater, which will open in September 2005.</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2004, Wynn Resorts contributed $400.0 million to us from the proceeds of the November 2004 offering of 7.5 million shares of Wynn Resorts’ common stock. Also, on December 14, 2004, we effected a series of transactions to refinance our debt and raise additional funds for Encore. These transactions included, among other things, issuance of the First Mortgage Notes, a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provides the financial flexibility to allow for the further development of our real estate assets.</w:t>
      </w:r>
    </w:p>
    <w:p>
      <w:pPr>
        <w:spacing w:after="0" w:line="10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$400.0 million contribution from Wynn Resorts’ common stock offering, a portion of the remaining proceeds from the First Mortgage Notes, availability under our credit facilities, our construction contingencies and our completion guarantee and liquidity reserve are expected to provide sufficient funds to pay for the actual cost of developing Wynn Las Vegas. We anticipate using a significant portion of our $50.0 million completion guarantee balance for Wynn Las Vegas and to the extent such funds are used, Wynn Las Vegas’ development costs will increase accordingly. Wynn Resorts is not a guarantor of our debt and is not obligated to apply any of its funds to the Wynn Las Vegas project, although it has more than $300.0 million in unrestricted cash that could be made available.</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Of the estimated $2.7 to $2.75 billion total development cost for Wynn Las Vegas, the design and construction costs are expected to be approximately $1.6 to $1.65 billion, including the cost of constructing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golf course and hotel parking garage, as well as the entertainment production costs. The remaining approximately $1.1 to $1.15 billion of development costs includes costs such as pre-opening expenses, land acquisition costs, construction period interest, financing fees and certain furniture, fixtures and equipment, such as slot machines, computer equipment and kitchen and dining supplies.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an effort to manage our construction risk, we entered into a guaranteed maximum price construction contract, as amended, with Marnell Corrao, guaranteeing timely construction and covering approximately $1.1 billion of the design and construction cost. The $1.1 billion guaranteed maximum includes the actual construction costs, a $34.4 million lump-sum contractor’s fee, payment and performance bond costs, certain insurance and a $5.1 million owner-controlled contingency to cover, among other things, owner-created delays and scope changes.</w:t>
      </w:r>
    </w:p>
    <w:p>
      <w:pPr>
        <w:spacing w:after="0" w:line="13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certain circumstances, we will be responsible for excess costs with respect to Wynn Las Vegas. The guaranteed maximum price is subject to increases upon certain occurrences including, among other things, scope changes to the project.</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March 31, 2005, approximately $509.2 million of the design and construction cost expenditures are not part of the Marnell Corrao guaranteed maximum price contract. These costs include:</w:t>
      </w:r>
    </w:p>
    <w:p>
      <w:pPr>
        <w:spacing w:after="0" w:line="37" w:lineRule="exact"/>
        <w:rPr>
          <w:sz w:val="20"/>
          <w:szCs w:val="20"/>
          <w:color w:val="auto"/>
        </w:rPr>
      </w:pPr>
    </w:p>
    <w:p>
      <w:pPr>
        <w:ind w:left="900" w:right="40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owner-managed interior furniture, fixtures and equipment, construction of restaurant and retail spaces, including tenant allowances, signage and electronic systems, site work and exterior features, all at a cost of approximately $310.9 million;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$70.3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entertainment production costs of approximately $34.4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of the new golf course at a cost of approximately $23.1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$19.9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$14.3 million;</w:t>
      </w:r>
    </w:p>
    <w:p>
      <w:pPr>
        <w:spacing w:after="0" w:line="103" w:lineRule="exact"/>
        <w:rPr>
          <w:rFonts w:ascii="Arial" w:cs="Arial" w:eastAsia="Arial" w:hAnsi="Arial"/>
          <w:sz w:val="18"/>
          <w:szCs w:val="18"/>
          <w:color w:val="auto"/>
        </w:rPr>
      </w:pPr>
    </w:p>
    <w:p>
      <w:pPr>
        <w:ind w:left="900" w:right="580" w:hanging="446"/>
        <w:spacing w:after="0" w:line="325"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construction of the hotel parking garage at a cost of approximately $11.1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contingency of approximately $5.0 million.</w:t>
      </w:r>
    </w:p>
    <w:p>
      <w:pPr>
        <w:spacing w:after="0" w:line="1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Encore at Wynn Las Vegas. </w:t>
      </w:r>
      <w:r>
        <w:rPr>
          <w:rFonts w:ascii="Arial" w:cs="Arial" w:eastAsia="Arial" w:hAnsi="Arial"/>
          <w:sz w:val="16"/>
          <w:szCs w:val="16"/>
          <w:color w:val="auto"/>
        </w:rPr>
        <w:t>We expect that the portion of the proceeds from the sale of the First Mortgage Notes remaining after completion of Wynn Las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Vegas, together with remaining availability under the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First Mortgage Notes and our credit facilities to fund costs related to Encore prior to the time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June 30, 2005. Once we have finalized the scope and plans for Encore, we will seek necessary consents and approvals from our lenders and noteholders.</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completion of Wynn Las Vegas, if the Encore Budget, Plans and Specifications are approved, at least $30.0 million is required to be on deposit in this completion guarantee collateral account to provide contingent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funds for the completion of Encore. These funds will become gradually available to us for Encore’s project costs as construction progresses. To the extent these amounts are committed for use, the Encore project budget will increase correspondingly. Encore is expected to open in the first half of 2008.</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the Indenture Trustee and the agent of the lenders under our credit facilities have entered into a disbursement agreement to (i) regulate the holding and investment of the proceeds of the credit facilities and the First Mortgage Notes as well as any capital contribution Wynn Resorts makes to us and (ii) establish the restrictive conditions for, and sequencing of, funding construction costs and procedures for approving, and limitations and restrictions on, change orders and amendments to the construction schedule and budget.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Showcase the “Wynn Brand.” </w:t>
      </w:r>
      <w:r>
        <w:rPr>
          <w:rFonts w:ascii="Arial" w:cs="Arial" w:eastAsia="Arial" w:hAnsi="Arial"/>
          <w:sz w:val="16"/>
          <w:szCs w:val="16"/>
          <w:color w:val="auto"/>
        </w:rPr>
        <w:t>Mr. Wynn’s involvement with Wynn Las Vegas and Encore provides a distinct advantage over other gaming enterprises.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Mr. Wynn is widely viewed as the premier designer, developer and operator of destination casino resorts in Las Vegas and, as such, has developed a “brand name” status. In the major destination casino resorts he has previously developed, Mr. Wynn successfully developed a formula which integrates luxurious surroundings, upscale design, distinctive entertainment and superior amenities, including fine dining and premium retail offerings, to create resorts that appeal to a variety of customers, especially high-end customers. We believe that Wynn Las Vegas is Mr. Wynn’s most innovative work to date and has set a new standard of luxury and elegance for destination casino resorts in Las Vegas, much as the Bellagio and The Mirage did when they were built by Mirage Resorts, Incorporated under the guidance of Mr. Wynn.</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Create the Preeminent Destination Casino Resorts on the Las Vegas Strip. </w:t>
      </w:r>
      <w:r>
        <w:rPr>
          <w:rFonts w:ascii="Arial" w:cs="Arial" w:eastAsia="Arial" w:hAnsi="Arial"/>
          <w:sz w:val="16"/>
          <w:szCs w:val="16"/>
          <w:color w:val="auto"/>
        </w:rPr>
        <w:t>Wynn Las Vegas represents a natural extension of the concepts Mr. Wynn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utilized in developing other major destination casino resorts. Following Mr. Wynn’s formula, we plan to attract a range of customers, including middle-market and high-end 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offer at Wynn Las Vegas, together with Mr. Wynn’s experience and reputation in building and operating premier Las Vegas destination casino resorts, will appeal to international and domestic high-roller gaming patrons. In addition to the main casino, Wynn Las Vegas offers a baccarat salon and private high-limit gaming rooms designed to create a sense of comfort and exclusivity for high-end gaming customers. Wynn Las Vegas has a sophisticated, casually elegant ambience rather than a highly themed experience 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Capitalize on the Attractive Location of Wynn Las Vegas and Encore. </w:t>
      </w:r>
      <w:r>
        <w:rPr>
          <w:rFonts w:ascii="Arial" w:cs="Arial" w:eastAsia="Arial" w:hAnsi="Arial"/>
          <w:sz w:val="16"/>
          <w:szCs w:val="16"/>
          <w:color w:val="auto"/>
        </w:rPr>
        <w:t>Wynn Las Vegas has approximately 1,350 feet of frontage on the Las Vegas Strip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site of the former Desert Inn on the northeast corner of the intersection of the Las Vegas Strip and Sands Avenue. Wynn Las Vegas is directly across the Strip from the Fashion Show Mall, which contains premium retail stores and anchor tenants such as Neiman Marcus, Saks Fifth Avenue and Macy’s and recently underwent a substantial remodeling and expansion program. Wynn Las Vegas is also across the street from two of the nation’s largest convention centers: the Las Vegas Convention Center and the Sands Expo and Convention Center. The back of the Wynn Las Vegas property runs along Paradise Road, a major artery in the resort corridor that leads directly to and from McCarran International Airport. Encore will be immediately adjacent and connected to Wynn Las Vegas and will have approximately 900 feet of Strip frontage.</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our location provides us with a distinct competitive advantage. Wynn Las Vegas is conveniently accessible in an average of approximately four minutes from the Spring Mountain Road exit off of Interstate 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and in an average of approximately ten minutes from McCarran International Airport. Shuttle service running along the north perimeter of the golf course provides convention and trade show attendees and other Wynn Las Vegas visitors with quick and convenient transportation to and from the Las Vegas Convention Center. We also anticipate that Wynn Las Vegas will be connected to both the Fashion Show Mall and the Venetian Resort &amp; Casino by pedestrian bridges, which the government of Clark County, Nevada is scheduled to complete in the third quarter of 2005.</w:t>
      </w:r>
    </w:p>
    <w:p>
      <w:pPr>
        <w:spacing w:after="0" w:line="99"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b w:val="1"/>
          <w:bCs w:val="1"/>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Our marketing strategy consists of positioning Wynn Las Vegas as a full-service luxury resort and casino in the leisure, convention and tour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markets. We are creating general market awareness about product offerings through conventions and media, including television, radio, newspapers, magazines, the Internet, direct mail and billboards.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market the casino directly to gaming customers using database marketing techniques, and traditional incentives, such as reduced room rates and complimentary meals and suites. We offer high-roller gaming customers premium suites and special hotel services, and have developed a guest loyalty program that integrates all gaming, hotel, food, beverage and retail revenue generated by a particular guest and compares it against incurred expenses to determine the profitability of that guest. We use this program to implement a rewards system that offers discounted and complimentary meals, lodging and entertainment for our guests. We also use that information to develop an integrated database that allows us to target specific customers for promotions that might induce them to visit Wynn Las Vegas.</w:t>
      </w:r>
    </w:p>
    <w:p>
      <w:pPr>
        <w:spacing w:after="0" w:line="13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Incorporated. We believe that, in operating some of the signature properties in Las Vegas, Mr. Wynn has developed a high degree of customer recognition and guest loyalty and therefore believe that Wynn Las Vegas will attract wealthy international and domestic gaming customers. Furthermore, we believe that Mr. Wynn’s reputation will attract experienced, high-level international and domestic casino marketing executives to work with the Company. We have marketing executives located in local offices in Tokyo, Hong Kong, Macau, Singapore, Taiwan, Vancouver and southern California, and plan to have independent marketing representatives in major U.S. and foreign cities.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intend to implement cross-marketing strategies between Wynn Las Vegas and Wynn Macau to encourage international business between the Macau and Las Vegas markets. Wynn Macau is expected to open in the third quarter of 2006.</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Master-planned Design for Future Las Vegas Expansion. </w:t>
      </w:r>
      <w:r>
        <w:rPr>
          <w:rFonts w:ascii="Arial" w:cs="Arial" w:eastAsia="Arial" w:hAnsi="Arial"/>
          <w:sz w:val="16"/>
          <w:szCs w:val="16"/>
          <w:color w:val="auto"/>
        </w:rPr>
        <w:t>We own approximately 235 acres of land, comprised of an approximately 55-acre plot along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Strip on which Wynn Las Vegas is located, 20 adjacent acres on the Strip where Encore will be constructed, an approximately 142-acre parcel located behind the hotel with our golf course and an approximately 18-acre parcel across Sands Avenue for employee parking.</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creating a long-range plan to develop the 142-acre golf course parcel into a large mixed-use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Las Vegas is one of the fastest growing leisure, lodging and entertainment markets in the country, has one of the strongest and most resilient hotel markets in the country and, according to the American Gaming Association, has the highest casino gaming revenue in the United States. Major properties on the Las Vegas Strip have opened over the past ten years, including the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Mandalay Bay Resort &amp; Casino, The Venetian and Caesars Palace. As a result, the casino/hotel industry in Las Vegas is highly competitive. Wynn Las Vegas, which is located on the Las Vegas Strip, competes with these and other high-quality resorts and hotel casinos on the Las Vegas Strip and those in downtown Las Vegas, as well as a large number of hotels and motels in and near Las Vegas.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competing properties, such as the Bellagio, Caesars Palace, Harrah’s Las Vegas,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we will and target the same demographic group as we will. We seek to differentiate Wynn Las Vegas from other major Las Vegas resorts by concentrating on our fundamental elements of design, atmosphere, personal service and level of luxury.</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casino also competes, to some extent, with other forms of gaming on both a local and national level, including state-sponsored lotteries, on- and off-track pari-mutuel wagering and card parlors. The expansion of legalized gaming to new jurisdictions throughout the United States will also increase the competition we face and will continue to do so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Introduction</w:t>
      </w:r>
      <w:r>
        <w:rPr>
          <w:rFonts w:ascii="Arial" w:cs="Arial" w:eastAsia="Arial" w:hAnsi="Arial"/>
          <w:sz w:val="16"/>
          <w:szCs w:val="16"/>
          <w:color w:val="auto"/>
        </w:rPr>
        <w:t>. The gaming industry is highly regulated. The ownership and operation of casino gaming facilities in the State of Nevada are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Nevada Gaming Control Act and the regulations made under the Act, as well as to various local ordinances. Wynn Las Vegas’ operations are subject to the regulatory control of the Nevada Gaming Commission, the Nevada State Gaming Control Board and the Clark County Liquor and Gaming License Board, which we refer to herein collectively as the Nevada Gaming Authorities. Gaming registrations, licenses and approvals, which we and our affiliates have obtained, can be suspended or revoked for a variety of reasons. We cannot assure you that our required registrations, findings of suitability, licenses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Las Vegas, LLC, as an issuer of the notes that are being registered with the United States Securities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Commission pursuant to the registration statement of which this prospectus constitutes a part, was registered by the Nevada Gaming Commission as a publicly traded company, referred to as a registered company for the purposes of the Nevada Gaming Control Act. Wynn Resorts, whose common stock is publicly traded, also was registered as a publicly traded company. Wynn Capital, as a co-issuer of the notes, was not required to be registered or licensed, but may be required to be found suitable as a lender or financing source.</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 company licensee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and key employees, as well as certain of Wynn Resorts’ directors, officers and key employees, have been or may be required to be licensed or found suitable by the Nevada Gaming Authorities. All applications required as of the date of this report have been filed and approved.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Gaming Authorities and, in addition to their authority to deny an application for a finding of suitability or licensing, the Nevada Gaming Authorities have the jurisdiction to disapprove a change in a corporate position.</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Nevada Gaming Authorities were to find a Wynn Resorts director, officer or key employee, or one of our officers or key employees unsuitable for licensing or unsuitable to continue having a relationship with Wynn Resorts or us, we or Wynn Resorts would have to sever all relationships with that person. In addition, the Nevada Gaming Commission may require Wynn Resorts or us to terminate the employment of any person who refuses to file appropriate applications. Determinations of suitability or questions pertaining to licensing are not subject to judicial review in Nevada.</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Consequences of Violating Gaming Laws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 and gaming licenses.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a registered company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Consequences of Being Found Unsuitable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and/or Wynn Resorts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Approval of Public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Any approval that we might receive in the future relating to such offerings will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While the offering of the notes by the issuers qualified as 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public offering, the Nevada State Gaming Control Board Chairman, after consideration of our ruling request, issued an administrative ruling that it was not necessary to submit applications for prior approval of such offerings.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offer by us to exchange the old notes for publicly registered new notes typically would require the review of, and prior approval by, the Nevada Gaming Commission. However, we have been approved by the Nevada Gaming Commission to make public offerings until March 2007, subject to certain conditions (“Shelf Approval”), which would cover new notes issued after the date of the Shelf Approval. The Shelf Approval may be rescinded for good cause without prior notice upon the issuance of an interlocutory stop order by the Chairman of the Nevada State Gaming Control Board and must be renewed at the end of the two-year approval period. The Shelf Approval will apply to any affiliated company that is wholly owned by us, which is a publicly traded corporation or would thereby become a publicly traded corporation pursuant to a public offering. The Shelf Approval will not constitute a finding, recommendation or approval by the Nevada Gaming Commission as to the accuracy or adequacy of the prospectus or the investment merits of the securities offered. Any representation to the contrary is unlawful.</w:t>
      </w:r>
    </w:p>
    <w:p>
      <w:pPr>
        <w:spacing w:after="0" w:line="10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Approval of Changes in Control. </w:t>
      </w:r>
      <w:r>
        <w:rPr>
          <w:rFonts w:ascii="Arial" w:cs="Arial" w:eastAsia="Arial" w:hAnsi="Arial"/>
          <w:sz w:val="15"/>
          <w:szCs w:val="15"/>
          <w:color w:val="auto"/>
        </w:rPr>
        <w:t>We must obtain prior approval of the Nevada Gaming Commission with respect to a change in control through merger,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consolidation, stock or asset acquisitions, management or consulting agreements, or any act or conduct by a person by which the person obtains control of us.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220" w:hanging="446"/>
        <w:spacing w:after="0" w:line="347"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the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As of the opening of Wynn Las Vegas on April 28, 2005, we employed nearly 10,000 people in the U.S. We believe that we appropriately staffed Wynn Las Vegas to account for the increased needs at and immediately following its opening. We expect that natural staffing attrition will occur as operations stabilize.</w:t>
      </w:r>
    </w:p>
    <w:p>
      <w:pPr>
        <w:spacing w:after="0" w:line="7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Unions may seek to organize the workers at Wynn Las Vegas. Unionization could increase our labor costs. We entered into an agreement with the Culinary and Bartenders Union local pursuant to which the union has recently been recognized as the exclusive bargaining agent of certain of our employees. As a result of this recognition, Wynn Las Vegas is obligated to negotiate a collective bargaining agreement with the union.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most important marks are our WYNN-related trademarks and service marks. Holdings has filed applications with the U.S. Patent and Trademark Office (“PTO”), to register a variety of the WYNN-related trademarks and service marks in connection with a variety of goods and services including “WYNN LAS VEGAS.” Some of the applications are based upon ongoing use and others are based upon a bona fide intent to use the marks in the future.</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Holdings has been successful in demonstrating to the PTO such secondary meaning for the Wynn name in certain of the applications based upon Mr. Wynn’s prominence as a resort developer, but we cannot assure you that Holdings will be successful with the other pending applications.</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subsidiaries and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subsidiaries and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Together with our subsidiaries, we currently own approximately 235 acres of land on or near the Las Vegas strip including the site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Desert Inn. We own a total of approximately 75 acres of land consisting of approximately 55 acres at the northeast corner of the intersection of Las Vegas Boulevard and Sands Avenue and an additional parcel of 20 acres fronting Las Vegas Boulevard next to the Wynn Las Vegas site on which we intend to construct Encore. Wynn Golf, LLC, our wholly-owned subsidiary, owns the approximately 142-acre golf course behind Wynn Las Vegas, which is leased to us. Wynn Sunrise, LLC, also our wholly-owned subsidiary, owns approximately 18 acres located across from the Wynn Las Vegas site at Koval Lane and Sands Avenue, which is being used for employee parking.</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Las Vegas Water Rights. </w:t>
      </w:r>
      <w:r>
        <w:rPr>
          <w:rFonts w:ascii="Arial" w:cs="Arial" w:eastAsia="Arial" w:hAnsi="Arial"/>
          <w:sz w:val="16"/>
          <w:szCs w:val="16"/>
          <w:color w:val="auto"/>
        </w:rPr>
        <w:t>We own approximately 934 acre-feet of permitted domestic and recreation water rights through our subsidiary, Wynn Golf,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irrigation of the golf course subject to proof of beneficial use and approval of the State of Nevada Division of Water Resources.</w:t>
      </w:r>
    </w:p>
    <w:p>
      <w:pPr>
        <w:spacing w:after="0" w:line="7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also own approximately 52 acre-feet of permitted (and some certificated) quasi-municipal water rights. This water is used to supply the water for the Wynn Las Vegas lake/mountain feature subject to proof of beneficial use and approval of the State of Nevada Division of Water Resources. There are significant cost savings and conservation benefits associated with using water supplied pursuant to our water rights.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AFFILIATE’S OPPORTUNITY IN MACAU</w:t>
      </w:r>
    </w:p>
    <w:p>
      <w:pPr>
        <w:spacing w:after="0" w:line="164"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 xml:space="preserve">Overview. </w:t>
      </w:r>
      <w:r>
        <w:rPr>
          <w:rFonts w:ascii="Arial" w:cs="Arial" w:eastAsia="Arial" w:hAnsi="Arial"/>
          <w:sz w:val="15"/>
          <w:szCs w:val="15"/>
          <w:color w:val="auto"/>
        </w:rPr>
        <w:t>Our affiliate, Wynn Macau, S.A., is constructing and will own and operate Wynn Macau, Wynn Resorts’ first hotel and casino resort in Macau.</w:t>
      </w:r>
      <w:r>
        <w:rPr>
          <w:rFonts w:ascii="Arial" w:cs="Arial" w:eastAsia="Arial" w:hAnsi="Arial"/>
          <w:sz w:val="15"/>
          <w:szCs w:val="15"/>
          <w:i w:val="1"/>
          <w:iCs w:val="1"/>
          <w:color w:val="auto"/>
        </w:rPr>
        <w:t xml:space="preserve"> </w:t>
      </w:r>
      <w:r>
        <w:rPr>
          <w:rFonts w:ascii="Arial" w:cs="Arial" w:eastAsia="Arial" w:hAnsi="Arial"/>
          <w:sz w:val="15"/>
          <w:szCs w:val="15"/>
          <w:color w:val="auto"/>
        </w:rPr>
        <w:t>In June 2002, Wynn Macau, S.A. entered into a 20-year concession agreement with the government of Macau to construct and operate one or more casino gaming properties in Macau. Macau is located in southeast China bordering the South China Sea, approximately 37 miles southwest of Hong Kong. Macau has been an established gaming market for at least 40 years and, according to the Innovation Group, a gaming research company, casinos in Macau generated approximately $5.1 billion in gaming revenues in 2004. Wynn Macau, S.A. currently is one of three concessionaires permitted to operate a casino gaming business in Macau.</w:t>
      </w:r>
    </w:p>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The Concession. </w:t>
      </w:r>
      <w:r>
        <w:rPr>
          <w:rFonts w:ascii="Arial" w:cs="Arial" w:eastAsia="Arial" w:hAnsi="Arial"/>
          <w:sz w:val="18"/>
          <w:szCs w:val="18"/>
          <w:color w:val="auto"/>
        </w:rPr>
        <w:t>The concession agreement requires Wynn Macau, S.A. to construct and operate one or more casino gaming properties in Macau,</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at a minimum, one full-service casino resort by the end of December 2006, and invest not less than a total of 4 billion patacas (approximately $480.9 million as of March 31, 2005) in Macau-related projects by June 2009. If Wynn Macau, S.A. does not invest 4 billion patacas in casino projects by June 2009, it is obligated to invest the remaining amount in projects related to its gaming operations in Macau that the Macau government approves, or in projects of public interest designated by the Macau government.</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concession agreement requires Wynn Macau, S.A. to adhere to an agreed-upon construction schedule for the completion of the first casino resort, but the agreement provides that the deadlines in the construction schedule may be extended with governmental approval. The government of Macau may suspend construction of a casino if it determines that Wynn Macau, S.A. has failed to adequately implement the construction plans or violated the concession agreement or applicable law.</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Wynn Macau, S.A. The government of Macau also may redeem a concession starting at an established date after the entering into of a concession. With respect to Wynn Macau, S.A.’s concession, the government of Macau’s right to redeem the concession begins on June 24, 2017, and entitles Wynn Macau, S.A. to certain compensation.</w:t>
      </w:r>
    </w:p>
    <w:p>
      <w:pPr>
        <w:spacing w:after="0" w:line="130" w:lineRule="exact"/>
        <w:rPr>
          <w:sz w:val="20"/>
          <w:szCs w:val="20"/>
          <w:color w:val="auto"/>
        </w:rPr>
      </w:pPr>
    </w:p>
    <w:p>
      <w:pPr>
        <w:ind w:right="40" w:firstLine="456"/>
        <w:spacing w:after="0" w:line="34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Development. </w:t>
      </w:r>
      <w:r>
        <w:rPr>
          <w:rFonts w:ascii="Arial" w:cs="Arial" w:eastAsia="Arial" w:hAnsi="Arial"/>
          <w:sz w:val="16"/>
          <w:szCs w:val="16"/>
          <w:color w:val="auto"/>
        </w:rPr>
        <w:t>In June 2004, Wynn Macau, S.A., entered into a 25-year land concession contract to lease approximately 16 acres of land in Macau’s inner</w:t>
      </w:r>
      <w:r>
        <w:rPr>
          <w:rFonts w:ascii="Arial" w:cs="Arial" w:eastAsia="Arial" w:hAnsi="Arial"/>
          <w:sz w:val="16"/>
          <w:szCs w:val="16"/>
          <w:i w:val="1"/>
          <w:iCs w:val="1"/>
          <w:color w:val="auto"/>
        </w:rPr>
        <w:t xml:space="preserve"> </w:t>
      </w:r>
      <w:r>
        <w:rPr>
          <w:rFonts w:ascii="Arial" w:cs="Arial" w:eastAsia="Arial" w:hAnsi="Arial"/>
          <w:sz w:val="16"/>
          <w:szCs w:val="16"/>
          <w:color w:val="auto"/>
        </w:rPr>
        <w:t>harbor area. The Wynn Macau resort will initially utilize approximately 11 acres and will include approximately 600 hotel rooms, approximately 100,000 square feet of casino gaming space, seven restaurants, approximately 28,000 square feet of retail space, and a spa, salon and entertainment facilities.</w:t>
      </w:r>
    </w:p>
    <w:p>
      <w:pPr>
        <w:spacing w:after="0" w:line="9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Design and construction of Wynn Macau is progressing on schedule and within budget. Wynn Macau is expected to open in the third quarter of 2006. Detailed interior design work is continuing, with the majority of architectural and structural design work now complete. Construction is progressing well with piling and other in-ground activities substantially complete. Superstructure works are well underway with the hotel tower reaching the twelfth floor level. Construction activities since groundbreaking in June 2004 include the following:</w:t>
      </w:r>
    </w:p>
    <w:p>
      <w:pPr>
        <w:spacing w:after="0" w:line="49"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Construction of basement plant and tunnel areas is substantially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Hotel tower structure has reached the twelfth floor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 casino area superstructure (columns and floor and roof slabs) is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Parking garage ground level structure is complete and the second level structure is 35% complete;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Installation of mechanical, electrical and plumbing services has commenced.</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Macau’s project budget is approximately $704.0 million. This includes construction and design costs of approximately $425.0 million, land acquisition costs of approximately $40.6 million, and capitalized interest, pre-opening expenses, financing fees and construction contingencies totaling in the aggregate approximately 238.4 million. The budget excludes up to $20.5 million of post-opening land concession payments that are anticipated to be funded from operating cash flows from Wynn Macau.</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Wynn Macau Expansion. </w:t>
      </w:r>
      <w:r>
        <w:rPr>
          <w:rFonts w:ascii="Arial" w:cs="Arial" w:eastAsia="Arial" w:hAnsi="Arial"/>
          <w:sz w:val="16"/>
          <w:szCs w:val="16"/>
          <w:color w:val="auto"/>
        </w:rPr>
        <w:t>Wynn Resorts is currently in the process of finalizing its design for the expansion of Wynn Macau. The current expansion plans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an additional 85,000 square feet of casino space featuring approximately 150 table games, 500 slots and a sports book; two restaurants; a theater; and a dramatic front feature attraction at the entrance of the expansion. The expansion is on the remaining approximately five acres of the Wynn Macau site and is designed to seamlessly integrate into the Wynn Macau property. Wynn Macau, S.A. intends to begin construction of the expansion in the third quarter of 2005 and open the expansion in the first half of 2007. The preliminary budget for the expansion is approximately $345.0 million.</w:t>
      </w:r>
    </w:p>
    <w:p>
      <w:pPr>
        <w:spacing w:after="0" w:line="10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development of casinos in Macau is subject to a number of uncertainties, including risks associated with doing business in foreign locations and risks associated with Macau’s developing gaming regulatory framework. The Legislative Assembly of Macau enacted legislation, effective July 1, 2004, that enables casinos operating in Macau to lawfully extend credit to gaming customers and enforce gaming debts. Wynn Macau, S.A. continues to pursue certain favorable determinations related to Macau’s tax regulations; however, we cannot ensure that Wynn Macau, S.A. will be able to obtain the desired determinations.</w:t>
      </w:r>
    </w:p>
    <w:p>
      <w:pPr>
        <w:spacing w:after="0" w:line="8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Financing and Intercompany Loan. </w:t>
      </w:r>
      <w:r>
        <w:rPr>
          <w:rFonts w:ascii="Arial" w:cs="Arial" w:eastAsia="Arial" w:hAnsi="Arial"/>
          <w:sz w:val="16"/>
          <w:szCs w:val="16"/>
          <w:color w:val="auto"/>
        </w:rPr>
        <w:t>From a combination of capital contributions and intercompany loans at an annual interest rate of 6.25%,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has invested, or will invest, a total of approximately $230.0 million into the Wynn Macau project. In addition, we intend to make an intercompany loan of approximately $122.0 million at an interest rate of 7.5% to Wynn Group Asia, Inc., a wholly owned subsidiary of Wynn Resorts that is involved in the development of Wynn Macau. The loan may be funded from the proceeds of the First Mortgage Notes or borrowings under our credit facilities. The remaining $352.0 million to fund the budgeted project costs will be provided in the form of a base term loan as part of a $397.0 million senior secured bank facility entered into by Wynn Macau, S.A. In addition to the base term loan and to cover any potential owner-generated cost overruns, Wynn Resorts has established a $30.0 million contingent equity funding source in the form of an intercompany loan and has available a $30.0 million contingent debt facility. The senior secured bank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facility also includes a working capital facility of $15.0 million. Agreements governing the debt facilities specify the sequencing of funding sources and provide that prior to borrowing under the senior bank facility, Wynn Resorts must first utilize a majority of the cash balances funded to the Wynn Macau project. Wynn Macau, S.A. intends to expand its current Wynn Macau senior debt facilities to finance the expansion of Wynn Macau and has engaged several lenders to arrange for the financing of the expansion.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 wholly-owned subsidiary of Holdings. Holdings is a wholly-owned subsidiary of Wynn Resorts. The following table sets forth the members of the Board of Directors of both Wynn Resorts and Wynn Capital, and our executive officers as of March 31, 2005. All directors hold their positions until their terms expire and until their respective successors are elected and qualified. Executive officers are appointed by the Board of Directors and serve at their discretion, subject to applicable employment agreements.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38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r>
      <w:tr>
        <w:trPr>
          <w:trHeight w:val="309"/>
        </w:trPr>
        <w:tc>
          <w:tcPr>
            <w:tcW w:w="3880" w:type="dxa"/>
            <w:vAlign w:val="bottom"/>
            <w:gridSpan w:val="2"/>
          </w:tcPr>
          <w:p>
            <w:pPr>
              <w:spacing w:after="0"/>
              <w:rPr>
                <w:sz w:val="20"/>
                <w:szCs w:val="20"/>
                <w:color w:val="auto"/>
              </w:rPr>
            </w:pPr>
            <w:r>
              <w:rPr>
                <w:rFonts w:ascii="Arial" w:cs="Arial" w:eastAsia="Arial" w:hAnsi="Arial"/>
                <w:sz w:val="18"/>
                <w:szCs w:val="18"/>
                <w:color w:val="auto"/>
              </w:rPr>
              <w:t>Stephen A. Wynn</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Kiril Sokoloff</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Stanley R. Zax</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Marc H. Rubinstein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94"/>
              </w:rPr>
              <w:t>Senior Vice President, Secretary and General Counsel</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Arthur E. Nathan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7"/>
              </w:rPr>
              <w:t>Senior Vice President and Chief Human Resources Officer</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James E. Pettis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Senior Vice President-Risk Management</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 Todd Nisbet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Vice President of Finance and Treasurer</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certain information regarding the directors of Wynn Resorts and non-director executive officers of the Company.</w:t>
      </w:r>
    </w:p>
    <w:p>
      <w:pPr>
        <w:spacing w:after="0" w:line="15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has served as Chairman of the Board and Chief Executive Officer of Wynn Resorts since June 2002. From April 2000 to</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Wynn was the managing member of Valvino, the Company’s predecessor and its wholly owned subsidiary. From 1973 until 2000, Mr. Wynn served as Chairman of the Board, President and Chief Executive Officer of Mirage Resorts, Incorporated, and its predecessor. Mr. Wynn is married to Elaine P. Wynn.</w:t>
      </w:r>
    </w:p>
    <w:p>
      <w:pPr>
        <w:spacing w:after="0" w:line="12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of Directors since October 2002. Mr. Okada founded Aruze Corp., a Japanese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pachislot and pachinko machines, amusement machines and video game software, in 1969. Aruze Corp. is the sole stockholder of Universal Distributing of Nevada, Inc. (“Universal”), a gaming machine supplier company, and is currently licensed by the Nevada Gaming Commission as a manufacturer of gaming devices and to own the shares of Universal Distributing of Nevada, Inc., a gaming machine supplier company. Mr. Okada currently serves as the Chairman and a Director of Aruze Corp. From 1969 through June 2004, Mr. Okada served as the President of Aruze Corp. Mr. Okada is a Director and the Chairman and Treasurer of Aruze USA Inc., a subsidiary of Aruze Corp and a significant stockholder of Wynn Resorts. Mr. Okada also serves as Chairman of Adores Corporation, a subsidiary of Aruze Corp. and an operator of amusement centers in Japan. In addition, Mr. Okada serves as a director of SETA Corp. in Japan.</w:t>
      </w:r>
    </w:p>
    <w:p>
      <w:pPr>
        <w:spacing w:after="0" w:line="125"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Ronald J. Kramer. </w:t>
      </w:r>
      <w:r>
        <w:rPr>
          <w:rFonts w:ascii="Arial" w:cs="Arial" w:eastAsia="Arial" w:hAnsi="Arial"/>
          <w:sz w:val="18"/>
          <w:szCs w:val="18"/>
          <w:color w:val="auto"/>
        </w:rPr>
        <w:t>Mr. Kramer has served as President of Wynn Resorts and as one of its directors since October 2002. Mr. Kramer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Holdings from April to October 2002. From July 1999 to October 2001, Mr. Kramer was a Managing Director at Dresdner Kleinwort Wasserstein, an investment banking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firm, and at its predecessor, Wasserstein Perella &amp; Co. Mr. Kramer is a member of the board of directors of Monster Worldwide, Inc., Griffon Corporation, Lakes Entertainment, Inc. and New Valley Corporation.</w:t>
      </w:r>
    </w:p>
    <w:p>
      <w:pPr>
        <w:spacing w:after="0" w:line="11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of Wynn Resorts since October 2002. He has been a partner of the Nevada law firm of Jones Vargas</w:t>
      </w:r>
      <w:r>
        <w:rPr>
          <w:rFonts w:ascii="Arial" w:cs="Arial" w:eastAsia="Arial" w:hAnsi="Arial"/>
          <w:sz w:val="16"/>
          <w:szCs w:val="16"/>
          <w:b w:val="1"/>
          <w:bCs w:val="1"/>
          <w:color w:val="auto"/>
        </w:rPr>
        <w:t xml:space="preserve"> </w:t>
      </w:r>
      <w:r>
        <w:rPr>
          <w:rFonts w:ascii="Arial" w:cs="Arial" w:eastAsia="Arial" w:hAnsi="Arial"/>
          <w:sz w:val="16"/>
          <w:szCs w:val="16"/>
          <w:color w:val="auto"/>
        </w:rPr>
        <w:t>since January 1999. He has also been a partner in Miller &amp; Behar Strategies since January 2003. From January 1989 until January 1999, he served as Governor of the State of Nevada, and, from 1987 to 1989, he served as Lieutenant Governor of the State of Nevada. Mr. Miller also serves as a director of Zenith National Insurance Corp., Newmont Mining Corporation, International Game Technology and America West Holdings Corporation.</w:t>
      </w:r>
    </w:p>
    <w:p>
      <w:pPr>
        <w:spacing w:after="0" w:line="90"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of Wynn Resorts since October 2002. Mr. Moran is the retired Chairman of Dyson-Kissner-Moran</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 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member of the board of directors of Critical Mass Ventures.</w:t>
      </w:r>
    </w:p>
    <w:p>
      <w:pPr>
        <w:spacing w:after="0" w:line="90" w:lineRule="exact"/>
        <w:rPr>
          <w:sz w:val="20"/>
          <w:szCs w:val="20"/>
          <w:color w:val="auto"/>
        </w:rPr>
      </w:pPr>
    </w:p>
    <w:p>
      <w:pPr>
        <w:jc w:val="both"/>
        <w:ind w:right="36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Hanover Compressor Co., Frontier Bank and Huntsman Chemical Co.</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Kiril Sokoloff. </w:t>
      </w:r>
      <w:r>
        <w:rPr>
          <w:rFonts w:ascii="Arial" w:cs="Arial" w:eastAsia="Arial" w:hAnsi="Arial"/>
          <w:sz w:val="18"/>
          <w:szCs w:val="18"/>
          <w:color w:val="auto"/>
        </w:rPr>
        <w:t>Mr. Sokoloff has served as a director since May 2004. Mr. Sokoloff is the President of 13D Research Inc., an independent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firm he founded in 1983. In 2002, Mr. Sokoloff founded and is currently the Chairman of Bluespan a company engaged in the research and production of wireless applications for consumer use, and in 2004, he founded and is currently the Co-Chairman of Healthsearches.org, a company involved in providing healthcare information over the Internet.</w:t>
      </w:r>
    </w:p>
    <w:p>
      <w:pPr>
        <w:spacing w:after="0" w:line="123"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of Wynn Resorts since August 2003. Mr. Wayson has been a principal of Wayson’s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 real estate development and holding company, since 1970. He also serves as an officer and/or director of other real estate and business ventures. From 2000 through May 2003, Mr. Wayson served as a member of the board of directors of MGM MIRAGE and from 1987 through May 2000, he served as a member of the board of directors of Mirage Resorts, Incorporated.</w:t>
      </w:r>
    </w:p>
    <w:p>
      <w:pPr>
        <w:spacing w:after="0" w:line="123"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Mrs. Wynn has served as a director for Wynn Resorts since October 2002, and is an active collaborator in the creation of Wynn Las Vegas</w:t>
      </w:r>
      <w:r>
        <w:rPr>
          <w:rFonts w:ascii="Arial" w:cs="Arial" w:eastAsia="Arial" w:hAnsi="Arial"/>
          <w:sz w:val="16"/>
          <w:szCs w:val="16"/>
          <w:b w:val="1"/>
          <w:bCs w:val="1"/>
          <w:color w:val="auto"/>
        </w:rPr>
        <w:t xml:space="preserve"> </w:t>
      </w:r>
      <w:r>
        <w:rPr>
          <w:rFonts w:ascii="Arial" w:cs="Arial" w:eastAsia="Arial" w:hAnsi="Arial"/>
          <w:sz w:val="16"/>
          <w:szCs w:val="16"/>
          <w:color w:val="auto"/>
        </w:rPr>
        <w:t>Resort and Country Club. In addition to her corporate responsibilities, she has also served as Co-Chairperson of the Greater Las Vegas Inner-City Games Foundation since 1996 and currently serves on the Executive Board of the Consortium for Policy Research in Education and the Council to Establish Academic Standards in Nevada. Mrs. Wynn served as a director for Mirage Resorts, Incorporated from 1976 until 2000. Mrs. Wynn is married to Stephen A. Wynn.</w:t>
      </w:r>
    </w:p>
    <w:p>
      <w:pPr>
        <w:spacing w:after="0" w:line="90"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of Wynn Resorts since October 2002. Since 1977, Mr. Zax has served as Chairman of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since 1978, has also served as President and CEO of Zenith National Insurance Corp. Zenith National Insurance Corp. and Zenith Insurance Company, its wholly owned subsidiary, are engaged in the workers compensation insurance and reinsurance business.</w:t>
      </w:r>
    </w:p>
    <w:p>
      <w:pPr>
        <w:spacing w:after="0" w:line="119"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of Wynn Resorts since October 2002. Mr. Zeman is chairman of Lan Kwai Fong Holdings Limited,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engaged in property investment and development, since July 1996. Mr. Zeman is also chairman of Ocean Park, a major theme park in Hong Kong, as well as the Chairman of Sweetpea Entertainment Inc. and After Dark Films, movie production companies based in Los Angeles. In 2001, he was appointed a Justice of the Peace in Hong Kong and, in 2004, he was awarded the Gold Bauhinia Star by the Chief Executive of Hong Kong.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serves as Chief Executive Officer and President of the Company, a position he has held since June 2002. Mr. Schorr also</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the Chief Operating Officer of Wynn Resorts, President of Wynn Design &amp; Development, LLC., and as an officer of several of the Company’s subsidiaries. From June 2000 through April 2001, Mr. Schorr served as Chief Operating Officer of Valvino. From January 1997 through May 2000, Mr. Schorr served as President of The Mirage Casino-Hotel, a gaming company and then a wholly owned subsidiary of Mirage Resorts, Incorporated.</w:t>
      </w:r>
    </w:p>
    <w:p>
      <w:pPr>
        <w:spacing w:after="0" w:line="9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the Company, a position he has held since October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1999 to October 2003, Mr. Sisk was the Senior Vice President, Treasurer and Chief Financial Officer of Caesars Palace, a subsidiary of Caesars Entertainment, Inc.</w:t>
      </w:r>
    </w:p>
    <w:p>
      <w:pPr>
        <w:spacing w:after="0" w:line="11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Marc H. Rubinstein. </w:t>
      </w:r>
      <w:r>
        <w:rPr>
          <w:rFonts w:ascii="Arial" w:cs="Arial" w:eastAsia="Arial" w:hAnsi="Arial"/>
          <w:sz w:val="18"/>
          <w:szCs w:val="18"/>
          <w:color w:val="auto"/>
        </w:rPr>
        <w:t>Mr. Rubinstein serves as Senior Vice President, General Counsel and Secretary of the Company, a position he has held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2002. Mr. Rubinstein has also served as Senior Vice President, General Counsel and Secretary of Wynn Resorts since September 2002. Since April 2001, Mr. Rubinstein has also served as Senior Vice President-General Counsel of Wynn Resorts Holdings and since June 2000, as Senior Vice President-General Counsel of Valvino. Before joining the Wynn organization, Mr. Rubinstein served as Senior Vice President-General Counsel &amp; Secretary of Desert Palace, Inc., a gaming company that did business as Caesars Palace and was a wholly owned subsidiary of Caesars World, Inc and of the Sheraton Desert Inn Corporation, a gaming company that did business as The Desert Inn, then a wholly owned subsidiary of ITT Sheraton Corp. (and later of Starwood Hotels &amp; Resorts Worldwide, Inc.).</w:t>
      </w:r>
    </w:p>
    <w:p>
      <w:pPr>
        <w:spacing w:after="0" w:line="12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Arthur Nathan</w:t>
      </w:r>
      <w:r>
        <w:rPr>
          <w:rFonts w:ascii="Arial" w:cs="Arial" w:eastAsia="Arial" w:hAnsi="Arial"/>
          <w:sz w:val="18"/>
          <w:szCs w:val="18"/>
          <w:color w:val="auto"/>
        </w:rPr>
        <w:t>. Mr. Nathan has served as the Senior Vice President—Chief Human Resources Officer of the Company since January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2000 to January 2003, Mr. Nathan worked for Pricewaterhouse Coopers in new product development and consulted with clients on HR practices. From 1983 to October 2000, Mr. Nathan held various human resource positions with the Golden Nugget in Atlantic City, The Mirage, Treasure Island at The Mirage and Bellagio.</w:t>
      </w:r>
    </w:p>
    <w:p>
      <w:pPr>
        <w:spacing w:after="0" w:line="123"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James E. Petttis. </w:t>
      </w:r>
      <w:r>
        <w:rPr>
          <w:rFonts w:ascii="Arial" w:cs="Arial" w:eastAsia="Arial" w:hAnsi="Arial"/>
          <w:sz w:val="18"/>
          <w:szCs w:val="18"/>
          <w:color w:val="auto"/>
        </w:rPr>
        <w:t>Mr. Pettis has served as the Senior Vice President-Risk Management of the Company since June 2000. Mr. Pettis served in various risk</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capacities from 1980 to June 2000, at Mirage Resorts and its predecessor, Golden Nugget, Inc.</w:t>
      </w:r>
    </w:p>
    <w:p>
      <w:pPr>
        <w:spacing w:after="0" w:line="10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W. Todd Nisbet. </w:t>
      </w:r>
      <w:r>
        <w:rPr>
          <w:rFonts w:ascii="Arial" w:cs="Arial" w:eastAsia="Arial" w:hAnsi="Arial"/>
          <w:sz w:val="18"/>
          <w:szCs w:val="18"/>
          <w:color w:val="auto"/>
        </w:rPr>
        <w:t>Mr. Nisbet has served as Assistant Secretary of the Company since August 2004. Mr. Nisbet has also served as Executive Vice President-Project Director of Wynn Design &amp; Development, LLC an affiliate of wholly owned subsidiary of the Company, since July 2000. From 1999 to 2000, Mr. Nisbet served as Vice President Operations of Marnell Corrao Associates, Inc., a design/build firm and, from 1995 to 1999, Mr. Nisbet was Senior Project Manager at Marnell Corrao.</w:t>
      </w:r>
    </w:p>
    <w:p>
      <w:pPr>
        <w:spacing w:after="0" w:line="123"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has served as the Vice President of Finance and Treasurer since joining the Company in 2000. From April 1993 until</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2000, Mr. Peterson worked in various financial positions at Treasure Island at The Mirage and Bellagio.</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compensation paid or accrued by the Company to the Chief Executive Officer of the Company and to each of the four most highly compensated executive officers of the Company (other than the Chief Executive Officer) (collectively, the “Named Executive Officers”), for services rendered to the Company and its affiliates in all capacities during the last completed fiscal year.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0"/>
              </w:rPr>
              <w:t>Long-Term</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4"/>
          </w:tcPr>
          <w:p>
            <w:pPr>
              <w:ind w:left="500"/>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NNUAL</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OMPENSATION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Compensation Awards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Restricted Stock</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Bonus</w:t>
            </w:r>
          </w:p>
        </w:tc>
        <w:tc>
          <w:tcPr>
            <w:tcW w:w="620" w:type="dxa"/>
            <w:vAlign w:val="bottom"/>
          </w:tcPr>
          <w:p>
            <w:pPr>
              <w:spacing w:after="0"/>
              <w:rPr>
                <w:sz w:val="12"/>
                <w:szCs w:val="12"/>
                <w:color w:val="auto"/>
              </w:rPr>
            </w:pPr>
          </w:p>
        </w:tc>
        <w:tc>
          <w:tcPr>
            <w:tcW w:w="18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Award(s)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43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ind w:left="1200"/>
              <w:spacing w:after="0"/>
              <w:rPr>
                <w:sz w:val="20"/>
                <w:szCs w:val="20"/>
                <w:color w:val="auto"/>
              </w:rPr>
            </w:pPr>
            <w:r>
              <w:rPr>
                <w:rFonts w:ascii="Arial" w:cs="Arial" w:eastAsia="Arial" w:hAnsi="Arial"/>
                <w:sz w:val="12"/>
                <w:szCs w:val="12"/>
                <w:b w:val="1"/>
                <w:bCs w:val="1"/>
                <w:color w:val="auto"/>
                <w:w w:val="74"/>
              </w:rPr>
              <w:t>($</w:t>
            </w:r>
          </w:p>
        </w:tc>
        <w:tc>
          <w:tcPr>
            <w:tcW w:w="620" w:type="dxa"/>
            <w:vAlign w:val="bottom"/>
          </w:tcPr>
          <w:p>
            <w:pP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85"/>
              </w:rPr>
              <w:t>Compensation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Executive Officer and President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1,000,000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(2)</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David R. Sisk</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 and Senior Vice</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President</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350,000</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Sr. Vice President, Secretary, and General</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Counsel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360,000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Arthur E. Nathan</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Senior Vice President and Chief Human</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3"/>
          </w:tcPr>
          <w:p>
            <w:pPr>
              <w:ind w:left="200"/>
              <w:spacing w:after="0"/>
              <w:rPr>
                <w:sz w:val="20"/>
                <w:szCs w:val="20"/>
                <w:color w:val="auto"/>
              </w:rPr>
            </w:pPr>
            <w:r>
              <w:rPr>
                <w:rFonts w:ascii="Arial" w:cs="Arial" w:eastAsia="Arial" w:hAnsi="Arial"/>
                <w:sz w:val="18"/>
                <w:szCs w:val="18"/>
                <w:color w:val="auto"/>
              </w:rPr>
              <w:t>Resources Officer</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300,000</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35,000</w:t>
            </w:r>
          </w:p>
        </w:tc>
        <w:tc>
          <w:tcPr>
            <w:tcW w:w="13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E. Pettis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President—Risk Management</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2004 to Wynn Resorts’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401(k) Plan, as follows: Marc D. Schorr ($6,150), David R. Sisk ($6,150), Marc H. Rubinstein ($5,738), Arthur E. Nathan ($6,150) and James E. Pettis</w:t>
      </w:r>
    </w:p>
    <w:p>
      <w:pPr>
        <w:spacing w:after="0" w:line="32" w:lineRule="exact"/>
        <w:rPr>
          <w:rFonts w:ascii="Arial" w:cs="Arial" w:eastAsia="Arial" w:hAnsi="Arial"/>
          <w:sz w:val="16"/>
          <w:szCs w:val="16"/>
          <w:color w:val="auto"/>
        </w:rPr>
      </w:pPr>
    </w:p>
    <w:p>
      <w:pPr>
        <w:ind w:left="460" w:right="180"/>
        <w:spacing w:after="0" w:line="250" w:lineRule="auto"/>
        <w:rPr>
          <w:rFonts w:ascii="Arial" w:cs="Arial" w:eastAsia="Arial" w:hAnsi="Arial"/>
          <w:sz w:val="16"/>
          <w:szCs w:val="16"/>
          <w:color w:val="auto"/>
        </w:rPr>
      </w:pPr>
      <w:r>
        <w:rPr>
          <w:rFonts w:ascii="Arial" w:cs="Arial" w:eastAsia="Arial" w:hAnsi="Arial"/>
          <w:sz w:val="18"/>
          <w:szCs w:val="18"/>
          <w:color w:val="auto"/>
        </w:rPr>
        <w:t>($6,150) and (ii) executive life insurance premiums paid in 2004, as follows: Marc D. Schorr ($4,493), David R. Sisk ($25), Marc Rubinstein ($145), and Arthur E. Nathan ($686).</w:t>
      </w:r>
    </w:p>
    <w:p>
      <w:pPr>
        <w:ind w:left="460" w:right="60" w:hanging="452"/>
        <w:spacing w:after="0" w:line="290"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December 11, 2002, Mr. Schorr was granted 189,723 shares of restricted stock of Wynn Resorts, which will vest in its entirety on May 31, 2005. As of December 31, 2004, the value of Mr. Schorr’s restricted stock grant was $12,696,263 based on a closing price of $66.92 per share on December 31, 2004. There are no voting rights associated with any unvested shares and any distributions or dividends with respect to unvested shares are held by Wynn Resorts and are released only upon vesting. On December 27, 2004, subject to certain conditions, the Compensation Committee of the Board of Directors approved a grant to Mr. Schorr of 125,000 shares of restricted stock for services rendered during 2004. This grant became effective on February 3, 2005. 20% of this grant will vest on December 15th of each of the next five years, beginning with December 15, 2005.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During the year ended December 31, 2004, none of the Named Executive Officers received an option to purchase shares of common stock of the Company or any parent or subsidiary of the Company. For the year ended December 31, 2004, no SARs were granted.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Option Values</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table provides information related to options to purchase common stock of the Company or any parent or subsidiary of the Company held by the Named Executive Officers at December 31, 2004. None of the Named Executive Officers exercised options to purchase common stock of the Company or any parent or subsidiary of the Company during the year ended December 31, 2004. All stock options in the table below reflect options to purchase common stock of Wynn Resorts.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FY-END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December 31, 2004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at 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w w:val="92"/>
              </w:rPr>
              <w:t>Exercisable</w:t>
            </w:r>
          </w:p>
        </w:tc>
        <w:tc>
          <w:tcPr>
            <w:tcW w:w="4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Unexercisable</w:t>
            </w:r>
          </w:p>
        </w:tc>
        <w:tc>
          <w:tcPr>
            <w:tcW w:w="440" w:type="dxa"/>
            <w:vAlign w:val="bottom"/>
          </w:tcPr>
          <w:p>
            <w:pPr>
              <w:spacing w:after="0"/>
              <w:rPr>
                <w:sz w:val="22"/>
                <w:szCs w:val="22"/>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2,576,000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820" w:type="dxa"/>
            <w:vAlign w:val="bottom"/>
          </w:tcPr>
          <w:p>
            <w:pPr>
              <w:jc w:val="right"/>
              <w:spacing w:after="0"/>
              <w:rPr>
                <w:sz w:val="20"/>
                <w:szCs w:val="20"/>
                <w:color w:val="auto"/>
              </w:rPr>
            </w:pPr>
            <w:r>
              <w:rPr>
                <w:rFonts w:ascii="Arial" w:cs="Arial" w:eastAsia="Arial" w:hAnsi="Arial"/>
                <w:sz w:val="18"/>
                <w:szCs w:val="18"/>
                <w:color w:val="auto"/>
              </w:rPr>
              <w:t>18,750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879,938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2,639,813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670,875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Arthur E. Nathan</w:t>
            </w:r>
          </w:p>
        </w:tc>
        <w:tc>
          <w:tcPr>
            <w:tcW w:w="820" w:type="dxa"/>
            <w:vAlign w:val="bottom"/>
          </w:tcPr>
          <w:p>
            <w:pPr>
              <w:jc w:val="right"/>
              <w:spacing w:after="0"/>
              <w:rPr>
                <w:sz w:val="20"/>
                <w:szCs w:val="20"/>
                <w:color w:val="auto"/>
              </w:rPr>
            </w:pPr>
            <w:r>
              <w:rPr>
                <w:rFonts w:ascii="Arial" w:cs="Arial" w:eastAsia="Arial" w:hAnsi="Arial"/>
                <w:sz w:val="18"/>
                <w:szCs w:val="18"/>
                <w:color w:val="auto"/>
              </w:rPr>
              <w:t>6,250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322,000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Pettis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670,875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Options are “in-the-money” if, on December 31, 2004, the market price of Wynn Resorts’ common stock exceeded the exercise price of such options. The value of such options is calculated by determining the difference between the aggregate market price of Wynn Resorts’ common stock covered by the options on December 31, 2004, and the aggregate exercise price of such options. The market price of Wynn Resorts stock on December 31, 2004 was $66.92.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or the Company has entered into employment agreements with each of the Named Executive Officers:</w:t>
      </w:r>
    </w:p>
    <w:p>
      <w:pPr>
        <w:spacing w:after="0" w:line="77" w:lineRule="exact"/>
        <w:rPr>
          <w:sz w:val="20"/>
          <w:szCs w:val="20"/>
          <w:color w:val="auto"/>
        </w:rPr>
      </w:pPr>
    </w:p>
    <w:p>
      <w:pPr>
        <w:ind w:left="900" w:right="1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Schorr’s employment agreement is effective as of October 25, 2002, and has a term of five years. Mr. Schorr’s employment agreement provides for an annual base salary of $750,000 for the first year and $1,000,000 for the remainder of his term.</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Sisk’s employment agreement is effective as of October 27, 2003, and has a term of four years, providing for an annual base salary of $350,000 for each year of his term.</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Rubinstein’s employment agreement is effective as of October 25, 2002, and has a term of five years. Mr. Rubinstein’s employment agreement provides for an annual base salary of $360,000 for each year of his term.</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Nathan’s employment agreement is effective as of January 6, 2003, and has a term of four years. Mr. Nathan’s employment agreement provides for an annual base salary of $300,000 for each year of his term.</w:t>
      </w:r>
    </w:p>
    <w:p>
      <w:pPr>
        <w:spacing w:after="0" w:line="37"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Pettis’ employment agreement is effective as of December 16, 2002, and has a term of five years. Mr. Pettis’ employment agreement provides for an annual base salary of $200,000 for each year of his term.</w:t>
      </w:r>
    </w:p>
    <w:p>
      <w:pPr>
        <w:spacing w:after="0" w:line="11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other terms of the employment agreements are similar for each Named Executive Officer, except as noted below. Each executive is eligible to receive a bonus and an increase in base salary at such times and in such amounts as our Board of Directors, in its sole and exclusive discretion, may determine. Each executive will (i) be entitled to participate, to the extent that he or she is otherwise eligible, in all employee benefit plans that we maintain for our executives, and</w:t>
      </w:r>
    </w:p>
    <w:p>
      <w:pPr>
        <w:spacing w:after="0" w:line="1" w:lineRule="exact"/>
        <w:rPr>
          <w:sz w:val="20"/>
          <w:szCs w:val="20"/>
          <w:color w:val="auto"/>
        </w:rPr>
      </w:pPr>
    </w:p>
    <w:p>
      <w:pPr>
        <w:ind w:left="5620" w:right="1000" w:hanging="5612"/>
        <w:spacing w:after="0" w:line="433"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receive reimbursement for reasonable business expenses (including entertainment, promotional, gift and travel expenses and club memberships). 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Wynn Resorts terminates Marc Schorr’s employment agreement for “cause,” or if Mr. Schorr terminates his employment upon Wynn Resorts’ material breach of his employment agreement or for “good reason” following a “change of control” (as these terms are defined in his employment contracts), Wynn Resorts will pay Mr. Schorr a separation payment in a lump sum equal to the following:</w:t>
      </w:r>
    </w:p>
    <w:p>
      <w:pPr>
        <w:spacing w:after="0" w:line="46" w:lineRule="exact"/>
        <w:rPr>
          <w:sz w:val="20"/>
          <w:szCs w:val="20"/>
          <w:color w:val="auto"/>
        </w:rPr>
      </w:pPr>
    </w:p>
    <w:p>
      <w:pPr>
        <w:ind w:left="1140" w:hanging="237"/>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executive’s base salary for the remainder of the term of the employment agreement, but not for less than one year;</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bonus that the executive received for the preceding bonus period, projected over the remainder of the term (but not less than the preceding bonus that was paid),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amount necessary to reimburse the executive for any golden parachute excise tax the executive incurs under Internal Revenue Code Section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4999.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Mr. Nathan is terminated for any reason, we will pay Mr. Nathan his base salary and any accrued but unpaid vacation pay through his termination date.</w:t>
      </w:r>
    </w:p>
    <w:p>
      <w:pPr>
        <w:spacing w:after="0" w:line="18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the exception of Messrs. Schorr and Nathan, if we or Wynn Resorts terminate any of the other Named Executive Officers employment agreement for “cause,” or if executive terminates his employment upon our Wynn Resorts’ material breach of his employment agreement or for “good reason” following a “change of control” (as these terms are defined in his employment contracts), we or Wynn Resorts, as the case may be, will pay the executive a separation payment equal to:</w:t>
      </w:r>
    </w:p>
    <w:p>
      <w:pPr>
        <w:spacing w:after="0" w:line="49" w:lineRule="exact"/>
        <w:rPr>
          <w:sz w:val="20"/>
          <w:szCs w:val="20"/>
          <w:color w:val="auto"/>
        </w:rPr>
      </w:pPr>
    </w:p>
    <w:p>
      <w:pPr>
        <w:ind w:left="1140" w:hanging="237"/>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twelve months of the executive’s base salary;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amount equal to the bonus previously paid to the executive in the preceding bonus period;</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amount necessary to reimburse the executive for any golden parachute excise tax the executive incurs under Internal Revenue Code Section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4999.</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employment termination and in addition to the separation payment set forth above, the Named Executive Officers other than Mr. Nathan,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us.</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employment of Messrs. Schorr, Sisk, Rubinstein or Pettis is terminated for any reason, other than as described above, before the expiration of the term (e.g., because of the executive’s death, disability, discharge for cause or revocation of gaming license), we or Wynn Resorts, as the case may be, will pay the executive only his base salary and any accrued but unpaid vacation pay through his termination date.</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also provide to Mr. Schorr and his family the right to personal use of our aircraft, and have entered into a time-sharing agreement with him that requires, among other things, that he pay to us his and his family’s share of the direct costs that we incur in operating the aircraft, up to an amount determined by using the Internal Revenue Service Standard Industry Fare Level (SIFL) tables.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Directors who are not employees of Wynn Resorts received a monthly fee of $4,000 for services as a director, as well as a per meeting fee of $1,500. Directors who serve on the Audit Committee, the Compensation Committee of the Board of Directors or the Nominating &amp; Corporate Governance Committee of the Board of Directors receive an additional monthly fee of $1,000 per committee ($2,000 for committee chairman). All directors are reimbursed for expenses connected with attendance at meetings of the Board of Directors.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has received an immediately exercisable option grant for 10,000 shares of Wynn Resorts’ common stock upon their initial appointment to the Board of Directors. On May 4, 2004, each member of the Board of Directors, other than Messrs. Wynn, Okada and Kramer and Mrs. Wynn, received an option to purchase 10,000 shares of Wynn Resorts’ common stock. This option grant vests pro rata over a four year period and has a per share exercise price of $52.94, the market value of the Company’s common stock as of April 29, 2005.</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$25,000 annual retainer for his service as the Chairman of Wynn Resorts’ Gaming Compliance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the Compensation Committee during 2004 were the following non-management directors: Messrs. Moran, Miller, Shoemaker and Zax. No interlocking relationship exists between the Board of Directors or Compensation Committee and the board of directors or compensation committee of any other company, nor has any interlocking relationship existed in the past.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all of the issued and outstanding capital stock of Capital Corp. Each of the other additional registrants are our wholly owned subsidiaries.</w:t>
      </w:r>
    </w:p>
    <w:p>
      <w:pPr>
        <w:spacing w:after="0" w:line="18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a wholly owned subsidiary of Holdings. Holdings is a wholly-owned subsidiary of Wynn Resorts. The following table sets forth, as of March 30, 2005, certain information regarding the shares of Wynn Resorts’ common stock beneficially owned by: (i) each director and nominee for director; (ii) each stockholder who is known by the Company to beneficially own in excess of 5% of the outstanding shares of Wynn Resorts’ common stock based on information reported on Forms 13D or 13G filed with the SEC; (iii) each of the executive officers of the Company named in the Summary Compensation Table; and (iv) all executive officers of the Company, and directors and director nominees of Wynn Resorts, as a group.</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Of Shares (1)</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15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28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A. Wynn (3)(4)(5)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Kazuo Okada (3)(6)</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Aruze USA, Inc. (3)(6)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AXA Financial, Inc(7)</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1290 Avenue of the Americas</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New York, New York 10104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5,761,099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 Capital Group, Inc.(8)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8,009,489</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767 Fifth Avenue</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York, NY 10 153</w:t>
            </w:r>
          </w:p>
        </w:tc>
        <w:tc>
          <w:tcPr>
            <w:tcW w:w="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Marsico Capital Management, LLC (9)</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13,729,913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1200 17th Street, Suite 1600</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3"/>
          </w:tcPr>
          <w:p>
            <w:pPr>
              <w:ind w:left="200"/>
              <w:spacing w:after="0"/>
              <w:rPr>
                <w:sz w:val="20"/>
                <w:szCs w:val="20"/>
                <w:color w:val="auto"/>
              </w:rPr>
            </w:pPr>
            <w:r>
              <w:rPr>
                <w:rFonts w:ascii="Arial" w:cs="Arial" w:eastAsia="Arial" w:hAnsi="Arial"/>
                <w:sz w:val="18"/>
                <w:szCs w:val="18"/>
                <w:color w:val="auto"/>
              </w:rPr>
              <w:t>Denver, Colorado 80202</w:t>
            </w: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J. Kramer (10)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516,646</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Robert J. Miller (11)</w:t>
            </w: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A. Moran (11)(12)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Alvin V. Shoemaker (11)</w:t>
            </w:r>
          </w:p>
        </w:tc>
        <w:tc>
          <w:tcPr>
            <w:tcW w:w="780" w:type="dxa"/>
            <w:vAlign w:val="bottom"/>
          </w:tcPr>
          <w:p>
            <w:pPr>
              <w:jc w:val="right"/>
              <w:spacing w:after="0"/>
              <w:rPr>
                <w:sz w:val="20"/>
                <w:szCs w:val="20"/>
                <w:color w:val="auto"/>
              </w:rPr>
            </w:pPr>
            <w:r>
              <w:rPr>
                <w:rFonts w:ascii="Arial" w:cs="Arial" w:eastAsia="Arial" w:hAnsi="Arial"/>
                <w:sz w:val="18"/>
                <w:szCs w:val="18"/>
                <w:color w:val="auto"/>
              </w:rPr>
              <w:t>21,500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Kiril Sokoloff (13)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D. Boone Wayson (14)</w:t>
            </w:r>
          </w:p>
        </w:tc>
        <w:tc>
          <w:tcPr>
            <w:tcW w:w="780" w:type="dxa"/>
            <w:vAlign w:val="bottom"/>
          </w:tcPr>
          <w:p>
            <w:pPr>
              <w:jc w:val="right"/>
              <w:spacing w:after="0"/>
              <w:rPr>
                <w:sz w:val="20"/>
                <w:szCs w:val="20"/>
                <w:color w:val="auto"/>
              </w:rPr>
            </w:pPr>
            <w:r>
              <w:rPr>
                <w:rFonts w:ascii="Arial" w:cs="Arial" w:eastAsia="Arial" w:hAnsi="Arial"/>
                <w:sz w:val="18"/>
                <w:szCs w:val="18"/>
                <w:color w:val="auto"/>
              </w:rPr>
              <w:t>62,500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Elaine P. Wynn (5)(15)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24,549,222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Stanley R. Zax (11)(16)</w:t>
            </w:r>
          </w:p>
        </w:tc>
        <w:tc>
          <w:tcPr>
            <w:tcW w:w="780" w:type="dxa"/>
            <w:vAlign w:val="bottom"/>
          </w:tcPr>
          <w:p>
            <w:pPr>
              <w:jc w:val="right"/>
              <w:spacing w:after="0"/>
              <w:rPr>
                <w:sz w:val="20"/>
                <w:szCs w:val="20"/>
                <w:color w:val="auto"/>
              </w:rPr>
            </w:pPr>
            <w:r>
              <w:rPr>
                <w:rFonts w:ascii="Arial" w:cs="Arial" w:eastAsia="Arial" w:hAnsi="Arial"/>
                <w:sz w:val="18"/>
                <w:szCs w:val="18"/>
                <w:color w:val="auto"/>
              </w:rPr>
              <w:t>712,500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Allan Zeman (11)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Marc D. Schorr (17)</w:t>
            </w:r>
          </w:p>
        </w:tc>
        <w:tc>
          <w:tcPr>
            <w:tcW w:w="780" w:type="dxa"/>
            <w:vAlign w:val="bottom"/>
          </w:tcPr>
          <w:p>
            <w:pPr>
              <w:jc w:val="right"/>
              <w:spacing w:after="0"/>
              <w:rPr>
                <w:sz w:val="20"/>
                <w:szCs w:val="20"/>
                <w:color w:val="auto"/>
              </w:rPr>
            </w:pPr>
            <w:r>
              <w:rPr>
                <w:rFonts w:ascii="Arial" w:cs="Arial" w:eastAsia="Arial" w:hAnsi="Arial"/>
                <w:sz w:val="18"/>
                <w:szCs w:val="18"/>
                <w:color w:val="auto"/>
              </w:rPr>
              <w:t>530,723</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 Sisk (18).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Marc H. Rubinstein (19).</w:t>
            </w:r>
          </w:p>
        </w:tc>
        <w:tc>
          <w:tcPr>
            <w:tcW w:w="780" w:type="dxa"/>
            <w:vAlign w:val="bottom"/>
          </w:tcPr>
          <w:p>
            <w:pPr>
              <w:jc w:val="right"/>
              <w:spacing w:after="0"/>
              <w:rPr>
                <w:sz w:val="20"/>
                <w:szCs w:val="20"/>
                <w:color w:val="auto"/>
              </w:rPr>
            </w:pPr>
            <w:r>
              <w:rPr>
                <w:rFonts w:ascii="Arial" w:cs="Arial" w:eastAsia="Arial" w:hAnsi="Arial"/>
                <w:sz w:val="18"/>
                <w:szCs w:val="18"/>
                <w:color w:val="auto"/>
              </w:rPr>
              <w:t>12,510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E. Nathan (20).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James E. Pettis (19).</w:t>
            </w:r>
          </w:p>
        </w:tc>
        <w:tc>
          <w:tcPr>
            <w:tcW w:w="780" w:type="dxa"/>
            <w:vAlign w:val="bottom"/>
          </w:tcPr>
          <w:p>
            <w:pPr>
              <w:jc w:val="right"/>
              <w:spacing w:after="0"/>
              <w:rPr>
                <w:sz w:val="20"/>
                <w:szCs w:val="20"/>
                <w:color w:val="auto"/>
              </w:rPr>
            </w:pPr>
            <w:r>
              <w:rPr>
                <w:rFonts w:ascii="Arial" w:cs="Arial" w:eastAsia="Arial" w:hAnsi="Arial"/>
                <w:sz w:val="18"/>
                <w:szCs w:val="18"/>
                <w:color w:val="auto"/>
              </w:rPr>
              <w:t>13,500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Todd Nisbet (21)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214,723</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tcPr>
          <w:p>
            <w:pPr>
              <w:spacing w:after="0"/>
              <w:rPr>
                <w:sz w:val="20"/>
                <w:szCs w:val="20"/>
                <w:color w:val="auto"/>
              </w:rPr>
            </w:pPr>
            <w:r>
              <w:rPr>
                <w:rFonts w:ascii="Arial" w:cs="Arial" w:eastAsia="Arial" w:hAnsi="Arial"/>
                <w:sz w:val="18"/>
                <w:szCs w:val="18"/>
                <w:color w:val="auto"/>
              </w:rPr>
              <w:t>Scott Peterson (22)</w:t>
            </w:r>
          </w:p>
        </w:tc>
        <w:tc>
          <w:tcPr>
            <w:tcW w:w="780" w:type="dxa"/>
            <w:vAlign w:val="bottom"/>
          </w:tcPr>
          <w:p>
            <w:pPr>
              <w:jc w:val="right"/>
              <w:spacing w:after="0"/>
              <w:rPr>
                <w:sz w:val="20"/>
                <w:szCs w:val="20"/>
                <w:color w:val="auto"/>
              </w:rPr>
            </w:pPr>
            <w:r>
              <w:rPr>
                <w:rFonts w:ascii="Arial" w:cs="Arial" w:eastAsia="Arial" w:hAnsi="Arial"/>
                <w:sz w:val="18"/>
                <w:szCs w:val="18"/>
                <w:color w:val="auto"/>
              </w:rPr>
              <w:t>7,500</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(18 persons) (23)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51,390,296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560" w:type="dxa"/>
            <w:vAlign w:val="bottom"/>
          </w:tcPr>
          <w:p>
            <w:pPr>
              <w:spacing w:after="0"/>
              <w:rPr>
                <w:sz w:val="9"/>
                <w:szCs w:val="9"/>
                <w:color w:val="auto"/>
              </w:rPr>
            </w:pPr>
          </w:p>
        </w:tc>
        <w:tc>
          <w:tcPr>
            <w:tcW w:w="6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60" w:hanging="572"/>
        <w:spacing w:after="0" w:line="302"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of the Company, directors, nominees for director and principal stockholders of Wynn Resorts as well as Wynn Resorts’ transfer agent, and contained in Schedules 13D and 13G filed with the SEC. Unless otherwise indicated in the footnotes to this table and subject to community property laws, where applicable, the Company believes each of the stockholders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60" w:right="60"/>
        <w:spacing w:after="0" w:line="290" w:lineRule="auto"/>
        <w:rPr>
          <w:sz w:val="20"/>
          <w:szCs w:val="20"/>
          <w:color w:val="auto"/>
        </w:rPr>
      </w:pPr>
      <w:r>
        <w:rPr>
          <w:rFonts w:ascii="Arial" w:cs="Arial" w:eastAsia="Arial" w:hAnsi="Arial"/>
          <w:sz w:val="16"/>
          <w:szCs w:val="16"/>
          <w:color w:val="auto"/>
        </w:rPr>
        <w:t>named in this table has sole voting and investment power with respect to the shares indicated as beneficially owned. Applicable percentages are based on 99,292,044 shares of Wynn Resorts’ common stock outstanding as of March 20, 2005, adjusted as required by the rules promulgated by the SEC.</w:t>
      </w:r>
    </w:p>
    <w:p>
      <w:pPr>
        <w:spacing w:after="0" w:line="1" w:lineRule="exact"/>
        <w:rPr>
          <w:sz w:val="20"/>
          <w:szCs w:val="20"/>
          <w:color w:val="auto"/>
        </w:rPr>
      </w:pPr>
    </w:p>
    <w:p>
      <w:pPr>
        <w:ind w:left="580" w:right="240" w:hanging="572"/>
        <w:spacing w:after="0" w:line="254"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00" w:hanging="572"/>
        <w:spacing w:after="0" w:line="28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Wynn Resorts’ common stock for a slate of directors, a majority of which, including at least two independent directors, will be designated by Mr. Wynn, and the remaining members of which will be designated by Aruze USA.</w:t>
      </w:r>
    </w:p>
    <w:p>
      <w:pPr>
        <w:spacing w:after="0" w:line="2" w:lineRule="exact"/>
        <w:rPr>
          <w:rFonts w:ascii="Arial" w:cs="Arial" w:eastAsia="Arial" w:hAnsi="Arial"/>
          <w:sz w:val="16"/>
          <w:szCs w:val="16"/>
          <w:color w:val="auto"/>
        </w:rPr>
      </w:pPr>
    </w:p>
    <w:p>
      <w:pPr>
        <w:ind w:left="580" w:right="20" w:hanging="572"/>
        <w:spacing w:after="0" w:line="28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Does not include shares held by Aruze USA, which may be deemed to be beneficially owned by Mr. Wynn by virtue of the Buy-Sell Agreement, dated as of June 13, 2002, by and among Stephen A. Wynn, Mr. Okada, Aruze USA and Aruze Corp. that permits Mr. Wynn to acquire Aruze USA’s shares of Wynn Resorts’ common stock upon certain events related to licensing under Nevada gaming laws.</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1,000,000 shares, in the aggregate, of Wynn Resorts’ common stock held in four grantor retained annuity trusts created by Stephen A. Wynn and Elaine P. Wynn. Mr. Wynn is the trustee of each of these trusts.</w:t>
      </w:r>
    </w:p>
    <w:p>
      <w:pPr>
        <w:ind w:left="580" w:right="240" w:hanging="572"/>
        <w:spacing w:after="0" w:line="250"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has a controlling interest in Aruze Corp. and is a director of that company. The information provided is based upon a Schedule 13D, dated October 30, 2002, filed by Aruze USA Inc., Aruze Corp. and Kazuo Okada.</w:t>
      </w:r>
    </w:p>
    <w:p>
      <w:pPr>
        <w:spacing w:after="0" w:line="1" w:lineRule="exact"/>
        <w:rPr>
          <w:rFonts w:ascii="Arial" w:cs="Arial" w:eastAsia="Arial" w:hAnsi="Arial"/>
          <w:sz w:val="18"/>
          <w:szCs w:val="18"/>
          <w:color w:val="auto"/>
        </w:rPr>
      </w:pPr>
    </w:p>
    <w:p>
      <w:pPr>
        <w:jc w:val="both"/>
        <w:ind w:left="580" w:right="80" w:hanging="572"/>
        <w:spacing w:after="0" w:line="250"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AXA Financial, Inc. (“AFI”) is deemed to have beneficial ownership of these shares, which are held by subsidiaries of AFI. The information provided is based upon a Schedule 13G, dated February 15, 2005, filed by AFI and its affiliates: AXA Assurance I.A.R.D Mutuelle; AXA Assurance Vie Mutuelle; AXA Courtage Assurance Mutuelle; and AXA.</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Baron Capital Group, Inc. (“BCG”) is deemed to have beneficial ownership of these shares, which are held by BCG or entities that it controls. BCG disclaims beneficial ownership of the shares held by its controlled entities (or the investment advisory clients thereof) to the extent that persons other than BCG hold such shares. The information provided is based upon a Schedule 13G/A, dated February 11, 2005, filed by BCG and its affiliates: Bamco, Inc.; Baron Capital Management, Inc.; and Ronald Baron. The Schedule 13G/A filed with the SEC does not indicate whether such share number includes shares issuable upon the conversion of Wynn Resorts’ convertible debentures.</w:t>
      </w:r>
    </w:p>
    <w:p>
      <w:pPr>
        <w:spacing w:after="0" w:line="3"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11, 2005, filed by Marsico. The Schedule 13G/A filed with the SEC does not indicate whether such share number includes shares issuable upon the conversion of Wynn Resorts’ convertible debentures.</w:t>
      </w:r>
    </w:p>
    <w:p>
      <w:pPr>
        <w:spacing w:after="0" w:line="1"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Kramer; (ii) 150,000 shares of restricted stock granted pursuant to Wynn Resorts’ 2002 Stock Incentive Plan and subject to a Restricted Stock Agreement which provides that such grant will vest pro rata over a five year period commencing on December 15, 2005, or upon the earlier death or disability of Mr. Kramer; (iii) 100,000 shares subject to an immediately exercisable option to purchase Wynn Resorts’ common stock granted pursuant to Wynn Resorts’ 2002 Stock Incentive Plan at an exercise price of $14.91; and (iv) 7,615 shares of Wynn Resorts’ common stock held by Mr. Kramer’s children, for which Mr. Kramer’s spouse is the custodian and Mr. Kramer disclaims beneficial ownership.</w:t>
      </w:r>
    </w:p>
    <w:p>
      <w:pPr>
        <w:spacing w:after="0" w:line="4" w:lineRule="exact"/>
        <w:rPr>
          <w:rFonts w:ascii="Arial" w:cs="Arial" w:eastAsia="Arial" w:hAnsi="Arial"/>
          <w:sz w:val="16"/>
          <w:szCs w:val="16"/>
          <w:color w:val="auto"/>
        </w:rPr>
      </w:pPr>
    </w:p>
    <w:p>
      <w:pPr>
        <w:ind w:left="580" w:right="100" w:hanging="572"/>
        <w:spacing w:after="0" w:line="254"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10,000 shares of the Company’s common stock subject to an immediately exercisable option to purchase Wynn Resorts’ common stock granted pursuant to Wynn Resorts’ 2002 Stock Incentive Plan at an exercise price of $13.74; and (ii) 2,500 shares of Wynn Resorts’ common stock subject to an immediately exercisable option to purchase Wynn Resorts’ common stock granted pursuant to Wynn Resorts’ 2002 Stock Incentive Plan at an exercise price of $40.00.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hanging="572"/>
        <w:spacing w:after="0" w:line="286"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1,000 shares of Wynn Resorts’ common stock held by the Carol Moran Trust for the benefit of Mr. Moran’s wife, for which Mr. Moran disclaims beneficial ownership.</w:t>
      </w:r>
    </w:p>
    <w:p>
      <w:pPr>
        <w:ind w:left="580" w:right="12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10,000 shares of Wynn Resorts’ common stock subject to an immediately exercisable option to purchase Wynn Resorts’ common stock granted pursuant to Wynn Resorts’ 2002 Stock Incentive Plan at an exercise price of $40.00.</w:t>
      </w:r>
    </w:p>
    <w:p>
      <w:pPr>
        <w:ind w:left="580" w:right="120" w:hanging="572"/>
        <w:spacing w:after="0" w:line="281"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Includes: (i) 10,000 shares subject to an immediately exercisable option to purchase Wynn Resorts’ common stock granted pursuant to Wynn Resorts’ 2002 Stock Incentive Plan at an exercise price of $15.63; (ii) 2,500 shares of Wynn Resorts’ common stock subject to an immediately exercisable option to purchase Wynn Resorts’ common stock granted pursuant to Wynn Resorts’ 2002 Stock Incentive Plan at an exercise price of $40.00.</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24,549,222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700,000 shares of Wynn Resorts’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8"/>
          <w:szCs w:val="18"/>
          <w:color w:val="auto"/>
        </w:rPr>
      </w:pPr>
    </w:p>
    <w:p>
      <w:pPr>
        <w:ind w:left="580" w:right="40" w:hanging="572"/>
        <w:spacing w:after="0" w:line="300" w:lineRule="auto"/>
        <w:tabs>
          <w:tab w:leader="none" w:pos="5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Schorr; (ii) 125,000 shares of restricted stock granted pursuant to Wynn Resorts’ 2002 Stock Incentive Plan and subject to a Restricted Stock Agreement which provides that such grant will vest pro rata over a five year period commencing on December 15, 2005, or upon the earlier death or disability of Mr. Schorr; (iii) 100,000 shares subject to an immediately exercisable option to purchase Wynn Resorts’ common stock granted pursuant to Wynn Resorts’ 2002 Stock Incentive Plan at an exercise price of $15.40 per share; and (iv) 116,000 shares of Wynn Resorts’ common stock held in trust for the benefit of Mr. Schorr and his wife.</w:t>
      </w:r>
    </w:p>
    <w:p>
      <w:pPr>
        <w:spacing w:after="0" w:line="2" w:lineRule="exact"/>
        <w:rPr>
          <w:rFonts w:ascii="Arial" w:cs="Arial" w:eastAsia="Arial" w:hAnsi="Arial"/>
          <w:sz w:val="15"/>
          <w:szCs w:val="15"/>
          <w:color w:val="auto"/>
        </w:rPr>
      </w:pPr>
    </w:p>
    <w:p>
      <w:pPr>
        <w:ind w:left="580" w:right="16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18,750 shares subject to an immediately exercisable option to purchase Wynn Resorts’ common stock granted pursuant to Wynn Resorts’ 2002 Stock Incentive Plan at an exercise price of $19.99 per share.</w:t>
      </w:r>
    </w:p>
    <w:p>
      <w:pPr>
        <w:ind w:left="580" w:right="16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12,500 shares subject to an immediately exercisable option to purchase Wynn Resorts’ common stock granted pursuant to Wynn Resorts’ 2002 Stock Incentive Plan at an exercise price of $13.25 per share.</w:t>
      </w:r>
    </w:p>
    <w:p>
      <w:pPr>
        <w:ind w:left="580" w:right="16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12,500 shares subject to an immediately exercisable option to purchase Wynn Resorts’ common stock granted pursuant to Wynn Resorts’ 2002 Stock Incentive Plan at an exercise price of $15.40 per share.</w:t>
      </w:r>
    </w:p>
    <w:p>
      <w:pPr>
        <w:ind w:left="58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(i) 189,723 shares of restricted stock granted pursuant to Wynn Resorts’ 2002 Stock Incentive Plan and subject to a Restricted Stock Agreement which provides that such grant will vest in its entirety on May 31, 2005, or upon the earlier death or disability of Mr. Nisbet; and (ii) 25,000 shares subject to an immediately exercisable option to purchase Wynn Resorts’ common stock granted pursuant to Wynn Resorts’ 2002 Stock Incentive Plan at an exercise price of $15.40 per share.</w:t>
      </w:r>
    </w:p>
    <w:p>
      <w:pPr>
        <w:spacing w:after="0" w:line="1" w:lineRule="exact"/>
        <w:rPr>
          <w:rFonts w:ascii="Arial" w:cs="Arial" w:eastAsia="Arial" w:hAnsi="Arial"/>
          <w:sz w:val="18"/>
          <w:szCs w:val="18"/>
          <w:color w:val="auto"/>
        </w:rPr>
      </w:pPr>
    </w:p>
    <w:p>
      <w:pPr>
        <w:ind w:left="580" w:right="320" w:hanging="572"/>
        <w:spacing w:after="0" w:line="250"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7,500 shares subject to immediately exercisable options granted pursuant to Wynn Resorts’ 2002 Stock Incentive Plan at an exercise price of $13.25 per share.</w:t>
      </w:r>
    </w:p>
    <w:p>
      <w:pPr>
        <w:ind w:left="580" w:hanging="572"/>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Also includes 360,000 shares subject to immediately exercisable options granted pursuant to the Company’s 2002 Stock Incentive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Until it was closed on May 6, 2004, Holdings operated an art gallery at the former Desert Inn displaying The Wynn Collection, a collection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artwork owned by Mr. and Mrs. Wynn. Under the terms of the Art Rental and Licensing Agreement under which The Wynn Collection was exhibited at the time the art gallery was closed, Mr. and Mrs. Wynn leased The Wynn Collection to Holdings for an annual fee of one dollar ($1), and Holdings was entitled to retain all revenues from the public display of The Wynn Collection and the related merchandising revenues. Holdings was responsible for all expenses incurred in exhibiting and safeguarding The Wynn Collection, including the cost of insurance (including terrorism insurance) and taxes relating to the rental of The Wynn Collection.</w:t>
      </w:r>
    </w:p>
    <w:p>
      <w:pPr>
        <w:spacing w:after="0" w:line="132"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On August 6, 2004, the Art Rental and Licensing Agreement was amended to set forth the terms and conditions under which we exhibit The Wynn Collection at Wynn Las Vegas. The terms of the amended Art Rental and Licensing Agreement are substantially the same as the terms under which the Holdings most recently had displayed The Wynn Collection in the gallery in the former Desert Inn, including an annual rental of one dollar ($1) for all of the leased works.</w:t>
      </w:r>
    </w:p>
    <w:p>
      <w:pPr>
        <w:spacing w:after="0" w:line="6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Villa Lease</w:t>
      </w:r>
      <w:r>
        <w:rPr>
          <w:rFonts w:ascii="Arial" w:cs="Arial" w:eastAsia="Arial" w:hAnsi="Arial"/>
          <w:sz w:val="16"/>
          <w:szCs w:val="16"/>
          <w:color w:val="auto"/>
        </w:rPr>
        <w:t>. On December 29, 2004, the Company entered into an agreement with Mr. Wynn for the lease of a villa suite in the Wynn Las Vegas resort to</w:t>
      </w:r>
      <w:r>
        <w:rPr>
          <w:rFonts w:ascii="Arial" w:cs="Arial" w:eastAsia="Arial" w:hAnsi="Arial"/>
          <w:sz w:val="16"/>
          <w:szCs w:val="16"/>
          <w:b w:val="1"/>
          <w:bCs w:val="1"/>
          <w:color w:val="auto"/>
        </w:rPr>
        <w:t xml:space="preserve"> </w:t>
      </w:r>
      <w:r>
        <w:rPr>
          <w:rFonts w:ascii="Arial" w:cs="Arial" w:eastAsia="Arial" w:hAnsi="Arial"/>
          <w:sz w:val="16"/>
          <w:szCs w:val="16"/>
          <w:color w:val="auto"/>
        </w:rPr>
        <w:t>Mr. and Mrs. Wynn as their personal residence. The agreement becomes effective on the earlier of the date that Mr. and Mrs. Wynn first occupy the suite or July 1, 2005. The term of the agreement continues from year to year unless terminated on at least 90 days’ written notice prior to the end of any lease year, or upon the death of Mr. Wynn. Rent will be determined each year by the Audit Committee and will be based on the fair market value of the use of the suite accommodations. The Audit Committee has determined, based upon a third party appraisal, that the rental for the first lease year will be $580,000. All services for, and maintenance of, the suite are included in the rental, with certain exceptions.</w:t>
      </w:r>
    </w:p>
    <w:p>
      <w:pPr>
        <w:spacing w:after="0" w:line="9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the Company covering their personal use of Company-owned aircraft that require each executive to pay the Company his and his family’s share of the direct costs that incurred in operating the aircraft, up to an amount determined by using the Internal Revenue Service Standard Industry Fare Level (SIFL) tables. During 2004 and for the three months ended March 31, 2005, respectively, the following amounts were paid to the Company pursuant to these timesharing arrangements: Stephen A. Wynn ($207,299; $47,990); Mr. Kramer ($11,953; $17,974); and Mr. Schorr ($42,854; $11,539). In the event that direct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00"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We periodically incur costs on Mr. Wynn’s and certain other officers’ behalf, including costs with respect to personal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aircraft, household employees, personal legal fees, construction work and other personal purchases. Mr. Wynn and these other officers have deposits with the Company to prepay any such items. These deposits are replenished on an ongoing basis as needed. At March 31, 2005 and December 31, 2004, the Company’s net liability to Mr. Wynn and other officers was approximately $77,000 and $71,000, respectively.</w:t>
      </w:r>
    </w:p>
    <w:p>
      <w:pPr>
        <w:spacing w:after="0" w:line="90"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 xml:space="preserve">Management Agreement. </w:t>
      </w:r>
      <w:r>
        <w:rPr>
          <w:rFonts w:ascii="Arial" w:cs="Arial" w:eastAsia="Arial" w:hAnsi="Arial"/>
          <w:sz w:val="15"/>
          <w:szCs w:val="15"/>
          <w:color w:val="auto"/>
        </w:rPr>
        <w:t>On December 14, 2004, the Company, certain of its subsidiaries and Wynn Resorts entered into a management agreement under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Wynn Resorts provides management and advisory services to the Company in connection with the Company’s Wynn Las Vegas and Encore projects. The services provided by Wynn Resorts include the use of certain of its executive officers, including Messrs. Schorr, Strzemp and Rubinstein. The Company has agreed to pay Wynn Resorts, as compensation for the services to be rendered under the management agreement, a yearly management fee equal to one and one-half percent (1.5%) of the net revenues of the Company (as determined in accordance with generally accepted accounting principles as applicable to companies in the gaming business), payable semi-annually in arrears. Accrual of such fee commenced upon the opening of Wynn Las Vegas on April 28, 2005.</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terms and conditions detailed in this prospectus, we will accept for exchange old notes that are properly tendered on or prior to the expiration</w:t>
      </w:r>
    </w:p>
    <w:p>
      <w:pPr>
        <w:spacing w:after="0" w:line="38"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date and not withdrawn as permitted below. When we refer to the term expiration date, we mean 5:00 p.m., New York City time, , 2005, the 21st business day following the date of this prospectus. We may, however, in our sole discretion, extend the period of time that the exchange offer is open. In such event, the term expiration date means the latest time and date to which the exchange offer is extended.</w:t>
      </w:r>
    </w:p>
    <w:p>
      <w:pPr>
        <w:spacing w:after="0" w:line="13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the date of this prospectus, $1.3 billion principal amount of old notes are outstanding. We are sending this prospectus, together with the letter of transmittal, to all holders of old notes that we are aware of on the date of this prospectus.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Old notes tendered in the exchange offer must be in denominations of principal amount of $1,000 and any integral multiple thereof.</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of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upon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on or prior to the expiration date. In addition, either:</w:t>
      </w:r>
    </w:p>
    <w:p>
      <w:pPr>
        <w:spacing w:after="0" w:line="2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along with the letter of transmittal, or</w:t>
      </w:r>
    </w:p>
    <w:p>
      <w:pPr>
        <w:spacing w:after="0" w:line="103" w:lineRule="exact"/>
        <w:rPr>
          <w:rFonts w:ascii="Arial" w:cs="Arial" w:eastAsia="Arial" w:hAnsi="Arial"/>
          <w:sz w:val="18"/>
          <w:szCs w:val="18"/>
          <w:color w:val="auto"/>
        </w:rPr>
      </w:pPr>
    </w:p>
    <w:p>
      <w:pPr>
        <w:ind w:left="900" w:right="80" w:hanging="446"/>
        <w:spacing w:after="0" w:line="298"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84 must be received by the exchange agent prior to the expiration date, with the letter of transmittal or an agent’s message in place of the letter of transmittal, or the holder must comply with the guaranteed delivery procedures described below.</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37" w:lineRule="exact"/>
        <w:rPr>
          <w:sz w:val="20"/>
          <w:szCs w:val="20"/>
          <w:color w:val="auto"/>
        </w:rPr>
      </w:pPr>
    </w:p>
    <w:p>
      <w:pPr>
        <w:ind w:left="9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in our sole discretion, duly executed by the registered holders with the signature thereon guaranteed by an Eligible Institution.</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or the exchange agent in our sole discretion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judgment or our counsel’s,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0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7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77"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the holder is not engaged in or does not intend to engage in a distribution of the new notes.</w:t>
      </w:r>
    </w:p>
    <w:p>
      <w:pPr>
        <w:spacing w:after="0" w:line="118"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could not rely on the applicable interpretations of the staff of the SEC;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2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resale of such new notes. See “Plan of Distribution.” The letter of transmittal states that by so acknowledging and by delivering a prospectus, a broker-dealer will not be deemed to admit that it is an “underwriter” within the meaning of the Securities Act.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0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8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 agent’s message in lieu thereof, with any required signature guarantees and any other required documents, must, in any case, be transmitted to and received by the exchange agent at the address set forth under “—Exchange Agent” on or prior to the expiration date or the guaranteed delivery procedures described below must be complied with.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37" w:lineRule="exact"/>
        <w:rPr>
          <w:sz w:val="20"/>
          <w:szCs w:val="20"/>
          <w:color w:val="auto"/>
        </w:rPr>
      </w:pPr>
    </w:p>
    <w:p>
      <w:pPr>
        <w:ind w:left="900" w:hanging="446"/>
        <w:spacing w:after="0" w:line="290"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received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23"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one of the addresses set forth under “—Exchange Agent.” This notice must specify:</w:t>
      </w:r>
    </w:p>
    <w:p>
      <w:pPr>
        <w:spacing w:after="0" w:line="37"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103"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29"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on or prior to the expiration date.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83"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18"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qualification of the indenture under the Trust Indenture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8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expenses, including fees and expenses of the trustee under the indenture relating to the new notes, filing fees, blue sky fees and printing and distribution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will not make any payment to brokers, dealers or others soliciting acceptances of the exchange offer.</w:t>
      </w:r>
    </w:p>
    <w:p>
      <w:pPr>
        <w:spacing w:after="0" w:line="1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8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We will record the new notes at the same carrying value as the old notes, as reflected in our accounting records on the date of the exchange. Accordingly, we will not recognize any gain or loss for accounting purposes. The expenses of the exchange offer will be amortized over the term of the new notes.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8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48"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1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7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NEW NOTES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You can find the definitions of certain terms used in this description under the subheading “Certain Definitions.” In this description: (1) the words “Wynn Las Vegas” refers to Wynn Las Vegas, LLC and not to any of its subsidiaries, (2) the words “Wynn Capital” refers to Wynn Capital Corp. and not to any of its subsidiaries, (3) the word “Issuers” refers collectively to Wynn Las Vegas and Wynn Capital and not to any of their respective subsidiaries, and (4) the words “we,” “us” and “our” refer to Wynn Las Vegas and its subsidiaries.</w:t>
      </w:r>
    </w:p>
    <w:p>
      <w:pPr>
        <w:spacing w:after="0" w:line="13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Issuers will issue the new notes under an indenture, dated as of December 14, 2004, among the Issuers, as joint and several obligors, the Guarantors and U.S. Bank National Association, as trustee. This is the same indenture under which the old notes were issued. The terms of the new notes will include those stated in the indenture and those made part of the indenture by reference to the Trust Indenture Act of 1939, as amended. The Collateral Documents referred to under the caption “—Security Interests” define the terms of the collateral that will secure the notes.</w:t>
      </w:r>
    </w:p>
    <w:p>
      <w:pPr>
        <w:spacing w:after="0" w:line="99"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99" w:lineRule="exact"/>
        <w:rPr>
          <w:sz w:val="20"/>
          <w:szCs w:val="20"/>
          <w:color w:val="auto"/>
        </w:rPr>
      </w:pPr>
    </w:p>
    <w:p>
      <w:pPr>
        <w:ind w:right="980" w:firstLine="456"/>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The New Notes Versus the Old Notes</w:t>
      </w:r>
    </w:p>
    <w:p>
      <w:pPr>
        <w:spacing w:after="0" w:line="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and registration rights relating to the old notes do not apply to the new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is constructing and will own and operate the Wynn Las Vegas hotel and casino resort. Wynn Capital is a Wholly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Wynn Las Vegas, incorporated to serve as a corporate co-issuer of the Second Mortgage Notes, and will serve as a corporate co-issuer of the notes in order to facilitate this exchange offer.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7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$1.3 billion;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will mature on December 1, 2014;</w:t>
      </w:r>
    </w:p>
    <w:p>
      <w:pPr>
        <w:spacing w:after="0" w:line="103" w:lineRule="exact"/>
        <w:rPr>
          <w:rFonts w:ascii="Arial" w:cs="Arial" w:eastAsia="Arial" w:hAnsi="Arial"/>
          <w:sz w:val="18"/>
          <w:szCs w:val="18"/>
          <w:color w:val="auto"/>
        </w:rPr>
      </w:pPr>
    </w:p>
    <w:p>
      <w:pPr>
        <w:ind w:left="900" w:hanging="446"/>
        <w:spacing w:after="0" w:line="22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payable in arrears each June 1 and December 1, commencing June 1, 2005;</w:t>
      </w:r>
    </w:p>
    <w:p>
      <w:pPr>
        <w:spacing w:after="0" w:line="62" w:lineRule="exact"/>
        <w:rPr>
          <w:rFonts w:ascii="Arial" w:cs="Arial" w:eastAsia="Arial" w:hAnsi="Arial"/>
          <w:sz w:val="18"/>
          <w:szCs w:val="18"/>
          <w:color w:val="auto"/>
        </w:rPr>
      </w:pPr>
    </w:p>
    <w:p>
      <w:pPr>
        <w:ind w:left="900" w:hanging="446"/>
        <w:spacing w:after="0" w:line="325"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will be redeemable at our option at any time prior to December 1, 2007 in an amount up to 35% of the aggregate principal amount of the notes issued under the indenture at a redemption price of 106.625% with the proceeds of one or more Qualified Equity Offerings;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December 1, 2009, at a premium declining ratably to par;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45"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certain of Wynn Las Vegas’ direct subsidiaries. These subsidiaries are:</w:t>
      </w:r>
    </w:p>
    <w:p>
      <w:pPr>
        <w:spacing w:after="0" w:line="7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intend to use for employee parking and other ancillary uses;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 and</w:t>
      </w:r>
    </w:p>
    <w:p>
      <w:pPr>
        <w:spacing w:after="0" w:line="103"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only subsidiary that is not a Guarantor is the Completion Guarantor, which is an Unrestricted Subsidiary of Wynn Las Vegas.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and Ranking. </w:t>
      </w:r>
      <w:r>
        <w:rPr>
          <w:rFonts w:ascii="Arial" w:cs="Arial" w:eastAsia="Arial" w:hAnsi="Arial"/>
          <w:sz w:val="18"/>
          <w:szCs w:val="18"/>
          <w:color w:val="auto"/>
        </w:rPr>
        <w:t>The new notes and the Guarantees:</w:t>
      </w:r>
    </w:p>
    <w:p>
      <w:pPr>
        <w:spacing w:after="0" w:line="77"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103" w:lineRule="exact"/>
        <w:rPr>
          <w:rFonts w:ascii="Arial" w:cs="Arial" w:eastAsia="Arial" w:hAnsi="Arial"/>
          <w:sz w:val="18"/>
          <w:szCs w:val="18"/>
          <w:color w:val="auto"/>
        </w:rPr>
      </w:pPr>
    </w:p>
    <w:p>
      <w:pPr>
        <w:ind w:left="900" w:right="80" w:hanging="446"/>
        <w:spacing w:after="0" w:line="310" w:lineRule="auto"/>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will be secured, in the case of the notes, by a perfected first priority lien on (1) certain of the net proceeds of the offering of the old notes deposited into the Secured Account, pending release to fund disbursement requests under the Disbursement Agreement, (2) substantially all of the existing and future assets of Wynn Las Vegas including the Projects, the amounts on deposit from time to time in the Liquidity Reserve Account,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law and any proceeds held in a secured account at Wynn Las Vegas drawn or incurred under the Credit Agreement from time to time, pending release to fund disbursement requests under the Disbursement Agreement, (3) all amounts on deposit from time to time in the Completion Guarantor’s completion guarantee deposit account and (4) the pledged Equity Interests held by Wynn Resorts Holdings in Wynn Las Vegas;</w:t>
      </w:r>
    </w:p>
    <w:p>
      <w:pPr>
        <w:spacing w:after="0" w:line="13" w:lineRule="exact"/>
        <w:rPr>
          <w:rFonts w:ascii="Arial" w:cs="Arial" w:eastAsia="Arial" w:hAnsi="Arial"/>
          <w:sz w:val="15"/>
          <w:szCs w:val="15"/>
          <w:color w:val="auto"/>
        </w:rPr>
      </w:pPr>
    </w:p>
    <w:p>
      <w:pPr>
        <w:ind w:left="900" w:hanging="446"/>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LLC, Wynn Las Vegas’ water entertainment features and certain specified Phase I Key Project Documents, but excluding the Aircraft Assets in certain circumstances and gaming and liquor licenses and other assets in which the grant of a security interest is prohibited by law;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of up to $1.0 billion under the Credit Agreement, which borrowings will be secured by a perfected first priority lien on the same assets as are subject to the lien securing the notes and the Guarantees, other than the proceeds of the offering of old notes held in the Secured Account;</w:t>
      </w:r>
    </w:p>
    <w:p>
      <w:pPr>
        <w:spacing w:after="0" w:line="45"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remaining Second Mortgage Notes, any other subordinated Indebtedness and the related guarantees thereon;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trustee has entered into an amended and restated intercreditor agreement to govern the relations between the noteholders, the lenders under the Credit Agreement and the collateral agent with respect to the Collateral (the “</w:t>
      </w:r>
      <w:r>
        <w:rPr>
          <w:rFonts w:ascii="Arial" w:cs="Arial" w:eastAsia="Arial" w:hAnsi="Arial"/>
          <w:sz w:val="16"/>
          <w:szCs w:val="16"/>
          <w:i w:val="1"/>
          <w:iCs w:val="1"/>
          <w:color w:val="auto"/>
        </w:rPr>
        <w:t>Intercreditor Agreement</w:t>
      </w:r>
      <w:r>
        <w:rPr>
          <w:rFonts w:ascii="Arial" w:cs="Arial" w:eastAsia="Arial" w:hAnsi="Arial"/>
          <w:sz w:val="16"/>
          <w:szCs w:val="16"/>
          <w:color w:val="auto"/>
        </w:rPr>
        <w:t>”). The Intercreditor Agreement imposes restrictions on the enforcement of remedies with respect to the Collateral securing the notes and the Guarantees under specified circumstances. See “Intercreditor Agreement.”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provides that if (i) the lenders under the Credit Agreement release their first priority security interest in all of the Collateral, (ii) the Phase II Completion Date has occurred, (iii) no Second Mortgage Notes remain outstanding or the indenture governing the Second Mortgage Notes has been satisfied and discharged and (iv)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noteholders’ first priority security interest in all of the Collateral will also be released. See “—Security—Release of Collateral.”</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indenture provides that the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notes then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8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Issuers will issue up to $1.3 billion in aggregate principal amount of new notes pursuant to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The Issuers will issue notes in denominations of $1,000 and integral multiples of $1,000. The notes will mature on December 1, 2014.</w:t>
      </w:r>
    </w:p>
    <w:p>
      <w:pPr>
        <w:spacing w:after="0" w:line="131" w:lineRule="exact"/>
        <w:rPr>
          <w:sz w:val="20"/>
          <w:szCs w:val="20"/>
          <w:color w:val="auto"/>
        </w:rPr>
      </w:pPr>
    </w:p>
    <w:p>
      <w:pPr>
        <w:ind w:right="20" w:firstLine="456"/>
        <w:spacing w:after="0" w:line="272" w:lineRule="auto"/>
        <w:rPr>
          <w:sz w:val="20"/>
          <w:szCs w:val="20"/>
          <w:color w:val="auto"/>
        </w:rPr>
      </w:pPr>
      <w:r>
        <w:rPr>
          <w:rFonts w:ascii="Arial" w:cs="Arial" w:eastAsia="Arial" w:hAnsi="Arial"/>
          <w:sz w:val="16"/>
          <w:szCs w:val="16"/>
          <w:color w:val="auto"/>
        </w:rPr>
        <w:t xml:space="preserve">Interest on the notes accrues at the rate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annum and is payable semi-annually in arrears on June 1 and December 1, commencing on June 1, 2005. Interest on overdue principal and interest and Liquidated Damages, if any, will accrue at a rate that is 1% higher than the then applicable interest rate on the notes. The Issuers will make each interest payment to the holders of record on the immediately preceding May 15 and November 15.</w:t>
      </w:r>
    </w:p>
    <w:p>
      <w:pPr>
        <w:spacing w:after="0" w:line="11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Interest on the notes accrues from the date of original issuance or, if interest has already been paid, from the date it was most recently paid. Interest will be computed on the basis of a 360-day year comprised of twelve 30-day months.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 holder of notes has given wire transfer instructions to the Issuers, the Issuers will pay all principal, interest and premium and Liquidated Damages, if any, on that holder’s notes in accordance with those instructions. All other payments on the notes will be made at the office or agency of the paying agent and registrar within the City and State of New York unless the Issuers elect to make interest payments by check mailed to the noteholders at their address set forth in the register of 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is currently acting as paying agent and registrar. The Issuers may change the paying agent or registrar without prior notice to the holders of the notes, and either or both of the Issuers or any of their respective Subsidiaries may act as paying agent or registrar.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Offering and the Notes.” Federal and state statutes allow courts, under specific circumstances, to void guarantees and require noteholders to return payments received from us or the Guarantors.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70" w:lineRule="exact"/>
        <w:rPr>
          <w:sz w:val="20"/>
          <w:szCs w:val="20"/>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12" w:lineRule="exact"/>
        <w:rPr>
          <w:rFonts w:ascii="Arial" w:cs="Arial" w:eastAsia="Arial" w:hAnsi="Arial"/>
          <w:sz w:val="16"/>
          <w:szCs w:val="16"/>
          <w:color w:val="auto"/>
        </w:rPr>
      </w:pPr>
    </w:p>
    <w:p>
      <w:pPr>
        <w:ind w:left="1580" w:hanging="239"/>
        <w:spacing w:after="0"/>
        <w:tabs>
          <w:tab w:leader="none" w:pos="15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Guarantee of a Guarantor and the security interests granted by that Guarantor to secure its Guarantee will be released:</w:t>
      </w:r>
    </w:p>
    <w:p>
      <w:pPr>
        <w:spacing w:after="0" w:line="37" w:lineRule="exact"/>
        <w:rPr>
          <w:sz w:val="20"/>
          <w:szCs w:val="20"/>
          <w:color w:val="auto"/>
        </w:rPr>
      </w:pPr>
    </w:p>
    <w:p>
      <w:pPr>
        <w:ind w:left="460" w:right="40" w:firstLine="443"/>
        <w:spacing w:after="0" w:line="254"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49" w:lineRule="exact"/>
        <w:rPr>
          <w:rFonts w:ascii="Arial" w:cs="Arial" w:eastAsia="Arial" w:hAnsi="Arial"/>
          <w:sz w:val="18"/>
          <w:szCs w:val="18"/>
          <w:color w:val="auto"/>
        </w:rPr>
      </w:pPr>
    </w:p>
    <w:p>
      <w:pPr>
        <w:ind w:left="1160" w:hanging="257"/>
        <w:spacing w:after="0"/>
        <w:tabs>
          <w:tab w:leader="none" w:pos="11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 provisions of the indenture, and if, after giving effect to such sale or other disposition, such Guarantor is an Immaterial Subsidiary;</w:t>
      </w:r>
    </w:p>
    <w:p>
      <w:pPr>
        <w:spacing w:after="0" w:line="49"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 provisions of the indenture;</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37"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 and “—Certain Covenants—Designation of Restricted and Unrestricted Subsidiaries.”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release of any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addition to the release of the Guarantee by Wynn Golf, LLC pursuant to the provisions described above, the security interests of the noteholders in the Golf Course Land and certain portion of the Golf Course Land owned by Wynn Golf, LLC may be released under the circumstances described below under the captions “—Security—Release of Golf Course Land,” “—Release of Portions of the Golf Course Land,” and “—Release of Homesite Acreage.”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37" w:lineRule="exact"/>
        <w:rPr>
          <w:sz w:val="20"/>
          <w:szCs w:val="20"/>
          <w:color w:val="auto"/>
        </w:rPr>
      </w:pPr>
    </w:p>
    <w:p>
      <w:pPr>
        <w:ind w:left="460" w:right="320" w:firstLine="443"/>
        <w:spacing w:after="0" w:line="268"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remaining net proceeds of the offering of old notes deposited into the Secured Account held at Wynn Las Vegas, pending release to fund disbursement requests under the Disbursement Agreement;</w:t>
      </w:r>
    </w:p>
    <w:p>
      <w:pPr>
        <w:spacing w:after="0" w:line="37" w:lineRule="exact"/>
        <w:rPr>
          <w:rFonts w:ascii="Arial" w:cs="Arial" w:eastAsia="Arial" w:hAnsi="Arial"/>
          <w:sz w:val="18"/>
          <w:szCs w:val="18"/>
          <w:color w:val="auto"/>
        </w:rPr>
      </w:pPr>
    </w:p>
    <w:p>
      <w:pPr>
        <w:ind w:left="460" w:right="600" w:firstLine="443"/>
        <w:spacing w:after="0" w:line="268"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other existing and future assets, including the Phase I Land, all improvements constructed as part of the Phase I Project, the Phase 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Land, all improvements constructed as part of the Phase II Project, all other real property held by Wynn Las Vegas, certain personal property, including items of furniture, fixture and equipment located within the Projects, and the Phase I Key Project Documents to which the Issuers are party, other than gaming and liquor licenses and other assets in which the grant of a security interest is prohibited by law and any proceeds held in a secured account at Wynn Las Vegas drawn or incurred under the Credit Agreement from time to time, pending release to fund disbursement requests under the Disbursement Agreement;</w:t>
      </w:r>
    </w:p>
    <w:p>
      <w:pPr>
        <w:spacing w:after="0" w:line="48" w:lineRule="exact"/>
        <w:rPr>
          <w:sz w:val="20"/>
          <w:szCs w:val="20"/>
          <w:color w:val="auto"/>
        </w:rPr>
      </w:pPr>
    </w:p>
    <w:p>
      <w:pPr>
        <w:jc w:val="both"/>
        <w:ind w:left="460" w:right="420" w:firstLine="443"/>
        <w:spacing w:after="0" w:line="256"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funds on deposit in the Completion Guarantee Deposit Account from time to time held at the Completion Guarantor to support the initial $50.0 million guarantee (which amount is subject to reduction with respect to the Phase II Project) by the Completion Guarantor of the completion in full of the construction and opening of the Projects, subject to disbursement pursuant to the Disbursement Agreement;</w:t>
      </w:r>
    </w:p>
    <w:p>
      <w:pPr>
        <w:spacing w:after="0" w:line="48"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$30.0 million in funds deposited into the Liquidity Reserve Account held at Wynn Las Vegas to support completion of the construction and opening of the Phase I Project and the payment of debt service on the notes and the loans under the Credit Agreement, subject to disbursement pursuant to the Disbursement Agreement;</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76"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Completion Guarantor, Las Vegas Jet, LLC, World Travel, LLC, Wynn Sunrise, LLC, Wynn Show Performers, LLC, and Wynn Golf, LLC.</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or liquor licenses.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Secured Account</w:t>
      </w:r>
      <w:r>
        <w:rPr>
          <w:rFonts w:ascii="Arial" w:cs="Arial" w:eastAsia="Arial" w:hAnsi="Arial"/>
          <w:sz w:val="16"/>
          <w:szCs w:val="16"/>
          <w:color w:val="auto"/>
        </w:rPr>
        <w:t>. Pending application to the Projects, $730.1 million of the net proceeds of the offering of the old notes were deposited in a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of Wynn Las Vegas (the “</w:t>
      </w:r>
      <w:r>
        <w:rPr>
          <w:rFonts w:ascii="Arial" w:cs="Arial" w:eastAsia="Arial" w:hAnsi="Arial"/>
          <w:sz w:val="16"/>
          <w:szCs w:val="16"/>
          <w:i w:val="1"/>
          <w:iCs w:val="1"/>
          <w:color w:val="auto"/>
        </w:rPr>
        <w:t>Secured Account</w:t>
      </w:r>
      <w:r>
        <w:rPr>
          <w:rFonts w:ascii="Arial" w:cs="Arial" w:eastAsia="Arial" w:hAnsi="Arial"/>
          <w:sz w:val="16"/>
          <w:szCs w:val="16"/>
          <w:color w:val="auto"/>
        </w:rPr>
        <w:t>”) by a securities intermediary. The Secured Account, as well as certain other collateral accounts, is governed by a control agreement (the “</w:t>
      </w:r>
      <w:r>
        <w:rPr>
          <w:rFonts w:ascii="Arial" w:cs="Arial" w:eastAsia="Arial" w:hAnsi="Arial"/>
          <w:sz w:val="16"/>
          <w:szCs w:val="16"/>
          <w:i w:val="1"/>
          <w:iCs w:val="1"/>
          <w:color w:val="auto"/>
        </w:rPr>
        <w:t>Secured Account Agreement</w:t>
      </w:r>
      <w:r>
        <w:rPr>
          <w:rFonts w:ascii="Arial" w:cs="Arial" w:eastAsia="Arial" w:hAnsi="Arial"/>
          <w:sz w:val="16"/>
          <w:szCs w:val="16"/>
          <w:color w:val="auto"/>
        </w:rPr>
        <w:t>”) entered into among Wynn Las Vegas, the securities intermediary and the collateral agent. The funds in the Secured Account are required to be invested in Permitted Securities at the direction of Wynn Las Vegas. The collateral agent, for the benefit of the trustee and the holders of the notes, has a perfected first priority security interest in the funds and Permitted Securities held in the Secured Account. The lenders under the Credit Agreement do not have any security interest in the Secured Account or the funds held in it.</w:t>
      </w:r>
    </w:p>
    <w:p>
      <w:pPr>
        <w:spacing w:after="0" w:line="10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Release of funds from the Secured Account is subject to satisfaction or waiver of the conditions to funding each disbursement request contained in the Disbursement Agreement. If those conditions have been satisfied or waived, the Disbursement Agent will transfer the necessary funds to the disbursement account created under the Disbursement Agreement. Those funds will then be disbursed to or as directed by Wynn Las Vegas in accordance with the Disbursement Agreement. See “Disbursement Agreement.”</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Completion Guarantee Deposit Account</w:t>
      </w:r>
      <w:r>
        <w:rPr>
          <w:rFonts w:ascii="Arial" w:cs="Arial" w:eastAsia="Arial" w:hAnsi="Arial"/>
          <w:sz w:val="16"/>
          <w:szCs w:val="16"/>
          <w:color w:val="auto"/>
        </w:rPr>
        <w:t>. Wynn Completion Guarantor, LLC, one of Wynn Las Vegas’ Unrestricted Subsidiaries (the “</w:t>
      </w:r>
      <w:r>
        <w:rPr>
          <w:rFonts w:ascii="Arial" w:cs="Arial" w:eastAsia="Arial" w:hAnsi="Arial"/>
          <w:sz w:val="16"/>
          <w:szCs w:val="16"/>
          <w:i w:val="1"/>
          <w:iCs w:val="1"/>
          <w:color w:val="auto"/>
        </w:rPr>
        <w:t>Completion Guarantor</w:t>
      </w:r>
      <w:r>
        <w:rPr>
          <w:rFonts w:ascii="Arial" w:cs="Arial" w:eastAsia="Arial" w:hAnsi="Arial"/>
          <w:sz w:val="16"/>
          <w:szCs w:val="16"/>
          <w:color w:val="auto"/>
        </w:rPr>
        <w:t>”) has provided a $50.0 million Completion Guarantee in favor of the trustee (for the benefit of the holders of the notes) and the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benefit of the lenders under the Credit Agreement). The Completion Guarantor will, subject to a $50.0 million cap (as such amount may be reduced as described below), guarantee final completion of the Phase I Project and, if applicable, the Phase II Project. In October 2002, the Completion Guarantor deposited $50.0 million into a collateral account (the “</w:t>
      </w:r>
      <w:r>
        <w:rPr>
          <w:rFonts w:ascii="Arial" w:cs="Arial" w:eastAsia="Arial" w:hAnsi="Arial"/>
          <w:sz w:val="16"/>
          <w:szCs w:val="16"/>
          <w:i w:val="1"/>
          <w:iCs w:val="1"/>
          <w:color w:val="auto"/>
        </w:rPr>
        <w:t>Completion Guarantee Deposit Account</w:t>
      </w:r>
      <w:r>
        <w:rPr>
          <w:rFonts w:ascii="Arial" w:cs="Arial" w:eastAsia="Arial" w:hAnsi="Arial"/>
          <w:sz w:val="16"/>
          <w:szCs w:val="16"/>
          <w:color w:val="auto"/>
        </w:rPr>
        <w:t>”) to support its obligations under the Completion Guarantee. Funds in the Completion Guarantee Deposit Account must be held in cash and/or Permitted Securities until such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funds are applied to pay costs of the Projects (or otherwise released in accordance with the Disbursement Agreement). The collateral agent has a first priority security interest in the funds in the Completion Guarantee Deposit Account for the benefit of the lenders under the Credit Agreement and the holders of the notes. If the Phase II Project Budget and Phase II Plans and Specifications are approved, then upon the later of (i) Phase I Completion of the Phase I Project (excluding the Entertainment Facility and the fairway villas) and (ii) the approval of the Phase II Project Budget and Phase II Plans and Specifications, no less than $30.0 million will be required to be on deposit in the Completion Guarantee Deposit Account for utilization with respect to the Phase II Project. Amounts in the Completion Guarantee Deposit Account may be applied to the costs of the Projects in accordance with the Disbursement Agreement. Pursuant to the disbursement agreement, funds in the Completion Guarantee Deposit Account will become available to us to pay (i) the costs of the Phase I Project, including cost overruns, on a gradual basis pursuant to a formula set forth in the Disbursement Agreement and (ii) if applicable, the costs of the Phase II Project, including cost overruns, on a gradual basis pursuant to a formula set forth in the Disbursement Agreement only after fifty percent of the construction work for the Phase II Project has been completed. Upon the Completion Guarantee Release Date, any amounts then remaining in the Completion Guarantee Deposit Account will be released to Wynn Las Vegas, after reserving necessary amounts for completion of punchlist items and disputed claims. Upon final completion of the Phase I Project or, if implemented, the Phase II Project, all remaining funds in the Completion Guarantee Deposit Account will be released to Wynn Las Vegas and the Completion Guarantor will be dissolved. See “Disbursement Agreement—Completion Guarantee Deposit Account.”</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Liquidity Reserve Account</w:t>
      </w:r>
      <w:r>
        <w:rPr>
          <w:rFonts w:ascii="Arial" w:cs="Arial" w:eastAsia="Arial" w:hAnsi="Arial"/>
          <w:sz w:val="16"/>
          <w:szCs w:val="16"/>
          <w:color w:val="auto"/>
        </w:rPr>
        <w:t>. In October 2002, Wynn Las Vegas deposited $30.0 million into a liquidity reserve account (the “</w:t>
      </w:r>
      <w:r>
        <w:rPr>
          <w:rFonts w:ascii="Arial" w:cs="Arial" w:eastAsia="Arial" w:hAnsi="Arial"/>
          <w:sz w:val="16"/>
          <w:szCs w:val="16"/>
          <w:i w:val="1"/>
          <w:iCs w:val="1"/>
          <w:color w:val="auto"/>
        </w:rPr>
        <w:t>Liquidity Reserve Account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Funds in the Liquidity Reserve Account must be held in cash and/or Permitted Securities until such funds are applied to pay costs of the Phase I Project or otherwise released in accordance with the disbursement agreement and the credit agreement. The Liquidity Reserve Account secures final completion of the Phase I Project. The collateral agent has a first priority security interest in the funds in the Liquidity Reserve Account for the benefit of the lenders under the Credit Agreement and the holders of the notes. Amounts in the Liquidity Reserve Account may be applied to the costs of the Phase I Project, including cost overruns, in accordance with the Disbursement Agreement. Upon Phase I Completion of the Phase I Project (excluding the Entertainment Facility and the fairway villas), any amounts then remaining in the Liquidity Reserve Account will, to the extent funds are not otherwise available from operations, be used solely to pay debt service under the Credit Agreement and/or the notes. Once the actual Consolidated EBITDA of Wynn Las Vegas and its Restricted Subsidiaries for the period of two full consecutive fiscal quarters of Wynn Las Vegas after the Phase I Opening Date equals or exceeds certain specified Consolidated EBITDA levels, any amounts then remaining in the Liquidity Reserve Account, if any, must be used to reduce the amounts then outstanding under the revolving loans under the Credit Agreement without reducing the corresponding commitments under the Credit Agreement (but the release date may not be earlier than the later of December 31, 2005 and the Phase I Project Final Completion Date). See “Disbursement Agreement—Liquidity Reserve Account.”</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37" w:lineRule="exact"/>
        <w:rPr>
          <w:sz w:val="20"/>
          <w:szCs w:val="20"/>
          <w:color w:val="auto"/>
        </w:rPr>
      </w:pPr>
    </w:p>
    <w:p>
      <w:pPr>
        <w:ind w:left="460" w:right="240" w:firstLine="443"/>
        <w:spacing w:after="0" w:line="259"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sixty-five residential lots adjacent to the Golf Course Land owned by Wynn Golf, LLC and Wynn Las Vegas’ water entertainment features, subject, in the case of the Golf Course Land, to release as described below under the caption “—Release of Golf Course Land”; and</w:t>
      </w:r>
    </w:p>
    <w:p>
      <w:pPr>
        <w:spacing w:after="0" w:line="45" w:lineRule="exact"/>
        <w:rPr>
          <w:rFonts w:ascii="Arial" w:cs="Arial" w:eastAsia="Arial" w:hAnsi="Arial"/>
          <w:sz w:val="18"/>
          <w:szCs w:val="18"/>
          <w:color w:val="auto"/>
        </w:rPr>
      </w:pPr>
    </w:p>
    <w:p>
      <w:pPr>
        <w:ind w:left="460" w:right="160" w:firstLine="443"/>
        <w:spacing w:after="0" w:line="294" w:lineRule="auto"/>
        <w:tabs>
          <w:tab w:leader="none" w:pos="11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a perfected first priority security interest in substantially all of the other existing and future assets (other than gaming and liquor licenses) of the Guarantors, including, the rights of any Guarantor under the Phase I Key Project Documents to which it is a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Note Guarantee of World Travel, LLC will not initially be secured by the Aircraft Assets. In the event that financing in an amount equal to at least 50%, but not more than 100%, of the Fair Market Value of the Aircraft has not been completed within 180 days after the date of the indenture, the indenture will require us to convey to the trustee, for the benefit of the noteholders, a security interest in the Aircraft Assets, which will then become part of the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security interests in all of the Collateral, including the Golf Course Land, may be released so long as:</w:t>
      </w:r>
    </w:p>
    <w:p>
      <w:pPr>
        <w:spacing w:after="0" w:line="77" w:lineRule="exact"/>
        <w:rPr>
          <w:sz w:val="20"/>
          <w:szCs w:val="20"/>
          <w:color w:val="auto"/>
        </w:rPr>
      </w:pPr>
    </w:p>
    <w:p>
      <w:pPr>
        <w:ind w:left="460" w:right="20" w:firstLine="443"/>
        <w:spacing w:after="0" w:line="255"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priority security interest in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Second Mortgage Notes remain outstanding or the indenture under which the Second Mortgage Notes were issued has been satisfied and discharged; and</w:t>
      </w:r>
    </w:p>
    <w:p>
      <w:pPr>
        <w:spacing w:after="0" w:line="37"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Holders’ security interest in all or substantially all of the Collateral may be released at any time with the consent of the Holders of 95% of the aggregate principal amount of notes then outstanding.</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so long as such other Indebtedness is so secured.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security interests in all of the Golf Course Land (and the related Water Rights) may be released so long as (1) no Default or Event of Default exists or is continuing immediately prior to or after giving effect to such release, (2) the lenders under the Credit Agreement concurrently release their first priority security interest in the Golf Course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(3) the Phase II Completion Date has occurred and (4) both immediately prior to the release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security interest, and after giving pro forma effect to such release, Wynn Las Vegas’ and its Restricted Subsidiaries’ total debt does not exceed 6.5 times Consolidated EBITDA for the four full fiscal quarters immediately preceding such release. Notwithstanding the foregoing, if Wynn Las Vegas incurs debt to finance the project costs related to the building of a project on the Golf Course Land (the “</w:t>
      </w:r>
      <w:r>
        <w:rPr>
          <w:rFonts w:ascii="Arial" w:cs="Arial" w:eastAsia="Arial" w:hAnsi="Arial"/>
          <w:sz w:val="16"/>
          <w:szCs w:val="16"/>
          <w:i w:val="1"/>
          <w:iCs w:val="1"/>
          <w:color w:val="auto"/>
        </w:rPr>
        <w:t>Phase III Project</w:t>
      </w:r>
      <w:r>
        <w:rPr>
          <w:rFonts w:ascii="Arial" w:cs="Arial" w:eastAsia="Arial" w:hAnsi="Arial"/>
          <w:sz w:val="16"/>
          <w:szCs w:val="16"/>
          <w:color w:val="auto"/>
        </w:rPr>
        <w: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LLC in approximately 20 acres of the Golf Course Land will be released if the lenders under the Credit Agreement concurrently release their first priority security interest in such Golf Course Land, so long as no Default or Event of Default exists or is continuing immediately prior to or after giving effect to such release.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noteholders’ security interest in approximately 20 acres of the Golf Course Land, Wynn Las Vegas or any of the Restricted Subsidiaries grants a security interest in any or all of such portions to secure such refinancing Indebtedness or any guarantee thereof, such Person will concurrently grant a first priority security interest in such portions of the Golf Course Land in favor of the trustee to secure the notes (or, if such Person is a Guarantor, its Guarantee of the notes). That security interest in favor of the trustee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provides that the lenders will release their security interests in approximately 20 acres of the Golf Course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first priority liens by the noteholders.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security interests in approximately two acres of the Golf Course Land will be released in order to permit the construction of a personal residence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Stephen A. Wynn, so long as:</w:t>
      </w:r>
    </w:p>
    <w:p>
      <w:pPr>
        <w:spacing w:after="0" w:line="70" w:lineRule="exact"/>
        <w:rPr>
          <w:sz w:val="20"/>
          <w:szCs w:val="20"/>
          <w:color w:val="auto"/>
        </w:rPr>
      </w:pPr>
    </w:p>
    <w:p>
      <w:pPr>
        <w:ind w:left="1140" w:hanging="237"/>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released Golf Course Land prior to the release of the security interests shall not be less than the then Fair Market Value of that portion of the Golf Course Land,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purchase price is paid directly to Wynn Golf,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firstLine="443"/>
        <w:spacing w:after="0" w:line="325" w:lineRule="auto"/>
        <w:tabs>
          <w:tab w:leader="none" w:pos="1147"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1" w:lineRule="exact"/>
        <w:rPr>
          <w:rFonts w:ascii="Arial" w:cs="Arial" w:eastAsia="Arial" w:hAnsi="Arial"/>
          <w:sz w:val="16"/>
          <w:szCs w:val="16"/>
          <w:color w:val="auto"/>
        </w:rPr>
      </w:pPr>
    </w:p>
    <w:p>
      <w:pPr>
        <w:ind w:left="1140" w:hanging="237"/>
        <w:spacing w:after="0"/>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portions of the Golf Course Land to be released by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70" w:lineRule="exact"/>
        <w:rPr>
          <w:rFonts w:ascii="Arial" w:cs="Arial" w:eastAsia="Arial" w:hAnsi="Arial"/>
          <w:sz w:val="16"/>
          <w:szCs w:val="16"/>
          <w:color w:val="auto"/>
        </w:rPr>
      </w:pPr>
    </w:p>
    <w:p>
      <w:pPr>
        <w:ind w:left="460" w:right="160" w:firstLine="443"/>
        <w:spacing w:after="0" w:line="306" w:lineRule="auto"/>
        <w:tabs>
          <w:tab w:leader="none" w:pos="1117" w:val="left"/>
        </w:tabs>
        <w:numPr>
          <w:ilvl w:val="1"/>
          <w:numId w:val="71"/>
        </w:numPr>
        <w:rPr>
          <w:rFonts w:ascii="Arial" w:cs="Arial" w:eastAsia="Arial" w:hAnsi="Arial"/>
          <w:sz w:val="16"/>
          <w:szCs w:val="16"/>
          <w:color w:val="auto"/>
        </w:rPr>
      </w:pPr>
      <w:r>
        <w:rPr>
          <w:rFonts w:ascii="Arial" w:cs="Arial" w:eastAsia="Arial" w:hAnsi="Arial"/>
          <w:sz w:val="16"/>
          <w:szCs w:val="16"/>
          <w:color w:val="auto"/>
        </w:rPr>
        <w:t>no Points of Diversion with respect to any water permits held by us or any of our Restricted Subsidiaries or otherwise utilized or expected to utilized with respect to the Projects, wells associated therewith or rights-of-way necessary for the transportation to the Golf Course Land or the Wynn Las Vegas water entertainment features of water drawn or to be drawn pursuant to water permits, are located on the released Golf Course Land,</w:t>
      </w:r>
    </w:p>
    <w:p>
      <w:pPr>
        <w:spacing w:after="0" w:line="12"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1"/>
          <w:numId w:val="71"/>
        </w:numPr>
        <w:rPr>
          <w:rFonts w:ascii="Arial" w:cs="Arial" w:eastAsia="Arial" w:hAnsi="Arial"/>
          <w:sz w:val="18"/>
          <w:szCs w:val="18"/>
          <w:color w:val="auto"/>
        </w:rPr>
      </w:pPr>
      <w:r>
        <w:rPr>
          <w:rFonts w:ascii="Arial" w:cs="Arial" w:eastAsia="Arial" w:hAnsi="Arial"/>
          <w:sz w:val="18"/>
          <w:szCs w:val="18"/>
          <w:color w:val="auto"/>
        </w:rPr>
        <w:t>Wynn Las Vegas and Wynn Golf, LLC, as the case may be, shall have taken all actions required pursuant to the covenant described below under the caption “—Certain Covenants—Additional Collateral; Acquisition of Assets or Property” with respect to any assets or property acquired pursuant to clause (f) above,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Wynn Las Vegas and/or Wynn Golf, LLC delivers an officers’ certificate to the trustee confirming that the conditions in clauses (a), (b), (c), (d),</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and (f) above have been satisfied.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At any time prior to December 1, 2007, the Issuers may, on any one or more occasions, redeem up to 35% of the aggregate principal amount of notes issued under the indenture at a redemption price of 106.625%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redemption occurs within 60 days of the date of the closing of such Qualified Equity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December 1, 2009</w:t>
      </w:r>
      <w:r>
        <w:rPr>
          <w:rFonts w:ascii="Arial" w:cs="Arial" w:eastAsia="Arial" w:hAnsi="Arial"/>
          <w:sz w:val="18"/>
          <w:szCs w:val="18"/>
          <w:i w:val="1"/>
          <w:iCs w:val="1"/>
          <w:color w:val="auto"/>
        </w:rPr>
        <w: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 subject to the rights of holders of notes on the relevant record date to receive interest on the relevant interest payment date:</w:t>
      </w:r>
    </w:p>
    <w:p>
      <w:pPr>
        <w:spacing w:after="0" w:line="9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101.104%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49" w:lineRule="exact"/>
        <w:rPr>
          <w:sz w:val="20"/>
          <w:szCs w:val="20"/>
          <w:color w:val="auto"/>
        </w:rPr>
      </w:pPr>
    </w:p>
    <w:p>
      <w:pPr>
        <w:ind w:left="460" w:firstLine="443"/>
        <w:spacing w:after="0" w:line="268"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70" w:lineRule="exact"/>
        <w:rPr>
          <w:rFonts w:ascii="Arial" w:cs="Arial" w:eastAsia="Arial" w:hAnsi="Arial"/>
          <w:sz w:val="16"/>
          <w:szCs w:val="16"/>
          <w:color w:val="auto"/>
        </w:rPr>
      </w:pPr>
    </w:p>
    <w:p>
      <w:pPr>
        <w:ind w:left="920" w:right="140" w:firstLine="421"/>
        <w:spacing w:after="0" w:line="268" w:lineRule="auto"/>
        <w:tabs>
          <w:tab w:leader="none" w:pos="1588"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76" w:lineRule="exact"/>
        <w:rPr>
          <w:rFonts w:ascii="Arial" w:cs="Arial" w:eastAsia="Arial" w:hAnsi="Arial"/>
          <w:sz w:val="18"/>
          <w:szCs w:val="18"/>
          <w:color w:val="auto"/>
        </w:rPr>
      </w:pPr>
    </w:p>
    <w:p>
      <w:pPr>
        <w:ind w:left="2200" w:hanging="252"/>
        <w:spacing w:after="0"/>
        <w:tabs>
          <w:tab w:leader="none" w:pos="220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77" w:lineRule="exact"/>
        <w:rPr>
          <w:sz w:val="20"/>
          <w:szCs w:val="20"/>
          <w:color w:val="auto"/>
        </w:rPr>
      </w:pPr>
    </w:p>
    <w:p>
      <w:pPr>
        <w:ind w:left="1500" w:right="280"/>
        <w:spacing w:after="0" w:line="259" w:lineRule="auto"/>
        <w:rPr>
          <w:sz w:val="20"/>
          <w:szCs w:val="20"/>
          <w:color w:val="auto"/>
        </w:rPr>
      </w:pPr>
      <w:r>
        <w:rPr>
          <w:rFonts w:ascii="Arial" w:cs="Arial" w:eastAsia="Arial" w:hAnsi="Arial"/>
          <w:sz w:val="18"/>
          <w:szCs w:val="18"/>
          <w:color w:val="auto"/>
        </w:rPr>
        <w:t>in either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37" w:lineRule="exact"/>
        <w:rPr>
          <w:sz w:val="20"/>
          <w:szCs w:val="20"/>
          <w:color w:val="auto"/>
        </w:rPr>
      </w:pPr>
    </w:p>
    <w:p>
      <w:pPr>
        <w:ind w:left="1160" w:hanging="257"/>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76"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payment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Date</w:t>
      </w:r>
      <w:r>
        <w:rPr>
          <w:rFonts w:ascii="Arial" w:cs="Arial" w:eastAsia="Arial" w:hAnsi="Arial"/>
          <w:sz w:val="16"/>
          <w:szCs w:val="16"/>
          <w:color w:val="auto"/>
        </w:rPr>
        <w:t>”) specified in the notice, which date will be no earlier than 30 days and no later than 60 days from the date such notice is mailed,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required by the indenture and described in such notice.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77"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70" w:lineRule="exact"/>
        <w:rPr>
          <w:sz w:val="20"/>
          <w:szCs w:val="20"/>
          <w:color w:val="auto"/>
        </w:rPr>
      </w:pPr>
    </w:p>
    <w:p>
      <w:pPr>
        <w:ind w:left="460" w:right="40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The Issuers will publicly announce the results of the Change of Control Offer on or as soon as practicable after the Change of Control Payment Date.</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77" w:lineRule="exact"/>
        <w:rPr>
          <w:sz w:val="20"/>
          <w:szCs w:val="20"/>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with respect to Non-Project Assets, the Phase I Opening Date has occurred;</w:t>
      </w:r>
    </w:p>
    <w:p>
      <w:pPr>
        <w:spacing w:after="0" w:line="76" w:lineRule="exact"/>
        <w:rPr>
          <w:rFonts w:ascii="Arial" w:cs="Arial" w:eastAsia="Arial" w:hAnsi="Arial"/>
          <w:sz w:val="18"/>
          <w:szCs w:val="18"/>
          <w:color w:val="auto"/>
        </w:rPr>
      </w:pPr>
    </w:p>
    <w:p>
      <w:pPr>
        <w:jc w:val="both"/>
        <w:ind w:left="460" w:right="200" w:firstLine="443"/>
        <w:spacing w:after="0" w:line="259"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firstLine="443"/>
        <w:spacing w:after="0" w:line="325"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75% (or 90%, in the case of any Asset Sale that occurs on or before the Phase I Opening Date) of the consideration received in the Asset Sale by Wynn Las Vegas or such Restricted Subsidiary is in the form of cash or Cash Equivalents. For purposes of this provision, each of the following will be deemed to be cash:</w:t>
      </w:r>
    </w:p>
    <w:p>
      <w:pPr>
        <w:spacing w:after="0" w:line="45"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48" w:lineRule="exact"/>
        <w:rPr>
          <w:rFonts w:ascii="Arial" w:cs="Arial" w:eastAsia="Arial" w:hAnsi="Arial"/>
          <w:sz w:val="18"/>
          <w:szCs w:val="18"/>
          <w:color w:val="auto"/>
        </w:rPr>
      </w:pPr>
    </w:p>
    <w:p>
      <w:pPr>
        <w:ind w:left="920" w:right="40" w:firstLine="421"/>
        <w:spacing w:after="0" w:line="370" w:lineRule="auto"/>
        <w:tabs>
          <w:tab w:leader="none" w:pos="1588" w:val="left"/>
        </w:tabs>
        <w:numPr>
          <w:ilvl w:val="1"/>
          <w:numId w:val="78"/>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4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5"/>
          <w:szCs w:val="15"/>
          <w:color w:val="auto"/>
        </w:rPr>
        <w:t xml:space="preserve">Within 360 days (or within 90 days, in the case of any Asset Sale that occurs on or before the Phase I Opening Date)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secured revolving credit Indebtedness of Wynn Las Vegas or any of its Restricted Subsidiaries, or</w:t>
      </w:r>
    </w:p>
    <w:p>
      <w:pPr>
        <w:spacing w:after="0" w:line="4" w:lineRule="exact"/>
        <w:rPr>
          <w:sz w:val="20"/>
          <w:szCs w:val="20"/>
          <w:color w:val="auto"/>
        </w:rPr>
      </w:pPr>
    </w:p>
    <w:p>
      <w:pPr>
        <w:ind w:right="60" w:firstLine="8"/>
        <w:spacing w:after="0" w:line="255"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invest the Net Proceeds in Cash Equivalents which, at any time other than during a Collateral Release Period, will be subject to a perfected first priority security interest (equal and ratable with the security interest securing the Credit Agreement and subject to other Permitted Liens and the terms of the Intercreditor Agreement) in favor of the trustee as security for the notes.</w:t>
      </w:r>
    </w:p>
    <w:p>
      <w:pPr>
        <w:spacing w:after="0" w:line="13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w:t>
      </w:r>
      <w:r>
        <w:rPr>
          <w:rFonts w:ascii="Arial" w:cs="Arial" w:eastAsia="Arial" w:hAnsi="Arial"/>
          <w:sz w:val="16"/>
          <w:szCs w:val="16"/>
          <w:i w:val="1"/>
          <w:iCs w:val="1"/>
          <w:color w:val="auto"/>
        </w:rPr>
        <w:t>Excess Proceeds</w:t>
      </w:r>
      <w:r>
        <w:rPr>
          <w:rFonts w:ascii="Arial" w:cs="Arial" w:eastAsia="Arial" w:hAnsi="Arial"/>
          <w:sz w:val="16"/>
          <w:szCs w:val="16"/>
          <w:color w:val="auto"/>
        </w:rPr>
        <w:t>.” Within 10 days following the earlier of (i) the date on which the aggregate amount of Excess Proceeds exceeds $20.0 million or (ii) the date when the proceeds of any sale of assets are required, pursuant to the Credit Agreement, to be applied to reduce Indebtedness of Wynn Las Vegas,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Asset Sale Offer</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Asset Sale Offer</w:t>
      </w:r>
      <w:r>
        <w:rPr>
          <w:rFonts w:ascii="Arial" w:cs="Arial" w:eastAsia="Arial" w:hAnsi="Arial"/>
          <w:sz w:val="16"/>
          <w:szCs w:val="16"/>
          <w:color w:val="auto"/>
        </w:rPr>
        <w:t>”) to all holders of notes and, to the extent required, the holders of such Pari Passu Debt to repurchase such notes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Proceeds less the Asset Sale Offer Amount (the “</w:t>
      </w:r>
      <w:r>
        <w:rPr>
          <w:rFonts w:ascii="Arial" w:cs="Arial" w:eastAsia="Arial" w:hAnsi="Arial"/>
          <w:sz w:val="16"/>
          <w:szCs w:val="16"/>
          <w:i w:val="1"/>
          <w:iCs w:val="1"/>
          <w:color w:val="auto"/>
        </w:rPr>
        <w:t>Asset Sale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that the Asset Sale Repayment Amount exceeds the amount of term Indebtedness then outstanding under the Credit Agreement at the time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previous sentence above.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Upon completion of each Asset Sale Offer, the amount of Excess Proceeds will be reset at zero.</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the Phase I Project and/or Collateral comprising the Phase II Project, if applicable, at any time during the construction of the Phase I Project and/or the Phase II Project, respectively,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w:t>
      </w:r>
    </w:p>
    <w:p>
      <w:pPr>
        <w:spacing w:after="0" w:line="21" w:lineRule="exact"/>
        <w:rPr>
          <w:sz w:val="20"/>
          <w:szCs w:val="20"/>
          <w:color w:val="auto"/>
        </w:rPr>
      </w:pPr>
    </w:p>
    <w:p>
      <w:pPr>
        <w:ind w:left="460" w:right="420" w:firstLine="443"/>
        <w:spacing w:after="0" w:line="325"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1"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21"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3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ability of Wynn Las Vegas or any of its Restricted Subsidiaries to repair or restore any of the Collateral following an Event of Loss that occurs on or prior to the Phase I Completion Date or the Phase II Completion Date, as the case may be, will be governed by the Disbursement Agreement.</w:t>
      </w:r>
    </w:p>
    <w:p>
      <w:pPr>
        <w:spacing w:after="0" w:line="7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Any Net Loss Proceeds that are (1) not permitted to be used to repair or restore the Collateral pursuant to the Disbursement Agreement, (2) not reinvested as provided in the first sentence of this covenant or (3) otherwise required, pursuant to the Credit Agreement, to be applied to reduce Indebtedness of Wynn Las Vegas, in each case, will be deemed “</w:t>
      </w:r>
      <w:r>
        <w:rPr>
          <w:rFonts w:ascii="Arial" w:cs="Arial" w:eastAsia="Arial" w:hAnsi="Arial"/>
          <w:sz w:val="16"/>
          <w:szCs w:val="16"/>
          <w:i w:val="1"/>
          <w:iCs w:val="1"/>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Event of Loss Offer</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Event of Loss Offer</w:t>
      </w:r>
      <w:r>
        <w:rPr>
          <w:rFonts w:ascii="Arial" w:cs="Arial" w:eastAsia="Arial" w:hAnsi="Arial"/>
          <w:sz w:val="16"/>
          <w:szCs w:val="16"/>
          <w:color w:val="auto"/>
        </w:rPr>
        <w:t>”) to all holders of notes and, to the extent required, the holders of such Pari Passu Debt to repurchase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notes 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Loss Proceeds less the Event of Loss Offer Amount (the “</w:t>
      </w:r>
      <w:r>
        <w:rPr>
          <w:rFonts w:ascii="Arial" w:cs="Arial" w:eastAsia="Arial" w:hAnsi="Arial"/>
          <w:sz w:val="16"/>
          <w:szCs w:val="16"/>
          <w:i w:val="1"/>
          <w:iCs w:val="1"/>
          <w:color w:val="auto"/>
        </w:rPr>
        <w:t>Event of Loss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previous sentence above.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Upon completion of each Event of Loss Offer, the amount of Excess Loss Proceeds will be reset at zero.</w:t>
      </w:r>
    </w:p>
    <w:p>
      <w:pPr>
        <w:spacing w:after="0" w:line="11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subject only to the security interest securing the Credit Agreement and other Permitted Liens and the terms of the Intercreditor Agreement, on any property or assets rebuilt, repaired, replaced or constructed with such Net Loss Proceeds on the terms set forth in the indenture and the Collateral Documents.</w:t>
      </w:r>
    </w:p>
    <w:p>
      <w:pPr>
        <w:spacing w:after="0" w:line="10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46" w:lineRule="exact"/>
        <w:rPr>
          <w:sz w:val="20"/>
          <w:szCs w:val="20"/>
          <w:color w:val="auto"/>
        </w:rPr>
      </w:pPr>
    </w:p>
    <w:p>
      <w:pPr>
        <w:ind w:left="460" w:right="62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at least 80% of which is in the form of cash or Cash Equivalents.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Notes—We may not be able to fulfill our repurchase obligations with respect to the notes upon a change of control.”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any other method the trustee deems fair and appropriate, unless otherwise required by law or applicable stock exchange requirements.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77" w:lineRule="exact"/>
        <w:rPr>
          <w:sz w:val="20"/>
          <w:szCs w:val="20"/>
          <w:color w:val="auto"/>
        </w:rPr>
      </w:pPr>
    </w:p>
    <w:p>
      <w:pPr>
        <w:ind w:left="460" w:right="52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declare or pay any dividend or make any other payment or distribution on account of any Equity Interests of Wynn Las Vegas or any of its Restricted Subsidiaries or to the direct or indirect holders of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Equity Interests of Wynn Las Vegas or any of its Restricted Subsidiaries in their capacity as such, other than (a) dividends or distributions by Wynn Las Vegas payable in Equity Interests (other than Disqualified Stock) of Wynn Las Vegas, and (b) dividends or distributions payable to Wynn Las Vegas or any of its Restricted Subsidiaries;</w:t>
      </w:r>
    </w:p>
    <w:p>
      <w:pPr>
        <w:spacing w:after="0" w:line="46" w:lineRule="exact"/>
        <w:rPr>
          <w:sz w:val="20"/>
          <w:szCs w:val="20"/>
          <w:color w:val="auto"/>
        </w:rPr>
      </w:pPr>
    </w:p>
    <w:p>
      <w:pPr>
        <w:ind w:left="460" w:right="44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37" w:lineRule="exact"/>
        <w:rPr>
          <w:rFonts w:ascii="Arial" w:cs="Arial" w:eastAsia="Arial" w:hAnsi="Arial"/>
          <w:sz w:val="18"/>
          <w:szCs w:val="18"/>
          <w:color w:val="auto"/>
        </w:rPr>
      </w:pPr>
    </w:p>
    <w:p>
      <w:pPr>
        <w:ind w:left="460" w:right="20" w:firstLine="443"/>
        <w:spacing w:after="0" w:line="298"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effectively or expressly subordinated in right of payment to the notes or the Guarantees under the indenture (excluding any intercompany Indebtedness between or among Wynn Las Vegas and any of its Restricted Subsidiaries), except a payment of interest or principal at the Stated Maturity thereof; or</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58" w:lineRule="exact"/>
        <w:rPr>
          <w:sz w:val="20"/>
          <w:szCs w:val="20"/>
          <w:color w:val="auto"/>
        </w:rPr>
      </w:pPr>
    </w:p>
    <w:p>
      <w:pPr>
        <w:ind w:right="1540"/>
        <w:spacing w:after="0" w:line="375"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1"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Phase I Opening Date has occurred;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43" w:lineRule="exact"/>
        <w:rPr>
          <w:sz w:val="20"/>
          <w:szCs w:val="20"/>
          <w:color w:val="auto"/>
        </w:rPr>
      </w:pPr>
    </w:p>
    <w:p>
      <w:pPr>
        <w:ind w:left="460" w:right="80" w:firstLine="443"/>
        <w:spacing w:after="0" w:line="256"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(11) and (12) below (with respect to clause (5) to the extent such Restricted Payments were already deducted from Consolidated Net Income) of the next succeeding paragraph), is less than the sum, without duplication, of:</w:t>
      </w:r>
    </w:p>
    <w:p>
      <w:pPr>
        <w:spacing w:after="0" w:line="48" w:lineRule="exact"/>
        <w:rPr>
          <w:rFonts w:ascii="Arial" w:cs="Arial" w:eastAsia="Arial" w:hAnsi="Arial"/>
          <w:sz w:val="18"/>
          <w:szCs w:val="18"/>
          <w:color w:val="auto"/>
        </w:rPr>
      </w:pPr>
    </w:p>
    <w:p>
      <w:pPr>
        <w:ind w:left="920" w:right="160" w:firstLine="421"/>
        <w:spacing w:after="0" w:line="256" w:lineRule="auto"/>
        <w:tabs>
          <w:tab w:leader="none" w:pos="15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920" w:right="100" w:firstLine="421"/>
        <w:spacing w:after="0" w:line="294" w:lineRule="auto"/>
        <w:tabs>
          <w:tab w:leader="none" w:pos="1588"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the date of the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the covenant described below under the caption “— Incurrence of Indebtedness and Issuance of Disqualified Stock”; </w:t>
      </w:r>
      <w:r>
        <w:rPr>
          <w:rFonts w:ascii="Arial" w:cs="Arial" w:eastAsia="Arial" w:hAnsi="Arial"/>
          <w:sz w:val="16"/>
          <w:szCs w:val="16"/>
          <w:i w:val="1"/>
          <w:iCs w:val="1"/>
          <w:color w:val="auto"/>
        </w:rPr>
        <w:t>plus</w:t>
      </w:r>
    </w:p>
    <w:p>
      <w:pPr>
        <w:spacing w:after="0" w:line="21" w:lineRule="exact"/>
        <w:rPr>
          <w:rFonts w:ascii="Arial" w:cs="Arial" w:eastAsia="Arial" w:hAnsi="Arial"/>
          <w:sz w:val="16"/>
          <w:szCs w:val="16"/>
          <w:color w:val="auto"/>
        </w:rPr>
      </w:pPr>
    </w:p>
    <w:p>
      <w:pPr>
        <w:ind w:left="920" w:right="320" w:firstLine="421"/>
        <w:spacing w:after="0" w:line="306" w:lineRule="auto"/>
        <w:tabs>
          <w:tab w:leader="none" w:pos="1579" w:val="left"/>
        </w:tabs>
        <w:numPr>
          <w:ilvl w:val="1"/>
          <w:numId w:val="85"/>
        </w:numPr>
        <w:rPr>
          <w:rFonts w:ascii="Arial" w:cs="Arial" w:eastAsia="Arial" w:hAnsi="Arial"/>
          <w:sz w:val="16"/>
          <w:szCs w:val="16"/>
          <w:color w:val="auto"/>
        </w:rPr>
      </w:pPr>
      <w:r>
        <w:rPr>
          <w:rFonts w:ascii="Arial" w:cs="Arial" w:eastAsia="Arial" w:hAnsi="Arial"/>
          <w:sz w:val="16"/>
          <w:szCs w:val="16"/>
          <w:color w:val="auto"/>
        </w:rPr>
        <w:t>(i) to the extent that any Restricted Investment that was made after the date of the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 xml:space="preserve">(less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12" w:lineRule="exact"/>
        <w:rPr>
          <w:sz w:val="20"/>
          <w:szCs w:val="20"/>
          <w:color w:val="auto"/>
        </w:rPr>
      </w:pPr>
    </w:p>
    <w:p>
      <w:pPr>
        <w:ind w:left="920" w:right="340" w:firstLine="421"/>
        <w:spacing w:after="0" w:line="306" w:lineRule="auto"/>
        <w:tabs>
          <w:tab w:leader="none" w:pos="158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the date of the indenture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12" w:lineRule="exact"/>
        <w:rPr>
          <w:rFonts w:ascii="Arial" w:cs="Arial" w:eastAsia="Arial" w:hAnsi="Arial"/>
          <w:sz w:val="16"/>
          <w:szCs w:val="16"/>
          <w:color w:val="auto"/>
        </w:rPr>
      </w:pPr>
    </w:p>
    <w:p>
      <w:pPr>
        <w:ind w:left="920" w:right="120" w:firstLine="421"/>
        <w:spacing w:after="0" w:line="256" w:lineRule="auto"/>
        <w:tabs>
          <w:tab w:leader="none" w:pos="1579"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the date of indenture (other than the Completion Guarantor)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48" w:lineRule="exact"/>
        <w:rPr>
          <w:rFonts w:ascii="Arial" w:cs="Arial" w:eastAsia="Arial" w:hAnsi="Arial"/>
          <w:sz w:val="18"/>
          <w:szCs w:val="18"/>
          <w:color w:val="auto"/>
        </w:rPr>
      </w:pPr>
    </w:p>
    <w:p>
      <w:pPr>
        <w:ind w:left="1560" w:hanging="219"/>
        <w:spacing w:after="0"/>
        <w:tabs>
          <w:tab w:leader="none" w:pos="1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(a) any payments made pursuant to clauses (1), (2), (3), (6), (7), (8), (9), (10) and (11) below, so long as no Default or Event of Default has occurred and is continuing or would be caused by the payments, and (b) any payments made pursuant to clauses (4), (5) and (12) below, regardless of whether any Default or Event of Default has occurred and is continuing or would be caused by the payment, the preceding provisions will not prohibit:</w:t>
      </w:r>
    </w:p>
    <w:p>
      <w:pPr>
        <w:spacing w:after="0" w:line="12" w:lineRule="exact"/>
        <w:rPr>
          <w:sz w:val="20"/>
          <w:szCs w:val="20"/>
          <w:color w:val="auto"/>
        </w:rPr>
      </w:pPr>
    </w:p>
    <w:p>
      <w:pPr>
        <w:ind w:left="460" w:right="100" w:firstLine="443"/>
        <w:spacing w:after="0" w:line="306"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12"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(4)(b) of the preceding paragraph;</w:t>
      </w:r>
    </w:p>
    <w:p>
      <w:pPr>
        <w:spacing w:after="0" w:line="45"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45"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3"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for all such repurchased, redeemed, acquired or retired Equity Interests, together with the aggregate amount of all such distributions made to Wynn Resorts, shall not exceed $4.0 million in any calendar year;</w:t>
      </w:r>
    </w:p>
    <w:p>
      <w:pPr>
        <w:spacing w:after="0" w:line="52"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satisfaction and discharge or redemption of any outstanding Second Mortgage Notes;</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(10)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70" w:lineRule="exact"/>
        <w:rPr>
          <w:rFonts w:ascii="Arial" w:cs="Arial" w:eastAsia="Arial" w:hAnsi="Arial"/>
          <w:sz w:val="16"/>
          <w:szCs w:val="16"/>
          <w:color w:val="auto"/>
        </w:rPr>
      </w:pPr>
    </w:p>
    <w:p>
      <w:pPr>
        <w:ind w:left="460" w:right="420" w:firstLine="443"/>
        <w:spacing w:after="0" w:line="332" w:lineRule="auto"/>
        <w:tabs>
          <w:tab w:leader="none" w:pos="12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Restricted Subsidiary of Wynn Resorts, of amounts necessary to pay amounts then due and payable under the Tax Indemnification Agreement, as in effect on the date of the indenture.</w:t>
      </w:r>
    </w:p>
    <w:p>
      <w:pPr>
        <w:spacing w:after="0" w:line="7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77"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any Indebtedness (including Acquired Debt), or</w:t>
      </w:r>
    </w:p>
    <w:p>
      <w:pPr>
        <w:ind w:right="80" w:firstLine="8"/>
        <w:spacing w:after="0" w:line="261"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issue any Disqualified Stock. Notwithstanding the above, Wynn Las Vegas and its Restricted Subsidiaries may incur Indebtedness (including Acquired Debt), or issue Disqualified Stock, if:</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Phase I Opening Date has occurred; and</w:t>
      </w:r>
    </w:p>
    <w:p>
      <w:pPr>
        <w:spacing w:after="0" w:line="76" w:lineRule="exact"/>
        <w:rPr>
          <w:rFonts w:ascii="Arial" w:cs="Arial" w:eastAsia="Arial" w:hAnsi="Arial"/>
          <w:sz w:val="18"/>
          <w:szCs w:val="18"/>
          <w:color w:val="auto"/>
        </w:rPr>
      </w:pPr>
    </w:p>
    <w:p>
      <w:pPr>
        <w:ind w:left="460" w:right="300" w:firstLine="443"/>
        <w:spacing w:after="0" w:line="294" w:lineRule="auto"/>
        <w:tabs>
          <w:tab w:leader="none" w:pos="114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Fixed Charge Coverage Ratio of Wynn Las Vegas for Wynn Las Vegas’ most recently ended four full fiscal quarters following the Phase I Opening Date for which internal financial statements are available immediately preceding the date on which such additional Indebtedness is incurred or such Disqualified Stock is issued, as the case may be (the “</w:t>
      </w:r>
      <w:r>
        <w:rPr>
          <w:rFonts w:ascii="Arial" w:cs="Arial" w:eastAsia="Arial" w:hAnsi="Arial"/>
          <w:sz w:val="16"/>
          <w:szCs w:val="16"/>
          <w:i w:val="1"/>
          <w:iCs w:val="1"/>
          <w:color w:val="auto"/>
        </w:rPr>
        <w:t>Reference Period</w:t>
      </w:r>
      <w:r>
        <w:rPr>
          <w:rFonts w:ascii="Arial" w:cs="Arial" w:eastAsia="Arial" w:hAnsi="Arial"/>
          <w:sz w:val="16"/>
          <w:szCs w:val="16"/>
          <w:color w:val="auto"/>
        </w:rPr>
        <w:t>”),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00" w:lineRule="exact"/>
        <w:rPr>
          <w:sz w:val="20"/>
          <w:szCs w:val="20"/>
          <w:color w:val="auto"/>
        </w:rPr>
      </w:pPr>
    </w:p>
    <w:p>
      <w:pPr>
        <w:ind w:left="460" w:right="60" w:firstLine="443"/>
        <w:spacing w:after="0" w:line="256"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aggregate amount of all Net Proceeds of Assets Sales applied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 xml:space="preserve">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the Phase II Project Budget and the Phase II Plans and Specifications are not approved by a majority of the arrangers or a majority of the lenders under the Credit Agreement by June 30, 2005, then the amount of Indebtedness permitted to be incurred under the Credit Agreement pursuant to clause (i) above of this clause (1) shall be reduced by $550.0 million;</w:t>
      </w:r>
    </w:p>
    <w:p>
      <w:pPr>
        <w:spacing w:after="0" w:line="26" w:lineRule="exact"/>
        <w:rPr>
          <w:sz w:val="20"/>
          <w:szCs w:val="20"/>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76"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12"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37" w:lineRule="exact"/>
        <w:rPr>
          <w:rFonts w:ascii="Arial" w:cs="Arial" w:eastAsia="Arial" w:hAnsi="Arial"/>
          <w:sz w:val="18"/>
          <w:szCs w:val="18"/>
          <w:color w:val="auto"/>
        </w:rPr>
      </w:pPr>
    </w:p>
    <w:p>
      <w:pPr>
        <w:ind w:left="920" w:firstLine="421"/>
        <w:spacing w:after="0" w:line="255" w:lineRule="auto"/>
        <w:tabs>
          <w:tab w:leader="none" w:pos="1579"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48" w:lineRule="exact"/>
        <w:rPr>
          <w:rFonts w:ascii="Arial" w:cs="Arial" w:eastAsia="Arial" w:hAnsi="Arial"/>
          <w:sz w:val="18"/>
          <w:szCs w:val="18"/>
          <w:color w:val="auto"/>
        </w:rPr>
      </w:pPr>
    </w:p>
    <w:p>
      <w:pPr>
        <w:ind w:left="920" w:firstLine="421"/>
        <w:spacing w:after="0" w:line="298" w:lineRule="auto"/>
        <w:tabs>
          <w:tab w:leader="none" w:pos="1588" w:val="left"/>
        </w:tabs>
        <w:numPr>
          <w:ilvl w:val="1"/>
          <w:numId w:val="91"/>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99"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standby letters of credit, so long as such indebtedness is incurred in the ordinary course of business and the aggregate amount of all such bonds and standby letters of credit is not greater than $40.0 million at any time outstanding;</w:t>
      </w:r>
    </w:p>
    <w:p>
      <w:pPr>
        <w:spacing w:after="0" w:line="45" w:lineRule="exact"/>
        <w:rPr>
          <w:rFonts w:ascii="Arial" w:cs="Arial" w:eastAsia="Arial" w:hAnsi="Arial"/>
          <w:sz w:val="18"/>
          <w:szCs w:val="18"/>
          <w:color w:val="auto"/>
        </w:rPr>
      </w:pPr>
    </w:p>
    <w:p>
      <w:pPr>
        <w:ind w:left="460" w:right="140" w:firstLine="443"/>
        <w:spacing w:after="0" w:line="291"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25" w:lineRule="exact"/>
        <w:rPr>
          <w:rFonts w:ascii="Arial" w:cs="Arial" w:eastAsia="Arial" w:hAnsi="Arial"/>
          <w:sz w:val="16"/>
          <w:szCs w:val="16"/>
          <w:color w:val="auto"/>
        </w:rPr>
      </w:pPr>
    </w:p>
    <w:p>
      <w:pPr>
        <w:ind w:left="460" w:right="880" w:firstLine="443"/>
        <w:spacing w:after="0" w:line="268"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325" w:lineRule="auto"/>
        <w:rPr>
          <w:sz w:val="20"/>
          <w:szCs w:val="20"/>
          <w:color w:val="auto"/>
        </w:rPr>
      </w:pPr>
      <w:r>
        <w:rPr>
          <w:rFonts w:ascii="Arial" w:cs="Arial" w:eastAsia="Arial" w:hAnsi="Arial"/>
          <w:sz w:val="16"/>
          <w:szCs w:val="16"/>
          <w:color w:val="auto"/>
        </w:rPr>
        <w:t>replace, defease or discharge any Indebtedness incurred pursuant to this clause (8), not to exceed, at any time, 75% of the aggregate cost of the Phase III Project to the pay the costs and expenses of designing, developing and constructing the Phase III Project, so long as:</w:t>
      </w:r>
    </w:p>
    <w:p>
      <w:pPr>
        <w:spacing w:after="0" w:line="1" w:lineRule="exact"/>
        <w:rPr>
          <w:sz w:val="20"/>
          <w:szCs w:val="20"/>
          <w:color w:val="auto"/>
        </w:rPr>
      </w:pPr>
    </w:p>
    <w:p>
      <w:pPr>
        <w:ind w:left="1580" w:hanging="239"/>
        <w:spacing w:after="0"/>
        <w:tabs>
          <w:tab w:leader="none" w:pos="15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Phase II Opening Date has occurred;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76"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92"/>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debt does not exceed 6.5 times Consolidated EBITDA for the four full fiscal quarters immediately preceding the date of such incurrence.</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45" w:lineRule="exact"/>
        <w:rPr>
          <w:rFonts w:ascii="Arial" w:cs="Arial" w:eastAsia="Arial" w:hAnsi="Arial"/>
          <w:sz w:val="18"/>
          <w:szCs w:val="18"/>
          <w:color w:val="auto"/>
        </w:rPr>
      </w:pPr>
    </w:p>
    <w:p>
      <w:pPr>
        <w:ind w:left="460" w:right="260" w:firstLine="443"/>
        <w:spacing w:after="0" w:line="256" w:lineRule="auto"/>
        <w:tabs>
          <w:tab w:leader="none" w:pos="12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48" w:lineRule="exact"/>
        <w:rPr>
          <w:rFonts w:ascii="Arial" w:cs="Arial" w:eastAsia="Arial" w:hAnsi="Arial"/>
          <w:sz w:val="18"/>
          <w:szCs w:val="18"/>
          <w:color w:val="auto"/>
        </w:rPr>
      </w:pPr>
    </w:p>
    <w:p>
      <w:pPr>
        <w:ind w:left="1580" w:hanging="239"/>
        <w:spacing w:after="0"/>
        <w:tabs>
          <w:tab w:leader="none" w:pos="15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76" w:lineRule="exact"/>
        <w:rPr>
          <w:rFonts w:ascii="Arial" w:cs="Arial" w:eastAsia="Arial" w:hAnsi="Arial"/>
          <w:sz w:val="18"/>
          <w:szCs w:val="18"/>
          <w:color w:val="auto"/>
        </w:rPr>
      </w:pPr>
    </w:p>
    <w:p>
      <w:pPr>
        <w:ind w:left="920" w:right="60" w:firstLine="421"/>
        <w:spacing w:after="0" w:line="255" w:lineRule="auto"/>
        <w:tabs>
          <w:tab w:leader="none" w:pos="1588"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 Project Budget and the Phase II Project Budget, as applicable, which would otherwise be permitted to be paid by the applicable entity pursuant to the Disbursement Agreement and (2) if secured, are secured by Liens permitted by clause (22) of the definition of “Permitted Liens;”</w:t>
      </w:r>
    </w:p>
    <w:p>
      <w:pPr>
        <w:spacing w:after="0" w:line="48"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2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by the Issuers and the Guarantors of the notes issued on the date of the indenture in an aggregate principal amount of $1.3 billion and the new notes related thereto;</w:t>
      </w:r>
    </w:p>
    <w:p>
      <w:pPr>
        <w:spacing w:after="0" w:line="37" w:lineRule="exact"/>
        <w:rPr>
          <w:rFonts w:ascii="Arial" w:cs="Arial" w:eastAsia="Arial" w:hAnsi="Arial"/>
          <w:sz w:val="18"/>
          <w:szCs w:val="18"/>
          <w:color w:val="auto"/>
        </w:rPr>
      </w:pPr>
    </w:p>
    <w:p>
      <w:pPr>
        <w:ind w:left="460" w:right="460" w:firstLine="443"/>
        <w:spacing w:after="0" w:line="325" w:lineRule="auto"/>
        <w:tabs>
          <w:tab w:leader="none" w:pos="12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1" w:lineRule="exact"/>
        <w:rPr>
          <w:rFonts w:ascii="Arial" w:cs="Arial" w:eastAsia="Arial" w:hAnsi="Arial"/>
          <w:sz w:val="16"/>
          <w:szCs w:val="16"/>
          <w:color w:val="auto"/>
        </w:rPr>
      </w:pPr>
    </w:p>
    <w:p>
      <w:pPr>
        <w:ind w:left="460" w:right="20" w:firstLine="443"/>
        <w:spacing w:after="0" w:line="269" w:lineRule="auto"/>
        <w:tabs>
          <w:tab w:leader="none" w:pos="12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43"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now owned or hereafter acquired, or on any proceeds, income or profits therefrom or assign or convey any right to receive income therefrom, except Permitted Liens.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37" w:lineRule="exact"/>
        <w:rPr>
          <w:sz w:val="20"/>
          <w:szCs w:val="20"/>
          <w:color w:val="auto"/>
        </w:rPr>
      </w:pPr>
    </w:p>
    <w:p>
      <w:pPr>
        <w:ind w:left="460" w:right="40" w:firstLine="443"/>
        <w:spacing w:after="0" w:line="325"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77" w:lineRule="exact"/>
        <w:rPr>
          <w:sz w:val="20"/>
          <w:szCs w:val="20"/>
          <w:color w:val="auto"/>
        </w:rPr>
      </w:pPr>
    </w:p>
    <w:p>
      <w:pPr>
        <w:ind w:left="5580" w:right="5020" w:hanging="4677"/>
        <w:spacing w:after="0" w:line="576" w:lineRule="auto"/>
        <w:tabs>
          <w:tab w:leader="none" w:pos="1149"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notes, the indenture, the Note Guarantees or the Collateral Documents; 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37"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21" w:lineRule="exact"/>
        <w:rPr>
          <w:rFonts w:ascii="Arial" w:cs="Arial" w:eastAsia="Arial" w:hAnsi="Arial"/>
          <w:sz w:val="16"/>
          <w:szCs w:val="16"/>
          <w:color w:val="auto"/>
        </w:rPr>
      </w:pPr>
    </w:p>
    <w:p>
      <w:pPr>
        <w:ind w:left="460" w:right="80" w:firstLine="443"/>
        <w:spacing w:after="0" w:line="331" w:lineRule="auto"/>
        <w:tabs>
          <w:tab w:leader="none" w:pos="1147"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2" w:lineRule="exact"/>
        <w:rPr>
          <w:rFonts w:ascii="Arial" w:cs="Arial" w:eastAsia="Arial" w:hAnsi="Arial"/>
          <w:sz w:val="15"/>
          <w:szCs w:val="15"/>
          <w:color w:val="auto"/>
        </w:rPr>
      </w:pPr>
    </w:p>
    <w:p>
      <w:pPr>
        <w:ind w:left="460" w:right="40" w:firstLine="443"/>
        <w:spacing w:after="0" w:line="259"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covenant described above under the caption “—Incurrence of Indebtedness and Issuance of Disqualified Stock” that impose restrictions of the type described in clause (3) of the first paragraph of this covenant on the assets so acquired;</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37" w:lineRule="exact"/>
        <w:rPr>
          <w:rFonts w:ascii="Arial" w:cs="Arial" w:eastAsia="Arial" w:hAnsi="Arial"/>
          <w:sz w:val="18"/>
          <w:szCs w:val="18"/>
          <w:color w:val="auto"/>
        </w:rPr>
      </w:pPr>
    </w:p>
    <w:p>
      <w:pPr>
        <w:ind w:left="460" w:right="460" w:firstLine="443"/>
        <w:spacing w:after="0" w:line="259"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Disqualified Stock,” that limit the right of the debtor to dispose of the assets subject to such Liens; or</w:t>
      </w:r>
    </w:p>
    <w:p>
      <w:pPr>
        <w:spacing w:after="0" w:line="45" w:lineRule="exact"/>
        <w:rPr>
          <w:rFonts w:ascii="Arial" w:cs="Arial" w:eastAsia="Arial" w:hAnsi="Arial"/>
          <w:sz w:val="18"/>
          <w:szCs w:val="18"/>
          <w:color w:val="auto"/>
        </w:rPr>
      </w:pPr>
    </w:p>
    <w:p>
      <w:pPr>
        <w:ind w:left="460" w:right="360" w:firstLine="443"/>
        <w:spacing w:after="0" w:line="332" w:lineRule="auto"/>
        <w:tabs>
          <w:tab w:leader="none" w:pos="11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77" w:lineRule="exact"/>
        <w:rPr>
          <w:sz w:val="20"/>
          <w:szCs w:val="20"/>
          <w:color w:val="auto"/>
        </w:rPr>
      </w:pPr>
    </w:p>
    <w:p>
      <w:pPr>
        <w:ind w:right="20" w:firstLine="456"/>
        <w:spacing w:after="0" w:line="325"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1" w:lineRule="exact"/>
        <w:rPr>
          <w:sz w:val="20"/>
          <w:szCs w:val="20"/>
          <w:color w:val="auto"/>
        </w:rPr>
      </w:pPr>
    </w:p>
    <w:p>
      <w:pPr>
        <w:ind w:left="460" w:right="120" w:firstLine="443"/>
        <w:spacing w:after="0" w:line="259"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45"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76"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37"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45"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99"/>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w:t>
      </w:r>
    </w:p>
    <w:p>
      <w:pPr>
        <w:spacing w:after="0" w:line="48"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12" w:lineRule="exact"/>
        <w:rPr>
          <w:sz w:val="20"/>
          <w:szCs w:val="20"/>
          <w:color w:val="auto"/>
        </w:rPr>
      </w:pPr>
    </w:p>
    <w:p>
      <w:pPr>
        <w:ind w:left="460" w:firstLine="443"/>
        <w:spacing w:after="0" w:line="325"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Affiliate Transaction is on terms that are no less favorable to Wynn Las Vegas or the relevant Restricted Subsidiary than those that would have been obtained in a comparable transaction by Wynn Las Vegas or such Restricted Subsidiary with an unrelated Person;</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76"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w:t>
      </w:r>
    </w:p>
    <w:p>
      <w:pPr>
        <w:spacing w:after="0" w:line="18"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12" w:lineRule="exact"/>
        <w:rPr>
          <w:rFonts w:ascii="Arial" w:cs="Arial" w:eastAsia="Arial" w:hAnsi="Arial"/>
          <w:sz w:val="16"/>
          <w:szCs w:val="16"/>
          <w:color w:val="auto"/>
        </w:rPr>
      </w:pPr>
    </w:p>
    <w:p>
      <w:pPr>
        <w:ind w:left="460" w:right="200" w:firstLine="443"/>
        <w:spacing w:after="0" w:line="256"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00" w:lineRule="exact"/>
        <w:rPr>
          <w:sz w:val="20"/>
          <w:szCs w:val="20"/>
          <w:color w:val="auto"/>
        </w:rPr>
      </w:pPr>
    </w:p>
    <w:p>
      <w:pPr>
        <w:ind w:left="460" w:right="4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37" w:lineRule="exact"/>
        <w:rPr>
          <w:rFonts w:ascii="Arial" w:cs="Arial" w:eastAsia="Arial" w:hAnsi="Arial"/>
          <w:sz w:val="18"/>
          <w:szCs w:val="18"/>
          <w:color w:val="auto"/>
        </w:rPr>
      </w:pPr>
    </w:p>
    <w:p>
      <w:pPr>
        <w:ind w:left="460" w:right="220" w:firstLine="443"/>
        <w:spacing w:after="0" w:line="325" w:lineRule="auto"/>
        <w:tabs>
          <w:tab w:leader="none" w:pos="114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Resorts, Wynn Capital or any Guarantor, and customary indemnification and insurance arrangements in favor of such directors or managers, in each case in the ordinary course of business;</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76"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37" w:lineRule="exact"/>
        <w:rPr>
          <w:rFonts w:ascii="Arial" w:cs="Arial" w:eastAsia="Arial" w:hAnsi="Arial"/>
          <w:sz w:val="18"/>
          <w:szCs w:val="18"/>
          <w:color w:val="auto"/>
        </w:rPr>
      </w:pPr>
    </w:p>
    <w:p>
      <w:pPr>
        <w:ind w:left="460" w:firstLine="443"/>
        <w:spacing w:after="0" w:line="370" w:lineRule="auto"/>
        <w:tabs>
          <w:tab w:leader="none" w:pos="114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60" w:firstLine="443"/>
        <w:spacing w:after="0" w:line="331" w:lineRule="auto"/>
        <w:tabs>
          <w:tab w:leader="none" w:pos="114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 the payment, on or after the Budgeted Overhead Final Payment Date, of Allocable Overhead to Wynn Resorts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2" w:lineRule="exact"/>
        <w:rPr>
          <w:rFonts w:ascii="Arial" w:cs="Arial" w:eastAsia="Arial" w:hAnsi="Arial"/>
          <w:sz w:val="15"/>
          <w:szCs w:val="15"/>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w:t>
      </w:r>
    </w:p>
    <w:p>
      <w:pPr>
        <w:spacing w:after="0" w:line="76"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to any Affiliate if such issuance is otherwise not in contravention of the terms of the indenture; and</w:t>
      </w:r>
    </w:p>
    <w:p>
      <w:pPr>
        <w:spacing w:after="0" w:line="37"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issuance by Wynn Las Vegas of notes, in connection with the issuance of the initial $1.3 billion of notes under the indenture and the issuance of the Guarantees by the Guarantors, to any Affiliate if such issuance is otherwise not in contravention of the terms of the indenture and is on terms that are no less favorable to Wynn Las Vegas and the Guarantors than those that could have been obtained in a comparable transaction by Wynn Las Vegas and the Guarantors with an unrelated Person.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Domestic Subsidiary that constitutes an Immaterial Subsidiary need not become a Guarantor until such time as it ceases to be an Immaterial Subsidiary.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construct the Phase I Project and, if the Phase II Budget and the Phase II Plans and Specifications are approved by June 30, 2005, the Phase II Project, including the furnishing, fixturing and equipping of the Phase I Project and, if applicable, the Phase II Project, with diligence and continuity in a good and workmanlike manner substantially in accordance with the Phase I Plans and Specifications or the Phase II Plans and Specifications, as applicable.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Use of Proceeds</w:t>
      </w:r>
    </w:p>
    <w:p>
      <w:pPr>
        <w:spacing w:after="0" w:line="77" w:lineRule="exact"/>
        <w:rPr>
          <w:sz w:val="20"/>
          <w:szCs w:val="20"/>
          <w:color w:val="auto"/>
        </w:rPr>
      </w:pPr>
    </w:p>
    <w:p>
      <w:pPr>
        <w:ind w:right="260" w:firstLine="456"/>
        <w:spacing w:after="0" w:line="289" w:lineRule="auto"/>
        <w:rPr>
          <w:sz w:val="20"/>
          <w:szCs w:val="20"/>
          <w:color w:val="auto"/>
        </w:rPr>
      </w:pPr>
      <w:r>
        <w:rPr>
          <w:rFonts w:ascii="Arial" w:cs="Arial" w:eastAsia="Arial" w:hAnsi="Arial"/>
          <w:sz w:val="16"/>
          <w:szCs w:val="16"/>
          <w:color w:val="auto"/>
        </w:rPr>
        <w:t>Wynn Las Vegas deposited all of the remaining net proceeds of the offering of the old notes into the Secured Account after (i) paying the costs and expenses of a tender offer and consent solicitation for the Second Mortgage Notes (including principal, accrued interest and tender offer premium and consent payments net of interest reserve amounts on such Second Mortgage Notes), (ii) repaying the outstanding aggregate balance ($143.4 million) of the land loan encumbering the Phase II Land (net of interest reserve amounts on such land loan), (iii) repaying the outstanding aggregate balance (expected to be $472.4 million at December 14, 2004) under Wynn Las Vegas’ existing $1.05 billion senior secured credit facility, (iv) repaying the outstanding aggregate balance (expected to be $70.3 million at December 14, 2004) under Wynn Las Vegas’ existing $198.5 million FF&amp;E Facility and (v) the costs and expenses of the foregoing. The funds in the Secured Account must be invested solely in Permitted Securities. All funds in the Secured Account will be disbursed only in accordance with the Secured Account Agreement and the Disbursement Agreement.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Wynn Las Vegas will not, and will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46" w:lineRule="exact"/>
        <w:rPr>
          <w:sz w:val="20"/>
          <w:szCs w:val="20"/>
          <w:color w:val="auto"/>
        </w:rPr>
      </w:pPr>
    </w:p>
    <w:p>
      <w:pPr>
        <w:ind w:left="460" w:right="14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18"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45"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77" w:lineRule="exact"/>
        <w:rPr>
          <w:sz w:val="20"/>
          <w:szCs w:val="20"/>
          <w:color w:val="auto"/>
        </w:rPr>
      </w:pPr>
    </w:p>
    <w:p>
      <w:pPr>
        <w:ind w:firstLine="456"/>
        <w:spacing w:after="0" w:line="325" w:lineRule="auto"/>
        <w:rPr>
          <w:sz w:val="20"/>
          <w:szCs w:val="20"/>
          <w:color w:val="auto"/>
        </w:rPr>
      </w:pPr>
      <w:r>
        <w:rPr>
          <w:rFonts w:ascii="Arial" w:cs="Arial" w:eastAsia="Arial" w:hAnsi="Arial"/>
          <w:sz w:val="16"/>
          <w:szCs w:val="16"/>
          <w:color w:val="auto"/>
        </w:rPr>
        <w:t>Wynn Las Vegas will not, and will not permit any of its Subsidiaries to, at any time prior to the date on which the security interests in all of the Golf Course Land are released in accordance with the covenant described above under the caption “—Security—Release of Golf Course Land”:</w:t>
      </w:r>
    </w:p>
    <w:p>
      <w:pPr>
        <w:spacing w:after="0" w:line="1" w:lineRule="exact"/>
        <w:rPr>
          <w:sz w:val="20"/>
          <w:szCs w:val="20"/>
          <w:color w:val="auto"/>
        </w:rPr>
      </w:pPr>
    </w:p>
    <w:p>
      <w:pPr>
        <w:ind w:left="460" w:right="24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incur any Indebtedness, the proceeds of which are expected to be used, or are used, for the construction, development or improvement of the Golf Course Land; provided, however,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77" w:lineRule="exact"/>
        <w:rPr>
          <w:sz w:val="20"/>
          <w:szCs w:val="20"/>
          <w:color w:val="auto"/>
        </w:rPr>
      </w:pPr>
    </w:p>
    <w:p>
      <w:pPr>
        <w:ind w:left="460" w:right="6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develop and construct the 18-hole championship golf course as contemplated by the Golf Course Lease and the Plans and Specifications prior to the Phase I Final Completion Date,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or repair such golf course on the Golf Course Land,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improvements to such golf course that enhance its use as a golf course for the benefit of the Projects,</w:t>
      </w:r>
    </w:p>
    <w:p>
      <w:pPr>
        <w:spacing w:after="0" w:line="76"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portions of the Golf Course Land in accordance with the provisions set forth under the captions “—Security Interests—Release of Homesite Acreage” and “—Security Interests—Release of Portions of the Golf Course Land.”</w:t>
      </w:r>
    </w:p>
    <w:p>
      <w:pPr>
        <w:spacing w:after="0" w:line="45" w:lineRule="exact"/>
        <w:rPr>
          <w:rFonts w:ascii="Arial" w:cs="Arial" w:eastAsia="Arial" w:hAnsi="Arial"/>
          <w:sz w:val="18"/>
          <w:szCs w:val="18"/>
          <w:color w:val="auto"/>
        </w:rPr>
      </w:pPr>
    </w:p>
    <w:p>
      <w:pPr>
        <w:ind w:left="460" w:right="440" w:firstLine="443"/>
        <w:spacing w:after="0" w:line="347" w:lineRule="auto"/>
        <w:tabs>
          <w:tab w:leader="none" w:pos="114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ind w:left="460" w:right="50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76"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77" w:lineRule="exact"/>
        <w:rPr>
          <w:sz w:val="20"/>
          <w:szCs w:val="20"/>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76" w:lineRule="exact"/>
        <w:rPr>
          <w:rFonts w:ascii="Arial" w:cs="Arial" w:eastAsia="Arial" w:hAnsi="Arial"/>
          <w:sz w:val="18"/>
          <w:szCs w:val="18"/>
          <w:color w:val="auto"/>
        </w:rPr>
      </w:pPr>
    </w:p>
    <w:p>
      <w:pPr>
        <w:ind w:left="920" w:firstLine="421"/>
        <w:spacing w:after="0" w:line="298" w:lineRule="auto"/>
        <w:tabs>
          <w:tab w:leader="none" w:pos="157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8" w:lineRule="exact"/>
        <w:rPr>
          <w:rFonts w:ascii="Arial" w:cs="Arial" w:eastAsia="Arial" w:hAnsi="Arial"/>
          <w:sz w:val="16"/>
          <w:szCs w:val="16"/>
          <w:color w:val="auto"/>
        </w:rPr>
      </w:pPr>
    </w:p>
    <w:p>
      <w:pPr>
        <w:ind w:left="920" w:right="300" w:firstLine="421"/>
        <w:spacing w:after="0" w:line="268" w:lineRule="auto"/>
        <w:tabs>
          <w:tab w:leader="none" w:pos="15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will occur as a result thereof;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 and the Management Fees Subordination Agreement.</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46" w:lineRule="exact"/>
        <w:rPr>
          <w:sz w:val="20"/>
          <w:szCs w:val="20"/>
          <w:color w:val="auto"/>
        </w:rPr>
      </w:pPr>
    </w:p>
    <w:p>
      <w:pPr>
        <w:ind w:left="1160" w:hanging="257"/>
        <w:spacing w:after="0"/>
        <w:tabs>
          <w:tab w:leader="none" w:pos="11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99"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or prior to the Phase I Final Completion Date, except as contemplated by the Disbursement Agreement, Wynn Las Vegas will not, and will not permit any of its Restricted Subsidiaries to, amend, modify, waive or otherwise change, or consent or agree to any amendment, modification, waiver or other change to, or otherwise fail to enforce, or terminate or abandon, any of the provisions of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have a material adverse affect on the ability of Wynn Las Vegas or any of its Restricted Subsidiaries to develop, construct or operate the Phase I Project.</w:t>
      </w:r>
    </w:p>
    <w:p>
      <w:pPr>
        <w:spacing w:after="0" w:line="105"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 w:lineRule="exact"/>
        <w:rPr>
          <w:sz w:val="20"/>
          <w:szCs w:val="20"/>
          <w:color w:val="auto"/>
        </w:rPr>
      </w:pPr>
    </w:p>
    <w:p>
      <w:pPr>
        <w:ind w:left="460" w:right="16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37"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w:t>
      </w:r>
    </w:p>
    <w:p>
      <w:pPr>
        <w:spacing w:after="0" w:line="77"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dissolve,</w:t>
      </w:r>
    </w:p>
    <w:p>
      <w:pPr>
        <w:spacing w:after="0" w:line="76"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18"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130"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18" w:lineRule="exact"/>
        <w:rPr>
          <w:sz w:val="20"/>
          <w:szCs w:val="20"/>
          <w:color w:val="auto"/>
        </w:rPr>
      </w:pPr>
    </w:p>
    <w:p>
      <w:pPr>
        <w:ind w:left="460" w:right="24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 supplemental indenture in the form of Annex I to the indenture; or</w:t>
      </w:r>
    </w:p>
    <w:p>
      <w:pPr>
        <w:spacing w:after="0" w:line="46" w:lineRule="exact"/>
        <w:rPr>
          <w:sz w:val="20"/>
          <w:szCs w:val="20"/>
          <w:color w:val="auto"/>
        </w:rPr>
      </w:pPr>
    </w:p>
    <w:p>
      <w:pPr>
        <w:ind w:left="460" w:right="100" w:firstLine="443"/>
        <w:spacing w:after="0" w:line="294" w:lineRule="auto"/>
        <w:tabs>
          <w:tab w:leader="none" w:pos="114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21" w:lineRule="exact"/>
        <w:rPr>
          <w:sz w:val="20"/>
          <w:szCs w:val="20"/>
          <w:color w:val="auto"/>
        </w:rPr>
      </w:pPr>
    </w:p>
    <w:p>
      <w:pPr>
        <w:ind w:left="460" w:firstLine="443"/>
        <w:spacing w:after="0" w:line="256"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 (a) an assumption agreement to the Security Agreement (under which such Restricted Subsidiary or subchapter “C” corporation will grant a security interest to the trustee in those of its assets described in the Security Agreement), and (b) such Uniform Commercial Code financing statements as are necessary to perfect the trustee’s security interest in such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45" w:lineRule="exact"/>
        <w:rPr>
          <w:rFonts w:ascii="Arial" w:cs="Arial" w:eastAsia="Arial" w:hAnsi="Arial"/>
          <w:sz w:val="18"/>
          <w:szCs w:val="18"/>
          <w:color w:val="auto"/>
        </w:rPr>
      </w:pPr>
    </w:p>
    <w:p>
      <w:pPr>
        <w:ind w:left="920" w:right="140" w:firstLine="421"/>
        <w:spacing w:after="0" w:line="259"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collateral agent in such real property and any related fixtures);</w:t>
      </w:r>
    </w:p>
    <w:p>
      <w:pPr>
        <w:spacing w:after="0" w:line="45"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37"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48"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45"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At any time other than during any Collateral Release Period, and concurrently with the acquisition by Wynn Las Vegas or any of its Restricted Subsidiaries of any assets or property (other than a Subsidiary of Wynn Las Vegas), to the extent not prohibited by Gaming Authorities or applicable Gaming Laws and subject to the Intercreditor Agreement, Wynn Las Vegas will, and will cause its Restricted Subsidiaries to, cause the applicable entity to:</w:t>
      </w:r>
    </w:p>
    <w:p>
      <w:pPr>
        <w:spacing w:after="0" w:line="12" w:lineRule="exact"/>
        <w:rPr>
          <w:sz w:val="20"/>
          <w:szCs w:val="20"/>
          <w:color w:val="auto"/>
        </w:rPr>
      </w:pPr>
    </w:p>
    <w:p>
      <w:pPr>
        <w:ind w:left="460" w:right="180" w:firstLine="443"/>
        <w:spacing w:after="0" w:line="306" w:lineRule="auto"/>
        <w:tabs>
          <w:tab w:leader="none" w:pos="11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collateral agent, desirable to perfect and protect the trustee’s security interest in such assets or property;</w:t>
      </w:r>
    </w:p>
    <w:p>
      <w:pPr>
        <w:spacing w:after="0" w:line="12"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37"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collateral agent in such real property and any related fixtures),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title and extended coverage insurance covering such real property in an amount at least equal to the purchase price of such real property;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70" w:lineRule="exact"/>
        <w:rPr>
          <w:sz w:val="20"/>
          <w:szCs w:val="20"/>
          <w:color w:val="auto"/>
        </w:rPr>
      </w:pPr>
    </w:p>
    <w:p>
      <w:pPr>
        <w:ind w:left="460" w:right="20" w:firstLine="443"/>
        <w:spacing w:after="0" w:line="306"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77" w:lineRule="exact"/>
        <w:rPr>
          <w:sz w:val="20"/>
          <w:szCs w:val="20"/>
          <w:color w:val="auto"/>
        </w:rPr>
      </w:pPr>
    </w:p>
    <w:p>
      <w:pPr>
        <w:ind w:right="500" w:firstLine="456"/>
        <w:spacing w:after="0" w:line="325"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1"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37"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77"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Securities,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77" w:lineRule="exact"/>
        <w:rPr>
          <w:sz w:val="20"/>
          <w:szCs w:val="20"/>
          <w:color w:val="auto"/>
        </w:rPr>
      </w:pPr>
    </w:p>
    <w:p>
      <w:pPr>
        <w:ind w:right="320" w:firstLine="456"/>
        <w:spacing w:after="0" w:line="325" w:lineRule="auto"/>
        <w:rPr>
          <w:sz w:val="20"/>
          <w:szCs w:val="20"/>
          <w:color w:val="auto"/>
        </w:rPr>
      </w:pPr>
      <w:r>
        <w:rPr>
          <w:rFonts w:ascii="Arial" w:cs="Arial" w:eastAsia="Arial" w:hAnsi="Arial"/>
          <w:sz w:val="16"/>
          <w:szCs w:val="16"/>
          <w:color w:val="auto"/>
        </w:rPr>
        <w:t>Whether or not required by the rules and regulations of the Commission, so long as any notes are outstanding, the Issuers will furnish to the Holders of notes or cause the trustee to furnish to the Holders of notes, within the time periods specified in the Commission’s rules and regulations:</w:t>
      </w:r>
    </w:p>
    <w:p>
      <w:pPr>
        <w:spacing w:after="0" w:line="1" w:lineRule="exact"/>
        <w:rPr>
          <w:sz w:val="20"/>
          <w:szCs w:val="20"/>
          <w:color w:val="auto"/>
        </w:rPr>
      </w:pPr>
    </w:p>
    <w:p>
      <w:pPr>
        <w:ind w:left="460" w:right="260" w:firstLine="443"/>
        <w:spacing w:after="0" w:line="306" w:lineRule="auto"/>
        <w:tabs>
          <w:tab w:leader="none" w:pos="114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all quarterly and annual reports that would be required to be filed with the Commission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all current reports that would be required to be filed with the Commission on Form 8-K if the Issuers were required to file such reports.</w:t>
      </w:r>
    </w:p>
    <w:p>
      <w:pPr>
        <w:spacing w:after="0" w:line="18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following the consummation of the exchange offer contemplated by the registration rights agreement, Wynn Las Vegas will file a copy of each of the reports referred to in clauses (1) and (2) above with the Commission for public availability within the time periods specified in the rules and regulations applicable to such reports (unless the Commission will not accept such a filing) and will post the reports on its website within those time periods.</w:t>
      </w:r>
    </w:p>
    <w:p>
      <w:pPr>
        <w:spacing w:after="0" w:line="10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If, at any time after consummation of the exchange offer contemplated by the registration rights agreement, Wynn Las Vegas is no longer subject to the periodic reporting requirements of the Exchange Act for any reason, Wynn Las Vegas will nevertheless continue filing the reports specified in the preceding paragraph of this covenant with the Commission within the time periods specified above unless the Commission will not accept such a filing. Wynn Las Vegas will not take any action for the purpose of causing the Commission not to accept any such filings. If, notwithstanding the foregoing, the Commission will not accept Wynn Las Vegas’ filings for any reason, Wynn Las Vegas will post the reports referred to in the preceding paragraphs on its website within the time periods that would apply if Wynn Las Vegas were required to file those reports with the Commission.</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the Issuers and the Guarantors agree that, for so long as any notes remain outstanding, if at any time they are not required to file with the Commission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77"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76" w:lineRule="exact"/>
        <w:rPr>
          <w:rFonts w:ascii="Arial" w:cs="Arial" w:eastAsia="Arial" w:hAnsi="Arial"/>
          <w:sz w:val="18"/>
          <w:szCs w:val="18"/>
          <w:color w:val="auto"/>
        </w:rPr>
      </w:pPr>
    </w:p>
    <w:p>
      <w:pPr>
        <w:ind w:left="920" w:right="40" w:firstLine="421"/>
        <w:spacing w:after="0" w:line="259" w:lineRule="auto"/>
        <w:tabs>
          <w:tab w:leader="none" w:pos="15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45" w:lineRule="exact"/>
        <w:rPr>
          <w:rFonts w:ascii="Arial" w:cs="Arial" w:eastAsia="Arial" w:hAnsi="Arial"/>
          <w:sz w:val="18"/>
          <w:szCs w:val="18"/>
          <w:color w:val="auto"/>
        </w:rPr>
      </w:pPr>
    </w:p>
    <w:p>
      <w:pPr>
        <w:ind w:left="920" w:right="540" w:firstLine="421"/>
        <w:spacing w:after="0" w:line="332" w:lineRule="auto"/>
        <w:tabs>
          <w:tab w:leader="none" w:pos="158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48" w:lineRule="exact"/>
        <w:rPr>
          <w:rFonts w:ascii="Arial" w:cs="Arial" w:eastAsia="Arial" w:hAnsi="Arial"/>
          <w:sz w:val="18"/>
          <w:szCs w:val="18"/>
          <w:color w:val="auto"/>
        </w:rPr>
      </w:pPr>
    </w:p>
    <w:p>
      <w:pPr>
        <w:ind w:left="460" w:right="120" w:firstLine="443"/>
        <w:spacing w:after="0" w:line="306"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now exists, or is created after the date of the indenture, if that default:</w:t>
      </w:r>
    </w:p>
    <w:p>
      <w:pPr>
        <w:spacing w:after="0" w:line="12"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77" w:lineRule="exact"/>
        <w:rPr>
          <w:sz w:val="20"/>
          <w:szCs w:val="20"/>
          <w:color w:val="auto"/>
        </w:rPr>
      </w:pPr>
    </w:p>
    <w:p>
      <w:pPr>
        <w:ind w:left="920" w:right="280"/>
        <w:spacing w:after="0" w:line="325" w:lineRule="auto"/>
        <w:rPr>
          <w:sz w:val="20"/>
          <w:szCs w:val="20"/>
          <w:color w:val="auto"/>
        </w:rPr>
      </w:pPr>
      <w:r>
        <w:rPr>
          <w:rFonts w:ascii="Arial" w:cs="Arial" w:eastAsia="Arial" w:hAnsi="Arial"/>
          <w:sz w:val="16"/>
          <w:szCs w:val="16"/>
          <w:color w:val="auto"/>
        </w:rPr>
        <w:t>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 w:lineRule="exact"/>
        <w:rPr>
          <w:sz w:val="20"/>
          <w:szCs w:val="20"/>
          <w:color w:val="auto"/>
        </w:rPr>
      </w:pPr>
    </w:p>
    <w:p>
      <w:pPr>
        <w:ind w:left="460" w:right="8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45"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48"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21" w:lineRule="exact"/>
        <w:rPr>
          <w:rFonts w:ascii="Arial" w:cs="Arial" w:eastAsia="Arial" w:hAnsi="Arial"/>
          <w:sz w:val="16"/>
          <w:szCs w:val="16"/>
          <w:color w:val="auto"/>
        </w:rPr>
      </w:pPr>
    </w:p>
    <w:p>
      <w:pPr>
        <w:ind w:left="460" w:right="100" w:firstLine="443"/>
        <w:spacing w:after="0" w:line="298" w:lineRule="auto"/>
        <w:tabs>
          <w:tab w:leader="none" w:pos="123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except as expressly permitted therein or by the indenture, the Completion Guarantee, the Phase I Construction Contract Guarantee or any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Guarantee;</w:t>
      </w:r>
    </w:p>
    <w:p>
      <w:pPr>
        <w:spacing w:after="0" w:line="18" w:lineRule="exact"/>
        <w:rPr>
          <w:rFonts w:ascii="Arial" w:cs="Arial" w:eastAsia="Arial" w:hAnsi="Arial"/>
          <w:sz w:val="16"/>
          <w:szCs w:val="16"/>
          <w:color w:val="auto"/>
        </w:rPr>
      </w:pPr>
    </w:p>
    <w:p>
      <w:pPr>
        <w:ind w:left="460" w:firstLine="443"/>
        <w:spacing w:after="0" w:line="259" w:lineRule="auto"/>
        <w:tabs>
          <w:tab w:leader="none" w:pos="12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Phase I Project has not achieved Phase I Completion on or before the Phase I Outside Completion Deadline;</w:t>
      </w:r>
    </w:p>
    <w:p>
      <w:pPr>
        <w:spacing w:after="0" w:line="76" w:lineRule="exact"/>
        <w:rPr>
          <w:rFonts w:ascii="Arial" w:cs="Arial" w:eastAsia="Arial" w:hAnsi="Arial"/>
          <w:sz w:val="18"/>
          <w:szCs w:val="18"/>
          <w:color w:val="auto"/>
        </w:rPr>
      </w:pPr>
    </w:p>
    <w:p>
      <w:pPr>
        <w:ind w:left="460" w:right="160" w:firstLine="443"/>
        <w:spacing w:after="0" w:line="325" w:lineRule="auto"/>
        <w:tabs>
          <w:tab w:leader="none" w:pos="123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after the Phase I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 w:lineRule="exact"/>
        <w:rPr>
          <w:rFonts w:ascii="Arial" w:cs="Arial" w:eastAsia="Arial" w:hAnsi="Arial"/>
          <w:sz w:val="16"/>
          <w:szCs w:val="16"/>
          <w:color w:val="auto"/>
        </w:rPr>
      </w:pPr>
    </w:p>
    <w:p>
      <w:pPr>
        <w:ind w:left="460" w:firstLine="443"/>
        <w:spacing w:after="0" w:line="268" w:lineRule="auto"/>
        <w:tabs>
          <w:tab w:leader="none" w:pos="12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through one or more Wholly Owned Subsidiaries, 100% of the issued and outstanding Equity Interests of Wynn Capital.</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99"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84"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18" w:lineRule="exact"/>
        <w:rPr>
          <w:sz w:val="20"/>
          <w:szCs w:val="20"/>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99" w:lineRule="exact"/>
        <w:rPr>
          <w:rFonts w:ascii="Arial" w:cs="Arial" w:eastAsia="Arial" w:hAnsi="Arial"/>
          <w:sz w:val="16"/>
          <w:szCs w:val="16"/>
          <w:color w:val="auto"/>
        </w:rPr>
      </w:pPr>
    </w:p>
    <w:p>
      <w:pPr>
        <w:ind w:left="460" w:right="34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9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7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 Nevada Public Utility Commission Limitations on Foreclosure.”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77"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50" w:lineRule="exact"/>
        <w:rPr>
          <w:sz w:val="20"/>
          <w:szCs w:val="20"/>
          <w:color w:val="auto"/>
        </w:rPr>
      </w:pPr>
    </w:p>
    <w:p>
      <w:pPr>
        <w:ind w:left="460" w:right="120" w:firstLine="443"/>
        <w:spacing w:after="0" w:line="347" w:lineRule="auto"/>
        <w:tabs>
          <w:tab w:leader="none" w:pos="1147" w:val="left"/>
        </w:tabs>
        <w:numPr>
          <w:ilvl w:val="0"/>
          <w:numId w:val="123"/>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37"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72"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Intercreditor Agreement will impose restrictions on the exercise of rights and remedies by the noteholders with respect to the Collateral. See “Intercreditor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Notes—Bankruptcy laws may significantly impair your creditors’ rights to repossess and dispose of collateral securing the notes,” “—In the event that a bankruptcy court orders the substantive consolidation of Wynn Las Vegas and Wynn Capital with certain affiliated parties, payments on the notes could be delayed or reduced” and “—Contract rights under agreements serving as collateral for the notes may be rejected in bankruptcy.”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7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9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3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No director, manager, officer, employee, incorporator, organizer, member or stockholder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46" w:lineRule="exact"/>
        <w:rPr>
          <w:sz w:val="20"/>
          <w:szCs w:val="20"/>
          <w:color w:val="auto"/>
        </w:rPr>
      </w:pPr>
    </w:p>
    <w:p>
      <w:pPr>
        <w:ind w:left="460" w:right="26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firstLine="443"/>
        <w:spacing w:after="0" w:line="325"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5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77" w:lineRule="exact"/>
        <w:rPr>
          <w:sz w:val="20"/>
          <w:szCs w:val="20"/>
          <w:color w:val="auto"/>
        </w:rPr>
      </w:pPr>
    </w:p>
    <w:p>
      <w:pPr>
        <w:ind w:left="460" w:right="20" w:firstLine="443"/>
        <w:spacing w:after="0" w:line="294" w:lineRule="auto"/>
        <w:tabs>
          <w:tab w:leader="none" w:pos="1147"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20" w:firstLine="4"/>
        <w:spacing w:after="0" w:line="320" w:lineRule="auto"/>
        <w:tabs>
          <w:tab w:leader="none" w:pos="699"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Issuers have received from, or there has been published by, the Internal Revenue Service a ruling or (b) since the date of the indenture, there has been a change in the applicable United States federal income tax law, in either case to the effect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5" w:lineRule="exact"/>
        <w:rPr>
          <w:rFonts w:ascii="Arial" w:cs="Arial" w:eastAsia="Arial" w:hAnsi="Arial"/>
          <w:sz w:val="15"/>
          <w:szCs w:val="15"/>
          <w:color w:val="auto"/>
        </w:rPr>
      </w:pPr>
    </w:p>
    <w:p>
      <w:pPr>
        <w:jc w:val="both"/>
        <w:ind w:left="460" w:firstLine="443"/>
        <w:spacing w:after="0" w:line="256"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460" w:right="20" w:firstLine="443"/>
        <w:spacing w:after="0" w:line="256"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48"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45" w:lineRule="exact"/>
        <w:rPr>
          <w:rFonts w:ascii="Arial" w:cs="Arial" w:eastAsia="Arial" w:hAnsi="Arial"/>
          <w:sz w:val="18"/>
          <w:szCs w:val="18"/>
          <w:color w:val="auto"/>
        </w:rPr>
      </w:pPr>
    </w:p>
    <w:p>
      <w:pPr>
        <w:ind w:left="460" w:right="740" w:firstLine="443"/>
        <w:spacing w:after="0" w:line="268" w:lineRule="auto"/>
        <w:tabs>
          <w:tab w:leader="none" w:pos="114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20" w:lineRule="auto"/>
        <w:rPr>
          <w:sz w:val="20"/>
          <w:szCs w:val="20"/>
          <w:color w:val="auto"/>
        </w:rPr>
      </w:pPr>
      <w:r>
        <w:rPr>
          <w:rFonts w:ascii="Arial" w:cs="Arial" w:eastAsia="Arial" w:hAnsi="Arial"/>
          <w:sz w:val="18"/>
          <w:szCs w:val="18"/>
          <w:color w:val="auto"/>
        </w:rPr>
        <w:t>and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and assuming that no holder of notes is an “insider” of either Issuer under applicable bankruptcy law, after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62" w:lineRule="exact"/>
        <w:rPr>
          <w:sz w:val="20"/>
          <w:szCs w:val="20"/>
          <w:color w:val="auto"/>
        </w:rPr>
      </w:pPr>
    </w:p>
    <w:p>
      <w:pPr>
        <w:jc w:val="both"/>
        <w:ind w:left="460" w:right="14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70" w:lineRule="exact"/>
        <w:rPr>
          <w:sz w:val="20"/>
          <w:szCs w:val="20"/>
          <w:color w:val="auto"/>
        </w:rPr>
      </w:pPr>
    </w:p>
    <w:p>
      <w:pPr>
        <w:ind w:left="460" w:right="40" w:firstLine="443"/>
        <w:spacing w:after="0" w:line="306"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2"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the caption “— Repurchase at the Option of Holders—Events of Loss”;</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37"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Guarantee is released or terminated pursuant to the terms of the indenture;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Government Transfers;</w:t>
      </w:r>
    </w:p>
    <w:p>
      <w:pPr>
        <w:spacing w:after="0" w:line="76" w:lineRule="exact"/>
        <w:rPr>
          <w:rFonts w:ascii="Arial" w:cs="Arial" w:eastAsia="Arial" w:hAnsi="Arial"/>
          <w:sz w:val="18"/>
          <w:szCs w:val="18"/>
          <w:color w:val="auto"/>
        </w:rPr>
      </w:pPr>
    </w:p>
    <w:p>
      <w:pPr>
        <w:ind w:left="460" w:right="300" w:firstLine="443"/>
        <w:spacing w:after="0" w:line="256"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Under the Intercreditor Agreement, the agent under the Credit Agreement will have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will authorize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amended, restated or modified Collateral Documents contain terms no less favorable to the trustee or the noteholders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restatement or modification does not otherwise adversely affect the rights or remedies of the trustee or the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14"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46" w:lineRule="exact"/>
        <w:rPr>
          <w:sz w:val="20"/>
          <w:szCs w:val="20"/>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76"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76"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37" w:lineRule="exact"/>
        <w:rPr>
          <w:rFonts w:ascii="Arial" w:cs="Arial" w:eastAsia="Arial" w:hAnsi="Arial"/>
          <w:sz w:val="18"/>
          <w:szCs w:val="18"/>
          <w:color w:val="auto"/>
        </w:rPr>
      </w:pPr>
    </w:p>
    <w:p>
      <w:pPr>
        <w:ind w:left="460" w:right="440" w:firstLine="443"/>
        <w:spacing w:after="0" w:line="325" w:lineRule="auto"/>
        <w:tabs>
          <w:tab w:leader="none" w:pos="11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 (a) constitute all or substantially all of the Collateral or (b) include Material Project Assets, except in accordance with the terms of the indenture;</w:t>
      </w:r>
    </w:p>
    <w:p>
      <w:pPr>
        <w:spacing w:after="0" w:line="1" w:lineRule="exact"/>
        <w:rPr>
          <w:rFonts w:ascii="Arial" w:cs="Arial" w:eastAsia="Arial" w:hAnsi="Arial"/>
          <w:sz w:val="16"/>
          <w:szCs w:val="16"/>
          <w:color w:val="auto"/>
        </w:rPr>
      </w:pPr>
    </w:p>
    <w:p>
      <w:pPr>
        <w:ind w:left="1240" w:hanging="337"/>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76" w:lineRule="exact"/>
        <w:rPr>
          <w:rFonts w:ascii="Arial" w:cs="Arial" w:eastAsia="Arial" w:hAnsi="Arial"/>
          <w:sz w:val="18"/>
          <w:szCs w:val="18"/>
          <w:color w:val="auto"/>
        </w:rPr>
      </w:pPr>
    </w:p>
    <w:p>
      <w:pPr>
        <w:ind w:left="1240" w:hanging="337"/>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58" w:lineRule="exact"/>
        <w:rPr>
          <w:sz w:val="20"/>
          <w:szCs w:val="20"/>
          <w:color w:val="auto"/>
        </w:rPr>
      </w:pPr>
    </w:p>
    <w:p>
      <w:pPr>
        <w:ind w:right="260" w:firstLine="456"/>
        <w:spacing w:after="0" w:line="34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spacing w:after="0" w:line="1" w:lineRule="exact"/>
        <w:rPr>
          <w:sz w:val="20"/>
          <w:szCs w:val="20"/>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conform the text of the indenture, the notes, the Note Guarantees or the Collateral Documents to any provision of this Description of Notes to the extent that such provision in this Description of Notes was intended to be a verbatim recitation of a provision of the indenture, the notes, the Note Guarantees or the Collateral Documents;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with respect to its Guarantee of the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00"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either:</w:t>
      </w:r>
    </w:p>
    <w:p>
      <w:pPr>
        <w:spacing w:after="0" w:line="76" w:lineRule="exact"/>
        <w:rPr>
          <w:rFonts w:ascii="Arial" w:cs="Arial" w:eastAsia="Arial" w:hAnsi="Arial"/>
          <w:sz w:val="18"/>
          <w:szCs w:val="18"/>
          <w:color w:val="auto"/>
        </w:rPr>
      </w:pPr>
    </w:p>
    <w:p>
      <w:pPr>
        <w:ind w:left="920" w:right="60" w:firstLine="421"/>
        <w:spacing w:after="0" w:line="325" w:lineRule="auto"/>
        <w:tabs>
          <w:tab w:leader="none" w:pos="157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 w:lineRule="exact"/>
        <w:rPr>
          <w:rFonts w:ascii="Arial" w:cs="Arial" w:eastAsia="Arial" w:hAnsi="Arial"/>
          <w:sz w:val="16"/>
          <w:szCs w:val="16"/>
          <w:color w:val="auto"/>
        </w:rPr>
      </w:pPr>
    </w:p>
    <w:p>
      <w:pPr>
        <w:ind w:left="920" w:right="160" w:firstLine="421"/>
        <w:spacing w:after="0" w:line="268" w:lineRule="auto"/>
        <w:tabs>
          <w:tab w:leader="none" w:pos="15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80"/>
          </w:cols>
          <w:pgMar w:left="240" w:top="459" w:right="3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48" w:lineRule="exact"/>
        <w:rPr>
          <w:sz w:val="20"/>
          <w:szCs w:val="20"/>
          <w:color w:val="auto"/>
        </w:rPr>
      </w:pPr>
    </w:p>
    <w:p>
      <w:pPr>
        <w:ind w:left="460" w:right="140" w:firstLine="443"/>
        <w:spacing w:after="0" w:line="306"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76"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new notes will be issued in the form of one or more notes in global form (the “</w:t>
      </w:r>
      <w:r>
        <w:rPr>
          <w:rFonts w:ascii="Arial" w:cs="Arial" w:eastAsia="Arial" w:hAnsi="Arial"/>
          <w:sz w:val="16"/>
          <w:szCs w:val="16"/>
          <w:i w:val="1"/>
          <w:iCs w:val="1"/>
          <w:color w:val="auto"/>
        </w:rPr>
        <w:t>Global Notes</w:t>
      </w:r>
      <w:r>
        <w:rPr>
          <w:rFonts w:ascii="Arial" w:cs="Arial" w:eastAsia="Arial" w:hAnsi="Arial"/>
          <w:sz w:val="16"/>
          <w:szCs w:val="16"/>
          <w:color w:val="auto"/>
        </w:rPr>
        <w:t>”). The new notes will be issued in minimum denominations of $1,000 and integral multiples of $1,000 in excess of $1,000. The Global Notes will be deposited upon issuance with the trustee as custodian for the Depository Trust Company (“</w:t>
      </w:r>
      <w:r>
        <w:rPr>
          <w:rFonts w:ascii="Arial" w:cs="Arial" w:eastAsia="Arial" w:hAnsi="Arial"/>
          <w:sz w:val="16"/>
          <w:szCs w:val="16"/>
          <w:i w:val="1"/>
          <w:iCs w:val="1"/>
          <w:color w:val="auto"/>
        </w:rPr>
        <w:t>DTC</w:t>
      </w:r>
      <w:r>
        <w:rPr>
          <w:rFonts w:ascii="Arial" w:cs="Arial" w:eastAsia="Arial" w:hAnsi="Arial"/>
          <w:sz w:val="16"/>
          <w:szCs w:val="16"/>
          <w:color w:val="auto"/>
        </w:rPr>
        <w:t>”), in New York, New York, and registered in the name of DTC or its nominee (such nominee being referred to as the “</w:t>
      </w:r>
      <w:r>
        <w:rPr>
          <w:rFonts w:ascii="Arial" w:cs="Arial" w:eastAsia="Arial" w:hAnsi="Arial"/>
          <w:sz w:val="16"/>
          <w:szCs w:val="16"/>
          <w:i w:val="1"/>
          <w:iCs w:val="1"/>
          <w:color w:val="auto"/>
        </w:rPr>
        <w:t>Global Note Holder</w:t>
      </w:r>
      <w:r>
        <w:rPr>
          <w:rFonts w:ascii="Arial" w:cs="Arial" w:eastAsia="Arial" w:hAnsi="Arial"/>
          <w:sz w:val="16"/>
          <w:szCs w:val="16"/>
          <w:color w:val="auto"/>
        </w:rPr>
        <w:t>”), in each case for credit to an account of a direct or indirect participant in DTC as described below.</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9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Depository Procedures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77" w:lineRule="exact"/>
        <w:rPr>
          <w:sz w:val="20"/>
          <w:szCs w:val="20"/>
          <w:color w:val="auto"/>
        </w:rPr>
      </w:pPr>
    </w:p>
    <w:p>
      <w:pPr>
        <w:ind w:left="460" w:right="52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24"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67"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3" w:lineRule="exact"/>
        <w:rPr>
          <w:sz w:val="20"/>
          <w:szCs w:val="20"/>
          <w:color w:val="auto"/>
        </w:rPr>
      </w:pPr>
    </w:p>
    <w:p>
      <w:pPr>
        <w:ind w:left="460" w:right="400" w:firstLine="443"/>
        <w:spacing w:after="0" w:line="259"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7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9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77" w:lineRule="exact"/>
        <w:rPr>
          <w:sz w:val="20"/>
          <w:szCs w:val="20"/>
          <w:color w:val="auto"/>
        </w:rPr>
      </w:pPr>
    </w:p>
    <w:p>
      <w:pPr>
        <w:ind w:left="460" w:right="12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58"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Same Day Settlement and Payment</w:t>
      </w:r>
    </w:p>
    <w:p>
      <w:pPr>
        <w:spacing w:after="0" w:line="77" w:lineRule="exact"/>
        <w:rPr>
          <w:sz w:val="20"/>
          <w:szCs w:val="20"/>
          <w:color w:val="auto"/>
        </w:rPr>
      </w:pPr>
    </w:p>
    <w:p>
      <w:pPr>
        <w:ind w:right="140" w:firstLine="456"/>
        <w:spacing w:after="0" w:line="278"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The PORTAL</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Market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the date of the indenture, by and between Wynn Golf, LLC and Wynn Las Vegas,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jc w:val="both"/>
        <w:ind w:left="460" w:right="12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Wynn Design Agreement,</w:t>
      </w:r>
    </w:p>
    <w:p>
      <w:pPr>
        <w:spacing w:after="0" w:line="15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October 30, 2002, issued by World Travel, LLC in favor of Wynn Las Vegas in an aggregate principal amount of $38.0 million.</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an amount equal to (1) the amount of reasonable corporate or other organizational overhead expenses of, and actually incurred by, Wynn Resorts and its Subsidiaries (other than the Issuers and their respective Subsidiaries) calculated in good faith on a consolidated basis, after the elimination of intercompany transactions, in accordance with GAAP, divided by (2) the number of gaming and/or hotel projects of Wynn Resorts and its Subsidiaries which are operating or for which the financing for the design, development, construction and opening thereof has been obtained. However, amounts allocated to any project shall be prorated based on the period within such period that such project was in operation or financing therefor was obtained. For purposes of this definition, each of the Phase I Project, Phase II Project and the Macau Project shall count as separate projects. With respect to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0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xml:space="preserve"> means Aruze Corp., a Japanese public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37" w:lineRule="exact"/>
        <w:rPr>
          <w:sz w:val="20"/>
          <w:szCs w:val="20"/>
          <w:color w:val="auto"/>
        </w:rPr>
      </w:pPr>
    </w:p>
    <w:p>
      <w:pPr>
        <w:ind w:left="460" w:right="200" w:firstLine="443"/>
        <w:spacing w:after="0" w:line="325" w:lineRule="auto"/>
        <w:tabs>
          <w:tab w:leader="none" w:pos="11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(A) prior to the Phase I Opening Date, that involves assets having a Fair Market Value of less than $1.0 million or (B) after the Phase I Opening Date, that involves assets having a Fair Market Value of less than $3.0 million;</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11" w:lineRule="exact"/>
        <w:rPr>
          <w:rFonts w:ascii="Arial" w:cs="Arial" w:eastAsia="Arial" w:hAnsi="Arial"/>
          <w:sz w:val="15"/>
          <w:szCs w:val="15"/>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37" w:lineRule="exact"/>
        <w:rPr>
          <w:rFonts w:ascii="Arial" w:cs="Arial" w:eastAsia="Arial" w:hAnsi="Arial"/>
          <w:sz w:val="18"/>
          <w:szCs w:val="18"/>
          <w:color w:val="auto"/>
        </w:rPr>
      </w:pPr>
    </w:p>
    <w:p>
      <w:pPr>
        <w:ind w:left="460" w:right="720" w:firstLine="443"/>
        <w:spacing w:after="0" w:line="325"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99" w:lineRule="exact"/>
        <w:rPr>
          <w:rFonts w:ascii="Arial" w:cs="Arial" w:eastAsia="Arial" w:hAnsi="Arial"/>
          <w:sz w:val="16"/>
          <w:szCs w:val="16"/>
          <w:color w:val="auto"/>
        </w:rPr>
      </w:pPr>
    </w:p>
    <w:p>
      <w:pPr>
        <w:ind w:left="460" w:right="340" w:firstLine="443"/>
        <w:spacing w:after="0" w:line="325" w:lineRule="auto"/>
        <w:tabs>
          <w:tab w:leader="none" w:pos="123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 w:lineRule="exact"/>
        <w:rPr>
          <w:rFonts w:ascii="Arial" w:cs="Arial" w:eastAsia="Arial" w:hAnsi="Arial"/>
          <w:sz w:val="16"/>
          <w:szCs w:val="16"/>
          <w:color w:val="auto"/>
        </w:rPr>
      </w:pPr>
    </w:p>
    <w:p>
      <w:pPr>
        <w:ind w:left="460" w:right="40" w:firstLine="443"/>
        <w:spacing w:after="0" w:line="298" w:lineRule="auto"/>
        <w:tabs>
          <w:tab w:leader="none" w:pos="122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the transfer or sale or disposition of any Released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18" w:lineRule="exact"/>
        <w:rPr>
          <w:rFonts w:ascii="Arial" w:cs="Arial" w:eastAsia="Arial" w:hAnsi="Arial"/>
          <w:sz w:val="16"/>
          <w:szCs w:val="16"/>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76" w:lineRule="exact"/>
        <w:rPr>
          <w:rFonts w:ascii="Arial" w:cs="Arial" w:eastAsia="Arial" w:hAnsi="Arial"/>
          <w:sz w:val="18"/>
          <w:szCs w:val="18"/>
          <w:color w:val="auto"/>
        </w:rPr>
      </w:pPr>
    </w:p>
    <w:p>
      <w:pPr>
        <w:ind w:left="460" w:right="60" w:firstLine="443"/>
        <w:spacing w:after="0" w:line="255" w:lineRule="auto"/>
        <w:tabs>
          <w:tab w:leader="none" w:pos="12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48" w:lineRule="exact"/>
        <w:rPr>
          <w:rFonts w:ascii="Arial" w:cs="Arial" w:eastAsia="Arial" w:hAnsi="Arial"/>
          <w:sz w:val="18"/>
          <w:szCs w:val="18"/>
          <w:color w:val="auto"/>
        </w:rPr>
      </w:pPr>
    </w:p>
    <w:p>
      <w:pPr>
        <w:ind w:left="460" w:firstLine="443"/>
        <w:spacing w:after="0" w:line="256" w:lineRule="auto"/>
        <w:tabs>
          <w:tab w:leader="none" w:pos="12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48" w:lineRule="exact"/>
        <w:rPr>
          <w:rFonts w:ascii="Arial" w:cs="Arial" w:eastAsia="Arial" w:hAnsi="Arial"/>
          <w:sz w:val="18"/>
          <w:szCs w:val="18"/>
          <w:color w:val="auto"/>
        </w:rPr>
      </w:pPr>
    </w:p>
    <w:p>
      <w:pPr>
        <w:ind w:left="1240" w:hanging="337"/>
        <w:spacing w:after="0"/>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sale and leaseback transaction results in a Capital Lease Obligation, the amount of Indebtedness represented thereby will be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definition of “Capital Lease Obligation.”</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a limited liability company, the individual or individuals who are the managing member, members or managers or any controlling committee of managing members or managers thereof;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58"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Budgeted Overhead Final Payment Date</w:t>
      </w:r>
      <w:r>
        <w:rPr>
          <w:rFonts w:ascii="Arial" w:cs="Arial" w:eastAsia="Arial" w:hAnsi="Arial"/>
          <w:sz w:val="15"/>
          <w:szCs w:val="15"/>
          <w:color w:val="auto"/>
        </w:rPr>
        <w:t>” means the date on which the final payments in respect of corporate or other organizational overhead expenses of Wynn Resorts and its Subsidiaries included in the Phase I Project Budget are disbursed pursuant to the Disbursement Agreement. Wynn Las Vegas shall deliver an officers’ certificate to the trustee, within 30 days following a written request therefor from the trustee or any noteholder, confirming and setting forth such date.</w:t>
      </w:r>
    </w:p>
    <w:p>
      <w:pPr>
        <w:spacing w:after="0" w:line="7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99"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United States dollars;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45" w:lineRule="exact"/>
        <w:rPr>
          <w:rFonts w:ascii="Arial" w:cs="Arial" w:eastAsia="Arial" w:hAnsi="Arial"/>
          <w:sz w:val="18"/>
          <w:szCs w:val="18"/>
          <w:color w:val="auto"/>
        </w:rPr>
      </w:pPr>
    </w:p>
    <w:p>
      <w:pPr>
        <w:ind w:left="460" w:right="200" w:firstLine="443"/>
        <w:spacing w:after="0" w:line="306" w:lineRule="auto"/>
        <w:tabs>
          <w:tab w:leader="none" w:pos="114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12"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37"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37"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extent not permitted above, Permitted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77" w:lineRule="exact"/>
        <w:rPr>
          <w:sz w:val="20"/>
          <w:szCs w:val="20"/>
          <w:color w:val="auto"/>
        </w:rPr>
      </w:pPr>
    </w:p>
    <w:p>
      <w:pPr>
        <w:jc w:val="both"/>
        <w:ind w:left="460" w:right="220" w:firstLine="443"/>
        <w:spacing w:after="0" w:line="306" w:lineRule="auto"/>
        <w:tabs>
          <w:tab w:leader="none" w:pos="114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76"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45" w:lineRule="exact"/>
        <w:rPr>
          <w:rFonts w:ascii="Arial" w:cs="Arial" w:eastAsia="Arial" w:hAnsi="Arial"/>
          <w:sz w:val="18"/>
          <w:szCs w:val="18"/>
          <w:color w:val="auto"/>
        </w:rPr>
      </w:pPr>
    </w:p>
    <w:p>
      <w:pPr>
        <w:ind w:left="920" w:right="20" w:firstLine="421"/>
        <w:spacing w:after="0" w:line="303" w:lineRule="auto"/>
        <w:tabs>
          <w:tab w:leader="none" w:pos="1588" w:val="left"/>
        </w:tabs>
        <w:numPr>
          <w:ilvl w:val="2"/>
          <w:numId w:val="147"/>
        </w:numPr>
        <w:rPr>
          <w:rFonts w:ascii="Arial" w:cs="Arial" w:eastAsia="Arial" w:hAnsi="Arial"/>
          <w:sz w:val="15"/>
          <w:szCs w:val="15"/>
          <w:color w:val="auto"/>
        </w:rPr>
      </w:pPr>
      <w:r>
        <w:rPr>
          <w:rFonts w:ascii="Arial" w:cs="Arial" w:eastAsia="Arial" w:hAnsi="Arial"/>
          <w:sz w:val="15"/>
          <w:szCs w:val="15"/>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spacing w:after="0" w:line="1" w:lineRule="exact"/>
        <w:rPr>
          <w:rFonts w:ascii="Arial" w:cs="Arial" w:eastAsia="Arial" w:hAnsi="Arial"/>
          <w:sz w:val="15"/>
          <w:szCs w:val="15"/>
          <w:color w:val="auto"/>
        </w:rPr>
      </w:pPr>
    </w:p>
    <w:p>
      <w:pPr>
        <w:ind w:left="920" w:right="160" w:firstLine="1"/>
        <w:spacing w:after="0" w:line="295" w:lineRule="auto"/>
        <w:tabs>
          <w:tab w:leader="none" w:pos="122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20" w:lineRule="exact"/>
        <w:rPr>
          <w:rFonts w:ascii="Arial" w:cs="Arial" w:eastAsia="Arial" w:hAnsi="Arial"/>
          <w:sz w:val="16"/>
          <w:szCs w:val="16"/>
          <w:color w:val="auto"/>
        </w:rPr>
      </w:pPr>
    </w:p>
    <w:p>
      <w:pPr>
        <w:ind w:left="920" w:firstLine="421"/>
        <w:spacing w:after="0" w:line="268" w:lineRule="auto"/>
        <w:tabs>
          <w:tab w:leader="none" w:pos="1579" w:val="left"/>
        </w:tabs>
        <w:numPr>
          <w:ilvl w:val="2"/>
          <w:numId w:val="148"/>
        </w:numPr>
        <w:rPr>
          <w:rFonts w:ascii="Arial" w:cs="Arial" w:eastAsia="Arial" w:hAnsi="Arial"/>
          <w:sz w:val="18"/>
          <w:szCs w:val="18"/>
          <w:color w:val="auto"/>
        </w:rPr>
      </w:pPr>
      <w:r>
        <w:rPr>
          <w:rFonts w:ascii="Arial" w:cs="Arial" w:eastAsia="Arial" w:hAnsi="Arial"/>
          <w:sz w:val="18"/>
          <w:szCs w:val="18"/>
          <w:color w:val="auto"/>
        </w:rPr>
        <w:t>prior to the earlier of (i) the Phase II Opening Date or (ii) December 31, 2007, the Principal and his Related Parties as a group own less than 80% of the outstanding Voting Stock of Wynn Resorts owned by such group as of the date of the indenture; or</w:t>
      </w:r>
    </w:p>
    <w:p>
      <w:pPr>
        <w:spacing w:after="0" w:line="37" w:lineRule="exact"/>
        <w:rPr>
          <w:rFonts w:ascii="Arial" w:cs="Arial" w:eastAsia="Arial" w:hAnsi="Arial"/>
          <w:sz w:val="18"/>
          <w:szCs w:val="18"/>
          <w:color w:val="auto"/>
        </w:rPr>
      </w:pPr>
    </w:p>
    <w:p>
      <w:pPr>
        <w:ind w:left="920" w:right="340" w:firstLine="421"/>
        <w:spacing w:after="0" w:line="332" w:lineRule="auto"/>
        <w:tabs>
          <w:tab w:leader="none" w:pos="1588" w:val="left"/>
        </w:tabs>
        <w:numPr>
          <w:ilvl w:val="2"/>
          <w:numId w:val="148"/>
        </w:numPr>
        <w:rPr>
          <w:rFonts w:ascii="Arial" w:cs="Arial" w:eastAsia="Arial" w:hAnsi="Arial"/>
          <w:sz w:val="16"/>
          <w:szCs w:val="16"/>
          <w:color w:val="auto"/>
        </w:rPr>
      </w:pPr>
      <w:r>
        <w:rPr>
          <w:rFonts w:ascii="Arial" w:cs="Arial" w:eastAsia="Arial" w:hAnsi="Arial"/>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first day before the earlier of (i) the Phase II Opening Date or (ii) December 31, 2007, on which the Principal does not act as either the chairman of the Board of Directors or the chief executive officer of Wynn Resorts, other than (A) as a result of death or disability or (B) if the Board of Directors of Wynn Resorts, exercising their fiduciary duties in good faith, removes or fails to re-appoint the Principal as chairman of the Board of Directors or chief executive officer of Wynn Resorts;</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99"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Exclusive Note Collateral and the Primary Note Collateral, together with the proceeds and products thereof (including, without limitation, the proceeds of Asset Sales).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7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Security Agreement</w:t>
      </w:r>
      <w:r>
        <w:rPr>
          <w:rFonts w:ascii="Arial" w:cs="Arial" w:eastAsia="Arial" w:hAnsi="Arial"/>
          <w:sz w:val="18"/>
          <w:szCs w:val="18"/>
          <w:b w:val="1"/>
          <w:bCs w:val="1"/>
          <w:color w:val="auto"/>
        </w:rPr>
        <w: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Intellectual Property Security Agreements, if 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Secured Account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76"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w:t>
      </w:r>
      <w:r>
        <w:rPr>
          <w:rFonts w:ascii="Arial" w:cs="Arial" w:eastAsia="Arial" w:hAnsi="Arial"/>
          <w:sz w:val="18"/>
          <w:szCs w:val="18"/>
          <w:color w:val="auto"/>
        </w:rPr>
        <w:t>” means the Completion Guarantee, dated as of the date of indenture, by the Completion Guarantor in favor of the trustee, the trustee under the indenture governing the Second Mortgage Notes and the agent under the Credit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 Release Date</w:t>
      </w:r>
      <w:r>
        <w:rPr>
          <w:rFonts w:ascii="Arial" w:cs="Arial" w:eastAsia="Arial" w:hAnsi="Arial"/>
          <w:sz w:val="18"/>
          <w:szCs w:val="18"/>
          <w:color w:val="auto"/>
        </w:rPr>
        <w:t>” means the date on which the Completion Guarantee Release Conditions are satisfied.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 Release Conditions</w:t>
      </w:r>
      <w:r>
        <w:rPr>
          <w:rFonts w:ascii="Arial" w:cs="Arial" w:eastAsia="Arial" w:hAnsi="Arial"/>
          <w:sz w:val="16"/>
          <w:szCs w:val="16"/>
          <w:color w:val="auto"/>
        </w:rPr>
        <w:t>” has the meaning given the term “Completion Guaranty Release Conditions” in the Disbursement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37" w:lineRule="exact"/>
        <w:rPr>
          <w:sz w:val="20"/>
          <w:szCs w:val="20"/>
          <w:color w:val="auto"/>
        </w:rPr>
      </w:pPr>
    </w:p>
    <w:p>
      <w:pPr>
        <w:ind w:left="460" w:right="24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49"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any pre-opening expenses, to the extent such pre-opening expenses were deducted in calculating Consolidated Net Income on a consolidated basis; </w:t>
      </w:r>
      <w:r>
        <w:rPr>
          <w:rFonts w:ascii="Arial" w:cs="Arial" w:eastAsia="Arial" w:hAnsi="Arial"/>
          <w:sz w:val="18"/>
          <w:szCs w:val="18"/>
          <w:i w:val="1"/>
          <w:iCs w:val="1"/>
          <w:color w:val="auto"/>
        </w:rPr>
        <w:t>plus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EBITDA</w:t>
      </w:r>
      <w:r>
        <w:rPr>
          <w:rFonts w:ascii="Arial" w:cs="Arial" w:eastAsia="Arial" w:hAnsi="Arial"/>
          <w:sz w:val="15"/>
          <w:szCs w:val="15"/>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 Project (such pre-opening expenses to be no greater than that set forth in the Phase I Project Budget), (ii) the initial opening of the Phase II Project (such pre-opening expenses to be no greater than that set forth in the Phase II Project Budget) and (iii)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9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27"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 w:lineRule="exact"/>
        <w:rPr>
          <w:sz w:val="20"/>
          <w:szCs w:val="20"/>
          <w:color w:val="auto"/>
        </w:rPr>
      </w:pPr>
    </w:p>
    <w:p>
      <w:pPr>
        <w:ind w:left="460" w:right="80" w:firstLine="443"/>
        <w:spacing w:after="0" w:line="259"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45"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48"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77"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6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stock.</w:t>
      </w:r>
    </w:p>
    <w:p>
      <w:pPr>
        <w:spacing w:after="0" w:line="7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Construction Contract</w:t>
      </w:r>
      <w:r>
        <w:rPr>
          <w:rFonts w:ascii="Arial" w:cs="Arial" w:eastAsia="Arial" w:hAnsi="Arial"/>
          <w:sz w:val="16"/>
          <w:szCs w:val="16"/>
          <w:color w:val="auto"/>
        </w:rPr>
        <w:t>” means the Agreement for Guaranteed Maximum Price Construction Services for Wynn Las Vegas, dated as of June 4, 2002, between Wynn Las Vegas and the General Contractor, as amended, modified or otherwise supplemented from time to time in any manner that is not in contravention of the covenant described above under the caption “—Certain Covenants—Amendments to Certain Agreements.”</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Amended and Restated Continuing Guarantee, dated as of October 22, 2002, by the Construction Contract Guarantor in favor of Wynn Las Vegas, as amended, modified or otherwise supplemented from time to time in any manner that is not in contravention of the covenant described above under the caption “—Amendments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00" w:lineRule="exact"/>
        <w:rPr>
          <w:sz w:val="20"/>
          <w:szCs w:val="20"/>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76"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date of the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0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Dealership Lease Agreement</w:t>
      </w:r>
      <w:r>
        <w:rPr>
          <w:rFonts w:ascii="Arial" w:cs="Arial" w:eastAsia="Arial" w:hAnsi="Arial"/>
          <w:sz w:val="18"/>
          <w:szCs w:val="18"/>
          <w:color w:val="auto"/>
        </w:rPr>
        <w:t>” means the Dealership Lease Agreement, to be entered into between Wynn Las Vegas, as lessor, and PW Automotive, LLC, as lessee, with respect to the lease of space at the Phase I Project for the development and operation of a Ferrari and Maserati automobile dealership, as amended, modified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or otherwise supplemented from time to time in any manner that is not in contravention of the covenant described above under the caption “—Certain Covenants —Amendments to Certain Agreements.”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for the benefit of the collateral agent, as agent for (1) the administrative agent for the lenders under the Credit Agreement and (2) the trustee on behalf of the noteholders in accordance with the provisions of the indenture and the Collateral Documents.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Design/Build Contract</w:t>
      </w:r>
      <w:r>
        <w:rPr>
          <w:rFonts w:ascii="Arial" w:cs="Arial" w:eastAsia="Arial" w:hAnsi="Arial"/>
          <w:sz w:val="18"/>
          <w:szCs w:val="18"/>
          <w:color w:val="auto"/>
        </w:rPr>
        <w:t>” means the Design/Build Agreement, effective as of June 6, 2002, by and between Wynn Las Vegas and Bomel Construction Company, Inc.,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Master Disbursement Agreement, dated as of the date of the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1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7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means a showroom or entertainment facility adjoining the Wynn Las Vegas hotel and casino resort on the Project Site and connected directly to such hotel, which is initially expected to feature the musical, “Avenue Q.”</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37" w:lineRule="exact"/>
        <w:rPr>
          <w:sz w:val="20"/>
          <w:szCs w:val="20"/>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76"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or Valvino Lamore and (2) the Released Assets.</w:t>
      </w:r>
    </w:p>
    <w:p>
      <w:pPr>
        <w:spacing w:after="0" w:line="15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Note Collateral</w:t>
      </w:r>
      <w:r>
        <w:rPr>
          <w:rFonts w:ascii="Arial" w:cs="Arial" w:eastAsia="Arial" w:hAnsi="Arial"/>
          <w:sz w:val="18"/>
          <w:szCs w:val="18"/>
          <w:color w:val="auto"/>
        </w:rPr>
        <w:t>” means the remaining net proceeds of the offering of the old notes, if any, which are required, under the Disbursement Agreement, to be deposited into the Secured Account.</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Indebtedness</w:t>
      </w:r>
      <w:r>
        <w:rPr>
          <w:rFonts w:ascii="Arial" w:cs="Arial" w:eastAsia="Arial" w:hAnsi="Arial"/>
          <w:sz w:val="16"/>
          <w:szCs w:val="16"/>
          <w:color w:val="auto"/>
        </w:rPr>
        <w:t>” means Indebtedness of Wynn Las Vegas or its Subsidiaries (other than Indebtedness under the Credit Agreement) in existence on the date of the indenture, including any remaining Second Mortgage Notes, until such amounts are repaid or redeemed.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58"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Fair Market Value</w:t>
      </w:r>
      <w:r>
        <w:rPr>
          <w:rFonts w:ascii="Arial" w:cs="Arial" w:eastAsia="Arial" w:hAnsi="Arial"/>
          <w:sz w:val="15"/>
          <w:szCs w:val="15"/>
          <w:color w:val="auto"/>
        </w:rPr>
        <w:t>” means the value that would be paid by a willing buyer to an unaffiliated willing seller in a transaction not involving distress or necessity of either party, determined in good faith by (1) an appropriate officer of Wynn Las Vegas, in the case of any value equal to or less than $10 million or</w:t>
      </w:r>
    </w:p>
    <w:p>
      <w:pPr>
        <w:ind w:right="200" w:firstLine="8"/>
        <w:spacing w:after="0" w:line="254" w:lineRule="auto"/>
        <w:tabs>
          <w:tab w:leader="none" w:pos="24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 For purposes of clause (24) of the definition of “Permitted Liens,” Fair Market Value should be based on the opinion of Qualified Appraiser.</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Facility</w:t>
      </w:r>
      <w:r>
        <w:rPr>
          <w:rFonts w:ascii="Arial" w:cs="Arial" w:eastAsia="Arial" w:hAnsi="Arial"/>
          <w:sz w:val="16"/>
          <w:szCs w:val="16"/>
          <w:color w:val="auto"/>
        </w:rPr>
        <w:t>” means the Credit Agreement, dated as of October 30, 2002, among Wynn Las Vegas, the collateral agent thereunder and the lenders party thereto, including any related notes, guarantees, collateral documents, instruments and agreements executed in connection therewith.</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77" w:lineRule="exact"/>
        <w:rPr>
          <w:sz w:val="20"/>
          <w:szCs w:val="20"/>
          <w:color w:val="auto"/>
        </w:rPr>
      </w:pPr>
    </w:p>
    <w:p>
      <w:pPr>
        <w:ind w:left="460" w:right="180" w:firstLine="443"/>
        <w:spacing w:after="0" w:line="306"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7" w:lineRule="exact"/>
        <w:rPr>
          <w:sz w:val="20"/>
          <w:szCs w:val="20"/>
          <w:color w:val="auto"/>
        </w:rPr>
      </w:pPr>
    </w:p>
    <w:p>
      <w:pPr>
        <w:ind w:left="460" w:right="14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37"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2"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37"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37"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77" w:lineRule="exact"/>
        <w:rPr>
          <w:sz w:val="20"/>
          <w:szCs w:val="20"/>
          <w:color w:val="auto"/>
        </w:rPr>
      </w:pPr>
    </w:p>
    <w:p>
      <w:pPr>
        <w:ind w:left="460" w:right="340" w:firstLine="443"/>
        <w:spacing w:after="0" w:line="294"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21" w:lineRule="exact"/>
        <w:rPr>
          <w:rFonts w:ascii="Arial" w:cs="Arial" w:eastAsia="Arial" w:hAnsi="Arial"/>
          <w:sz w:val="16"/>
          <w:szCs w:val="16"/>
          <w:color w:val="auto"/>
        </w:rPr>
      </w:pPr>
    </w:p>
    <w:p>
      <w:pPr>
        <w:ind w:left="1160" w:hanging="257"/>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76" w:lineRule="exact"/>
        <w:rPr>
          <w:rFonts w:ascii="Arial" w:cs="Arial" w:eastAsia="Arial" w:hAnsi="Arial"/>
          <w:sz w:val="18"/>
          <w:szCs w:val="18"/>
          <w:color w:val="auto"/>
        </w:rPr>
      </w:pPr>
    </w:p>
    <w:p>
      <w:pPr>
        <w:ind w:left="460" w:right="340" w:firstLine="443"/>
        <w:spacing w:after="0" w:line="325"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(pursuant to the Management Agreement or otherwise), or expected to be managed or used (pursuant to the Management Agreement or otherwise), by Wynn Las Vegas or any Restricted Subsidiary.</w:t>
      </w:r>
    </w:p>
    <w:p>
      <w:pPr>
        <w:spacing w:after="0" w:line="13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is, or may be at any time after the date of the indenture, subject.</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7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Lump Sum Agreement, effective as of February 18, 2003, by and between Wynn Las Vegas, LLC and Wadsworth Golf Construction Company, relating to the construction of the new golf course on the Project Site, as amended, modified or otherwise supplemented from time to time in accordance with the Disbursement Agreement.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Design Services Agreement</w:t>
      </w:r>
      <w:r>
        <w:rPr>
          <w:rFonts w:ascii="Arial" w:cs="Arial" w:eastAsia="Arial" w:hAnsi="Arial"/>
          <w:sz w:val="18"/>
          <w:szCs w:val="18"/>
          <w:color w:val="auto"/>
        </w:rPr>
        <w:t>” means that certain Golf Course Design Services Agreement that Wynn Las Vegas is a party to,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and described in an exhibit to the Disbursement Agreement,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the date of the indenture, between Wynn Golf, LLC, as lessor, and Wynn Las Vegas, as lessee, with respect to the lease of land on which the 18-hole championship golf course will be located, as amended, modified or otherwise supplemented from time to time in any manner that is not in contravention of the covenant described above under the caption “—Certain Covenants—Amendments to Certain Agreements.”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77" w:lineRule="exact"/>
        <w:rPr>
          <w:sz w:val="20"/>
          <w:szCs w:val="20"/>
          <w:color w:val="auto"/>
        </w:rPr>
      </w:pPr>
    </w:p>
    <w:p>
      <w:pPr>
        <w:ind w:left="460" w:right="42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77"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76" w:lineRule="exact"/>
        <w:rPr>
          <w:rFonts w:ascii="Arial" w:cs="Arial" w:eastAsia="Arial" w:hAnsi="Arial"/>
          <w:sz w:val="18"/>
          <w:szCs w:val="18"/>
          <w:color w:val="auto"/>
        </w:rPr>
      </w:pPr>
    </w:p>
    <w:p>
      <w:pPr>
        <w:jc w:val="both"/>
        <w:ind w:left="460" w:firstLine="443"/>
        <w:spacing w:after="0" w:line="335" w:lineRule="auto"/>
        <w:tabs>
          <w:tab w:leader="none" w:pos="1147" w:val="left"/>
        </w:tabs>
        <w:numPr>
          <w:ilvl w:val="0"/>
          <w:numId w:val="161"/>
        </w:numPr>
        <w:rPr>
          <w:rFonts w:ascii="Arial" w:cs="Arial" w:eastAsia="Arial" w:hAnsi="Arial"/>
          <w:sz w:val="15"/>
          <w:szCs w:val="15"/>
          <w:color w:val="auto"/>
        </w:rPr>
      </w:pPr>
      <w:r>
        <w:rPr>
          <w:rFonts w:ascii="Arial" w:cs="Arial" w:eastAsia="Arial" w:hAnsi="Arial"/>
          <w:sz w:val="15"/>
          <w:szCs w:val="15"/>
          <w:color w:val="auto"/>
        </w:rPr>
        <w:t>any other Person that provides a Guarantee by executing a supplemental indenture in accordance with the provisions of the indenture, and, except to the extent the applicable Guarantee is released in accordance with the caption “—Note Guarantees—Release of Guarantees,” their respective successors and assigns (other than the Issuers). A Person shall cease to be a Guarantor following the release of its Guarantee as described above under that caption.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77" w:lineRule="exact"/>
        <w:rPr>
          <w:sz w:val="20"/>
          <w:szCs w:val="20"/>
          <w:color w:val="auto"/>
        </w:rPr>
      </w:pPr>
    </w:p>
    <w:p>
      <w:pPr>
        <w:ind w:left="460" w:right="46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or commodity prices.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181"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37"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99" w:lineRule="exact"/>
        <w:rPr>
          <w:rFonts w:ascii="Arial" w:cs="Arial" w:eastAsia="Arial" w:hAnsi="Arial"/>
          <w:sz w:val="16"/>
          <w:szCs w:val="16"/>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76"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77" w:lineRule="exact"/>
        <w:rPr>
          <w:sz w:val="20"/>
          <w:szCs w:val="20"/>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76"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76" w:lineRule="exact"/>
        <w:rPr>
          <w:rFonts w:ascii="Arial" w:cs="Arial" w:eastAsia="Arial" w:hAnsi="Arial"/>
          <w:sz w:val="18"/>
          <w:szCs w:val="18"/>
          <w:color w:val="auto"/>
        </w:rPr>
      </w:pPr>
    </w:p>
    <w:p>
      <w:pPr>
        <w:ind w:left="920" w:right="460" w:firstLine="421"/>
        <w:spacing w:after="0" w:line="268" w:lineRule="auto"/>
        <w:tabs>
          <w:tab w:leader="none" w:pos="157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77" w:lineRule="exact"/>
        <w:rPr>
          <w:sz w:val="20"/>
          <w:szCs w:val="20"/>
          <w:color w:val="auto"/>
        </w:rPr>
      </w:pPr>
    </w:p>
    <w:p>
      <w:pPr>
        <w:ind w:left="460" w:right="2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Intellectual Property Security Agreement, to be dated as of the date of the indenture, among Wynn Las Vegas, certain Restricted Subsidiaries, if applicable, and the trustee, and</w:t>
      </w:r>
    </w:p>
    <w:p>
      <w:pPr>
        <w:spacing w:after="0" w:line="37"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intellectual property security agreement entered into by Wynn Resorts, either of the Issuers or any Restricted Subsidiary from time to time in accordance with the provisions of the indenture,</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Amended and Restated Intercreditor Agreement, dated as of the date of the indenture, among the trustee, the trustee under the indenture governing the Second Mortgage Notes, a representative of the lenders under the Credit Agreement, the collateral agent and the other parties thereto from time to time.</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5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we intend to use for employee parking and other ancillary uses.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or any filing of, or agreement to deliver any financing statement under the Uniform Commercial Code (or equivalent statutes) of any jurisdiction.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5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October 30, 2002, between Wynn Resorts as manager and Wynn Las Vegas, as amended, modified or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Wynn Las Vegas, the administrative agent under the Credit Agreement and the trustee.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w:t>
      </w:r>
    </w:p>
    <w:p>
      <w:pPr>
        <w:spacing w:after="0" w:line="77" w:lineRule="exact"/>
        <w:rPr>
          <w:sz w:val="20"/>
          <w:szCs w:val="20"/>
          <w:color w:val="auto"/>
        </w:rPr>
      </w:pPr>
    </w:p>
    <w:p>
      <w:pPr>
        <w:ind w:left="460" w:right="86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assets that are necessary to the development, construction or operation of the Phase I Project in accordance with the Phase I Plans and Specifications,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assets, the absence of which would result in the Phase I Completion Date occurring after the Phase I Outside Completion Deadline.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no event shall (1) Released Assets or (2) assets with a Fair Market Value less than $100.0 million be considered Material Project Assets.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48" w:lineRule="exact"/>
        <w:rPr>
          <w:sz w:val="20"/>
          <w:szCs w:val="20"/>
          <w:color w:val="auto"/>
        </w:rPr>
      </w:pPr>
    </w:p>
    <w:p>
      <w:pPr>
        <w:jc w:val="both"/>
        <w:ind w:left="460" w:right="60" w:firstLine="443"/>
        <w:spacing w:after="0" w:line="259"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58" w:lineRule="exact"/>
        <w:rPr>
          <w:sz w:val="20"/>
          <w:szCs w:val="20"/>
          <w:color w:val="auto"/>
        </w:rPr>
      </w:pPr>
    </w:p>
    <w:p>
      <w:pPr>
        <w:ind w:right="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1" w:lineRule="exact"/>
        <w:rPr>
          <w:sz w:val="20"/>
          <w:szCs w:val="20"/>
          <w:color w:val="auto"/>
        </w:rPr>
      </w:pPr>
    </w:p>
    <w:p>
      <w:pPr>
        <w:ind w:left="460" w:right="10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37"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58" w:lineRule="exact"/>
        <w:rPr>
          <w:sz w:val="20"/>
          <w:szCs w:val="20"/>
          <w:color w:val="auto"/>
        </w:rPr>
      </w:pPr>
    </w:p>
    <w:p>
      <w:pPr>
        <w:ind w:right="700" w:firstLine="456"/>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spacing w:after="0" w:line="1" w:lineRule="exact"/>
        <w:rPr>
          <w:sz w:val="20"/>
          <w:szCs w:val="20"/>
          <w:color w:val="auto"/>
        </w:rPr>
      </w:pPr>
    </w:p>
    <w:p>
      <w:pPr>
        <w:ind w:left="460" w:right="140" w:firstLine="443"/>
        <w:spacing w:after="0" w:line="306" w:lineRule="auto"/>
        <w:tabs>
          <w:tab w:leader="none" w:pos="114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12" w:lineRule="exact"/>
        <w:rPr>
          <w:rFonts w:ascii="Arial" w:cs="Arial" w:eastAsia="Arial" w:hAnsi="Arial"/>
          <w:sz w:val="16"/>
          <w:szCs w:val="16"/>
          <w:color w:val="auto"/>
        </w:rPr>
      </w:pPr>
    </w:p>
    <w:p>
      <w:pPr>
        <w:ind w:left="460" w:right="40" w:firstLine="443"/>
        <w:spacing w:after="0" w:line="256"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48"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77" w:lineRule="exact"/>
        <w:rPr>
          <w:sz w:val="20"/>
          <w:szCs w:val="20"/>
          <w:color w:val="auto"/>
        </w:rPr>
      </w:pPr>
    </w:p>
    <w:p>
      <w:pPr>
        <w:ind w:left="460" w:right="360" w:firstLine="443"/>
        <w:spacing w:after="0" w:line="325"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Project Assets that are not necessary to the development, construction and operation of either the Phase I Project or the Phase II Project in accordance with the Phase I Plans and Specifications and the Phase II Plans and Specifications, respectively, and</w:t>
      </w:r>
    </w:p>
    <w:p>
      <w:pPr>
        <w:spacing w:after="0" w:line="1" w:lineRule="exact"/>
        <w:rPr>
          <w:rFonts w:ascii="Arial" w:cs="Arial" w:eastAsia="Arial" w:hAnsi="Arial"/>
          <w:sz w:val="16"/>
          <w:szCs w:val="16"/>
          <w:color w:val="auto"/>
        </w:rPr>
      </w:pPr>
    </w:p>
    <w:p>
      <w:pPr>
        <w:ind w:left="460" w:right="44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Project Assets, the absence of which would result in neither the Phase I Completion Date occurring after the Phase I Outside Completion Deadline nor the Phase II Completion Date occurring after the Phase II Outside Completion Deadline.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77" w:lineRule="exact"/>
        <w:rPr>
          <w:sz w:val="20"/>
          <w:szCs w:val="20"/>
          <w:color w:val="auto"/>
        </w:rPr>
      </w:pPr>
    </w:p>
    <w:p>
      <w:pPr>
        <w:ind w:left="460" w:right="6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12"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48"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Resorts of one of its Restricted Subsidiaries to secure Indebtedness of the Unrestricted Subsidiary).</w:t>
      </w:r>
    </w:p>
    <w:p>
      <w:pPr>
        <w:spacing w:after="0" w:line="12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Wynn Resorts.</w:t>
      </w:r>
    </w:p>
    <w:p>
      <w:pPr>
        <w:spacing w:after="0" w:line="15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the indenture with respect to offers to purchase or redeem with the proceeds of sales of assets or Events of Loss.</w:t>
      </w:r>
    </w:p>
    <w:p>
      <w:pPr>
        <w:spacing w:after="0" w:line="4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(including from the Phase I General Contractor) in favor of Wynn Las Vegas (or any contractor), the agent for the lenders under the Credit Agreement and the trustee supporting the contractor’s or subcontractor’s obligations under any such contract or subcontract.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76"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37" w:lineRule="exact"/>
        <w:rPr>
          <w:rFonts w:ascii="Arial" w:cs="Arial" w:eastAsia="Arial" w:hAnsi="Arial"/>
          <w:sz w:val="18"/>
          <w:szCs w:val="18"/>
          <w:color w:val="auto"/>
        </w:rPr>
      </w:pPr>
    </w:p>
    <w:p>
      <w:pPr>
        <w:ind w:left="460" w:right="60" w:firstLine="443"/>
        <w:spacing w:after="0" w:line="256"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development, construction, ownership or operation of lodging (including (i) any timeshare, interval ownership or similar development or (ii) any condominium or similar development with respect to the Phase III Project), retail and restaurant facilities, sports or entertainment facilities, food and beverage distribution operations, transportation services (including operation of the Aircraft Assets), sales, leasing and repair of automobiles, parking services, or other activities related to the foregoing;</w:t>
      </w:r>
    </w:p>
    <w:p>
      <w:pPr>
        <w:spacing w:after="0" w:line="48"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37" w:lineRule="exact"/>
        <w:rPr>
          <w:sz w:val="20"/>
          <w:szCs w:val="20"/>
          <w:color w:val="auto"/>
        </w:rPr>
      </w:pPr>
    </w:p>
    <w:p>
      <w:pPr>
        <w:ind w:left="460" w:firstLine="443"/>
        <w:spacing w:after="0" w:line="306"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2" w:lineRule="exact"/>
        <w:rPr>
          <w:rFonts w:ascii="Arial" w:cs="Arial" w:eastAsia="Arial" w:hAnsi="Arial"/>
          <w:sz w:val="16"/>
          <w:szCs w:val="16"/>
          <w:color w:val="auto"/>
        </w:rPr>
      </w:pPr>
    </w:p>
    <w:p>
      <w:pPr>
        <w:ind w:left="460" w:right="20" w:firstLine="443"/>
        <w:spacing w:after="0" w:line="256"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45"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37"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37" w:lineRule="exact"/>
        <w:rPr>
          <w:rFonts w:ascii="Arial" w:cs="Arial" w:eastAsia="Arial" w:hAnsi="Arial"/>
          <w:sz w:val="18"/>
          <w:szCs w:val="18"/>
          <w:color w:val="auto"/>
        </w:rPr>
      </w:pPr>
    </w:p>
    <w:p>
      <w:pPr>
        <w:ind w:left="460" w:right="360" w:firstLine="443"/>
        <w:spacing w:after="0" w:line="306" w:lineRule="auto"/>
        <w:tabs>
          <w:tab w:leader="none" w:pos="114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76" w:lineRule="exact"/>
        <w:rPr>
          <w:rFonts w:ascii="Arial" w:cs="Arial" w:eastAsia="Arial" w:hAnsi="Arial"/>
          <w:sz w:val="18"/>
          <w:szCs w:val="18"/>
          <w:color w:val="auto"/>
        </w:rPr>
      </w:pPr>
    </w:p>
    <w:p>
      <w:pPr>
        <w:ind w:left="460" w:right="360" w:firstLine="443"/>
        <w:spacing w:after="0" w:line="325"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1" w:lineRule="exact"/>
        <w:rPr>
          <w:rFonts w:ascii="Arial" w:cs="Arial" w:eastAsia="Arial" w:hAnsi="Arial"/>
          <w:sz w:val="16"/>
          <w:szCs w:val="16"/>
          <w:color w:val="auto"/>
        </w:rPr>
      </w:pPr>
    </w:p>
    <w:p>
      <w:pPr>
        <w:ind w:left="1580" w:hanging="239"/>
        <w:spacing w:after="0"/>
        <w:tabs>
          <w:tab w:leader="none" w:pos="15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76" w:lineRule="exact"/>
        <w:rPr>
          <w:rFonts w:ascii="Arial" w:cs="Arial" w:eastAsia="Arial" w:hAnsi="Arial"/>
          <w:sz w:val="18"/>
          <w:szCs w:val="18"/>
          <w:color w:val="auto"/>
        </w:rPr>
      </w:pPr>
    </w:p>
    <w:p>
      <w:pPr>
        <w:ind w:left="920" w:right="20" w:firstLine="421"/>
        <w:spacing w:after="0" w:line="306" w:lineRule="auto"/>
        <w:tabs>
          <w:tab w:leader="none" w:pos="1588" w:val="left"/>
        </w:tabs>
        <w:numPr>
          <w:ilvl w:val="1"/>
          <w:numId w:val="175"/>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12" w:lineRule="exact"/>
        <w:rPr>
          <w:rFonts w:ascii="Arial" w:cs="Arial" w:eastAsia="Arial" w:hAnsi="Arial"/>
          <w:sz w:val="16"/>
          <w:szCs w:val="16"/>
          <w:color w:val="auto"/>
        </w:rPr>
      </w:pPr>
    </w:p>
    <w:p>
      <w:pPr>
        <w:jc w:val="both"/>
        <w:ind w:left="460" w:right="4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76"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12" w:lineRule="exact"/>
        <w:rPr>
          <w:rFonts w:ascii="Arial" w:cs="Arial" w:eastAsia="Arial" w:hAnsi="Arial"/>
          <w:sz w:val="16"/>
          <w:szCs w:val="16"/>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76"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76" w:lineRule="exact"/>
        <w:rPr>
          <w:rFonts w:ascii="Arial" w:cs="Arial" w:eastAsia="Arial" w:hAnsi="Arial"/>
          <w:sz w:val="18"/>
          <w:szCs w:val="18"/>
          <w:color w:val="auto"/>
        </w:rPr>
      </w:pPr>
    </w:p>
    <w:p>
      <w:pPr>
        <w:ind w:left="460" w:right="80" w:firstLine="443"/>
        <w:spacing w:after="0" w:line="298" w:lineRule="auto"/>
        <w:tabs>
          <w:tab w:leader="none" w:pos="123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 Investment in the form of a loan by Wynn Las Vegas to (a) 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will be required);</w:t>
      </w:r>
    </w:p>
    <w:p>
      <w:pPr>
        <w:spacing w:after="0" w:line="18" w:lineRule="exact"/>
        <w:rPr>
          <w:rFonts w:ascii="Arial" w:cs="Arial" w:eastAsia="Arial" w:hAnsi="Arial"/>
          <w:sz w:val="16"/>
          <w:szCs w:val="16"/>
          <w:color w:val="auto"/>
        </w:rPr>
      </w:pPr>
    </w:p>
    <w:p>
      <w:pPr>
        <w:ind w:left="460" w:right="20" w:firstLine="443"/>
        <w:spacing w:after="0" w:line="325" w:lineRule="auto"/>
        <w:tabs>
          <w:tab w:leader="none" w:pos="122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1"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25" w:lineRule="auto"/>
        <w:tabs>
          <w:tab w:leader="none" w:pos="123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1" w:lineRule="exact"/>
        <w:rPr>
          <w:rFonts w:ascii="Arial" w:cs="Arial" w:eastAsia="Arial" w:hAnsi="Arial"/>
          <w:sz w:val="16"/>
          <w:szCs w:val="16"/>
          <w:color w:val="auto"/>
        </w:rPr>
      </w:pPr>
    </w:p>
    <w:p>
      <w:pPr>
        <w:ind w:left="460" w:right="120" w:firstLine="443"/>
        <w:spacing w:after="0" w:line="294" w:lineRule="auto"/>
        <w:tabs>
          <w:tab w:leader="none" w:pos="123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77" w:lineRule="exact"/>
        <w:rPr>
          <w:sz w:val="20"/>
          <w:szCs w:val="20"/>
          <w:color w:val="auto"/>
        </w:rPr>
      </w:pPr>
    </w:p>
    <w:p>
      <w:pPr>
        <w:ind w:left="460" w:right="180" w:firstLine="443"/>
        <w:spacing w:after="0" w:line="306" w:lineRule="auto"/>
        <w:tabs>
          <w:tab w:leader="none" w:pos="114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Liens in favor of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any such Liens are on any or all of the Collateral, such Liens are either:</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76" w:lineRule="exact"/>
        <w:rPr>
          <w:rFonts w:ascii="Arial" w:cs="Arial" w:eastAsia="Arial" w:hAnsi="Arial"/>
          <w:sz w:val="18"/>
          <w:szCs w:val="18"/>
          <w:color w:val="auto"/>
        </w:rPr>
      </w:pPr>
    </w:p>
    <w:p>
      <w:pPr>
        <w:ind w:left="920" w:right="320" w:firstLine="421"/>
        <w:spacing w:after="0" w:line="268" w:lineRule="auto"/>
        <w:tabs>
          <w:tab w:leader="none" w:pos="158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trustee and the holders of the notes securing the obligations under the notes, the Guarantees and the Credit Agreement;</w:t>
      </w:r>
    </w:p>
    <w:p>
      <w:pPr>
        <w:spacing w:after="0" w:line="37"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45"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as in effect on the date of the indenture;</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Liens to secure performance of statutory obligations of or obligations to landlords and carriers, warehousemen, mechanics, suppliers,</w:t>
      </w:r>
    </w:p>
    <w:p>
      <w:pPr>
        <w:spacing w:after="0" w:line="38" w:lineRule="exact"/>
        <w:rPr>
          <w:rFonts w:ascii="Arial" w:cs="Arial" w:eastAsia="Arial" w:hAnsi="Arial"/>
          <w:sz w:val="16"/>
          <w:szCs w:val="16"/>
          <w:color w:val="auto"/>
        </w:rPr>
      </w:pPr>
    </w:p>
    <w:p>
      <w:pPr>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49" w:lineRule="exact"/>
        <w:rPr>
          <w:rFonts w:ascii="Arial" w:cs="Arial" w:eastAsia="Arial" w:hAnsi="Arial"/>
          <w:sz w:val="16"/>
          <w:szCs w:val="16"/>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76"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5"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48"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up to $1.0 billion of Indebtedness and other Obligations under the Credit Agreement that were permitted by the terms of the indenture to be incurred;</w:t>
      </w:r>
    </w:p>
    <w:p>
      <w:pPr>
        <w:spacing w:after="0" w:line="37"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to the extent that the Indebtedness permitted by clause (7) of the second paragraph of the covenant described under the caption “—Certain Covenants—Incurrence of Indebtedness and Issuance of Disqualified Stock” is incurred under the Credit Agreement or through the issuance of Additional Notes under this Indenture and the property or assets acquired with such Indebtedness becomes part of the Collateral, such Indebtedness may be secured by the Collateral;</w:t>
      </w:r>
    </w:p>
    <w:p>
      <w:pPr>
        <w:spacing w:after="0" w:line="23"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45"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45" w:lineRule="exact"/>
        <w:rPr>
          <w:rFonts w:ascii="Arial" w:cs="Arial" w:eastAsia="Arial" w:hAnsi="Arial"/>
          <w:sz w:val="18"/>
          <w:szCs w:val="18"/>
          <w:color w:val="auto"/>
        </w:rPr>
      </w:pPr>
    </w:p>
    <w:p>
      <w:pPr>
        <w:ind w:left="460" w:right="820" w:firstLine="443"/>
        <w:spacing w:after="0" w:line="268"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37" w:lineRule="exact"/>
        <w:rPr>
          <w:rFonts w:ascii="Arial" w:cs="Arial" w:eastAsia="Arial" w:hAnsi="Arial"/>
          <w:sz w:val="18"/>
          <w:szCs w:val="18"/>
          <w:color w:val="auto"/>
        </w:rPr>
      </w:pPr>
    </w:p>
    <w:p>
      <w:pPr>
        <w:ind w:left="460" w:right="580" w:firstLine="443"/>
        <w:spacing w:after="0" w:line="268"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76" w:lineRule="exact"/>
        <w:rPr>
          <w:rFonts w:ascii="Arial" w:cs="Arial" w:eastAsia="Arial" w:hAnsi="Arial"/>
          <w:sz w:val="18"/>
          <w:szCs w:val="18"/>
          <w:color w:val="auto"/>
        </w:rPr>
      </w:pPr>
    </w:p>
    <w:p>
      <w:pPr>
        <w:ind w:left="1580" w:hanging="239"/>
        <w:spacing w:after="0"/>
        <w:tabs>
          <w:tab w:leader="none" w:pos="158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70" w:lineRule="exact"/>
        <w:rPr>
          <w:rFonts w:ascii="Arial" w:cs="Arial" w:eastAsia="Arial" w:hAnsi="Arial"/>
          <w:sz w:val="16"/>
          <w:szCs w:val="16"/>
          <w:color w:val="auto"/>
        </w:rPr>
      </w:pPr>
    </w:p>
    <w:p>
      <w:pPr>
        <w:ind w:left="460" w:right="280" w:firstLine="443"/>
        <w:spacing w:after="0" w:line="256" w:lineRule="auto"/>
        <w:tabs>
          <w:tab w:leader="none" w:pos="12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48" w:lineRule="exact"/>
        <w:rPr>
          <w:rFonts w:ascii="Arial" w:cs="Arial" w:eastAsia="Arial" w:hAnsi="Arial"/>
          <w:sz w:val="18"/>
          <w:szCs w:val="18"/>
          <w:color w:val="auto"/>
        </w:rPr>
      </w:pPr>
    </w:p>
    <w:p>
      <w:pPr>
        <w:ind w:left="920" w:right="380" w:firstLine="421"/>
        <w:spacing w:after="0" w:line="268" w:lineRule="auto"/>
        <w:tabs>
          <w:tab w:leader="none" w:pos="157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37" w:lineRule="exact"/>
        <w:rPr>
          <w:rFonts w:ascii="Arial" w:cs="Arial" w:eastAsia="Arial" w:hAnsi="Arial"/>
          <w:sz w:val="18"/>
          <w:szCs w:val="18"/>
          <w:color w:val="auto"/>
        </w:rPr>
      </w:pPr>
    </w:p>
    <w:p>
      <w:pPr>
        <w:ind w:left="920" w:right="180" w:firstLine="421"/>
        <w:spacing w:after="0" w:line="268" w:lineRule="auto"/>
        <w:tabs>
          <w:tab w:leader="none" w:pos="158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Guarantee of the notes, as the case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23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2"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37" w:lineRule="exact"/>
        <w:rPr>
          <w:rFonts w:ascii="Arial" w:cs="Arial" w:eastAsia="Arial" w:hAnsi="Arial"/>
          <w:sz w:val="18"/>
          <w:szCs w:val="18"/>
          <w:color w:val="auto"/>
        </w:rPr>
      </w:pPr>
    </w:p>
    <w:p>
      <w:pPr>
        <w:ind w:left="1580" w:hanging="239"/>
        <w:spacing w:after="0"/>
        <w:tabs>
          <w:tab w:leader="none" w:pos="158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Indebtedness being refinanced by such Permitted Refinancing Indebtedness was secured by a Lien of equivalent or lesser priority, and</w:t>
      </w:r>
    </w:p>
    <w:p>
      <w:pPr>
        <w:spacing w:after="0" w:line="99" w:lineRule="exact"/>
        <w:rPr>
          <w:rFonts w:ascii="Arial" w:cs="Arial" w:eastAsia="Arial" w:hAnsi="Arial"/>
          <w:sz w:val="16"/>
          <w:szCs w:val="16"/>
          <w:color w:val="auto"/>
        </w:rPr>
      </w:pPr>
    </w:p>
    <w:p>
      <w:pPr>
        <w:ind w:left="920" w:right="300" w:firstLine="421"/>
        <w:spacing w:after="0" w:line="259" w:lineRule="auto"/>
        <w:tabs>
          <w:tab w:leader="none" w:pos="158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45" w:lineRule="exact"/>
        <w:rPr>
          <w:rFonts w:ascii="Arial" w:cs="Arial" w:eastAsia="Arial" w:hAnsi="Arial"/>
          <w:sz w:val="18"/>
          <w:szCs w:val="18"/>
          <w:color w:val="auto"/>
        </w:rPr>
      </w:pPr>
    </w:p>
    <w:p>
      <w:pPr>
        <w:ind w:left="460" w:right="20" w:firstLine="443"/>
        <w:spacing w:after="0" w:line="306" w:lineRule="auto"/>
        <w:tabs>
          <w:tab w:leader="none" w:pos="123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such second paragraph;</w:t>
      </w:r>
    </w:p>
    <w:p>
      <w:pPr>
        <w:spacing w:after="0" w:line="12" w:lineRule="exact"/>
        <w:rPr>
          <w:rFonts w:ascii="Arial" w:cs="Arial" w:eastAsia="Arial" w:hAnsi="Arial"/>
          <w:sz w:val="16"/>
          <w:szCs w:val="16"/>
          <w:color w:val="auto"/>
        </w:rPr>
      </w:pPr>
    </w:p>
    <w:p>
      <w:pPr>
        <w:ind w:left="1240" w:hanging="337"/>
        <w:spacing w:after="0"/>
        <w:tabs>
          <w:tab w:leader="none" w:pos="12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76"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37" w:lineRule="exact"/>
        <w:rPr>
          <w:rFonts w:ascii="Arial" w:cs="Arial" w:eastAsia="Arial" w:hAnsi="Arial"/>
          <w:sz w:val="18"/>
          <w:szCs w:val="18"/>
          <w:color w:val="auto"/>
        </w:rPr>
      </w:pPr>
    </w:p>
    <w:p>
      <w:pPr>
        <w:ind w:left="460" w:right="360" w:firstLine="443"/>
        <w:spacing w:after="0" w:line="325" w:lineRule="auto"/>
        <w:tabs>
          <w:tab w:leader="none" w:pos="123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1" w:lineRule="exact"/>
        <w:rPr>
          <w:rFonts w:ascii="Arial" w:cs="Arial" w:eastAsia="Arial" w:hAnsi="Arial"/>
          <w:sz w:val="16"/>
          <w:szCs w:val="16"/>
          <w:color w:val="auto"/>
        </w:rPr>
      </w:pPr>
    </w:p>
    <w:p>
      <w:pPr>
        <w:ind w:left="460" w:right="100" w:firstLine="443"/>
        <w:spacing w:after="0" w:line="294" w:lineRule="auto"/>
        <w:tabs>
          <w:tab w:leader="none" w:pos="123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21" w:lineRule="exact"/>
        <w:rPr>
          <w:rFonts w:ascii="Arial" w:cs="Arial" w:eastAsia="Arial" w:hAnsi="Arial"/>
          <w:sz w:val="16"/>
          <w:szCs w:val="16"/>
          <w:color w:val="auto"/>
        </w:rPr>
      </w:pPr>
    </w:p>
    <w:p>
      <w:pPr>
        <w:ind w:left="1580" w:hanging="239"/>
        <w:spacing w:after="0"/>
        <w:tabs>
          <w:tab w:leader="none" w:pos="15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76"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45" w:lineRule="exact"/>
        <w:rPr>
          <w:rFonts w:ascii="Arial" w:cs="Arial" w:eastAsia="Arial" w:hAnsi="Arial"/>
          <w:sz w:val="18"/>
          <w:szCs w:val="18"/>
          <w:color w:val="auto"/>
        </w:rPr>
      </w:pPr>
    </w:p>
    <w:p>
      <w:pPr>
        <w:ind w:left="460" w:right="660" w:firstLine="443"/>
        <w:spacing w:after="0" w:line="268" w:lineRule="auto"/>
        <w:tabs>
          <w:tab w:leader="none" w:pos="12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37" w:lineRule="exact"/>
        <w:rPr>
          <w:rFonts w:ascii="Arial" w:cs="Arial" w:eastAsia="Arial" w:hAnsi="Arial"/>
          <w:sz w:val="18"/>
          <w:szCs w:val="18"/>
          <w:color w:val="auto"/>
        </w:rPr>
      </w:pPr>
    </w:p>
    <w:p>
      <w:pPr>
        <w:ind w:left="460" w:right="80" w:firstLine="443"/>
        <w:spacing w:after="0" w:line="259" w:lineRule="auto"/>
        <w:tabs>
          <w:tab w:leader="none" w:pos="123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firstLine="443"/>
        <w:spacing w:after="0" w:line="298" w:lineRule="auto"/>
        <w:tabs>
          <w:tab w:leader="none" w:pos="123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secured Indebtedness at the time of incurrence does not exceed $100.0 million at any one time (collectively for all assets and property subject to such Liens);</w:t>
      </w:r>
    </w:p>
    <w:p>
      <w:pPr>
        <w:spacing w:after="0" w:line="18" w:lineRule="exact"/>
        <w:rPr>
          <w:rFonts w:ascii="Arial" w:cs="Arial" w:eastAsia="Arial" w:hAnsi="Arial"/>
          <w:sz w:val="16"/>
          <w:szCs w:val="16"/>
          <w:color w:val="auto"/>
        </w:rPr>
      </w:pPr>
    </w:p>
    <w:p>
      <w:pPr>
        <w:jc w:val="both"/>
        <w:ind w:left="460" w:right="420" w:firstLine="443"/>
        <w:spacing w:after="0" w:line="259" w:lineRule="auto"/>
        <w:tabs>
          <w:tab w:leader="none" w:pos="12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45"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45" w:lineRule="exact"/>
        <w:rPr>
          <w:rFonts w:ascii="Arial" w:cs="Arial" w:eastAsia="Arial" w:hAnsi="Arial"/>
          <w:sz w:val="18"/>
          <w:szCs w:val="18"/>
          <w:color w:val="auto"/>
        </w:rPr>
      </w:pPr>
    </w:p>
    <w:p>
      <w:pPr>
        <w:ind w:left="1240" w:hanging="337"/>
        <w:spacing w:after="0"/>
        <w:tabs>
          <w:tab w:leader="none" w:pos="12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the event any loans are made directly to Wynn Resorts (Macau), S.A. in accordance with clause (10) of the definition of “Permitted</w:t>
      </w:r>
    </w:p>
    <w:p>
      <w:pPr>
        <w:spacing w:after="0" w:line="38"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Investments,” Liens of any lenders or other providers of Indebtedness to Wynn Resorts (Macau), S.A. on such loans and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Indebtedness or other Obligations secured by any such Lien shall be non-recourse to Wynn Las Vegas and its Restricted Subsidiaries (other than with respect to such loans); and</w:t>
      </w:r>
    </w:p>
    <w:p>
      <w:pPr>
        <w:spacing w:after="0" w:line="49" w:lineRule="exact"/>
        <w:rPr>
          <w:rFonts w:ascii="Arial" w:cs="Arial" w:eastAsia="Arial" w:hAnsi="Arial"/>
          <w:sz w:val="16"/>
          <w:szCs w:val="16"/>
          <w:color w:val="auto"/>
        </w:rPr>
      </w:pPr>
    </w:p>
    <w:p>
      <w:pPr>
        <w:jc w:val="both"/>
        <w:ind w:left="460" w:right="340" w:firstLine="443"/>
        <w:spacing w:after="0" w:line="259" w:lineRule="auto"/>
        <w:tabs>
          <w:tab w:leader="none" w:pos="12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27"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49"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46" w:lineRule="exact"/>
        <w:rPr>
          <w:sz w:val="20"/>
          <w:szCs w:val="20"/>
          <w:color w:val="auto"/>
        </w:rPr>
      </w:pPr>
    </w:p>
    <w:p>
      <w:pPr>
        <w:ind w:left="460" w:firstLine="443"/>
        <w:spacing w:after="0" w:line="255"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48"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45"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taken as a whole, to the Holders of notes as those contained in the documentation governing the Indebtedness being extended, refinanced, renewed, replaced, defeased or refunded; and</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77" w:lineRule="exact"/>
        <w:rPr>
          <w:sz w:val="20"/>
          <w:szCs w:val="20"/>
          <w:color w:val="auto"/>
        </w:rPr>
      </w:pPr>
    </w:p>
    <w:p>
      <w:pPr>
        <w:ind w:left="460" w:right="360" w:firstLine="443"/>
        <w:spacing w:after="0" w:line="325" w:lineRule="auto"/>
        <w:tabs>
          <w:tab w:leader="none" w:pos="1147" w:val="left"/>
        </w:tabs>
        <w:numPr>
          <w:ilvl w:val="0"/>
          <w:numId w:val="182"/>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 or</w:t>
      </w:r>
    </w:p>
    <w:p>
      <w:pPr>
        <w:spacing w:after="0" w:line="1" w:lineRule="exact"/>
        <w:rPr>
          <w:rFonts w:ascii="Arial" w:cs="Arial" w:eastAsia="Arial" w:hAnsi="Arial"/>
          <w:sz w:val="16"/>
          <w:szCs w:val="16"/>
          <w:color w:val="auto"/>
        </w:rPr>
      </w:pPr>
    </w:p>
    <w:p>
      <w:pPr>
        <w:ind w:left="1160" w:hanging="257"/>
        <w:spacing w:after="0"/>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shares of money market, mutual or similar funds which invest exclusively in assets satisfying the requirements of clause (1) of this definition.</w:t>
      </w:r>
    </w:p>
    <w:p>
      <w:pPr>
        <w:spacing w:after="0" w:line="18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“Phase I Completion” </w:t>
      </w:r>
      <w:r>
        <w:rPr>
          <w:rFonts w:ascii="Arial" w:cs="Arial" w:eastAsia="Arial" w:hAnsi="Arial"/>
          <w:sz w:val="18"/>
          <w:szCs w:val="18"/>
          <w:color w:val="auto"/>
        </w:rPr>
        <w:t>will have the meaning given to such term in the Disbursement Agreement, as in effect on the date of the indenture. That definition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Phase I Opening Date has occurred under the Disbursement Agreement;</w:t>
      </w:r>
    </w:p>
    <w:p>
      <w:pPr>
        <w:spacing w:after="0" w:line="76"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Phase I Completion Date, are being withheld from the contractors and subcontractors in accordance with the provisions of the Project documents, (B) amounts being contested in accordance with the Disbursement Agreement, the Credit Agreement and other related financing agreements so long as adequate reserves have been established through an allocation in the Phase I Project anticipated cost report in accordance with any requirements of such financing agreements and (C) amounts payable in respect of the respective Phase I Project punchlist items to the extent not covered by clause (A) above);</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for Phase I Project punchlist items:</w:t>
      </w:r>
    </w:p>
    <w:p>
      <w:pPr>
        <w:spacing w:after="0" w:line="76" w:lineRule="exact"/>
        <w:rPr>
          <w:rFonts w:ascii="Arial" w:cs="Arial" w:eastAsia="Arial" w:hAnsi="Arial"/>
          <w:sz w:val="18"/>
          <w:szCs w:val="18"/>
          <w:color w:val="auto"/>
        </w:rPr>
      </w:pPr>
    </w:p>
    <w:p>
      <w:pPr>
        <w:jc w:val="both"/>
        <w:ind w:left="920" w:right="440" w:firstLine="421"/>
        <w:spacing w:after="0" w:line="259" w:lineRule="auto"/>
        <w:tabs>
          <w:tab w:leader="none" w:pos="157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list of any remaining Phase I Project punchlist items shall have been delivered to the Construction Consultant and the Disbursement Agent by Wynn Las Vegas and approved by the Construction Consultant as a reasonable final punchlist (such approval not to be unreasonably withheld); and</w:t>
      </w:r>
    </w:p>
    <w:p>
      <w:pPr>
        <w:spacing w:after="0" w:line="45" w:lineRule="exact"/>
        <w:rPr>
          <w:rFonts w:ascii="Arial" w:cs="Arial" w:eastAsia="Arial" w:hAnsi="Arial"/>
          <w:sz w:val="18"/>
          <w:szCs w:val="18"/>
          <w:color w:val="auto"/>
        </w:rPr>
      </w:pPr>
    </w:p>
    <w:p>
      <w:pPr>
        <w:ind w:left="920" w:right="260" w:firstLine="421"/>
        <w:spacing w:after="0" w:line="306" w:lineRule="auto"/>
        <w:tabs>
          <w:tab w:leader="none" w:pos="1588"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written agreement with all contractors performing work with respect to Phase I Project punchlist items shall have been entered into by Wynn Las Vegas and such contractors detailing the cost of remaining Project punchlist items and shall have been delivered to the Construction Consultant and the Disbursement Agent by Wynn Las Vegas and approved by the Construction Consultant and the Disbursement Agent;</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Phase I Completion Date;</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in form and substance satisfactory to the agent for the lenders under the Credit Agreement;</w:t>
      </w:r>
    </w:p>
    <w:p>
      <w:pPr>
        <w:spacing w:after="0" w:line="37"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Phase I General Contractor, the contractor under the Golf Course Construction Contract and the parking structure contractor each shall have delivered its completion certificate certifying, among other things, as to “substantial completion” of the work under its construction contract, and certain major architects and designers each shall have delivered its completion certificate, and such certifications shall have been accepted by Wynn Las Vegas in accordance with the Disbursement Agreement; and</w:t>
      </w:r>
    </w:p>
    <w:p>
      <w:pPr>
        <w:spacing w:after="0" w:line="48"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for each contract and subcontract for which a Payment and Performance Bond is required under the Disbursement Agreement and for which Wynn Las Vegas (or the applicable contractor) will release retainage as a result of Phase I Completion being achieved, Wynn Las Vegas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Completion Date</w:t>
      </w:r>
      <w:r>
        <w:rPr>
          <w:rFonts w:ascii="Arial" w:cs="Arial" w:eastAsia="Arial" w:hAnsi="Arial"/>
          <w:sz w:val="18"/>
          <w:szCs w:val="18"/>
          <w:color w:val="auto"/>
        </w:rPr>
        <w:t>” means the date on which Phase I Completion occurs.</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“Phase I Final Completion” </w:t>
      </w:r>
      <w:r>
        <w:rPr>
          <w:rFonts w:ascii="Arial" w:cs="Arial" w:eastAsia="Arial" w:hAnsi="Arial"/>
          <w:sz w:val="18"/>
          <w:szCs w:val="18"/>
          <w:color w:val="auto"/>
        </w:rPr>
        <w:t>will have the meaning given to such term in the Disbursement Agreement, as in effect on the date of the indenture.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Phase I Completion shall have occurred,</w:t>
      </w:r>
    </w:p>
    <w:p>
      <w:pPr>
        <w:spacing w:after="0" w:line="76" w:lineRule="exact"/>
        <w:rPr>
          <w:rFonts w:ascii="Arial" w:cs="Arial" w:eastAsia="Arial" w:hAnsi="Arial"/>
          <w:sz w:val="18"/>
          <w:szCs w:val="18"/>
          <w:color w:val="auto"/>
        </w:rPr>
      </w:pPr>
    </w:p>
    <w:p>
      <w:pPr>
        <w:ind w:left="460" w:right="200" w:firstLine="443"/>
        <w:spacing w:after="0" w:line="347" w:lineRule="auto"/>
        <w:tabs>
          <w:tab w:leader="none" w:pos="1147"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Phase I Project shall have received a permanent certificate of occupancy from the Clark County building department (and copies of such certificates shall have been delivered to the Disbursement Agent, the agent for the lenders under the Credit Agreement and the Construction Consultant),</w:t>
      </w:r>
    </w:p>
    <w:p>
      <w:pPr>
        <w:ind w:left="460" w:right="22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notice of completion has been posted with respect to the Phase I Project and recorded in the Office of the County Recorder of Clark County, Nevada and the statutory period for filing mechanics liens under Nevada law with respect to work performed before filing such notice of completion has expired,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title insurer shall have issued a final 101.6 endorsements insuring the priority of the Liens on the collateral,</w:t>
      </w:r>
    </w:p>
    <w:p>
      <w:pPr>
        <w:spacing w:after="0" w:line="76"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Wynn Las Vegas shall have delivered to the Disbursement Agent and the agent for the lenders under the Credit Agreement its Phase I Final Completion certificate certifying that (a) all Phase I Project punchlist items have been completed, as determined in good faith by the Board of Directors of Wynn Capital and (b) Wynn Las Vegas has settled with the contractors all claims for payments and amounts due under the construction contracts and Wynn Las Vegas has received a final lien release from each contractor and subcontractor as required under the Disbursement Agreement,</w:t>
      </w:r>
    </w:p>
    <w:p>
      <w:pPr>
        <w:spacing w:after="0" w:line="18" w:lineRule="exact"/>
        <w:rPr>
          <w:rFonts w:ascii="Arial" w:cs="Arial" w:eastAsia="Arial" w:hAnsi="Arial"/>
          <w:sz w:val="16"/>
          <w:szCs w:val="16"/>
          <w:color w:val="auto"/>
        </w:rPr>
      </w:pPr>
    </w:p>
    <w:p>
      <w:pPr>
        <w:ind w:left="460" w:right="52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Construction Consultant, the Phase I Project architect and the Phase I General Contractor each shall have delivered its Phase I Final Completion certificate and Wynn Las Vegas and the Construction Consultant shall have accepted the Phase I General Contractor’s Final Completion certificate in accordance with the Disbursement Agreement,</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Wynn Las Vegas shall have delivered to the agent for the lenders under the Credit Agreement and the Construction Consultant an “as built survey” of the Phase I Project, and</w:t>
      </w:r>
    </w:p>
    <w:p>
      <w:pPr>
        <w:spacing w:after="0" w:line="37"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Wynn Las Vegas shall have delivered from the surety under each Payment and Performance Bond, as required under the Disbursement Agreement, a “Consent of Surety to Final Payment” (AIA form G707).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Final Completion Date</w:t>
      </w:r>
      <w:r>
        <w:rPr>
          <w:rFonts w:ascii="Arial" w:cs="Arial" w:eastAsia="Arial" w:hAnsi="Arial"/>
          <w:sz w:val="18"/>
          <w:szCs w:val="18"/>
          <w:color w:val="auto"/>
        </w:rPr>
        <w:t>” means the date on which Phase I Final Completion occurs.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General Contractor</w:t>
      </w:r>
      <w:r>
        <w:rPr>
          <w:rFonts w:ascii="Arial" w:cs="Arial" w:eastAsia="Arial" w:hAnsi="Arial"/>
          <w:sz w:val="18"/>
          <w:szCs w:val="18"/>
          <w:color w:val="auto"/>
        </w:rPr>
        <w:t>” means Marnell Corrao Associates, Inc.,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Key Project Documents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Golf Course Construction Contract,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Payment and Performance Bond,</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Disbursement Agreement (or, if the covenant described above under the caption “—Certain Covenants— Amendments to Certain Agreements” is applicable thereto, as amended, modified or otherwise supplemented in any manner that is not in contravention of that covenant).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Phase I Land</w:t>
      </w:r>
      <w:r>
        <w:rPr>
          <w:rFonts w:ascii="Arial" w:cs="Arial" w:eastAsia="Arial" w:hAnsi="Arial"/>
          <w:sz w:val="15"/>
          <w:szCs w:val="15"/>
          <w:color w:val="auto"/>
        </w:rPr>
        <w:t>” means that portion of the Project Site described in an exhibit to the Disbursement Agreement, as in effect on the date of the indenture, together with all improvements thereon and all rights appurtenant thereto on which the Phase I Project will be designed, developed, constructed and operated.</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Minimum Facilities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120 table games,</w:t>
      </w:r>
    </w:p>
    <w:p>
      <w:pPr>
        <w:spacing w:after="0" w:line="76" w:lineRule="exact"/>
        <w:rPr>
          <w:rFonts w:ascii="Arial" w:cs="Arial" w:eastAsia="Arial" w:hAnsi="Arial"/>
          <w:sz w:val="18"/>
          <w:szCs w:val="18"/>
          <w:color w:val="auto"/>
        </w:rPr>
      </w:pPr>
    </w:p>
    <w:p>
      <w:pPr>
        <w:ind w:left="460" w:right="80" w:firstLine="443"/>
        <w:spacing w:after="0" w:line="298"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8" w:lineRule="exact"/>
        <w:rPr>
          <w:rFonts w:ascii="Arial" w:cs="Arial" w:eastAsia="Arial" w:hAnsi="Arial"/>
          <w:sz w:val="16"/>
          <w:szCs w:val="16"/>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 hotel with at least 2,565 guest rooms and suites,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142 acres of the Project Site.</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Opening Date</w:t>
      </w:r>
      <w:r>
        <w:rPr>
          <w:rFonts w:ascii="Arial" w:cs="Arial" w:eastAsia="Arial" w:hAnsi="Arial"/>
          <w:sz w:val="18"/>
          <w:szCs w:val="18"/>
          <w:color w:val="auto"/>
        </w:rPr>
        <w:t>” means the date on which all or any portion of the Phase I Project is open for business, and the opening conditions set forth in the Disbursement Agreement have been satisfied.</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Outside Completion Deadline</w:t>
      </w:r>
      <w:r>
        <w:rPr>
          <w:rFonts w:ascii="Arial" w:cs="Arial" w:eastAsia="Arial" w:hAnsi="Arial"/>
          <w:sz w:val="18"/>
          <w:szCs w:val="18"/>
          <w:color w:val="auto"/>
        </w:rPr>
        <w:t>” means December 31, 2005 (as such date may be extended for the same number of days as the outside Phase I completion date is extended under the Disbursement Agreement, as in effect on the date of the indenture, due to the occurrence of any force majeure event as defined therein on such date).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w:t>
      </w:r>
      <w:r>
        <w:rPr>
          <w:rFonts w:ascii="Arial" w:cs="Arial" w:eastAsia="Arial" w:hAnsi="Arial"/>
          <w:sz w:val="18"/>
          <w:szCs w:val="18"/>
          <w:color w:val="auto"/>
        </w:rPr>
        <w:t>” means Wynn Las Vegas hotel and casino resort, a large scale luxury hotel and destination casino resort, with related parking structure and golf course facilities currently under development on the Project Site, all as more particularly described in the indenture and the applicable exhibit to the Disbursement Agreement, as in effect on the date of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 Budget</w:t>
      </w:r>
      <w:r>
        <w:rPr>
          <w:rFonts w:ascii="Arial" w:cs="Arial" w:eastAsia="Arial" w:hAnsi="Arial"/>
          <w:sz w:val="18"/>
          <w:szCs w:val="18"/>
          <w:color w:val="auto"/>
        </w:rPr>
        <w:t>” means the Phase I Project Budget attached as an exhibit to the Disbursement Agreement.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w:t>
      </w:r>
      <w:r>
        <w:rPr>
          <w:rFonts w:ascii="Arial" w:cs="Arial" w:eastAsia="Arial" w:hAnsi="Arial"/>
          <w:sz w:val="18"/>
          <w:szCs w:val="18"/>
          <w:color w:val="auto"/>
        </w:rPr>
        <w:t>” will have the meaning given that term in the Disbursement Agreement. That 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Phase II Opening Date has occurred under the Disbursement Agreement;</w:t>
      </w:r>
    </w:p>
    <w:p>
      <w:pPr>
        <w:spacing w:after="0" w:line="76" w:lineRule="exact"/>
        <w:rPr>
          <w:rFonts w:ascii="Arial" w:cs="Arial" w:eastAsia="Arial" w:hAnsi="Arial"/>
          <w:sz w:val="18"/>
          <w:szCs w:val="18"/>
          <w:color w:val="auto"/>
        </w:rPr>
      </w:pPr>
    </w:p>
    <w:p>
      <w:pPr>
        <w:ind w:left="460" w:right="80" w:firstLine="443"/>
        <w:spacing w:after="0" w:line="318" w:lineRule="auto"/>
        <w:tabs>
          <w:tab w:leader="none" w:pos="1147" w:val="left"/>
        </w:tabs>
        <w:numPr>
          <w:ilvl w:val="0"/>
          <w:numId w:val="187"/>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Phase II Completion Date, are being withheld from the contractors and subcontractors in accordance with the provisions of the Project documents, (B) amounts being contested in accordance with the Disbursement Agreement, the Credit Agreement and other related financing agreements so long as adequate reserves have been established through an allocation in the Phase II Project anticipated cost report in accordance with any requirements of such financing agreements and (C) amounts payable in respect of the respective Phase II Project punchlist items to the extent not covered by clause (A) above);</w:t>
      </w:r>
    </w:p>
    <w:p>
      <w:pPr>
        <w:spacing w:after="0" w:line="5" w:lineRule="exact"/>
        <w:rPr>
          <w:rFonts w:ascii="Arial" w:cs="Arial" w:eastAsia="Arial" w:hAnsi="Arial"/>
          <w:sz w:val="15"/>
          <w:szCs w:val="15"/>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for Phase II Project punchlist items:</w:t>
      </w:r>
    </w:p>
    <w:p>
      <w:pPr>
        <w:spacing w:after="0" w:line="76" w:lineRule="exact"/>
        <w:rPr>
          <w:rFonts w:ascii="Arial" w:cs="Arial" w:eastAsia="Arial" w:hAnsi="Arial"/>
          <w:sz w:val="18"/>
          <w:szCs w:val="18"/>
          <w:color w:val="auto"/>
        </w:rPr>
      </w:pPr>
    </w:p>
    <w:p>
      <w:pPr>
        <w:ind w:left="920" w:right="380" w:firstLine="421"/>
        <w:spacing w:after="0" w:line="259" w:lineRule="auto"/>
        <w:tabs>
          <w:tab w:leader="none" w:pos="1579"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list of any remaining Phase II Project punchlist items shall have been delivered to the Construction Consultant and the Disbursement Agent by Wynn Las Vegas and approved by the Construction Consultant as a reasonable final punchlist (such approval not to be unreasonably withheld);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firstLine="421"/>
        <w:spacing w:after="0" w:line="306" w:lineRule="auto"/>
        <w:tabs>
          <w:tab w:leader="none" w:pos="1588" w:val="left"/>
        </w:tabs>
        <w:numPr>
          <w:ilvl w:val="1"/>
          <w:numId w:val="188"/>
        </w:numPr>
        <w:rPr>
          <w:rFonts w:ascii="Arial" w:cs="Arial" w:eastAsia="Arial" w:hAnsi="Arial"/>
          <w:sz w:val="16"/>
          <w:szCs w:val="16"/>
          <w:color w:val="auto"/>
        </w:rPr>
      </w:pPr>
      <w:r>
        <w:rPr>
          <w:rFonts w:ascii="Arial" w:cs="Arial" w:eastAsia="Arial" w:hAnsi="Arial"/>
          <w:sz w:val="16"/>
          <w:szCs w:val="16"/>
          <w:color w:val="auto"/>
        </w:rPr>
        <w:t>a written agreement with all contractors performing work with respect to Phase II Project punchlist items shall have been entered into by Wynn Las Vegas and such contractors detailing the cost of remaining Project punchlist items and shall have been delivered to the Construction Consultant and the Disbursement Agent by Wynn Las Vegas and approved by the Construction Consultant and the Disbursement Agent;</w:t>
      </w:r>
    </w:p>
    <w:p>
      <w:pPr>
        <w:spacing w:after="0" w:line="12"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Phase II Completion Date;</w:t>
      </w:r>
    </w:p>
    <w:p>
      <w:pPr>
        <w:spacing w:after="0" w:line="37"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in form and substance satisfactory to the agent for the lenders under the Credit Agreement;</w:t>
      </w:r>
    </w:p>
    <w:p>
      <w:pPr>
        <w:spacing w:after="0" w:line="37"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general contractor for the Phase II Project shall have delivered its completion certificate certifying, among other things, as to “substantial completion” of the work under its construction contract, and certain major architects and designers each shall have delivered its completion certificate, and such certifications shall have been accepted by Wynn Las Vegas in accordance with the Disbursement Agreement; and</w:t>
      </w:r>
    </w:p>
    <w:p>
      <w:pPr>
        <w:spacing w:after="0" w:line="12"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for each contract and subcontract for which a Payment and Performance Bond is required under the Disbursement Agreement and for which Wynn Las Vegas (or the applicable contractor) will release retainage as a result of Phase II Completion being achieved, Wynn Las Vegas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 Date</w:t>
      </w:r>
      <w:r>
        <w:rPr>
          <w:rFonts w:ascii="Arial" w:cs="Arial" w:eastAsia="Arial" w:hAnsi="Arial"/>
          <w:sz w:val="18"/>
          <w:szCs w:val="18"/>
          <w:color w:val="auto"/>
        </w:rPr>
        <w:t>” means the date on which Phase II Completion occurs.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will have the meaning given that term in the Disbursement Agreement. That definition is expected to include the requirement that each of the following has occurred:</w:t>
      </w:r>
    </w:p>
    <w:p>
      <w:pPr>
        <w:spacing w:after="0" w:line="37" w:lineRule="exact"/>
        <w:rPr>
          <w:sz w:val="20"/>
          <w:szCs w:val="20"/>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Phase II Completion shall have occurred,</w:t>
      </w:r>
    </w:p>
    <w:p>
      <w:pPr>
        <w:spacing w:after="0" w:line="76" w:lineRule="exact"/>
        <w:rPr>
          <w:rFonts w:ascii="Arial" w:cs="Arial" w:eastAsia="Arial" w:hAnsi="Arial"/>
          <w:sz w:val="18"/>
          <w:szCs w:val="18"/>
          <w:color w:val="auto"/>
        </w:rPr>
      </w:pPr>
    </w:p>
    <w:p>
      <w:pPr>
        <w:ind w:left="460" w:right="200" w:firstLine="443"/>
        <w:spacing w:after="0" w:line="347" w:lineRule="auto"/>
        <w:tabs>
          <w:tab w:leader="none" w:pos="114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the Phase II Project shall have received a permanent certificate of occupancy from the Clark County building department (and copies of such certificates shall have been delivered to the Disbursement Agent, the agent for the lenders under the Credit Agreement and the Construction Consultant),</w:t>
      </w:r>
    </w:p>
    <w:p>
      <w:pPr>
        <w:jc w:val="both"/>
        <w:ind w:left="460" w:right="22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notice of completion has been posted with respect to the Phase II Project and recorded in the Office of the County Recorder of Clark County, Nevada and the statutory period for filing mechanics liens under Nevada law with respect to work performed before filing such notice of completion has expired,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title insurer shall have issued a final 101.6 endorsements insuring the priority of the Liens on the collateral,</w:t>
      </w:r>
    </w:p>
    <w:p>
      <w:pPr>
        <w:spacing w:after="0" w:line="76"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Wynn Las Vegas shall have delivered to the Disbursement Agent and the agent for the lenders under the Credit Agreement its Phase II Final Completion certificate certifying that (a) all Phase II Project punchlist items have been completed, and (b) Wynn Las Vegas has settled with the contractors all claims for payments and amounts due under the construction contracts and Wynn Las Vegas has received a final lien release from each contractor and subcontractor as required under the Disbursement Agreement,</w:t>
      </w:r>
    </w:p>
    <w:p>
      <w:pPr>
        <w:spacing w:after="0" w:line="48"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Construction Consultant, the Phase II Project architect and the general contractor for the Phase II Project each shall have delivered its Phase II Final Completion certificate and Wynn Las Vegas and the Construction Consultant shall have accepted the Phase II Final Completion certificate of the general contractor for the Phase II Project in accordance with the Disbursement Agreement,</w:t>
      </w:r>
    </w:p>
    <w:p>
      <w:pPr>
        <w:spacing w:after="0" w:line="45"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Wynn Las Vegas shall have delivered to the agent for the lenders under the Credit Agreement and the Construction Consultant an “as built survey” of the Phase II Project,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2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Wynn Las Vegas shall have delivered from the surety under each Payment and Performance Bond, as required under the Disbursement Agreement, a “Consent of Surety to Final Payment” (AIA form G707).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5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Opening Date</w:t>
      </w:r>
      <w:r>
        <w:rPr>
          <w:rFonts w:ascii="Arial" w:cs="Arial" w:eastAsia="Arial" w:hAnsi="Arial"/>
          <w:sz w:val="18"/>
          <w:szCs w:val="18"/>
          <w:color w:val="auto"/>
        </w:rPr>
        <w:t>” means the date on which all or any portion of the Phase II Project is open for business, and the opening conditions set forth in the Disbursement Agreement have been satisfied.</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Outside Completion Deadline</w:t>
      </w:r>
      <w:r>
        <w:rPr>
          <w:rFonts w:ascii="Arial" w:cs="Arial" w:eastAsia="Arial" w:hAnsi="Arial"/>
          <w:sz w:val="16"/>
          <w:szCs w:val="16"/>
          <w:color w:val="auto"/>
        </w:rPr>
        <w:t>” means, if the Phase II Project Budget and the Phase II Plans and Specifications are approved in accordance with the Disbursement Agreement, March 31, 2008, as that date may be extended from time to time pursuant to the Disbursement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Project</w:t>
      </w:r>
      <w:r>
        <w:rPr>
          <w:rFonts w:ascii="Arial" w:cs="Arial" w:eastAsia="Arial" w:hAnsi="Arial"/>
          <w:sz w:val="16"/>
          <w:szCs w:val="16"/>
          <w:color w:val="auto"/>
        </w:rPr>
        <w:t>” means the hotel tower, casino facility and retail and convention space to be constructed on the Phase II Land that will be part of Wynn Las Vegas and tentatively called “Encore at Wynn Las Vegas,” as more particularly described in the applicable exhibit to the Disbursement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to be approved in accordance with the Disbursement Agreement.</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Projects at any time, all of the assets then in use related to either the Phase I Project or the Phase II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either the Phase I Project or the Phase II Project.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18" w:lineRule="exact"/>
        <w:rPr>
          <w:sz w:val="20"/>
          <w:szCs w:val="20"/>
          <w:color w:val="auto"/>
        </w:rPr>
      </w:pPr>
    </w:p>
    <w:p>
      <w:pPr>
        <w:ind w:right="360" w:firstLine="456"/>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Project Related Indebtedness</w:t>
      </w:r>
      <w:r>
        <w:rPr>
          <w:rFonts w:ascii="Arial" w:cs="Arial" w:eastAsia="Arial" w:hAnsi="Arial"/>
          <w:sz w:val="16"/>
          <w:szCs w:val="16"/>
          <w:color w:val="auto"/>
        </w:rPr>
        <w:t>” means Indebtedness for borrowed money incurred by Wynn Resorts, the proceeds of which are contributed, directly or indirectly, as common equity capital to Wynn Las Vegas and its Restricted Subsidiaries, so long as neither Issuer nor any Restricted Subsidiary:</w:t>
      </w:r>
    </w:p>
    <w:p>
      <w:pPr>
        <w:spacing w:after="0" w:line="1" w:lineRule="exact"/>
        <w:rPr>
          <w:sz w:val="20"/>
          <w:szCs w:val="20"/>
          <w:color w:val="auto"/>
        </w:rPr>
      </w:pPr>
    </w:p>
    <w:p>
      <w:pPr>
        <w:ind w:left="460" w:right="76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provides credit support of any kind (including any undertaking, agreement or instrument that would constitute Indebtedness) as to such Indebtedness,</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15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217-acre site upon which the Projects will be located, together with all easements, licenses and other rights running for the benefit of Wynn Las Vegas or any of the Restricted Subsidiaries and/or appurtenant thereto, and all as more particularly described in the exhibit captioned “Project Site” in the indenture.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Phase I Project and the Phase II Project.</w:t>
      </w:r>
    </w:p>
    <w:p>
      <w:pPr>
        <w:spacing w:after="0" w:line="15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Appraiser</w:t>
      </w:r>
      <w:r>
        <w:rPr>
          <w:rFonts w:ascii="Arial" w:cs="Arial" w:eastAsia="Arial" w:hAnsi="Arial"/>
          <w:sz w:val="16"/>
          <w:szCs w:val="16"/>
          <w:color w:val="auto"/>
        </w:rPr>
        <w:t>” means a nationally-recognized independent third party appraisal firm with experience appraising real and personal property and other gaming assets of the type comprising the Collateral securing the notes and the Indebtedness under the Credit Agreement.</w:t>
      </w:r>
    </w:p>
    <w:p>
      <w:pPr>
        <w:spacing w:after="0" w:line="7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common equity contribution to Wynn Las Vegas.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77"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9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funds securing the Completion Guarantee (initially, $50.0 million) and the funds deposited in the Liquidity Reserve Account (initially, $30.0 million). Any such item of Collateral shall cease to be a Released Asset in the event, and to the extent, that Wynn Las Vegas or any of the Restricted Subsidiaries is required to grant a security interest therein in favor of the trustee to secure the notes or a Guarantee of the notes pursuant to the covenants described above under the captions “—Security—Release of Collateral” and “—Security—Release of Portions of the Golf Course Land.”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5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i w:val="1"/>
          <w:iCs w:val="1"/>
          <w:color w:val="auto"/>
        </w:rPr>
        <w:t>econd Mortgage Notes</w:t>
      </w:r>
      <w:r>
        <w:rPr>
          <w:rFonts w:ascii="Arial" w:cs="Arial" w:eastAsia="Arial" w:hAnsi="Arial"/>
          <w:sz w:val="15"/>
          <w:szCs w:val="15"/>
          <w:color w:val="auto"/>
        </w:rPr>
        <w:t>” means the 12% Second Mortgage Notes due 2010 of the Issuers issued pursuant to an indenture, dated as of October 30, 2002.</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77" w:lineRule="exact"/>
        <w:rPr>
          <w:sz w:val="20"/>
          <w:szCs w:val="20"/>
          <w:color w:val="auto"/>
        </w:rPr>
      </w:pPr>
    </w:p>
    <w:p>
      <w:pPr>
        <w:ind w:left="460" w:right="36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Security Agreement, dated as of the date of the indenture, among the Issuers, the Restricted Subsidiaries, Wynn Resorts Holdings and the collateral agent, and</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between Wynn Golf and Wynn Las Vegas, as amended, modified or otherwise supplemented from time to time in any manner that is not in contravention of the covenant described above under the caption “— Certain Covenants—Amendments to Certain Agreements.”</w:t>
      </w:r>
    </w:p>
    <w:p>
      <w:pPr>
        <w:spacing w:after="0" w:line="12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77" w:lineRule="exact"/>
        <w:rPr>
          <w:sz w:val="20"/>
          <w:szCs w:val="20"/>
          <w:color w:val="auto"/>
        </w:rPr>
      </w:pPr>
    </w:p>
    <w:p>
      <w:pPr>
        <w:ind w:left="460" w:right="180" w:firstLine="443"/>
        <w:spacing w:after="0" w:line="298"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8" w:lineRule="exact"/>
        <w:rPr>
          <w:rFonts w:ascii="Arial" w:cs="Arial" w:eastAsia="Arial" w:hAnsi="Arial"/>
          <w:sz w:val="16"/>
          <w:szCs w:val="16"/>
          <w:color w:val="auto"/>
        </w:rPr>
      </w:pPr>
    </w:p>
    <w:p>
      <w:pPr>
        <w:ind w:left="460" w:right="20" w:firstLine="443"/>
        <w:spacing w:after="0" w:line="325" w:lineRule="auto"/>
        <w:tabs>
          <w:tab w:leader="none" w:pos="114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1"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Restrictive Subsidiaries that are Pass Through Entities for such period, so long as all items of income, gain, loss or deduction required to be stated separately pursuant to Section 703(a)(1) of the Code are included in taxable income or loss.</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October 30,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12" w:lineRule="exact"/>
        <w:rPr>
          <w:sz w:val="20"/>
          <w:szCs w:val="20"/>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76" w:lineRule="exact"/>
        <w:rPr>
          <w:rFonts w:ascii="Arial" w:cs="Arial" w:eastAsia="Arial" w:hAnsi="Arial"/>
          <w:sz w:val="18"/>
          <w:szCs w:val="18"/>
          <w:color w:val="auto"/>
        </w:rPr>
      </w:pPr>
    </w:p>
    <w:p>
      <w:pPr>
        <w:ind w:left="460" w:right="20" w:firstLine="443"/>
        <w:spacing w:after="0" w:line="294"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first paragraph of the covenant described above under the caption “—Certain Covenants—Transactions with Affiliates”;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37" w:lineRule="exact"/>
        <w:rPr>
          <w:rFonts w:ascii="Arial" w:cs="Arial" w:eastAsia="Arial" w:hAnsi="Arial"/>
          <w:sz w:val="18"/>
          <w:szCs w:val="18"/>
          <w:color w:val="auto"/>
        </w:rPr>
      </w:pPr>
    </w:p>
    <w:p>
      <w:pPr>
        <w:jc w:val="both"/>
        <w:ind w:left="460" w:right="460" w:firstLine="443"/>
        <w:spacing w:after="0" w:line="370" w:lineRule="auto"/>
        <w:tabs>
          <w:tab w:leader="none" w:pos="114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in the election of the Board of Directors of such Person.</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Show Entertainment Production Agreement</w:t>
      </w:r>
      <w:r>
        <w:rPr>
          <w:rFonts w:ascii="Arial" w:cs="Arial" w:eastAsia="Arial" w:hAnsi="Arial"/>
          <w:sz w:val="16"/>
          <w:szCs w:val="16"/>
          <w:color w:val="auto"/>
        </w:rPr>
        <w:t>” means the Agreement, dated January 25, 2001, between Wynn Resorts Holdings and Calitri Services and Licensing Limited Liability Company, as amended, modified or otherwise supplemented from time to time in any manner that is not in contravention of the covenant described above under the caption “—Certain Covenants—Amendments to Certain Agreements.”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77" w:lineRule="exact"/>
        <w:rPr>
          <w:sz w:val="20"/>
          <w:szCs w:val="20"/>
          <w:color w:val="auto"/>
        </w:rPr>
      </w:pPr>
    </w:p>
    <w:p>
      <w:pPr>
        <w:jc w:val="both"/>
        <w:ind w:left="46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 Agreement</w:t>
      </w:r>
      <w:r>
        <w:rPr>
          <w:rFonts w:ascii="Arial" w:cs="Arial" w:eastAsia="Arial" w:hAnsi="Arial"/>
          <w:sz w:val="18"/>
          <w:szCs w:val="18"/>
          <w:color w:val="auto"/>
        </w:rPr>
        <w:t>” means the Agreement for Project Administration Services, dated as of October 30, 2002,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40"/>
          </w:cols>
          <w:pgMar w:left="240" w:top="460" w:right="3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CREDIT FACILITIES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14, 2004, we entered into a credit agreement and related ancillary agreements with Deutsche Bank Securities Inc., Deutsche Bank Trust Company Americas (referred to herein as Deutsche Bank), Banc of America Securities LLC, Bank of America, N.A., Bear Stearns Corporate Lending Inc., Bear, Stearns &amp; Co. Inc., JPMorgan Chase Bank, N.A., J.P. Morgan Securities Inc., JPMorgan Chase Bank, N.A., Société Générale and SG Americas Securities, LLC, for secured revolving credit and term loan facilities in the aggregate amount of $1.0 billion. This following summary is qualified in its entirety by reference to the credit agreement, as amended.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credit facilities are comprised of the following:</w:t>
      </w:r>
    </w:p>
    <w:p>
      <w:pPr>
        <w:spacing w:after="0" w:line="77" w:lineRule="exact"/>
        <w:rPr>
          <w:sz w:val="20"/>
          <w:szCs w:val="20"/>
          <w:color w:val="auto"/>
        </w:rPr>
      </w:pPr>
    </w:p>
    <w:p>
      <w:pPr>
        <w:ind w:left="900" w:right="440" w:hanging="446"/>
        <w:spacing w:after="0" w:line="268"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senior secured revolving credit facility in the amount of $600 million that will terminate and be payable in full on the fifth anniversary of the closing date, and a portion of which may be used for letters of credit;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senior secured term loan facility in the amount of $400 million that will mature on the seventh anniversary of the closing date.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accordance with the credit agreement, we drew half of the term loans by February 14, 2005 and the remaining half of the term loans by March 14, 2005.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pay a 1.0% premium on certain prepayments of our term loans made prior to December 14, 2005.</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amount available under the credit facilities will be reduced by $550.0 million if the Encore Budget, Plans and Specifications have not been approved by a majority of the arrangers or a majority of the lenders under the credit facilities by June 30, 2005. This may result in a reduction of availability under the revolving credit facility, prepayment of loans under the term loan facility or any combination of the two.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Payments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loans will be amortized through the date of maturity for the term loan facility according to the following schedule:</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initial term loan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4400" w:type="dxa"/>
            <w:vAlign w:val="bottom"/>
            <w:gridSpan w:val="3"/>
          </w:tcPr>
          <w:p>
            <w:pPr>
              <w:jc w:val="center"/>
              <w:ind w:left="2999"/>
              <w:spacing w:after="0"/>
              <w:rPr>
                <w:sz w:val="20"/>
                <w:szCs w:val="20"/>
                <w:color w:val="auto"/>
              </w:rPr>
            </w:pPr>
            <w:r>
              <w:rPr>
                <w:rFonts w:ascii="Arial" w:cs="Arial" w:eastAsia="Arial" w:hAnsi="Arial"/>
                <w:sz w:val="14"/>
                <w:szCs w:val="14"/>
                <w:b w:val="1"/>
                <w:bCs w:val="1"/>
                <w:color w:val="auto"/>
                <w:w w:val="88"/>
              </w:rPr>
              <w:t>principal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Date of maturity for term loan facility</w:t>
            </w:r>
          </w:p>
        </w:tc>
        <w:tc>
          <w:tcPr>
            <w:tcW w:w="4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Fees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purposes of calculating interest, loans under the credit facilities will be designated, at our election, as Eurodollar Loans or, in certain circumstances, Base Rate Loans.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Eurodollar Loans bear interest at the interbank eurocurrency rate, adjusted for reserves, plus a borrowing margin as described below. Interest on Eurodollar Loans shall be payable at the end of the applicable interest period in the case of interest periods of one, two or three months and every three months in the case of interest periods of six months or longer.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Base Rate Loans bear interest at (a) the greater of (i) the rate most recently announced by Deutsche Bank as its “prime rate” or (ii) the Federal Funds Rate plus ½ of 1% per annum; plus (b) a borrowing margin as described below. Interest on Base Rate Loans is payable quarterly in arrears. The applicable borrowing margins for the credit facilities which, in the case of our revolving credit facility, subject to certain conditions, will remain in effect until September 30, 2005, are as follows: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2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Eurodollar</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Base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Loans</w:t>
            </w:r>
          </w:p>
        </w:tc>
        <w:tc>
          <w:tcPr>
            <w:tcW w:w="3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2.250%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Term Loan Facility</w:t>
            </w:r>
          </w:p>
        </w:tc>
        <w:tc>
          <w:tcPr>
            <w:tcW w:w="4260" w:type="dxa"/>
            <w:vAlign w:val="bottom"/>
            <w:gridSpan w:val="3"/>
          </w:tcPr>
          <w:p>
            <w:pPr>
              <w:jc w:val="right"/>
              <w:ind w:right="360"/>
              <w:spacing w:after="0"/>
              <w:rPr>
                <w:sz w:val="20"/>
                <w:szCs w:val="20"/>
                <w:color w:val="auto"/>
              </w:rPr>
            </w:pPr>
            <w:r>
              <w:rPr>
                <w:rFonts w:ascii="Arial" w:cs="Arial" w:eastAsia="Arial" w:hAnsi="Arial"/>
                <w:sz w:val="18"/>
                <w:szCs w:val="18"/>
                <w:color w:val="auto"/>
              </w:rPr>
              <w:t>2.125%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certain conditions, beginning September 30, 2005, the applicable borrowing margins for revolving loans will be determined by reference to a grid based on our leverage ratio. If such conditions have not been met, the applicable borrowing margins for revolving loans will not be determined by reference to such grid until a later date.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annual fee we are required to pay for unborrowed availability under the revolving credit facility will be determined by a grid to be determined based on our leverage ratio. For unborrowed amounts under the term loan facility, we will pay, quarterly in arrears, 1.00% per annum on the daily average of the unborrowed amounts under the term loan facility.</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Letters of credit issued pursuant to the credit facilities will accrue fees at the borrowing margins payable on Eurodollar Loans as described above, plus a customary fronting fee.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credit facilities are our obligations and are guaranteed by each of our subsidiaries, other than Wynn Completion Guarantor, LLC. Each guarantee of our obligations under the credit facilities is secured by a security interest in substantially all of the guarantors’ existing and future assets (except World Travel, LLC’s aircraft), and ranks pari passu in right of payment with any existing and future senior indebtedness of such guarantors, including indebtedness with respect to the notes. In addition, each guarantee ranks senior in right of payment to all of the existing and future subordinated indebtedness of each guarantor.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Subject to the amended and restated intercreditor agreement, and certain exceptions, compliance with all applicable laws, including gaming laws and regulations, permitted liens and obtaining any necessary regulatory approvals, our obligations under the credit facilities and of each of the guarantors under the guarantee are secured by:</w:t>
      </w:r>
    </w:p>
    <w:p>
      <w:pPr>
        <w:spacing w:after="0" w:line="46" w:lineRule="exact"/>
        <w:rPr>
          <w:sz w:val="20"/>
          <w:szCs w:val="20"/>
          <w:color w:val="auto"/>
        </w:rPr>
      </w:pPr>
    </w:p>
    <w:p>
      <w:pPr>
        <w:ind w:left="900" w:right="60" w:hanging="446"/>
        <w:spacing w:after="0" w:line="290"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 first priority security interest in the liquidity reserve account, which may be used to pay costs for the completion of the construction and opening of Wynn Las Vegas and, after the completion of Wynn Las Vegas, to meet our debt service needs in connection with the operation of Wynn Las Vegas. Amounts on deposit in the liquidity reserve account will be applied to the costs of the design, construction and operation of Wynn Las Vegas in accordance with the disbursement agreement. After we have met certain targets for earnings before interest, taxes, depreciation and amortization for a period of two full consecutive fiscal quarters after Wynn Las Vegas opens, but in no event prior to the later of December 31, 2005 and the final completion date of Wynn Las Vegas, so long as no event of default shall then exist, any remaining amounts in the liquidity reserve account will be used to reduce the outstanding balance of the revolving credit facility without reducing the revolving credit facility commitment;</w:t>
      </w:r>
    </w:p>
    <w:p>
      <w:pPr>
        <w:spacing w:after="0" w:line="23" w:lineRule="exact"/>
        <w:rPr>
          <w:rFonts w:ascii="Arial" w:cs="Arial" w:eastAsia="Arial" w:hAnsi="Arial"/>
          <w:sz w:val="16"/>
          <w:szCs w:val="16"/>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first priority pledge of all of our equity interests (other than our equity interest in Wynn Completion Guarantor, LLC);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318" w:lineRule="auto"/>
        <w:tabs>
          <w:tab w:leader="none" w:pos="900" w:val="left"/>
        </w:tabs>
        <w:numPr>
          <w:ilvl w:val="0"/>
          <w:numId w:val="202"/>
        </w:numPr>
        <w:rPr>
          <w:rFonts w:ascii="Arial" w:cs="Arial" w:eastAsia="Arial" w:hAnsi="Arial"/>
          <w:sz w:val="15"/>
          <w:szCs w:val="15"/>
          <w:color w:val="auto"/>
        </w:rPr>
      </w:pPr>
      <w:r>
        <w:rPr>
          <w:rFonts w:ascii="Arial" w:cs="Arial" w:eastAsia="Arial" w:hAnsi="Arial"/>
          <w:sz w:val="15"/>
          <w:szCs w:val="15"/>
          <w:color w:val="auto"/>
        </w:rPr>
        <w:t>first mortgages on all real property constituting Wynn Las Vegas and Encore, including the 20-acre parcel located next to Wynn Las Vegas upon which we plan to develop Encore and the golf course parcel, as well as substantially all appurtenant rights we or our subsidiaries own related to the development, construction and operation of Wynn Las Vegas and Encore, subject to release of the golf course parcel and certain other assets upon meeting certain maximum leverage tests, minimum earnings before interest, taxes, depreciation and amortization requirements and minimum credit ratings after opening, in each case as may be applicable, and releases related to certain dispositions permitted by the credit facilities; and</w:t>
      </w:r>
    </w:p>
    <w:p>
      <w:pPr>
        <w:spacing w:after="0" w:line="5" w:lineRule="exact"/>
        <w:rPr>
          <w:rFonts w:ascii="Arial" w:cs="Arial" w:eastAsia="Arial" w:hAnsi="Arial"/>
          <w:sz w:val="15"/>
          <w:szCs w:val="15"/>
          <w:color w:val="auto"/>
        </w:rPr>
      </w:pPr>
    </w:p>
    <w:p>
      <w:pPr>
        <w:ind w:left="900" w:right="40" w:hanging="446"/>
        <w:spacing w:after="0" w:line="256"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our and our restricted subsidiaries’ other existing and future assets, subject to certain exceptions, and further subject to release of certain assets as permitted by the credit facilities. The credit facilities will not initially be secured by World Travel, LLC’s aircraft although if we fail to raise certain additional indebtedness secured only by such aircraft by May 23, 2005, we will be required to pledge the aircraft as security for our obligations under the credit facilities.</w:t>
      </w:r>
    </w:p>
    <w:p>
      <w:pPr>
        <w:spacing w:after="0" w:line="13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Our obligations under the credit facilities are secured by, among other things, any amounts in the accounts holding the proceeds of the old notes. Our obligations under the credit facilities are secured on a pari passu basis with our obligations under the notes. The agreement among the lenders under the credit facilities and the trustee on behalf of the note holders is set forth in an amended and restated intercreditor agreement. See “Intercreditor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Wynn Completion Guarantor, LLC, our special purpose subsidiary, has provided a completion guarantee in favor of the lenders under the credit facilities and the holders of the notes to secure completion in full of the construction and opening of Wynn Las Vegas and, if applicable, Encore. The completion guarantee is initially capped at $50.0 million and consists of cash collateralized by a security interest in a collateral account holding cash or short-term highly rated securities in an aggregate amount of at least $50.0 million, and pledged to the lenders under the credit facilities and the holders of the notes as security for the completion guarantee. Upon completion of Wynn Las Vegas, if Encore has previously qualified for financing, at least $30.0 million is required to be on deposit in the collateral account supporting Wynn Completion Guarantor, LLC’s obligations under the completion guarantee. Pursuant to the disbursement agreement, these funds will become available to us on a gradual basis to apply to the costs of Wynn Las Vegas or Encore, as the case may be, depending in each case on the status of completed construction. Subject to the intercreditor agreement, upon the occurrence of an event of default under the credit facilities or the indenture governing the notes, the lenders under the credit facilities and the holders of the notes will be permitted to exercise remedies against such sums and apply such sums against the obligations under their respective documents. After the final completion of Wynn Las Vegas or, if the Encore Budget, Plans and Specifications are approved by June 30, 2005, Encore, any amounts remaining in this account will be released to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Commitment Reductions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scheduled amortization payments described above, we are required to make mandatory prepayments of indebtedness under the credit facilities from the net proceeds from all debt offerings (other than those constituting permitted debt) and, subject to a reinvestment period, asset sale and insurance or condemnation proceeds received by the issuers and the restricted entities, in each case with specified exceptions. After the opening of Wynn Las Vegas or, if Encore qualifies for financing under the disbursement agreement, after the opening of Encore, we will also be required to make mandatory payments of indebtedness under the credit facilities from certain percentages of our excess cash flow, which percentages may decrease and/or be eliminated based on our leverage ratio. Mandatory prepayments from asset sales and insurance and condemnation proceeds will be applied to repay the term loan facility, the notes (to the extent accepted by the noteholders), and in certain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events, to repay the revolving credit facility and reduce the revolving credit commitments. Other than with respect to a 1% premium that we are required to pay with respect to certain repayments of our term loans occurring prior to December 14, 2005, we have the option to prepay all or any portion of the indebtedness under the credit facilities at any time without premium or penalty.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loan documentation contains customary negative covenants and financial covenants. During the term of the credit facilities, the negative covenants restrict our ability to do certain things, including but not limited to:</w:t>
      </w:r>
    </w:p>
    <w:p>
      <w:pPr>
        <w:spacing w:after="0" w:line="37"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incur additional indebtedness, including guarantees;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create, incur, assume or permit to exist liens on property and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declare or pay dividends and make distributions or restrict the ability of our subsidiaries to pay dividends and make distributions;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engage in mergers, investments and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execute modifications to material contracts;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engage in sales of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capital expenditures;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make optional prepayments of certain indebtedness.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covenants include the following:</w:t>
      </w:r>
    </w:p>
    <w:p>
      <w:pPr>
        <w:spacing w:after="0" w:line="77" w:lineRule="exact"/>
        <w:rPr>
          <w:sz w:val="20"/>
          <w:szCs w:val="20"/>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total interest expense to earnings before interest, taxes, depreciation and amortization; and</w:t>
      </w:r>
    </w:p>
    <w:p>
      <w:pPr>
        <w:spacing w:after="0" w:line="103" w:lineRule="exact"/>
        <w:rPr>
          <w:rFonts w:ascii="Arial" w:cs="Arial" w:eastAsia="Arial" w:hAnsi="Arial"/>
          <w:sz w:val="18"/>
          <w:szCs w:val="18"/>
          <w:color w:val="auto"/>
        </w:rPr>
      </w:pPr>
    </w:p>
    <w:p>
      <w:pPr>
        <w:jc w:val="both"/>
        <w:ind w:left="900" w:right="20" w:hanging="446"/>
        <w:spacing w:after="0" w:line="256"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total debt to earnings before interest, taxes, depreciation and amortization;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Encore Budget, Plans and Specifications are approved by June 30, 2005, such financial covenant will be replaced with a minimum earnings before interest, taxes, depreciation and amortization test during the three full fiscal quarters following the opening of Encore, after which time the original financial covenant of total debt to earnings before interest, taxes, depreciation and amortization shall be reinstated.</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April 26, 2005, we amended the credit agreement to, among other things, (i) increase the limitation on expenditures for Encore project costs and (ii) under certain circumstances, increase the annual limitation on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loan documentation for the credit facilities contains certain events of default, including the failure to make payments when due, defaults under other material agreements or instruments of indebtedness of specific amounts, noncompliance with covenants, material breaches of representations and warranties, bankruptcy events, judgments in excess of specified amounts, ERISA matters, impairment of security interests in collateral, change of control and specified events under the disbursement agreement (including the failure or inability to complete Wynn Las Vegas or, if applicable, Encore by specified completion dates), subject in some cases to applicable notice provisions and grace periods. See “—Disbursement Agreement.” The consequences of an event of default may include termination of the commitments under the credit facilities, acceleration of all amounts due under the credit facilities, and various other remedies that could include, among other things, foreclosure on substantially all of our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Availability of Funds</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Borrowings of loans under the credit facilities are subject to prior written notice, the accuracy of representations and warranties, the absence of any default or event of default and certain other customary conditions to borrowing. Borrowings of loans under the credit facilities to finance the development or construction of Wynn Las Vegas or Encore are subject to additional conditions precedent set forth in the disbursement agreement. See “Disbursement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AGREEMENT</w:t>
      </w:r>
    </w:p>
    <w:p>
      <w:pPr>
        <w:spacing w:after="0" w:line="16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entered into a disbursement agreement with Deutsche Bank Trust Company Americas, as the administrative agent, Deutsche Bank Trust Company Americas, as the disbursement agent, and U.S. Bank National Association, as the note trustee. This summary is qualified in its entirety by reference to the disbursement agreement,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disbursement agreement sets forth our material obligations to achieve final completion Wynn Las Vegas and, if applicable, develop, construct and complete Encore (collectively, the “Projects”) and establishes a line item budget and a schedule for the final completion of Wynn Las Vegas and, if and when applicable, the construction of Encore. The disbursement agreement also establishes the conditions to, and the relative sequencing of, the making of advances and disbursements under our credit facilities and from the proceeds of the notes, and establishes the obligations of the lenders and the administrative agent under the credit facilities to advance and disburse, respectively, funds under the credit facilities and the obligation of the trustee to release funds from the notes proceeds account upon satisfaction of such conditions. The disbursement agreement also sets forth the mechanics for approving change orders and amendments to the construction budgets and the construction schedules for the Projects. Finally, the disbursement agreement includes certain representations, warranties, covenants and events of default that relate to construction of the Projects.</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disbursement agreement, we are permitted to use the proceeds of the old notes and the borrowings under our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credit facilities and the old notes are not be available to pay Project Costs related to Encore until a majority of the arrangers (by number) or a majority of the lenders under our credit facilities (in consultation with the construction consultant) have approved, among other things, the Encore Budget, Plans and Specifications and certain construction-related agreements and subcontracts (including certain material construction and design contracts), and we shall have satisfied certain other conditions precedent relating to Encore. On April 26, 2005, we amended the disbursement agreement to, among other things, (i) permit a transfer of up to five acres of the land currently owned by Wynn Golf, LLC, but not necessary for the Wynn Las Vegas golf course, to us for use in connection with Encore, (ii) extend the deadlines for certain deliverables related to Encore from various dates beginning April 15, 2005 to June 15, 2005 and (iii) extend the dates for the opening and final completion of Encore to September 30, 2008 and December 31, 2008, respectively.</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approval of the Encore Budget, Plans and Specifications, as set forth above, the disbursement agreement permits disbursements of up to $100.0 million in the aggregate from the borrowings under the credit facilities and the proceeds of the old notes to pay for Project Costs related to Encore pursuant to abbreviated disbursement procedures set forth in the disbursement agreement. Thereafter, if the Encore Budget, Plans and Specifications have been approved, the entire amount of the borrowings under the credit facilities (subject to exceptions for working capital and other purposes) and the proceeds of the old notes will be available for application toward Project Costs related to Encore in accordance with the disbursement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Sources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disbursement agreement sets forth the order in which funds from the various sources are made available to us. Under the disbursement agreement, we will pay for Project Costs:</w:t>
      </w:r>
    </w:p>
    <w:p>
      <w:pPr>
        <w:spacing w:after="0" w:line="37" w:lineRule="exact"/>
        <w:rPr>
          <w:sz w:val="20"/>
          <w:szCs w:val="20"/>
          <w:color w:val="auto"/>
        </w:rPr>
      </w:pPr>
    </w:p>
    <w:p>
      <w:pPr>
        <w:ind w:left="900" w:right="300" w:hanging="446"/>
        <w:spacing w:after="0" w:line="268"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first, by using any cash equity contribution we receive from time to time, certain of our operating cash flows from Wynn Las Vegas and any other funds which have been deposited into the company’s funds account, until exhaustion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446"/>
        <w:spacing w:after="0" w:line="268"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second, by using the proceeds from the issuance of the old notes and borrowings under our credit facilities, until exhaustion of the notes proceeds,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xml:space="preserve">% from the notes proceeds account and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from borrowings under the credit facilities;</w:t>
      </w: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third, by using the proceeds of borrowings under the credit facilities; and</w:t>
      </w:r>
    </w:p>
    <w:p>
      <w:pPr>
        <w:spacing w:after="0" w:line="8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fourth, by using the funds made available to us pursuant to a formula set forth in the disbursement agreement from the completion guarantee deposit account and, solely with respect to Wynn Las Vegas, from our liquidity reserve account.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expect that a significant portion of the funds we need to pay Project Costs in respect of Encore will come from our operating cash flows from Wynn Las Vegas. Our failure to achieve operating cash flows, or obtain other funds, sufficient to fund the Project Costs for Encore would prevent us from obtaining disbursements and may cause an event of default under the disbursement agreement. See “Risk Factors—Risks Associated with Our Business—We intend to fund a substantial portion of the development costs of Encore at Wynn Las Vegas and our substantial debt service and other obligations (including the notes) with cash flows generated at Wynn Las Vegas, which may not be sufficient to fund such development costs and debt service obligations.”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8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 xml:space="preserve">In order to implement the funding of disbursements, the disbursement agreement calls for the maintenance of certain accounts, each of which, subject to certain exceptions, secures our obligations under the credit facilities and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secured account holding the proceeds of the old notes only secures our obligations under the notes, and the secured account holding the proceeds of the credit facilities only secures our obligations to the lenders under the credit facilities.</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Such accounts include, but are not limited to, a company’s funds account, a notes proceeds account, a bank proceeds account, a disbursement account, a cash management account, a completion guarantee deposit account and a liquidity reserve account.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Funds Account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Until termination of the disbursement agreement the following funds will be deposited into our funds account:</w:t>
      </w:r>
    </w:p>
    <w:p>
      <w:pPr>
        <w:spacing w:after="0" w:line="77"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cash equity contributions we receive from time to time or other funds that we designate for application to Project Costs;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certain of our operating cash flows from Wynn Las Vegas;</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certain funds transferred by the disbursement agent from the completion guarantee deposit account or the liquidity reserve account pursuant to the terms of the disbursement agreement;</w:t>
      </w:r>
    </w:p>
    <w:p>
      <w:pPr>
        <w:spacing w:after="0" w:line="37" w:lineRule="exact"/>
        <w:rPr>
          <w:rFonts w:ascii="Arial" w:cs="Arial" w:eastAsia="Arial" w:hAnsi="Arial"/>
          <w:sz w:val="18"/>
          <w:szCs w:val="18"/>
          <w:color w:val="auto"/>
        </w:rPr>
      </w:pPr>
    </w:p>
    <w:p>
      <w:pPr>
        <w:ind w:left="900" w:right="340" w:hanging="446"/>
        <w:spacing w:after="0" w:line="298"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all amounts received by us prior to final completion of Wynn Las Vegas in respect of liquidated damages or other amounts paid to us under our project documents related to construction or otherwise related to construction of Wynn Las Vegas, and all amounts paid to us under the Austi construction guaranty, any payment and performance bond, or any casualty insurance policy (but with respect to casualty insurance, only prior to substantial completion of Wynn Las Vegas (excluding the second entertainment facility and the fairway villas)); and</w:t>
      </w:r>
    </w:p>
    <w:p>
      <w:pPr>
        <w:spacing w:after="0" w:line="18" w:lineRule="exact"/>
        <w:rPr>
          <w:rFonts w:ascii="Arial" w:cs="Arial" w:eastAsia="Arial" w:hAnsi="Arial"/>
          <w:sz w:val="16"/>
          <w:szCs w:val="16"/>
          <w:color w:val="auto"/>
        </w:rPr>
      </w:pPr>
    </w:p>
    <w:p>
      <w:pPr>
        <w:ind w:left="900" w:right="40" w:hanging="446"/>
        <w:spacing w:after="0" w:line="335" w:lineRule="auto"/>
        <w:tabs>
          <w:tab w:leader="none" w:pos="90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all amounts received by us prior to final completion of Encore in respect of liquidated damages or other amounts paid to us under our project documents or otherwise related to construction of Encore, and all amounts paid to us related to Encore under any construction guaranty, any payment and performance bond, or any casualty insurance policy (but with respect to casualty insurance, only prior to substantial completion of Encore).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certain exceptions, amounts on deposit in the company’s funds account will, from time to time:</w:t>
      </w:r>
    </w:p>
    <w:p>
      <w:pPr>
        <w:spacing w:after="0" w:line="77" w:lineRule="exact"/>
        <w:rPr>
          <w:sz w:val="20"/>
          <w:szCs w:val="20"/>
          <w:color w:val="auto"/>
        </w:rPr>
      </w:pPr>
    </w:p>
    <w:p>
      <w:pPr>
        <w:ind w:left="900" w:right="52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be transferred by the disbursement agent to the disbursement account for application to pay Project Costs in accordance with the disbursement agreement; or</w:t>
      </w:r>
    </w:p>
    <w:p>
      <w:pPr>
        <w:spacing w:after="0" w:line="37"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be applied to prepayment of our obligations under the credit facilities and the notes (subject to the intercreditor agreement) as set forth in the disbursement agreement.</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will be retained in the account until applied as set forth in the disbursement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Proceeds Account</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proceeds of the old notes (after expenses and payments toward reducing or satisfying certain debt) have been deposited into the notes proceeds account. Amounts on deposit in the notes proceeds account are held in escrow and invested in permitted investments by the disbursement agent until transferred, from time to time, by the disbursement agent to the disbursement account for the payment of Project Costs in accordance with the disbursement agreement. Investment income from permitted investments on amounts on deposit in the notes proceeds account will be retained in the account until applied as set forth in the disbursement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Proceeds Account</w:t>
      </w:r>
    </w:p>
    <w:p>
      <w:pPr>
        <w:spacing w:after="0" w:line="83" w:lineRule="exact"/>
        <w:rPr>
          <w:sz w:val="20"/>
          <w:szCs w:val="20"/>
          <w:color w:val="auto"/>
        </w:rPr>
      </w:pPr>
    </w:p>
    <w:p>
      <w:pPr>
        <w:jc w:val="center"/>
        <w:spacing w:after="0" w:line="323" w:lineRule="auto"/>
        <w:rPr>
          <w:sz w:val="20"/>
          <w:szCs w:val="20"/>
          <w:color w:val="auto"/>
        </w:rPr>
      </w:pPr>
      <w:r>
        <w:rPr>
          <w:rFonts w:ascii="Arial" w:cs="Arial" w:eastAsia="Arial" w:hAnsi="Arial"/>
          <w:sz w:val="15"/>
          <w:szCs w:val="15"/>
          <w:color w:val="auto"/>
        </w:rPr>
        <w:t>From time to time, the proceeds of term loans and certain proceeds of revolving loans made under our credit facilities will be deposited into the bank proceeds account. Amounts on deposit in the bank proceeds account are held in escrow and invested in permitted investments until transferred, from time to time, by the disbursement agent to the disbursement account for the payment of Project Costs in accordance with the disbursement agreement. Investment income from permitted investments on amounts on deposit in the bank proceeds account will be retained in the account until applied as set forth in the disbursement agreement.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Account</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disbursement account holds certain funds advanced from time to time by the lenders under the credit facilities, as well as funds transferred pursuant to the terms of the disbursement agreement from the company’s funds account, the bank proceeds account, the notes proceeds account and, in some cases, the completion guarantee deposit account and the liquidity reserve account. Amounts on deposit in the disbursement account are applied to pay Project Costs in accordance with the applicable construction budget or are transferred by the disbursement agent to the cash management account.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Management Account</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the closing of the offering of the old notes, we deposited an amount specified in the disbursement agreement into the cash management account. Subject to certain exceptions, we may from time to time draw checks on and otherwise withdraw amounts on deposit in the cash management account to pay budgeted Project Costs that are then due and payable. We may from time to time request advances to replenish amounts drawn from, or increase the amount on deposit in, the cash management account by satisfying the conditions precedent set forth in the disbursement agreement (unless such conditions precedent are waived) and by delivering certificates and certain other items demonstrating that all previous withdrawals from the account have been applied to pay budgeted Project Costs. The balance in the cash management account is not allowed to exceed specified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limit on amounts on deposit in the account may be increased from time to time to an amount mutually agreed upon by us and the disbursement agent (in consultation with the construction consultant), whose consent may not be unreasonably withheld.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 Deposit Account</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subsidiary, Wynn Completion Guarantor, LLC, has provided a $50.0 million completion guarantee, for the benefit of the lenders under the credit facilities and the holders of the notes, to guarantee final completion of Wynn Las Vegas and, if applicable, Encore. We have deposited $50.0 million into an account to secure that subsidiary’s obligations under the completion guarantee. The funds in this account are held in permitted investments, and the account secures our obligations under the credit facilities and the notes. Pursuant to the disbursement agreement, these funds become available to us pursuant to a formula set forth in the disbursement agreement to pay budgeted Project Costs in respect of Wynn Las Vegas. The disbursement agreement requires that, if the Encore Budget, Plans and Specifications have been approved, then upon the substantial completion of Wynn Las Vegas (excluding the second entertainment facility and the fairway villas) no less than $30.0 million must be on deposit in the completion guarantee deposit account (which could require the Completion Guarantor to replenish such account). Funds in the completion guarantee deposit account will become available to us to pay the costs of Encore pursuant to a formula set forth in the disbursement agreement only after fifty percent of the construction work for Encore has been completed. Upon the occurrence and during the continuance of an event of default under our credit facilities or the indenture governing the notes, the collateral agent under the intercreditor agreement may exercise remedies against the account and apply funds in the account to pay our obligations under the credit facilities and the notes in accordance with the intercreditor agreement. Upon final completion of Wynn Las Vegas or, in the event the Encore Budget, Plans and Specifications are approved, upon final completion of Encore, any amounts remaining in this account will be released to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Reserve Account</w:t>
      </w:r>
    </w:p>
    <w:p>
      <w:pPr>
        <w:spacing w:after="0" w:line="8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security for our obligation to achieve final completion of Wynn Las Vegas, we have deposited $30.0 million into the liquidity reserve account. Pursuant to the disbursement agreement, after all amounts on deposit in the completion guarantee deposit account have been spent, funds in the liquidity reserve account will become available to us pursuant to a formula set forth in the disbursement agreement to pay Project Costs in respect of Wynn Las Vegas until substantial completion of Wynn Las Vegas (excluding the second entertainment facility and the fairway villas). Thereafter, these funds will be available to meet our debt service needs. Upon the occurrence and during the continuance of an event of default under the credit facilities or the indenture governing the notes, the collateral agent under the intercreditor agreement may exercise remedies against the account and apply funds in the account to pay our secured obligations in accordance with the intercreditor agreement. Once we have met certain financial tests for a period of two full consecutive fiscal quarters, so long as no default or event of default has occurred and is continuing, any remaining funds in the account will be used to reduce the outstanding amounts under our credit facilities, but without reducing the revolving credit facility commitment (but the release date may not be earlier than the later of December 31, 2005 and the final completion date of Wynn Las Vegas).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Conditions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required to satisfy certain conditions precedent before we are permitted to withdraw funds from certain of the disbursement agreement accounts.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conditions include, among others:</w:t>
      </w:r>
    </w:p>
    <w:p>
      <w:pPr>
        <w:spacing w:after="0" w:line="70" w:lineRule="exact"/>
        <w:rPr>
          <w:sz w:val="20"/>
          <w:szCs w:val="20"/>
          <w:color w:val="auto"/>
        </w:rPr>
      </w:pPr>
    </w:p>
    <w:p>
      <w:pPr>
        <w:ind w:left="900" w:hanging="446"/>
        <w:spacing w:after="0"/>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103" w:lineRule="exact"/>
        <w:rPr>
          <w:rFonts w:ascii="Arial" w:cs="Arial" w:eastAsia="Arial" w:hAnsi="Arial"/>
          <w:sz w:val="18"/>
          <w:szCs w:val="18"/>
          <w:color w:val="auto"/>
        </w:rPr>
      </w:pPr>
    </w:p>
    <w:p>
      <w:pPr>
        <w:ind w:left="1160" w:hanging="257"/>
        <w:spacing w:after="0"/>
        <w:tabs>
          <w:tab w:leader="none" w:pos="11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such plans and specifications are amended from time to time in accordance with the disbursement agreement;</w:t>
      </w:r>
    </w:p>
    <w:p>
      <w:pPr>
        <w:spacing w:after="0" w:line="37" w:lineRule="exact"/>
        <w:rPr>
          <w:rFonts w:ascii="Arial" w:cs="Arial" w:eastAsia="Arial" w:hAnsi="Arial"/>
          <w:sz w:val="18"/>
          <w:szCs w:val="18"/>
          <w:color w:val="auto"/>
        </w:rPr>
      </w:pPr>
    </w:p>
    <w:p>
      <w:pPr>
        <w:ind w:left="460" w:right="60" w:firstLine="443"/>
        <w:spacing w:after="0" w:line="259" w:lineRule="auto"/>
        <w:tabs>
          <w:tab w:leader="none" w:pos="1147"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continued expectation that Wynn Las Vegas (excluding the second entertainment facility and fairway villas) will be substantially complete by the date set forth in the Wynn Las Vegas construction schedule (which date may be no later than June 30, 2005, except for certain limited permitted extensions due to force majeure events);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continued expectation that substantial completion of Wynn Las Vegas (including the second entertainment facility and fairway villas) will be achieved by the date set forth in the Wynn Las Vegas construction schedule (which date may be no later than September 30, 2005, except for certain limited permitted extensions due to force majeure events);</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after the approval of the Encore Budget, Plans and Specifications, with respect to disbursements relating to Encore, the continued expectation that Encore will be open for business by the date set forth in the Encore construction schedule (which date may be no later than September 30, 2005, except for certain limited permitted extensions due to force majeure events);</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after the approval of the Encore Budget, Plans and Specifications, with respect to disbursements relating to Encore, the continued expectation that substantial completion of Encore will be achieved by the date set forth in the Encore construction schedule (which date may be no later than December 31, 2008, except for certain limited permitted extensions due to force majeure events);</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the use of funds in accordance with the construction budgets as adjusted from time to time in accordance with the disbursement agreement;</w:t>
      </w:r>
    </w:p>
    <w:p>
      <w:pPr>
        <w:spacing w:after="0" w:line="99"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the sufficiency of remaining funds (including those portions of the completion guarantee deposit account, liquidity reserve account and construction contingency that are then available to be used to pay Project Costs in accordance with the disbursement agreement) to complete Wynn Las Vegas and Encore; and</w:t>
      </w:r>
    </w:p>
    <w:p>
      <w:pPr>
        <w:spacing w:after="0" w:line="45" w:lineRule="exact"/>
        <w:rPr>
          <w:rFonts w:ascii="Arial" w:cs="Arial" w:eastAsia="Arial" w:hAnsi="Arial"/>
          <w:sz w:val="18"/>
          <w:szCs w:val="18"/>
          <w:color w:val="auto"/>
        </w:rPr>
      </w:pPr>
    </w:p>
    <w:p>
      <w:pPr>
        <w:ind w:left="460" w:right="900" w:firstLine="443"/>
        <w:spacing w:after="0" w:line="268" w:lineRule="auto"/>
        <w:tabs>
          <w:tab w:leader="none" w:pos="114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37"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absence of a default or event of default under the credit agreement and the indenture governing the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of the material construction-related agreements being in full force and effect;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our receipt of the material governmental approvals then required;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126"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 and</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all times, the administrative agent under the credit facilities is entitled to waive the conditions precedent with respect to advances under the credit facilities, from the notes proceeds account and from the company’s funds account without the consent of the trustee under the indenture for the notes. The trustee under the indenture for the notes is entitled to waive the conditions precedent with respect to advances from the notes proceeds account without the consent of the administrative agent or the lenders under the credit facilities.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Construction Budgets and Schedule</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disbursement agreement contains guidelines for the construction consultant and the disbursement agent to permit amendments to the budgets and the plans and specifications related to the Projects.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guidelines permit increases to any line item category in the applicable construction budget allocated to either Wynn Las Vegas or Encore only to the extent of the sum of:</w:t>
      </w:r>
    </w:p>
    <w:p>
      <w:pPr>
        <w:spacing w:after="0" w:line="37" w:lineRule="exact"/>
        <w:rPr>
          <w:sz w:val="20"/>
          <w:szCs w:val="20"/>
          <w:color w:val="auto"/>
        </w:rPr>
      </w:pPr>
    </w:p>
    <w:p>
      <w:pPr>
        <w:ind w:left="900" w:hanging="446"/>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category; and</w:t>
      </w:r>
    </w:p>
    <w:p>
      <w:pPr>
        <w:spacing w:after="0" w:line="37"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use of additional Project revenues or additional company equity and other amounts, to the extent deposited in the appropriate disbursement agreement accounts.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Prior to substantial completion of Wynn Las Vegas (including the second entertainment facility and the fairway villas), we will not be able to apply any savings realized under the construction budget for Wynn Las Vegas to increase the construction budget for Encore. We are not, at any time, permitted to apply any savings realized under the construction budget for Encore to increase the construction budget for Wynn Las Vegas.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may, from time to time, amend the construction schedule for Wynn Las Vegas to extend the substantial completion date for Wynn Las Vegas (excluding the second entertainment facility and the fairway villas) but not beyond June 30, 2005 and the substantial completion date for Wynn Las Vegas (including the second entertainment facility and the fairway villas) but not beyond September 30, 2005 and, if applicable, we may, from time to time amend the construction schedule for Encore to extend the opening date for Encore but not beyond September 30, 2008 and the substantial completion date for Encore but not beyond December 31, 2008, in each case, by delivering to the disbursement agent a certificate describing the amendment and complying with the conditions set forth above with respect to the changes in the applicable construction budget that will result from the extension of such dates. Notwithstanding the foregoing, we have the ability to extend the opening and substantial completion dates for a limited period beyond the deadlines set forth above due to force majeure events.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disbursement agreement obligates us to comply with various affirmative covenants, including the following:</w:t>
      </w:r>
    </w:p>
    <w:p>
      <w:pPr>
        <w:spacing w:after="0" w:line="77" w:lineRule="exact"/>
        <w:rPr>
          <w:sz w:val="20"/>
          <w:szCs w:val="20"/>
          <w:color w:val="auto"/>
        </w:rPr>
      </w:pPr>
    </w:p>
    <w:p>
      <w:pPr>
        <w:ind w:left="900" w:right="38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use the proceeds of the notes and the borrowings under the credit facilities advanced pursuant to the disbursement agreement only to pay Project Costs in accordance with the applicable construction budget and the disbursement agreement;</w:t>
      </w:r>
    </w:p>
    <w:p>
      <w:pPr>
        <w:spacing w:after="0" w:line="37"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Encore Budget, Plans and Specifications have been approved, upon the later of substantial completion of Wynn Las Vegas (excluding the second entertainment facility and the fairway villas) or the date the Encore Budget, Plans and Specifications are approved, cause the amount on deposit in the completion guarantee deposit account to equal at least $30.0 million for utilization with respect to Encore pursuant to the disbursement agreement as described above;</w:t>
      </w:r>
    </w:p>
    <w:p>
      <w:pPr>
        <w:spacing w:after="0" w:line="48"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within three business days after the end of each calendar quarter, deposit or cause to be deposited into the company’s funds account an amount equal to an agreed-upon amount of our projected operating cash flows for such quarter to be applied to pay Project Costs for Encore identified on a schedule attached to the disbursement agreement (to the extent sufficient funds are not otherwise available to complete the Projects);</w:t>
      </w:r>
    </w:p>
    <w:p>
      <w:pPr>
        <w:spacing w:after="0" w:line="12" w:lineRule="exact"/>
        <w:rPr>
          <w:rFonts w:ascii="Arial" w:cs="Arial" w:eastAsia="Arial" w:hAnsi="Arial"/>
          <w:sz w:val="16"/>
          <w:szCs w:val="16"/>
          <w:color w:val="auto"/>
        </w:rPr>
      </w:pPr>
    </w:p>
    <w:p>
      <w:pPr>
        <w:ind w:left="900" w:hanging="446"/>
        <w:spacing w:after="0" w:line="325" w:lineRule="auto"/>
        <w:tabs>
          <w:tab w:leader="none" w:pos="9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construct Wynn Las Vegas and, if applicable, Encore, diligently and substantially in accordance with the plans and specifications (as the same may be amended from time to time in accordance with the disbursement agreement) except for delays caused by any event of force majeure;</w:t>
      </w:r>
    </w:p>
    <w:p>
      <w:pPr>
        <w:spacing w:after="0" w:line="1"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until the exhaustion of amounts in the notes proceeds account, provide the trustee with certain construction progress reports and other reports, certificates and notices with respect to Wynn Las Vegas and Encore;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446"/>
        <w:spacing w:after="0" w:line="325" w:lineRule="auto"/>
        <w:tabs>
          <w:tab w:leader="none" w:pos="9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cause to be deposited into the company’s funds account all additional required equity and certain other amounts as and when required (including in connection with any required amendment to our projected operating cash flows schedule attached to the disbursement agreement);</w:t>
      </w:r>
    </w:p>
    <w:p>
      <w:pPr>
        <w:spacing w:after="0" w:line="1" w:lineRule="exact"/>
        <w:rPr>
          <w:rFonts w:ascii="Arial" w:cs="Arial" w:eastAsia="Arial" w:hAnsi="Arial"/>
          <w:sz w:val="16"/>
          <w:szCs w:val="16"/>
          <w:color w:val="auto"/>
        </w:rPr>
      </w:pPr>
    </w:p>
    <w:p>
      <w:pPr>
        <w:ind w:left="900" w:right="840" w:hanging="446"/>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cause certain construction materials not yet incorporated into the applicable Project to be stored and identified in accordance with specific requirements;</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cause the primary contractor for the Projects to cause its subcontractors working under a subcontract with a value more than $25.0 million to provide a payment and performance bond to secure its obligations under its subcontract;</w:t>
      </w:r>
    </w:p>
    <w:p>
      <w:pPr>
        <w:spacing w:after="0" w:line="37"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first tier subcontractors, a retainage equal to 10% of each payment made to that person;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maintain and comply with the required insurance policies.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disbursement agreement also requires us to comply with negative covenants. These covenants limit, among other things, our ability to:</w:t>
      </w:r>
    </w:p>
    <w:p>
      <w:pPr>
        <w:spacing w:after="0" w:line="100" w:lineRule="exact"/>
        <w:rPr>
          <w:sz w:val="20"/>
          <w:szCs w:val="20"/>
          <w:color w:val="auto"/>
        </w:rPr>
      </w:pPr>
    </w:p>
    <w:p>
      <w:pPr>
        <w:ind w:left="900" w:hanging="446"/>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waive or terminate any material right under any construction contract guarantee, or any material performance or payment bond without the consent of the administrative agent (such consent not to be unreasonably withheld) unless such waiver or termination could not reasonably be expected to have an adverse effect on us, any noteholder or any lender under the credit facilities;</w:t>
      </w:r>
    </w:p>
    <w:p>
      <w:pPr>
        <w:spacing w:after="0" w:line="45" w:lineRule="exact"/>
        <w:rPr>
          <w:rFonts w:ascii="Arial" w:cs="Arial" w:eastAsia="Arial" w:hAnsi="Arial"/>
          <w:sz w:val="18"/>
          <w:szCs w:val="18"/>
          <w:color w:val="auto"/>
        </w:rPr>
      </w:pPr>
    </w:p>
    <w:p>
      <w:pPr>
        <w:ind w:left="900" w:right="420" w:hanging="446"/>
        <w:spacing w:after="0" w:line="325"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waive or terminate any right under any other construction-related agreement or any required governmental approval for Wynn Las Vegas and, if applicable, Encore, if such waiver or termination could reasonably be expected to cause a material adverse effect;</w:t>
      </w:r>
    </w:p>
    <w:p>
      <w:pPr>
        <w:spacing w:after="0" w:line="1"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construction-related agreements, if the change or change order: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requires an amendment to the construction budget, unless we comply with the procedures for amending the construction budget;</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76"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could reasonably be expected to delay substantial completion of Wynn Las Vegas or, if applicable, opening or substantial completion of Encore beyond the applicable outside opening or substantial completion dates, subject to any permitted extensions; or</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could reasonably be expected to cause the Projects not to comply with legal requirements and governmental approvals in any material respect; or</w:t>
      </w:r>
    </w:p>
    <w:p>
      <w:pPr>
        <w:spacing w:after="0" w:line="111"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amend the construction budget or the construction schedule for Wynn Las Vegas and, if applicable, Encore, except in accordance with the procedures set forth in the disbursement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Remedies on Default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disbursement agreement provides that each of the following constitutes an “event of default” thereunder:</w:t>
      </w:r>
    </w:p>
    <w:p>
      <w:pPr>
        <w:spacing w:after="0" w:line="77" w:lineRule="exact"/>
        <w:rPr>
          <w:sz w:val="20"/>
          <w:szCs w:val="20"/>
          <w:color w:val="auto"/>
        </w:rPr>
      </w:pPr>
    </w:p>
    <w:p>
      <w:pPr>
        <w:ind w:left="900" w:hanging="446"/>
        <w:spacing w:after="0"/>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occurrence of an event of default under the credit agreement or under the indenture governing the notes;</w:t>
      </w:r>
    </w:p>
    <w:p>
      <w:pPr>
        <w:spacing w:after="0" w:line="103"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failure, from time to time, of remaining funds (including those portions of the completion guarantee deposit account, liquidity reserve account and construction contingency that are then available to be used to pay Project Costs in accordance with the disbursement agreement) to be sufficient to complete each Project on or before the applicable outside substantial completion deadlines, if such failure has not been remedied within 30 days (subject to a limited extension for force majeure events);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our failure, for 60 consecutive days, to submit an advance request for disbursement of funds which is approved by the disbursement agent (subject to a limited extension for force majeure events);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our default in compliance with any affirmative or negative covenant contained in the disbursement agreement, subject, in certain cases, to certain cure periods;</w:t>
      </w:r>
    </w:p>
    <w:p>
      <w:pPr>
        <w:spacing w:after="0" w:line="37"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default in any material respect by us or any other party thereto under the primary construction contracts or the construction guarantee or any other construction-related agreement with a contract value in excess of a specified threshold, subject to certain cure and substitution rights;</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default by us or any other party thereto under any other construction-related agreement the effect of which reasonably could be expected to have a material adverse effect, subject to certain cure and substitution rights;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primary construction contracts or any construction contract guarantee shall have terminated or otherwise become invalid or illegal;</w:t>
      </w:r>
    </w:p>
    <w:p>
      <w:pPr>
        <w:spacing w:after="0" w:line="126"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of the other material construction-related agreements shall have terminated or otherwise become invalid or illegal, subject to certain cure and substitution rights;</w:t>
      </w:r>
    </w:p>
    <w:p>
      <w:pPr>
        <w:spacing w:after="0" w:line="37"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our abandonment of Wynn Las Vegas or, if the Encore Budget, Plans and Specifications have been approved and we have elected to pursue such Project, Encore, in either case for a period of 45 days, or otherwise ceasing to pursue the operations of such Project for a period of 45 days, in each case other than as a result of any force majeure event; or</w:t>
      </w:r>
    </w:p>
    <w:p>
      <w:pPr>
        <w:spacing w:after="0" w:line="45"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our failure to achieve the substantial completion date of Wynn Las Vegas or, if applicable, the opening or substantial completion date of Encore, in each case on or before the applicable scheduled opening or substantial completion date as set forth in the applicable construction schedule, as in effect from time to time.</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Upon the occurrence and during the continuance of an event of default under the disbursement agreement, the lenders under our credit facilities and the holders of the notes will be entitled to suspend their respective obligation to make any further disbursements under the disbursement agreement.</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administrative agent under the credit facilities has the right (without obtaining the consent of the trustee, the holders of the notes, the trustee for the second mortgage notes or the holders of any outstanding second mortgage notes) to amend the disbursement agreement or waive any defaults under the disbursement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may not change the sequence of funding of the proceeds of the notes, relative to the funding of the proceeds of the credit facilities without the consent of the trustee. See “Risk Factors—Risks Related to the Notes and the Exchange Offer—The agent under our credit facilities has the ability to waive defaults and conditions to disbursement of funds under the disbursement agreement” and “Intercreditor Agreement.”</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disbursement agreement will terminate after final completion of Wynn Las Vegas or, if the Encore Budget, Plans and Specifications have been approved and we have elected to pursue such Project, after final completion of Encore. The disbursement agreement will cease to apply to Wynn Las Vegas in any way after final completion of Wynn Las Vegas. The trustee under the indenture for the notes will cease to be a party to the disbursement agreement (and shall not have any rights, obligations or remedies thereunder) upon exhaustion of the amounts on deposit in the notes proceeds account (at which time Wynn Las Vegas will be entitled to close the notes proceeds account). Upon termination of the disbursement agreement, all amounts remaining in any disbursement agreement accounts will be released to us, and the covenants contained in the disbursement agreement will cease to apply.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INTERCREDITOR AGREEMENT</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 intercreditor agreement (hereinafter, the “intercreditor agreement”) was entered into among the agent under the credit facilities, the trustee on behalf of the note holders, the representative of any future first lien indebtedness permitted to be incurred which is secured by any shared collateral (together with indebtedness under the credit facilities and the notes, the “senior debt”) and the representative of any future second lien indebtedness permitted to be incurred which is secured by any shared collateral (the “junior debt”) and Deutsche Bank Trust Company Americas, in its capacity as collateral agent for each of the other parties. The intercreditor agreement sets forth certain agreements among the parties regarding, among other things, the priority of their claims and interests in the shared collateral securing the senior debt and the junior debt and other assets we own, the method of decision-making among the lenders, the note holders, any other senior debt holders and the junior debt holders, the arrangements applicable to actions with respect to approval rights and waivers, certain limitations on rights of enforcement upon default and the application of proceeds of enforcement. The following summary is qualified in its entirety by reference to the agreement itself.</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Collateral Agent</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Under the intercreditor agreement, each party appoints Deutsche Bank Trust Company Americas to act as collateral agent with respect to all of the collateral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Shared Collateral; Priority of Liens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77" w:lineRule="exact"/>
        <w:rPr>
          <w:sz w:val="20"/>
          <w:szCs w:val="20"/>
          <w:color w:val="auto"/>
        </w:rPr>
      </w:pPr>
    </w:p>
    <w:p>
      <w:pPr>
        <w:ind w:left="900" w:right="20" w:hanging="446"/>
        <w:spacing w:after="0" w:line="259"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liens granted for the benefit of the note holders with respect to our assets and the assets pledged by the guarantors are pari passu in priority (which priority is first, subject to permitted liens) with the liens on such assets granted for the benefit of the lenders under the credit facilities and the liens on such assets that may be granted for the benefit of any other senior debt holders; and</w:t>
      </w:r>
    </w:p>
    <w:p>
      <w:pPr>
        <w:spacing w:after="0" w:line="45"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liens on such assets granted for the benefit of the junior debt holders are junior to the liens on such assets granted for the benefit of the note holders, the lenders under the credit facilities and any other senior debt holder;</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security interest in the proceeds of the notes on deposit from time to time in a secured account as described in the disbursement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for the sole benefit of the holders of the notes, and the security interest in the proceeds of term loans and certain proceeds of revolving loans made under the credit facilities which are deposited from time to time in a secured account as described in the disbursement agreement shall be for the sole benefit of the lenders under the credit facilities.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any note holder, any holder (or representative of any holder) of other senior debt, or any holder (or representative 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60"/>
          </w:cols>
          <w:pgMar w:left="240" w:top="460" w:right="2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Actions of the Collateral Agent</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intercreditor agreement provides that the collateral agent has the sole and exclusive right to exercise rights and enforce remedies under the security documents to which it is a party.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49"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for purposes of causing the collateral agent to commence enforcement proceedings against the shared collateral pursuant to the security documents:</w:t>
      </w:r>
    </w:p>
    <w:p>
      <w:pPr>
        <w:spacing w:after="0" w:line="138" w:lineRule="exact"/>
        <w:rPr>
          <w:rFonts w:ascii="Arial" w:cs="Arial" w:eastAsia="Arial" w:hAnsi="Arial"/>
          <w:sz w:val="15"/>
          <w:szCs w:val="15"/>
          <w:color w:val="auto"/>
        </w:rPr>
      </w:pPr>
    </w:p>
    <w:p>
      <w:pPr>
        <w:ind w:left="1360" w:right="40" w:hanging="555"/>
        <w:spacing w:after="0" w:line="256" w:lineRule="auto"/>
        <w:tabs>
          <w:tab w:leader="none" w:pos="13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at any time after the expiration of 30 days following the earlier of (i) a payment event of default with respect to the notes or (ii) an acceleration of the notes, then holders of the majority of the aggregate outstanding amount of notes and loans under the credit facilities shall constitute the required secured creditors for purposes of causing the collateral agent to commence enforcement proceedings pursuant to the security documents; and</w:t>
      </w:r>
    </w:p>
    <w:p>
      <w:pPr>
        <w:spacing w:after="0" w:line="48" w:lineRule="exact"/>
        <w:rPr>
          <w:rFonts w:ascii="Arial" w:cs="Arial" w:eastAsia="Arial" w:hAnsi="Arial"/>
          <w:sz w:val="18"/>
          <w:szCs w:val="18"/>
          <w:color w:val="auto"/>
        </w:rPr>
      </w:pPr>
    </w:p>
    <w:p>
      <w:pPr>
        <w:ind w:left="1360" w:right="300" w:hanging="555"/>
        <w:spacing w:after="0" w:line="259" w:lineRule="auto"/>
        <w:tabs>
          <w:tab w:leader="none" w:pos="136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an event of default as a result of (i) a payment event of default with respect to the notes or (ii) the acceleration of the notes has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and is continuing for more than 30 days and an event of default has occurred and is continuing under the credit facilities, then, for purposes of causing the collateral agent to commence enforcement proceedings against the shared collateral pursuant to the security documents, either (x) the agent on behalf of the lenders under the credit facilities or (y) the holders of the majority of the aggregate outstanding amount of notes and loans under the credit facilities shall constitute the required secured creditors;</w:t>
      </w:r>
    </w:p>
    <w:p>
      <w:pPr>
        <w:spacing w:after="0" w:line="48" w:lineRule="exact"/>
        <w:rPr>
          <w:sz w:val="20"/>
          <w:szCs w:val="20"/>
          <w:color w:val="auto"/>
        </w:rPr>
      </w:pPr>
    </w:p>
    <w:p>
      <w:pPr>
        <w:ind w:left="900" w:right="300" w:hanging="446"/>
        <w:spacing w:after="0" w:line="268"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the offering of old notes, the trustee acting on behalf of the holders of the notes shall constitute the required secured creditors;</w:t>
      </w:r>
    </w:p>
    <w:p>
      <w:pPr>
        <w:spacing w:after="0" w:line="37" w:lineRule="exact"/>
        <w:rPr>
          <w:rFonts w:ascii="Arial" w:cs="Arial" w:eastAsia="Arial" w:hAnsi="Arial"/>
          <w:sz w:val="18"/>
          <w:szCs w:val="18"/>
          <w:color w:val="auto"/>
        </w:rPr>
      </w:pPr>
    </w:p>
    <w:p>
      <w:pPr>
        <w:ind w:left="900" w:right="20" w:hanging="446"/>
        <w:spacing w:after="0" w:line="347" w:lineRule="auto"/>
        <w:tabs>
          <w:tab w:leader="none" w:pos="900" w:val="left"/>
        </w:tabs>
        <w:numPr>
          <w:ilvl w:val="0"/>
          <w:numId w:val="219"/>
        </w:numPr>
        <w:rPr>
          <w:rFonts w:ascii="Arial" w:cs="Arial" w:eastAsia="Arial" w:hAnsi="Arial"/>
          <w:sz w:val="15"/>
          <w:szCs w:val="15"/>
          <w:color w:val="auto"/>
        </w:rPr>
      </w:pPr>
      <w:r>
        <w:rPr>
          <w:rFonts w:ascii="Arial" w:cs="Arial" w:eastAsia="Arial" w:hAnsi="Arial"/>
          <w:sz w:val="15"/>
          <w:szCs w:val="15"/>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ind w:left="900" w:hanging="446"/>
        <w:spacing w:after="0" w:line="325" w:lineRule="auto"/>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once enforcement proceedings have been commenced in accordance with the first bullet-point above, only the required secured creditors that directed the collateral agent to commence such proceedings shall be required to direct the collateral agent to discontinue the proceedings;</w:t>
      </w:r>
    </w:p>
    <w:p>
      <w:pPr>
        <w:spacing w:after="0" w:line="1" w:lineRule="exact"/>
        <w:rPr>
          <w:rFonts w:ascii="Arial" w:cs="Arial" w:eastAsia="Arial" w:hAnsi="Arial"/>
          <w:sz w:val="16"/>
          <w:szCs w:val="16"/>
          <w:color w:val="auto"/>
        </w:rPr>
      </w:pPr>
    </w:p>
    <w:p>
      <w:pPr>
        <w:ind w:left="900" w:right="40" w:hanging="446"/>
        <w:spacing w:after="0" w:line="287" w:lineRule="auto"/>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for purposes of directing the manner and method of enforcement proceedings once commenced in accordance with the first bullet-point above, the collateral agent shall make all decisions that it deems appropriate to diligently prosecute and complete such proceedings unless instructed to do otherwise by any joint committee formed by the holders of the notes and the lenders under the credit facilities or, if no such joint committee has been formed, by both the trustee and the agent on behalf of the lenders under the credit facilities, acting together, who shall constitute the required secured creditors under such circumstances. If the collateral agent requests instructions from the required secured creditors with respect to the manner and method of enforcement proceedings, then if such a joint committee has been formed and is then in effect, such joint committee shall constitute the required secured creditors or, if such a joint committee has not been formed or is not then in effect, both the trustee and the agent on behalf of the lenders under the credit facilities, acting together, shall constitute the required secured creditors. If the trustee and the agent for the lenders under the credit facilities have both failed to respond to the collateral agent’s request for instructions or if the collateral agent receives conflicting instructions from the trustee and the agent for the lenders under the credit facilities, the collateral agent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255" w:lineRule="auto"/>
        <w:rPr>
          <w:sz w:val="20"/>
          <w:szCs w:val="20"/>
          <w:color w:val="auto"/>
        </w:rPr>
      </w:pPr>
      <w:r>
        <w:rPr>
          <w:rFonts w:ascii="Arial" w:cs="Arial" w:eastAsia="Arial" w:hAnsi="Arial"/>
          <w:sz w:val="18"/>
          <w:szCs w:val="18"/>
          <w:color w:val="auto"/>
        </w:rPr>
        <w:t>shall not act under the requested instructions until either (i) a non-conflicting instruction is received from both the trustee and the agent for the lenders under the credit facilities or (ii) an instruction is received from the holders of a majority of the then outstanding indebtedness under the indenture and the credit facilities. If either of the trustee or agent for the lenders under the credit facilities responds with instructions to the collateral agent within ten business days but the other fails to respond during such time period, then the required secured creditors under such circumstances shall constitute the party who responded during such time frame;</w:t>
      </w:r>
    </w:p>
    <w:p>
      <w:pPr>
        <w:spacing w:after="0" w:line="62" w:lineRule="exact"/>
        <w:rPr>
          <w:sz w:val="20"/>
          <w:szCs w:val="20"/>
          <w:color w:val="auto"/>
        </w:rPr>
      </w:pPr>
    </w:p>
    <w:p>
      <w:pPr>
        <w:ind w:left="900" w:hanging="446"/>
        <w:spacing w:after="0" w:line="285" w:lineRule="auto"/>
        <w:tabs>
          <w:tab w:leader="none" w:pos="9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for purposes of amending, modifying, varying or waiving any provisions of the security documents in respect of the shared collateral, including waiving any event of default thereunder, the agent for the lenders under the credit facilities shall constitute the required secured creditors entitled to amend, modify, vary or waive any provision of the security documents in respect of the shared collateral (without the consent of the trustee, the holders of the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notes. Notwithstanding the foregoing, unless such amendment, modification, variance or waiver is expressly permitted to occur without the consent of the trustee under the terms of the indenture and without the consent of the representative of any junior debt under the terms of any indenture, note or other document evidencing or governing such junior debt, to the extent that such amendment, modification, variance or waiver will result in the release of any portion of the collateral under the shared security documents, the consent of the trustee will be required and the consent of a representative of such junior debt or holder of such junior debt may be required. To the extent such amendment, modification, variance or waiver will adversely affect the interests of any holders of senior debt or junior debt in a manner that does not similarly affect the interests of the lenders under the credit facilities, the consent of a representative of such senior or junior debt, as the case may be, will be required. In addition, any default occurring under a shared security document by reason of a default under the indenture or the instrument governing any junior debt may only be waived by the trustee or the representative of any junior debt, as the case may be;</w:t>
      </w:r>
    </w:p>
    <w:p>
      <w:pPr>
        <w:spacing w:after="0" w:line="31" w:lineRule="exact"/>
        <w:rPr>
          <w:rFonts w:ascii="Arial" w:cs="Arial" w:eastAsia="Arial" w:hAnsi="Arial"/>
          <w:sz w:val="16"/>
          <w:szCs w:val="16"/>
          <w:color w:val="auto"/>
        </w:rPr>
      </w:pPr>
    </w:p>
    <w:p>
      <w:pPr>
        <w:ind w:left="900" w:right="280" w:hanging="446"/>
        <w:spacing w:after="0" w:line="259"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shared collateral, and all claims under insurance constituting shared collateral, then, subject to the following paragraphs, the required secured creditors at such times shall be the agent under the credit facilities;</w:t>
      </w:r>
    </w:p>
    <w:p>
      <w:pPr>
        <w:spacing w:after="0" w:line="45" w:lineRule="exact"/>
        <w:rPr>
          <w:rFonts w:ascii="Arial" w:cs="Arial" w:eastAsia="Arial" w:hAnsi="Arial"/>
          <w:sz w:val="18"/>
          <w:szCs w:val="18"/>
          <w:color w:val="auto"/>
        </w:rPr>
      </w:pPr>
    </w:p>
    <w:p>
      <w:pPr>
        <w:ind w:left="900" w:right="720" w:hanging="446"/>
        <w:spacing w:after="0" w:line="347" w:lineRule="auto"/>
        <w:tabs>
          <w:tab w:leader="none" w:pos="9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trustee;</w:t>
      </w:r>
    </w:p>
    <w:p>
      <w:pPr>
        <w:jc w:val="both"/>
        <w:ind w:left="900" w:right="400" w:hanging="446"/>
        <w:spacing w:after="0" w:line="259"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notes have been paid in full and all of our obligations under the credit facilities have been paid in full and the commitments of the lenders under the credit facilities have terminated, then the required secured creditors at such times shall be each representative of any other senior debt; and</w:t>
      </w:r>
    </w:p>
    <w:p>
      <w:pPr>
        <w:spacing w:after="0" w:line="45"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notes, all of our obligations under the credit facilities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Permanent Standstill With Respect to Junior Debt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4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and the trustee).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77" w:lineRule="exact"/>
        <w:rPr>
          <w:sz w:val="20"/>
          <w:szCs w:val="20"/>
          <w:color w:val="auto"/>
        </w:rPr>
      </w:pPr>
    </w:p>
    <w:p>
      <w:pPr>
        <w:ind w:left="900" w:right="660" w:hanging="446"/>
        <w:spacing w:after="0" w:line="268"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take actions to preserve or protect the liens securing such junior debt (so long as the actions are not adverse to the lenders under the credit facilities, the holders of the notes or the holders of any other senior debt);</w:t>
      </w:r>
    </w:p>
    <w:p>
      <w:pPr>
        <w:spacing w:after="0" w:line="37"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purchase or pay off all amounts owed under the senior debt (provided that such junior debt holders shall not be required in such circumstances to pay any prepayment charges or premiums payable under the terms of the senior debt);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to commence an involuntary bankruptcy proceeding with respect to Wynn Las Vegas, Wynn Capital and/or any of the guarantors of the notes.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Application of Proceeds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shared collateral shall be applied:</w:t>
      </w:r>
    </w:p>
    <w:p>
      <w:pPr>
        <w:spacing w:after="0" w:line="77" w:lineRule="exact"/>
        <w:rPr>
          <w:sz w:val="20"/>
          <w:szCs w:val="20"/>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103"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second, to the payment of all principal and interest outstanding under the senior debt (including with respect to any protective advances made by the agent or lenders under our credit facilities or the holders of the notes or the trustee), pro rata among the senior debt based on the outstanding amounts thereof;</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principal and interest, pro rata among the senior debt based on the outstanding amounts thereof;</w:t>
      </w:r>
    </w:p>
    <w:p>
      <w:pPr>
        <w:spacing w:after="0" w:line="37" w:lineRule="exact"/>
        <w:rPr>
          <w:rFonts w:ascii="Arial" w:cs="Arial" w:eastAsia="Arial" w:hAnsi="Arial"/>
          <w:sz w:val="18"/>
          <w:szCs w:val="18"/>
          <w:color w:val="auto"/>
        </w:rPr>
      </w:pPr>
    </w:p>
    <w:p>
      <w:pPr>
        <w:ind w:left="900" w:right="160" w:hanging="446"/>
        <w:spacing w:after="0" w:line="325" w:lineRule="auto"/>
        <w:tabs>
          <w:tab w:leader="none" w:pos="9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1"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the intercreditor agreement provides that certain non-pro rata payments received by any note holder, any lender under the credit facilities or any other senior debt holder shall be remitted to the collateral agent for redistribution in a pro rata manner among each senior debt holder. The payments subject to this pro rata redistribution requirement include, among other things, (i) proceeds of any exercise of any lender or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37" w:lineRule="exact"/>
        <w:rPr>
          <w:sz w:val="20"/>
          <w:szCs w:val="20"/>
          <w:color w:val="auto"/>
        </w:rPr>
      </w:pPr>
    </w:p>
    <w:p>
      <w:pPr>
        <w:jc w:val="both"/>
        <w:ind w:left="900" w:right="60" w:hanging="446"/>
        <w:spacing w:after="0" w:line="259"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the holders of the notes or the holders of other senior debt (and the lenders, the holders of the notes and the holders of other senior debt correspondingly shall agree not to take any action challenging the liens in favor of any such junior debt holders);</w:t>
      </w:r>
    </w:p>
    <w:p>
      <w:pPr>
        <w:spacing w:after="0" w:line="45"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oppose or contest any motion of the agent under the credit facilities, the trustee or any representative of other senior debt holders for relief from the automatic stay or any injunction against foreclosure or enforcement of the credit facilities, the notes or other senior debt;</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notes or other senior debt at any foreclosure sale;</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or any representative of other senior debt holders so long as such use of cash collateral calls for:</w:t>
      </w:r>
    </w:p>
    <w:p>
      <w:pPr>
        <w:spacing w:after="0" w:line="37" w:lineRule="exact"/>
        <w:rPr>
          <w:rFonts w:ascii="Arial" w:cs="Arial" w:eastAsia="Arial" w:hAnsi="Arial"/>
          <w:sz w:val="18"/>
          <w:szCs w:val="18"/>
          <w:color w:val="auto"/>
        </w:rPr>
      </w:pPr>
    </w:p>
    <w:p>
      <w:pPr>
        <w:ind w:left="1360" w:right="100" w:hanging="555"/>
        <w:spacing w:after="0" w:line="268" w:lineRule="auto"/>
        <w:tabs>
          <w:tab w:leader="none" w:pos="13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103"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vote to accept any plan of reorganization or restructuring plan unless lenders collectively holding two-thirds of the aggregate outstanding amount of loans under the credit facilities and the holders of the notes collectively holding two-thirds of the aggregate outstanding amount of the notes have voted to accept such plan.</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and/or the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agent under the credit facilities).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Waivers by Junior Debt Holders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37" w:lineRule="exact"/>
        <w:rPr>
          <w:sz w:val="20"/>
          <w:szCs w:val="20"/>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103" w:lineRule="exact"/>
        <w:rPr>
          <w:rFonts w:ascii="Arial" w:cs="Arial" w:eastAsia="Arial" w:hAnsi="Arial"/>
          <w:sz w:val="18"/>
          <w:szCs w:val="18"/>
          <w:color w:val="auto"/>
        </w:rPr>
      </w:pPr>
    </w:p>
    <w:p>
      <w:pPr>
        <w:ind w:left="1360" w:right="460" w:hanging="555"/>
        <w:spacing w:after="0" w:line="268" w:lineRule="auto"/>
        <w:tabs>
          <w:tab w:leader="none" w:pos="13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the indenture or any other senior debt agreement (even if conditions to any such advances have not been satisfied);</w:t>
      </w:r>
    </w:p>
    <w:p>
      <w:pPr>
        <w:spacing w:after="0" w:line="37" w:lineRule="exact"/>
        <w:rPr>
          <w:rFonts w:ascii="Arial" w:cs="Arial" w:eastAsia="Arial" w:hAnsi="Arial"/>
          <w:sz w:val="18"/>
          <w:szCs w:val="18"/>
          <w:color w:val="auto"/>
        </w:rPr>
      </w:pPr>
    </w:p>
    <w:p>
      <w:pPr>
        <w:ind w:left="1360" w:hanging="555"/>
        <w:spacing w:after="0"/>
        <w:tabs>
          <w:tab w:leader="none" w:pos="136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or any other senior debt agreement;</w:t>
      </w:r>
    </w:p>
    <w:p>
      <w:pPr>
        <w:spacing w:after="0" w:line="103" w:lineRule="exact"/>
        <w:rPr>
          <w:rFonts w:ascii="Arial" w:cs="Arial" w:eastAsia="Arial" w:hAnsi="Arial"/>
          <w:sz w:val="18"/>
          <w:szCs w:val="18"/>
          <w:color w:val="auto"/>
        </w:rPr>
      </w:pPr>
    </w:p>
    <w:p>
      <w:pPr>
        <w:ind w:left="1360" w:hanging="555"/>
        <w:spacing w:after="0" w:line="332" w:lineRule="auto"/>
        <w:tabs>
          <w:tab w:leader="none" w:pos="136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an increase or reduction in the amount of any available credit or an increase or reduction in the amount of principal obligations under the credit facilities, the notes or any other senior debt agreement, or the interest, premium, fees or other amounts payable thereunder;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hanging="555"/>
        <w:spacing w:after="0"/>
        <w:tabs>
          <w:tab w:leader="none" w:pos="13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103" w:lineRule="exact"/>
        <w:rPr>
          <w:rFonts w:ascii="Arial" w:cs="Arial" w:eastAsia="Arial" w:hAnsi="Arial"/>
          <w:sz w:val="18"/>
          <w:szCs w:val="18"/>
          <w:color w:val="auto"/>
        </w:rPr>
      </w:pPr>
    </w:p>
    <w:p>
      <w:pPr>
        <w:ind w:left="900" w:right="360" w:hanging="446"/>
        <w:spacing w:after="0" w:line="332" w:lineRule="auto"/>
        <w:tabs>
          <w:tab w:leader="none" w:pos="90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any claim arising out of any action or failure to act or any error of judgment or negligence on the part of the agent under the credit facilities, the trustee or any representative of other senior debt, other than gross negligence or willful misconduct, to the maximum extent permitted by law.</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 Duty to Inform</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Each of the agent under the credit facilities (on behalf of itself and the lenders), the trustee (on behalf of itself and the holders of the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notes, any other senior debt or any junior debt.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of Liability</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Intercreditor Agreement</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or the holders of the notes, so long as such amendment only affects the subordination provisions in respect of any junior debt but does not affect the provisions governing the relationship between the lenders under the credit facilities and the holders of the notes.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intercreditor agreement provides that the intercreditor arrangements described above also shall apply to (i) any replacement debt arising as a consequence of refinancing of the credit facilities or the notes, (ii) any additional senior debt permitted under the credit facilities and the indenture governing the notes and (iii) any additional junior debt permitted under the credit facilities and the indenture governing the notes.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340"/>
          </w:cols>
          <w:pgMar w:left="240" w:top="459" w:right="3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existing United States federal income tax law, which is subject to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tax-exempt organizations (including private foundations) and partnerships and their partners), or to persons that hold the old notes as part of a straddle, hedge, conversion, constructive sale, or other integrated security transaction for United States federal income tax purposes or that have a functional currency other than the United States dollar, all of whom may be subject to tax rules that differ significantly from those summarized below. In addition, this summary does not address any state, local, or non-United States tax considerations. Each prospective investor is urged to consult his tax advisor regarding the United States federal, state, local, and non-United States income and other tax considerations of the acquisition, ownership, and disposition of the new notes.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420" w:firstLine="456"/>
        <w:spacing w:after="0" w:line="302"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these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180 days after the consummation of the exchange offer, we will make this prospectus, as amended or</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supplemented, available to any broker-dealer for use in connection with any such resale. In addition, until , 2005, all dealers effecting transactions in the new notes may be required to deliver a prospectus.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w:t>
      </w:r>
    </w:p>
    <w:p>
      <w:pPr>
        <w:spacing w:after="0" w:line="37" w:lineRule="exact"/>
        <w:rPr>
          <w:sz w:val="20"/>
          <w:szCs w:val="20"/>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103"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new notes may be deemed to be an “underwriter” within the meaning of the Securities Act and any profit of any such resale of new notes and any commission or concessions received by any such persons may be deemed to be underwriting compensation under the Securities Act. Any broker-dealer that resells new notes that were received by it for its own account in the exchange offer and any broker-dealer that participates in a distribution of those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The letter of transmittal states that, by acknowledging that it will deliver and by delivering a prospectus, a broker-dealer will not be deemed to admit that it is an “underwriter” within the meaning of the Securities Act.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77" w:lineRule="exact"/>
        <w:rPr>
          <w:sz w:val="20"/>
          <w:szCs w:val="20"/>
          <w:color w:val="auto"/>
        </w:rPr>
      </w:pPr>
    </w:p>
    <w:p>
      <w:pPr>
        <w:ind w:left="900" w:right="40" w:hanging="446"/>
        <w:spacing w:after="0" w:line="325" w:lineRule="auto"/>
        <w:tabs>
          <w:tab w:leader="none" w:pos="90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w:t>
      </w:r>
    </w:p>
    <w:p>
      <w:pPr>
        <w:spacing w:after="0" w:line="1"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1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For a period of 180 days after the expiration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Certain legal matters in connection with this exchange offer will be passed upon for us by Skadden, Arps, Slate, Meagher &amp; Flom LLP, Los Angeles, California. Certain matters of Nevada law will be passed upon for us by Schreck Brignone, Las Vegas, Nevada.</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consolidated financial statements of Wynn Las Vegas, LLC as of December 31, 2004 and 2003 and for each of the three years ended December 31, 2004, 2003 and 2002 and the period from inception to December 31, 2004 included in this prospectus, have been audited by Deloitte &amp; Touche LLP, an independent registered public accounting firm, as stated in their report appearing herein, and have been so included in reliance upon the report of such firm given upon their authority as experts in accounting and auditing.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not currently subject to the periodic reporting and other informational requirements of the Exchange Act. The indenture governing the notes requires that we file reports under the Exchange Act with the SEC (unless the SEC will not accept such filings) and furnish information to the trustee and holders of the notes. See “Description of the New Notes—Certain Covenants—Reports.”</w:t>
      </w:r>
    </w:p>
    <w:p>
      <w:pPr>
        <w:spacing w:after="0" w:line="12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Upon the effectiveness of the registration statement, we will become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450 Fifth Street, N.W., Washington, D.C. 20549 and through the SEC’s Internet site at http://www.sec.gov. You may obtain information on the operation of the Public Reference Room by calling the SEC at 1-800-SEC-0330.</w:t>
      </w:r>
    </w:p>
    <w:p>
      <w:pPr>
        <w:spacing w:after="0" w:line="9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Wynn Resorts, Limited, a Nevada corporation (“Wynn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March 31, 2005 and 2004</w:t>
            </w:r>
          </w:p>
        </w:tc>
        <w:tc>
          <w:tcPr>
            <w:tcW w:w="56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6160" w:type="dxa"/>
            <w:vAlign w:val="bottom"/>
            <w:tcBorders>
              <w:bottom w:val="single" w:sz="8" w:color="0000EE"/>
            </w:tcBorders>
            <w:gridSpan w:val="11"/>
          </w:tcPr>
          <w:p>
            <w:pPr>
              <w:spacing w:after="0" w:line="184"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Consolidated Balance Sheets as of March 31, 2005 (unaudited) and December 31, 2004</w:t>
              </w:r>
            </w:hyperlink>
          </w:p>
        </w:tc>
        <w:tc>
          <w:tcPr>
            <w:tcW w:w="4260" w:type="dxa"/>
            <w:vAlign w:val="bottom"/>
            <w:gridSpan w:val="6"/>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1"/>
              </w:rPr>
            </w:pPr>
            <w:hyperlink w:anchor="page193">
              <w:r>
                <w:rPr>
                  <w:rFonts w:ascii="Arial" w:cs="Arial" w:eastAsia="Arial" w:hAnsi="Arial"/>
                  <w:sz w:val="18"/>
                  <w:szCs w:val="18"/>
                  <w:color w:val="0000EE"/>
                  <w:w w:val="91"/>
                </w:rPr>
                <w:t>Consolidated Statements of Operations and Comprehensive Loss (unaudited) for the three months ended March 31, 2005 and 2004 and for the</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period from inception to March 31, 2005</w:t>
              </w:r>
            </w:hyperlink>
          </w:p>
        </w:tc>
        <w:tc>
          <w:tcPr>
            <w:tcW w:w="4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1"/>
              </w:rPr>
            </w:pPr>
            <w:hyperlink w:anchor="page194">
              <w:r>
                <w:rPr>
                  <w:rFonts w:ascii="Arial" w:cs="Arial" w:eastAsia="Arial" w:hAnsi="Arial"/>
                  <w:sz w:val="18"/>
                  <w:szCs w:val="18"/>
                  <w:color w:val="0000EE"/>
                  <w:w w:val="91"/>
                </w:rPr>
                <w:t>Consolidated Statements of Cash Flows (unaudited) for the three months ended March 31, 2005 and 2004 and for the period from inception to</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94">
              <w:r>
                <w:rPr>
                  <w:rFonts w:ascii="Arial" w:cs="Arial" w:eastAsia="Arial" w:hAnsi="Arial"/>
                  <w:sz w:val="18"/>
                  <w:szCs w:val="18"/>
                  <w:color w:val="0000EE"/>
                  <w:w w:val="87"/>
                </w:rPr>
                <w:t>March 31, 2005</w:t>
              </w:r>
            </w:hyperlink>
          </w:p>
        </w:tc>
        <w:tc>
          <w:tcPr>
            <w:tcW w:w="8660" w:type="dxa"/>
            <w:vAlign w:val="bottom"/>
            <w:tcBorders>
              <w:top w:val="single" w:sz="8" w:color="0000EE"/>
            </w:tcBorders>
            <w:gridSpan w:val="9"/>
          </w:tcPr>
          <w:p>
            <w:pPr>
              <w:spacing w:after="0"/>
              <w:rPr>
                <w:sz w:val="17"/>
                <w:szCs w:val="17"/>
                <w:color w:val="auto"/>
              </w:rPr>
            </w:pPr>
          </w:p>
        </w:tc>
        <w:tc>
          <w:tcPr>
            <w:tcW w:w="42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the unaudited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4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30"/>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w w:val="89"/>
              </w:rPr>
              <w:t>Audited Consolidated Financial Statements as of December 31, 2004 and 2003 and for the years ended December 31, 2004, 2003 and 2002 and</w:t>
            </w:r>
          </w:p>
        </w:tc>
        <w:tc>
          <w:tcPr>
            <w:tcW w:w="560" w:type="dxa"/>
            <w:vAlign w:val="bottom"/>
          </w:tcPr>
          <w:p>
            <w:pPr>
              <w:spacing w:after="0"/>
              <w:rPr>
                <w:sz w:val="24"/>
                <w:szCs w:val="24"/>
                <w:color w:val="auto"/>
              </w:rPr>
            </w:pPr>
          </w:p>
        </w:tc>
      </w:tr>
      <w:tr>
        <w:trPr>
          <w:trHeight w:val="222"/>
        </w:trPr>
        <w:tc>
          <w:tcPr>
            <w:tcW w:w="10860" w:type="dxa"/>
            <w:vAlign w:val="bottom"/>
            <w:gridSpan w:val="18"/>
          </w:tcPr>
          <w:p>
            <w:pPr>
              <w:spacing w:after="0"/>
              <w:rPr>
                <w:sz w:val="20"/>
                <w:szCs w:val="20"/>
                <w:color w:val="auto"/>
              </w:rPr>
            </w:pPr>
            <w:r>
              <w:rPr>
                <w:rFonts w:ascii="Arial" w:cs="Arial" w:eastAsia="Arial" w:hAnsi="Arial"/>
                <w:sz w:val="18"/>
                <w:szCs w:val="18"/>
                <w:b w:val="1"/>
                <w:bCs w:val="1"/>
                <w:color w:val="auto"/>
              </w:rPr>
              <w:t>for the period from inception to December 31, 2004</w:t>
            </w:r>
          </w:p>
        </w:tc>
        <w:tc>
          <w:tcPr>
            <w:tcW w:w="560" w:type="dxa"/>
            <w:vAlign w:val="bottom"/>
          </w:tcPr>
          <w:p>
            <w:pPr>
              <w:spacing w:after="0"/>
              <w:rPr>
                <w:sz w:val="19"/>
                <w:szCs w:val="19"/>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9"/>
          </w:tcPr>
          <w:p>
            <w:pPr>
              <w:spacing w:after="0" w:line="184"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Report of Independent Registered Public Accounting Firm</w:t>
              </w:r>
            </w:hyperlink>
          </w:p>
        </w:tc>
        <w:tc>
          <w:tcPr>
            <w:tcW w:w="6300" w:type="dxa"/>
            <w:vAlign w:val="bottom"/>
            <w:gridSpan w:val="8"/>
          </w:tcPr>
          <w:p>
            <w:pPr>
              <w:spacing w:after="0"/>
              <w:rPr>
                <w:sz w:val="15"/>
                <w:szCs w:val="15"/>
                <w:color w:val="auto"/>
              </w:rPr>
            </w:pPr>
          </w:p>
        </w:tc>
        <w:tc>
          <w:tcPr>
            <w:tcW w:w="560" w:type="dxa"/>
            <w:vAlign w:val="bottom"/>
          </w:tcPr>
          <w:p>
            <w:pPr>
              <w:jc w:val="right"/>
              <w:spacing w:after="0" w:line="184" w:lineRule="exact"/>
              <w:rPr>
                <w:sz w:val="20"/>
                <w:szCs w:val="20"/>
                <w:color w:val="auto"/>
              </w:rPr>
            </w:pPr>
            <w:r>
              <w:rPr>
                <w:rFonts w:ascii="Arial" w:cs="Arial" w:eastAsia="Arial" w:hAnsi="Arial"/>
                <w:sz w:val="18"/>
                <w:szCs w:val="18"/>
                <w:color w:val="auto"/>
              </w:rPr>
              <w:t>F-21</w:t>
            </w:r>
          </w:p>
        </w:tc>
      </w:tr>
      <w:tr>
        <w:trPr>
          <w:trHeight w:val="196"/>
        </w:trPr>
        <w:tc>
          <w:tcPr>
            <w:tcW w:w="440" w:type="dxa"/>
            <w:vAlign w:val="bottom"/>
          </w:tcPr>
          <w:p>
            <w:pPr>
              <w:spacing w:after="0"/>
              <w:rPr>
                <w:sz w:val="17"/>
                <w:szCs w:val="17"/>
                <w:color w:val="auto"/>
              </w:rPr>
            </w:pPr>
          </w:p>
        </w:tc>
        <w:tc>
          <w:tcPr>
            <w:tcW w:w="45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12">
              <w:r>
                <w:rPr>
                  <w:rFonts w:ascii="Arial" w:cs="Arial" w:eastAsia="Arial" w:hAnsi="Arial"/>
                  <w:sz w:val="18"/>
                  <w:szCs w:val="18"/>
                  <w:color w:val="0000EE"/>
                  <w:w w:val="86"/>
                </w:rPr>
                <w:t>Consolidated Balance Sheets as of December 31, 2004 and 2003</w:t>
              </w:r>
            </w:hyperlink>
          </w:p>
        </w:tc>
        <w:tc>
          <w:tcPr>
            <w:tcW w:w="588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89"/>
              </w:rPr>
            </w:pPr>
            <w:hyperlink w:anchor="page213">
              <w:r>
                <w:rPr>
                  <w:rFonts w:ascii="Arial" w:cs="Arial" w:eastAsia="Arial" w:hAnsi="Arial"/>
                  <w:sz w:val="18"/>
                  <w:szCs w:val="18"/>
                  <w:color w:val="0000EE"/>
                  <w:w w:val="89"/>
                </w:rPr>
                <w:t>Consolidated Statements of Operations and Comprehensive Loss for the years ended December 31, 2004, 2003 and 2002 and for the period from</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213">
              <w:r>
                <w:rPr>
                  <w:rFonts w:ascii="Arial" w:cs="Arial" w:eastAsia="Arial" w:hAnsi="Arial"/>
                  <w:sz w:val="18"/>
                  <w:szCs w:val="18"/>
                  <w:color w:val="0000EE"/>
                  <w:w w:val="87"/>
                </w:rPr>
                <w:t>inception to December 31, 2004</w:t>
              </w:r>
            </w:hyperlink>
          </w:p>
        </w:tc>
        <w:tc>
          <w:tcPr>
            <w:tcW w:w="7700" w:type="dxa"/>
            <w:vAlign w:val="bottom"/>
            <w:tcBorders>
              <w:top w:val="single" w:sz="8" w:color="0000EE"/>
            </w:tcBorders>
            <w:gridSpan w:val="10"/>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4"/>
              </w:rPr>
            </w:pPr>
            <w:hyperlink w:anchor="page214">
              <w:r>
                <w:rPr>
                  <w:rFonts w:ascii="Arial" w:cs="Arial" w:eastAsia="Arial" w:hAnsi="Arial"/>
                  <w:sz w:val="18"/>
                  <w:szCs w:val="18"/>
                  <w:color w:val="0000EE"/>
                  <w:w w:val="94"/>
                </w:rPr>
                <w:t>Consolidated Statements of Member’s Equity for the years ended December 31, 2004, 2003 and 2002 and for the period from inception to</w:t>
              </w:r>
            </w:hyperlink>
          </w:p>
        </w:tc>
        <w:tc>
          <w:tcPr>
            <w:tcW w:w="56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14">
              <w:r>
                <w:rPr>
                  <w:rFonts w:ascii="Arial" w:cs="Arial" w:eastAsia="Arial" w:hAnsi="Arial"/>
                  <w:sz w:val="18"/>
                  <w:szCs w:val="18"/>
                  <w:color w:val="0000EE"/>
                  <w:w w:val="86"/>
                </w:rPr>
                <w:t>December 31, 2004</w:t>
              </w:r>
            </w:hyperlink>
          </w:p>
        </w:tc>
        <w:tc>
          <w:tcPr>
            <w:tcW w:w="8100" w:type="dxa"/>
            <w:vAlign w:val="bottom"/>
            <w:tcBorders>
              <w:top w:val="single" w:sz="8" w:color="0000EE"/>
            </w:tcBorders>
            <w:gridSpan w:val="7"/>
          </w:tcPr>
          <w:p>
            <w:pPr>
              <w:spacing w:after="0"/>
              <w:rPr>
                <w:sz w:val="17"/>
                <w:szCs w:val="17"/>
                <w:color w:val="auto"/>
              </w:rPr>
            </w:pPr>
          </w:p>
        </w:tc>
        <w:tc>
          <w:tcPr>
            <w:tcW w:w="7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Consolidated Statements of Cash Flows for the years ended December 31, 2004, 2003 and 2002 and for the period from inception to December</w:t>
              </w:r>
            </w:hyperlink>
          </w:p>
        </w:tc>
        <w:tc>
          <w:tcPr>
            <w:tcW w:w="56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82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5"/>
              </w:rPr>
            </w:pPr>
            <w:hyperlink w:anchor="page215">
              <w:r>
                <w:rPr>
                  <w:rFonts w:ascii="Arial" w:cs="Arial" w:eastAsia="Arial" w:hAnsi="Arial"/>
                  <w:sz w:val="18"/>
                  <w:szCs w:val="18"/>
                  <w:color w:val="0000EE"/>
                  <w:w w:val="85"/>
                </w:rPr>
                <w:t>31, 2004</w:t>
              </w:r>
            </w:hyperlink>
          </w:p>
        </w:tc>
        <w:tc>
          <w:tcPr>
            <w:tcW w:w="5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420" w:type="dxa"/>
            <w:vAlign w:val="bottom"/>
            <w:gridSpan w:val="17"/>
          </w:tcPr>
          <w:p>
            <w:pPr>
              <w:spacing w:after="0" w:line="196" w:lineRule="exact"/>
              <w:rPr>
                <w:rFonts w:ascii="Arial" w:cs="Arial" w:eastAsia="Arial" w:hAnsi="Arial"/>
                <w:sz w:val="18"/>
                <w:szCs w:val="18"/>
                <w:color w:val="0000EE"/>
              </w:rPr>
            </w:pPr>
            <w:hyperlink w:anchor="page216">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r>
      <w:tr>
        <w:trPr>
          <w:trHeight w:val="383"/>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80" w:type="dxa"/>
            <w:vAlign w:val="bottom"/>
            <w:gridSpan w:val="7"/>
          </w:tcPr>
          <w:p>
            <w:pPr>
              <w:ind w:left="62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20" w:type="dxa"/>
            <w:vAlign w:val="bottom"/>
          </w:tcPr>
          <w:p>
            <w:pPr>
              <w:spacing w:after="0"/>
              <w:rPr>
                <w:sz w:val="21"/>
                <w:szCs w:val="21"/>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193,923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633,372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663,289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1,854,882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3,204,152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1,709,634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1,336,175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1,953,914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1,511,434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1,446,531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(212,798)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1,250,238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1,276,667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3,204,152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2,788,101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9220" w:type="dxa"/>
            <w:vAlign w:val="bottom"/>
          </w:tcPr>
          <w:p>
            <w:pPr>
              <w:ind w:left="5580"/>
              <w:spacing w:after="0"/>
              <w:rPr>
                <w:sz w:val="20"/>
                <w:szCs w:val="20"/>
                <w:color w:val="auto"/>
              </w:rPr>
            </w:pPr>
            <w:r>
              <w:rPr>
                <w:rFonts w:ascii="Arial" w:cs="Arial" w:eastAsia="Arial" w:hAnsi="Arial"/>
                <w:sz w:val="18"/>
                <w:szCs w:val="18"/>
                <w:color w:val="auto"/>
              </w:rPr>
              <w:t>F-2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-4288155</wp:posOffset>
            </wp:positionV>
            <wp:extent cx="56134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-4288155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-4288155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-4288155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-652145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-652145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-652145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-652145</wp:posOffset>
            </wp:positionV>
            <wp:extent cx="57023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6"/>
              </w:rPr>
              <w:t>Three Months Ended</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5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29,091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(30,659)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(108,705)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(26,908)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(212,798)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(11,904)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(19,208)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(18,674)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(196,293)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49276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(26,908)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(6,770)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loss accumulated during the development stage to net cash provided by (used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OID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(Gain)/loss on sale of assets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37,407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11,571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(268,894)</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85"/>
              </w:rPr>
              <w:t>(173,984)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(1,698,286)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(48,705)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154,245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(21,887)</w:t>
            </w: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(348,739)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(11,532)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(2,083,215)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373,436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2,572,229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affiliates contributed by parent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7,700</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(11,904)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-923290</wp:posOffset>
            </wp:positionV>
            <wp:extent cx="49276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-923290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-923290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-923290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-923290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-923290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right="8280" w:firstLine="8"/>
        <w:spacing w:after="0" w:line="325" w:lineRule="auto"/>
        <w:tabs>
          <w:tab w:leader="none" w:pos="176"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ind w:right="20" w:firstLine="456"/>
        <w:spacing w:after="0" w:line="294" w:lineRule="auto"/>
        <w:rPr>
          <w:sz w:val="20"/>
          <w:szCs w:val="20"/>
          <w:color w:val="auto"/>
        </w:rPr>
      </w:pPr>
      <w:r>
        <w:rPr>
          <w:rFonts w:ascii="Arial" w:cs="Arial" w:eastAsia="Arial" w:hAnsi="Arial"/>
          <w:sz w:val="16"/>
          <w:szCs w:val="16"/>
          <w:color w:val="auto"/>
        </w:rPr>
        <w:t>Wynn Las Vegas, LLC was formed on April 17, 2001. Originally named Hotel A, LLC, its name was changed to Wynn Las Vegas, LLC on May 15, 2002. Unless the context otherwise requires, all references herein to the “Company,” refer to Wynn Las Vegas, LLC, a Nevada limited liability company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(the “Desert Inn”) on “the Strip” in Las Vegas, Nevada.</w:t>
      </w:r>
    </w:p>
    <w:p>
      <w:pPr>
        <w:spacing w:after="0" w:line="10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2005 and December 31, 2004, the Company owned the one share that was issued and outstanding. At and for the period from its inception through March 31, 2005, Wynn Capital has neither any significant net assets nor any operating activity. Its sole function is to serve as the co-issuer of mortgage notes, which partially financed Wynn Las Vegas. Wynn Las Vegas, LLC and Wynn Capital together are hereinafter referred to as the “Issuers”.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All significant intercompany accounts and transactions have been eliminated.</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periods presented through March 31, 2005, the Company had not yet commenced its casino resort operations. Consequently, as was expected and as is customary for a development stage company, the Company incurred increasing losses in each period from inception to March 31, 2005, as the development and construction of Wynn Las Vegas progressed. On April 28, 2005, Wynn Las Vegas opened to the public.</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consolidated financial statements included herein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Annual Report on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Certain amounts in the consolidated financial statements for the three months ended March 31, 2004 have been reclassified to conform to the 2005 presentation. During 2004, the Company recorded the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$715,000 for the first quarter of 2004 was reclassified from revenues to preopening expenses to conform to the 2005 presentation. The reclassification had no effect on the previously reported net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Employee Stock-Based Compensation</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applies the provisions of Emerging Issues Task Force (“EITF”) 00-23, “Options Granted to Employees of Entities under Common Control” and records the value of equity instruments granted by Wynn Resorts to employees of the Company in the Company’s consolidated financial statements as a capital contribution.</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Three Months</w:t>
            </w:r>
          </w:p>
        </w:tc>
        <w:tc>
          <w:tcPr>
            <w:tcW w:w="14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Three Months</w:t>
            </w: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2"/>
                <w:szCs w:val="12"/>
                <w:color w:val="auto"/>
              </w:rPr>
            </w:pPr>
          </w:p>
        </w:tc>
        <w:tc>
          <w:tcPr>
            <w:tcW w:w="13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March 31,</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2005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9"/>
              </w:rPr>
              <w:t>2004</w:t>
            </w:r>
          </w:p>
        </w:tc>
        <w:tc>
          <w:tcPr>
            <w:tcW w:w="60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(6,770)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$(212,798)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w w:val="90"/>
              </w:rPr>
              <w:t>Less: total stock-based employee compensation expenses determined under the fair-value based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method for all awards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(518)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(7,288)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$(216,297)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-27305</wp:posOffset>
            </wp:positionV>
            <wp:extent cx="231076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310765" cy="298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periodically incurs costs on behalf of Stephen A. Wynn, Wynn Resorts’ Chairman of the Board, Chief Executive Officer and one of its principal stockholders (“Mr. Wynn”), and on behalf of certain other executive officers of Wynn Resorts, including costs with respect to their personal use of the corporate aircraft, household employees, personal legal fees, construction work and other personal purchases. Mr. Wynn and these other officers have deposits with the Company to prepay any such items. These deposits are replenished on an ongoing basis as needed. At March 31, 2005 and December 31, 2004, the Company’s net liability to Mr. Wynn and other officers was approximately $77,000 and $71,000,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Until it was closed on May 6, 2004, Holdings operated an art gallery at the former Desert Inn displaying The Wynn Collection, a collection of fine art owned by Mr. Wynn and his wife, Elaine P. Wynn (“Mrs. Wynn”), who is also a director of Wynn Resorts. Under the terms of the Art Rental and Licensing Agreement (the “Art Agreement”) under which The Wynn Collection was exhibited at the time the art gallery was closed, Mr. and Mrs. Wynn leased The Wynn Collection to Holdings for an annual fee of one dollar ($1), and Holdings was entitled to retain all revenues from the public display of The Wynn Collection and the related merchandising revenues. Holdings was responsible for all expenses incurred in exhibiting and safeguarding The Wynn Collection, including the cost of insurance (including terrorism insurance) and taxes relating to the rental of The Wynn Collection.</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August 6, 2004, the Art Agreement was amended to set forth the terms and conditions under which The Wynn Collection will be exhibited at Wynn Las Vegas effective upon the opening of the new resort. The terms of the amended Art Agreement are substantially the same as the terms under which Holdings most recently had displayed The Wynn Collection in the gallery in the former Desert Inn, including an annual rental of one dollar ($1) for all of the leased works.</w:t>
      </w:r>
    </w:p>
    <w:p>
      <w:pPr>
        <w:spacing w:after="0" w:line="9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the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On December 14, 2004, the Company and Holdings entered into a license agreement relating to the Company’s use of Mr. Wynn’s name and persona.</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29, 2004, the Company entered into an agreement with Mr. Wynn for the lease of a villa suite in the Wynn Las Vegas resort to Mr. and Mrs. Wynn as their personal residence. The agreement was to become effective on the earlier of the date that Mr. and Mrs. Wynn first occupied the suite or the initial opening of Wynn Las Vegas to the public. On April 21, 2005, the agreement was amended to extend the effective date of the lease agreement to no later than July 1, 2005. The term of the agreement continues from year to year unless terminated on at least 90 days’ written notice prior to the end of any lease year, or upon the death of Mr. Wynn. Rent will be determined each year by the Audit Committee of the Board of Directors (the “Audit Committee”), and will be based on the fair market value of the use of the suite accommodations. The Audit Committee has determined, based on a third-party appraisal, that the rent for the first lease year will be $580,000. All services for, and maintenance of, the suite are included in the rent, with certain exceptions.</w:t>
      </w:r>
    </w:p>
    <w:p>
      <w:pPr>
        <w:spacing w:after="0" w:line="10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the period from inception through March 31, 2005, the accompanying statements of operations include allocations from Wynn Resorts or Valvino Lamore, LLC (“Valvino”), its predecessor, for legal, accounting, human resource, information services, real estate, and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March 31, 2005 and December 31, 2004,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March 31,</w:t>
            </w: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  353,544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Parking garage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44,185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11,424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1,731,475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1,448,328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2,158,802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1,858,522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(3,640)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2,153,664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$1,854,882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gridSpan w:val="3"/>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11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9340" w:type="dxa"/>
            <w:vAlign w:val="bottom"/>
            <w:gridSpan w:val="8"/>
          </w:tcPr>
          <w:p>
            <w:pPr>
              <w:ind w:left="440"/>
              <w:spacing w:after="0"/>
              <w:rPr>
                <w:sz w:val="20"/>
                <w:szCs w:val="20"/>
                <w:color w:val="auto"/>
              </w:rPr>
            </w:pPr>
            <w:r>
              <w:rPr>
                <w:rFonts w:ascii="Arial" w:cs="Arial" w:eastAsia="Arial" w:hAnsi="Arial"/>
                <w:sz w:val="18"/>
                <w:szCs w:val="18"/>
                <w:color w:val="auto"/>
                <w:w w:val="94"/>
              </w:rPr>
              <w:t>Construction in progress includes interest and other costs capitalized in conjunction with the Wynn Las Vegas project.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5. Long-Term Debt</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340" w:type="dxa"/>
            <w:vAlign w:val="bottom"/>
            <w:gridSpan w:val="8"/>
          </w:tcPr>
          <w:p>
            <w:pPr>
              <w:ind w:left="440"/>
              <w:spacing w:after="0"/>
              <w:rPr>
                <w:sz w:val="20"/>
                <w:szCs w:val="20"/>
                <w:color w:val="auto"/>
              </w:rPr>
            </w:pPr>
            <w:r>
              <w:rPr>
                <w:rFonts w:ascii="Arial" w:cs="Arial" w:eastAsia="Arial" w:hAnsi="Arial"/>
                <w:sz w:val="18"/>
                <w:szCs w:val="18"/>
                <w:color w:val="auto"/>
                <w:w w:val="99"/>
              </w:rPr>
              <w:t>Long-term debt as of March 31, 2005 and December 31, 2004, consists of the following (amounts in thousands):</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gridSpan w:val="2"/>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8"/>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4.98% and 4.575%,</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8"/>
              </w:rPr>
              <w:t>12% Second Mortgage Notes, net of original issue discount of approximately $508,000 and $531,000, respectively due</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3"/>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1,709,634</w:t>
            </w: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-2233295</wp:posOffset>
            </wp:positionV>
            <wp:extent cx="53594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-2233295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-2233295</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-2233295</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borrowed the remaining $373.4 million available under the delay draw term loan facility during the first quarter of 2005, as required under the agreements governing the Company’s current credit facilities. The total $400 million of term loan proceeds are being used as part of the financing for the construction of Wynn Las Vegas and Encore.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was previously required to obtain interest rate protection for at least $325 million of borrowings under the Company’s previous credit facilities, and in May 2003 and June 2003, entered into two interest rate swap arrangements to hedge the underlying interest rate risk on a total of $825 million of expected future borrowings under such credit facilities that were to mature in October 2008 and October 2009. These two interest rate swaps were accounted for as cash flow hedges under the provisions of SFAS No. 133.</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14, 2004, concurrent with refinancing its indebtedness, the Company terminated the two interest rate swaps. As a result of the termination, the Company received approximately $9.6 million in settlement of the related asset, which is being amortized from accumulated other comprehensive income to reduce interest expense over the original contract life of the two interest rate swaps. Approximately $1.2 million was amortized against interest expense during the first quarter of 2005.</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the $400.0 million of term loan borrowings under the credit facilities, which bear interest at LIBOR plus 2.125%. Under each of these two new interest rate swap arrangements, the Company receives payments at a variable rate of LIBOR and pays a fixed rate of 3.793% on the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0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of March 31, 2005, the Company recorded in other assets the fair value of the net effect of the two new interest rate swaps of approximately $8.3 million, an increase of $7.7 million compared to the value of $583,000 at December 31, 2004. Because there has been no ineffectiveness in the hedging relationship, the corresponding change in fair value of equal amount is reported in other comprehensive income.</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87" w:lineRule="exact"/>
        <w:rPr>
          <w:sz w:val="20"/>
          <w:szCs w:val="20"/>
          <w:color w:val="auto"/>
        </w:rPr>
      </w:pPr>
    </w:p>
    <w:p>
      <w:pPr>
        <w:ind w:right="8700" w:firstLine="8"/>
        <w:spacing w:after="0" w:line="332" w:lineRule="auto"/>
        <w:tabs>
          <w:tab w:leader="none" w:pos="176"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Construction. </w:t>
      </w:r>
      <w:r>
        <w:rPr>
          <w:rFonts w:ascii="Arial" w:cs="Arial" w:eastAsia="Arial" w:hAnsi="Arial"/>
          <w:sz w:val="16"/>
          <w:szCs w:val="16"/>
          <w:color w:val="auto"/>
        </w:rPr>
        <w:t>Through March 31, 2005, the Company funded approximately $2.4 billion of the estimated total project costs, which are anticipated to be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range of $2.7 to $2.75 billion, primarily from a combination of contributed capital, proceeds from the initial public offering of the Company’s common stock, proceeds from the Issuers’ discharged 12% Second Mortgage Notes due 2010 (the “Second Mortgage Notes”), proceeds from the Issuers’ 6-5/8% First Mortgage Notes due 2014 (the “First Mortgage Notes”), and a portion of the borrowings under the previous and current credit facilities. As of March 31, 2005, project costs still to be incurred were estimated to be between $335.0 and $385.0 million.</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March 31, 2005, the Company had availability under its credit facilities and long-term restricted cash available for the project, as well as a $50.0 million completion guarantee balance and a $30.0 million liquidity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reserve, sufficient to complete Wynn Las Vegas. The Company anticipates using its construction contingencies as well as a significant portion of the completion guarantee funds to achieve final completion of Wynn Las Vegas. As the completion guarantee funds are committed for use, the final cost of the Wynn Las Vegas project will increase correspondingly. Consistent with large-scale construction projects, determination of the final project cost is subject to a complete accounting after the date of final completion (as defined in the contract with the general contractor), which will occur in late 2005.</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Encore. </w:t>
      </w:r>
      <w:r>
        <w:rPr>
          <w:rFonts w:ascii="Arial" w:cs="Arial" w:eastAsia="Arial" w:hAnsi="Arial"/>
          <w:sz w:val="16"/>
          <w:szCs w:val="16"/>
          <w:color w:val="auto"/>
        </w:rPr>
        <w:t>Due to anticipated demand for Wynn Las Vegas, continued strength in the Las Vegas market, and the Company’s desire to maximize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of its substantial real estate assets, the Company continues to refine the scope of Encore. The Company has elevated Encore to the status of a free standing casino resort which is fully integrated with Wynn Las Vegas. The current Encore program calls for a hotel tower consisting of approximately 1,100 suites and approximately 1,400 guest rooms. In addition, the current plans for Encore include 200,000 square feet of convention and meeting space, a 50,000 square foot casino, additional entertainment venues, restaurants, a spa and salon, swimming pools and retail space. The scope and design of Encore remain subject to the approval of Wynn Resorts’ board of directors. The Company currently anticipates that Encore will open in the first half of 2008.</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expects that the remaining proceeds from the First Mortgage Notes, together with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project’s budget, plans and specifications (the “Encore Budget, Plans and Specs”) by a majority of arrangers or lenders under the credit agreement. Once the Company has finalized the scope and plans for Encore, the Company will seek the necessary consents and approvals from its lenders and noteholders.</w:t>
      </w:r>
    </w:p>
    <w:p>
      <w:pPr>
        <w:spacing w:after="0" w:line="13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has entered into long-term agreements with Productions Du Dragon, S.A., a creative production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(“Dragon”), and Calitri Services and Licensing Limited Liability Company, its affiliated production services company (“Calitri”), for the licensing, creation, development and executive production of the water-based production show at Wynn Las Vegas named “Le Rêve, a small collection of imperfect dreams.” Under these agreements the Company is required to pay certain up-front creation and licensing fees, production costs and, upon opening of the production, a royalty of 10% of net retail revenues, 10% of net ticket revenues and 50% of the show profits to Dragon and Calitri as calculated in accordance with the terms of the agreements. The term of each of the agreements is ten years after the opening date of the show with one five-year renewal option.</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also has an option with Dragon and Calitri for the development of a second production show for Wynn Las Vegas or for another project. The exercise of the option will require the payment of an additional $1.0 million and any additional project will require additional funds to develop.</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the Broadway Theater, which is scheduled for completion in September 2005.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March 31, 2005 and December 31, 2004, other assets included $38.6 million and $32.9 million, respectively, of amounts paid or accrued for production rights and creation and development costs in conjunction with these entertainment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opened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to the above, to accommodate its preopening and casino marketing efforts, the Company or certain of its affiliates are the lessee under several leases for office space, warehouse facilities and certain office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and its subsidiaries are covered under a self-insured medical plan up to a maximum of $200,000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is occasionally a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ind w:right="9420" w:firstLine="8"/>
        <w:spacing w:after="0" w:line="398" w:lineRule="auto"/>
        <w:tabs>
          <w:tab w:leader="none" w:pos="176" w:val="left"/>
        </w:tabs>
        <w:numPr>
          <w:ilvl w:val="0"/>
          <w:numId w:val="23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Opening of Wynn Las Vegas</w:t>
      </w:r>
    </w:p>
    <w:p>
      <w:pPr>
        <w:spacing w:after="0" w:line="1" w:lineRule="exact"/>
        <w:rPr>
          <w:rFonts w:ascii="Arial" w:cs="Arial" w:eastAsia="Arial" w:hAnsi="Arial"/>
          <w:sz w:val="15"/>
          <w:szCs w:val="15"/>
          <w:b w:val="1"/>
          <w:bCs w:val="1"/>
          <w:color w:val="auto"/>
        </w:rPr>
      </w:pP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Wynn Las Vegas opened to the public on April 28, 2005.</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Debt Agreements</w:t>
      </w:r>
    </w:p>
    <w:p>
      <w:pPr>
        <w:spacing w:after="0" w:line="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On April 26, 2005, the Company amended certain agreements pertaining to its credit facilities, specifically its Credit Agreement and its Master Disbursement Agreement, to among other things, (i) increase the limitation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expenditures for Encore project costs from $950 million to $1.4 billion (net of additional equity contributions); (ii) under certain circumstances, increase the annual limitation on capital expenditures for the year 2008 and each year thereafter from $120 million to $160 million; (iii) permit a transfer of up to five acres of the land currently owned by Wynn Golf, LLC, but not necessary for the Wynn Las Vegas golf course, to the Company for use in connection with Encore; (iv) extend the deadlines for certain deliverables related to Encore from various dates beginning April 15, 2005 to June 15, 2005; and (v) extend the dates for the opening and final completion of Encore to September 30, 2008 and December 31, 2008,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Consolidating Financial Information of Guarantors and Issuers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the Issuers of the First Mortgage Notes and their guarantor subsidiaries (World Travel, LLC; Las Vegas Jet, LLC; Wynn Show Performers, LLC; Wynn Golf, LLC and Wynn Sunrise, LLC) and non-guarantor subsidiary (Wynn Completion Guarantor, LLC) as of March 31, 2005 and December 31, 2004, for the three months ended March 31, 2005 and 2004, and for the period from inception to March 31, 2005.</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583,087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50,285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1,989,786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163,878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2,153,664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86,429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1,905</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2,988,474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172,027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Accounts and construction payables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27,438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15,643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166,440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167,130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1,709,634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1,709,634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1,738,236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167,130</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1,953,914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1,446,531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(11,621)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1,446,531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(212,798)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(212,798)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1,250,238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2,988,474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172,027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50,285</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3,204,152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0" w:type="dxa"/>
            <w:vAlign w:val="bottom"/>
            <w:gridSpan w:val="5"/>
          </w:tcPr>
          <w:p>
            <w:pPr>
              <w:jc w:val="right"/>
              <w:ind w:right="1020"/>
              <w:spacing w:after="0"/>
              <w:rPr>
                <w:sz w:val="20"/>
                <w:szCs w:val="20"/>
                <w:color w:val="auto"/>
              </w:rPr>
            </w:pPr>
            <w:r>
              <w:rPr>
                <w:rFonts w:ascii="Arial" w:cs="Arial" w:eastAsia="Arial" w:hAnsi="Arial"/>
                <w:sz w:val="18"/>
                <w:szCs w:val="18"/>
                <w:color w:val="auto"/>
              </w:rPr>
              <w:t>F-13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-3893820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-3893820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-3893820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-3893820</wp:posOffset>
            </wp:positionV>
            <wp:extent cx="48450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-3893820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-3893820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-3893820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-3893820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-3893820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-3893820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-3893820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-3893820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-3893820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53594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-325755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53594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613,246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1,692,228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162,654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169,998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(192,550)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163,560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1,298,819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164,067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(11,195)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(185,890)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169,998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20" w:type="dxa"/>
            <w:vAlign w:val="bottom"/>
            <w:gridSpan w:val="4"/>
          </w:tcPr>
          <w:p>
            <w:pPr>
              <w:jc w:val="right"/>
              <w:ind w:right="1040"/>
              <w:spacing w:after="0"/>
              <w:rPr>
                <w:sz w:val="20"/>
                <w:szCs w:val="20"/>
                <w:color w:val="auto"/>
              </w:rPr>
            </w:pPr>
            <w:r>
              <w:rPr>
                <w:rFonts w:ascii="Arial" w:cs="Arial" w:eastAsia="Arial" w:hAnsi="Arial"/>
                <w:sz w:val="18"/>
                <w:szCs w:val="18"/>
                <w:color w:val="auto"/>
              </w:rPr>
              <w:t>F-14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-3893820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-3893820</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-3893820</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-3893820</wp:posOffset>
            </wp:positionV>
            <wp:extent cx="284289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4289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284289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4289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1"/>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28,237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Gain on sale of assets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29,198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(29,198)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(30,659)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income from subsidiaries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860" w:type="dxa"/>
            <w:vAlign w:val="bottom"/>
            <w:gridSpan w:val="2"/>
            <w:shd w:val="clear" w:color="auto" w:fill="CCEEFF"/>
          </w:tcPr>
          <w:p>
            <w:pPr>
              <w:jc w:val="center"/>
              <w:ind w:left="65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6"/>
              </w:rPr>
              <w:t>(26,908)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(26,908)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8"/>
                <w:szCs w:val="18"/>
                <w:color w:val="auto"/>
                <w:w w:val="91"/>
              </w:rPr>
              <w:t>F-15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44132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3"/>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2"/>
              </w:rPr>
              <w:t>Entries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7,120</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489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7"/>
              </w:rPr>
              <w:t>7,366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187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(7,366)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(7,548)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(6,770)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147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40" w:type="dxa"/>
            <w:vAlign w:val="bottom"/>
            <w:gridSpan w:val="4"/>
          </w:tcPr>
          <w:p>
            <w:pPr>
              <w:jc w:val="right"/>
              <w:ind w:right="880"/>
              <w:spacing w:after="0"/>
              <w:rPr>
                <w:sz w:val="20"/>
                <w:szCs w:val="20"/>
                <w:color w:val="auto"/>
              </w:rPr>
            </w:pPr>
            <w:r>
              <w:rPr>
                <w:rFonts w:ascii="Arial" w:cs="Arial" w:eastAsia="Arial" w:hAnsi="Arial"/>
                <w:sz w:val="18"/>
                <w:szCs w:val="18"/>
                <w:color w:val="auto"/>
              </w:rPr>
              <w:t>F-16</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3553460</wp:posOffset>
            </wp:positionH>
            <wp:positionV relativeFrom="paragraph">
              <wp:posOffset>-325755</wp:posOffset>
            </wp:positionV>
            <wp:extent cx="3816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-325755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44132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3816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94,637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930</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(98,218)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(118,351)</w:t>
            </w:r>
          </w:p>
        </w:tc>
        <w:tc>
          <w:tcPr>
            <w:tcW w:w="120" w:type="dxa"/>
            <w:vAlign w:val="bottom"/>
          </w:tcPr>
          <w:p>
            <w:pPr>
              <w:spacing w:after="0"/>
              <w:rPr>
                <w:sz w:val="18"/>
                <w:szCs w:val="18"/>
                <w:color w:val="auto"/>
              </w:rPr>
            </w:pP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(114,580)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(108,705)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(212,798)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(212,798)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F-17</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48450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44132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(26,908)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(1,460)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w w:val="86"/>
              </w:rPr>
              <w:t>242</w:t>
            </w: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1,218</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(26,908)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 the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development stage to net cash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OID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242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(267,032)</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(48,463)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(20,954)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(12,582)</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3,306</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(349,031)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(348,739)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31,578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F-18</w:t>
            </w: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-325755</wp:posOffset>
            </wp:positionV>
            <wp:extent cx="388048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8048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5"/>
                <w:szCs w:val="15"/>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(6,770)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w w:val="79"/>
              </w:rPr>
              <w:t>147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(loss) accumulated during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489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160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470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147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(173,985)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(173,984)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153,980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265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(3,599)</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12,687</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(469)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(3,277)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F-19</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-325755</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5873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3873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(212,798)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(6,724)</w:t>
            </w: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1,737</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4,987</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6,549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(4,987)</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(9,012)</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(81,200)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(1,569,165)</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(129,121)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(1,698,286)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(777,010)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(50,285)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(67,187)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344,531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85,088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48,548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(2,080,488)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(2,083,215)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637,075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(11,925)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(101,593)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(888,753)</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2,572,229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2,572,229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2,218,958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(11,925)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2,218,958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57,270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F-20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-325755</wp:posOffset>
            </wp:positionV>
            <wp:extent cx="2159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3873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(a development stage company) (the “Company”) as of December 31, 2004 and 2003, and the related consolidated statements of operations and comprehensive loss, member’s equity, and cash flows for each of the three years in the period ended December 31, 2004 and for the period from April 21, 2000 (date of inception) to December 31, 2004.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Wynn Las Vegas, LLC and subsidiaries as of December 31, 2004 and 2003, and the results of their operations and their cash flows for each of the three years in the period ended December 31, 2004, and for the period from April 21, 2000 (date of inception) to December 31, 2004, in conformity with accounting principles generally accepted in the United States of America.</w:t>
      </w:r>
    </w:p>
    <w:p>
      <w:pPr>
        <w:spacing w:after="0" w:line="130"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40"/>
          </w:cols>
          <w:pgMar w:left="240" w:top="459" w:right="3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25,691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663,289</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297,829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1,854,882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62,370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2,788,101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15,888</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122,274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1,336,175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19,558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542,107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1,511,434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1,452,550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Deficiency accumulated from inception during the development stage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(185,890)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1,276,667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2,788,101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1,209,183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40"/>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-4193540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-4193540</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-4193540</wp:posOffset>
            </wp:positionV>
            <wp:extent cx="3873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-4193540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-4193540</wp:posOffset>
            </wp:positionV>
            <wp:extent cx="2159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-4193540</wp:posOffset>
            </wp:positionV>
            <wp:extent cx="3873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41,073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16,437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2,119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18,981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(46,431)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(18,981)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(5,048)</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8,056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(118,351)</w:t>
            </w: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(118,351)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(115,486)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(161,917)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(15,973)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(185,890)</w:t>
            </w:r>
          </w:p>
        </w:tc>
        <w:tc>
          <w:tcPr>
            <w:tcW w:w="0" w:type="dxa"/>
            <w:vAlign w:val="bottom"/>
          </w:tcPr>
          <w:p>
            <w:pPr>
              <w:spacing w:after="0"/>
              <w:rPr>
                <w:sz w:val="1"/>
                <w:szCs w:val="1"/>
                <w:color w:val="auto"/>
              </w:rPr>
            </w:pPr>
          </w:p>
        </w:tc>
      </w:tr>
      <w:tr>
        <w:trPr>
          <w:trHeight w:val="322"/>
        </w:trPr>
        <w:tc>
          <w:tcPr>
            <w:tcW w:w="642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8,793</w:t>
            </w:r>
          </w:p>
        </w:tc>
        <w:tc>
          <w:tcPr>
            <w:tcW w:w="180" w:type="dxa"/>
            <w:vAlign w:val="bottom"/>
          </w:tcPr>
          <w:p>
            <w:pPr>
              <w:spacing w:after="0"/>
              <w:rPr>
                <w:sz w:val="24"/>
                <w:szCs w:val="2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(160,703)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(175,883)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53594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237,075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229,075</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Change in the fair value of interest rate swaps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221,895</w:t>
            </w:r>
          </w:p>
        </w:tc>
        <w:tc>
          <w:tcPr>
            <w:tcW w:w="0" w:type="dxa"/>
            <w:vAlign w:val="bottom"/>
          </w:tcPr>
          <w:p>
            <w:pPr>
              <w:spacing w:after="0"/>
              <w:rPr>
                <w:sz w:val="1"/>
                <w:szCs w:val="1"/>
                <w:color w:val="auto"/>
              </w:rPr>
            </w:pPr>
          </w:p>
        </w:tc>
      </w:tr>
      <w:tr>
        <w:trPr>
          <w:trHeight w:val="430"/>
        </w:trPr>
        <w:tc>
          <w:tcPr>
            <w:tcW w:w="706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1,215,475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fair value of interest rate swaps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(161,917)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1,276,667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-27305</wp:posOffset>
            </wp:positionV>
            <wp:extent cx="57023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0230" cy="298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13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(161,917)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(4,833)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accumulated during the development stage to</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OID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(88,328)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(954,370)</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(409,014)</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(66,004)</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(422,449)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(792,229)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(36,249)</w:t>
            </w:r>
          </w:p>
        </w:tc>
        <w:tc>
          <w:tcPr>
            <w:tcW w:w="1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from related parties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(1,193,063)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(557,356)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237,075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(888,753)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381,334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(39,858)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556,674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7,499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2,142</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affiliates contributed by parent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814,745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1,214</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8,793</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-923290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-923290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-923290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-923290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-923290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-923290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-923290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-923290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-923290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-923290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-923290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-923290</wp:posOffset>
            </wp:positionV>
            <wp:extent cx="3873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$2.7 billion destination resort and casino on the site of the former Desert Inn Resort and Casino (the “Desert Inn”) on “the Strip” in Las Vegas, Nevada, which will open to the public on April 28, 2005.</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2004, the Company owned the one share that was issued and outstanding. At and for the period from its inception through December 31, 2004, Wynn Capital has neither any significant net assets nor any operating activity. Its sole function is to serve as the co-issuer of the mortgage notes described below. Wynn Las Vegas, LLC and Wynn Capital together are hereinafter referred to as the “Issuers”.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October 25, 2002, Wynn Resorts completed the initial public offering of approximately $450.0 million of its common stock (before underwriting discounts and commissions), the Issuers concurrently issued $370.0 million aggregate principal amount of 12% second mortgage notes due 2010 (the “Second Mortgage Notes”) and the Company obtained commitments for approximately $1.2 billion of various credit facilities. Capital contributions from Wynn Resorts, the proceeds of the Second Mortgage Notes and a portion of the credit facilities were used to fund construction of Wynn Las Vegas. Also in October 2002, Valvino Lamore, LLC, Wynn Resorts’ predecessor (“Valvino”) transferred certain of its assets directly to the Company, including its 100% equity interests in both World Travel, LLC (“World Travel”) and Las Vegas Jet, LLC (“Las Vegas Jet”), companies which own and operate, respectively, the Company’s aircraft.</w:t>
      </w:r>
    </w:p>
    <w:p>
      <w:pPr>
        <w:spacing w:after="0" w:line="107" w:lineRule="exact"/>
        <w:rPr>
          <w:sz w:val="20"/>
          <w:szCs w:val="20"/>
          <w:color w:val="auto"/>
        </w:rPr>
      </w:pPr>
    </w:p>
    <w:p>
      <w:pPr>
        <w:ind w:right="240" w:firstLine="456"/>
        <w:spacing w:after="0" w:line="278" w:lineRule="auto"/>
        <w:rPr>
          <w:sz w:val="20"/>
          <w:szCs w:val="20"/>
          <w:color w:val="auto"/>
        </w:rPr>
      </w:pPr>
      <w:r>
        <w:rPr>
          <w:rFonts w:ascii="Arial" w:cs="Arial" w:eastAsia="Arial" w:hAnsi="Arial"/>
          <w:sz w:val="16"/>
          <w:szCs w:val="16"/>
          <w:color w:val="auto"/>
        </w:rPr>
        <w:t xml:space="preserve">On December 14, 2004, the Company effected a series of transactions to refinance its debt and to facilitate the development of a second casino resort known as “Encore at Wynn Las Vegas” on land adjacent to Wynn Las Vegas. These transactions included, among other things, issuance by the Issuers of $1.3 billion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a tender offer for all of the outstanding Second Mortgage Notes, satisfaction and discharge of the remaining Second Mortgage Notes, and replacement of the Company’s previous credit facilities with new credit facilities.</w:t>
      </w:r>
    </w:p>
    <w:p>
      <w:pPr>
        <w:spacing w:after="0" w:line="101" w:lineRule="exact"/>
        <w:rPr>
          <w:sz w:val="20"/>
          <w:szCs w:val="20"/>
          <w:color w:val="auto"/>
        </w:rPr>
      </w:pPr>
    </w:p>
    <w:p>
      <w:pPr>
        <w:ind w:right="7940" w:firstLine="8"/>
        <w:spacing w:after="0" w:line="332" w:lineRule="auto"/>
        <w:tabs>
          <w:tab w:leader="none" w:pos="176"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development stage company, the Company has risks that may impact its ability to become an operating enterprise or to remain in existence. The Company is subject to many rules and regulations in the development and construction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Completion and opening of Wynn Las Vegas is dependent upon compliance with these rules and regulations.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Certain amounts in the December 31, 2003 and 2002 consolidated financial statements have been reclassified to conform to the December 31, 2004 presentation.</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2004, the Company recorded the amounts charged to affiliates and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$2.5 million, $2.7 million and $7.7 million for the 2003 and 2002 fiscal years and the period from inception to December 31, 2004, respectively were reclassified from revenues to preopening expenses to conform to the 2004 presentation.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 accumulated during the development stage.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purchase maturity of three months or less. Cash equivalents are carried at cost, which approximates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Restricted cash and investments consist of certificates of deposits to collateralize certain construction insurance claims, cash deposits for certain required sales taxes, and certain of the proceeds of the Company’s financing activities invested in approved money market funds or government-backed treasury notes and interest-only strips. Certain of these funds are restricted by the agreements governing the Company’s debt instruments for the payment of certain construction and development costs relating to Wynn Las Vegas. Amounts classified as current are equal to current construction payables and other accruals also classified as current.</w:t>
      </w:r>
    </w:p>
    <w:p>
      <w:pPr>
        <w:spacing w:after="0" w:line="1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a company has the ability and intent to hold until maturity. Trading securities are those bought and held principally for the purpose of selling them in the near term. All other securities are classified as available-for-sale. The Company’s marketable securities of $763.2 million and $340.4 million as of December 31, 2004 and 2003, respectively, are classified as held-to-maturity. Accordingly, these securities are recorded at cost, adjusted for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amortization of premiums or accretion of discounts. The carrying value of these marketable securities approximates fair value due to their relatively short-term maturities and market rates of interest.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Restricted cash and investments at December 31, 2004 and 2003 also include approximately $0 and $2.6 million, respectively of accrued interest receivable on the marketable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40" w:type="dxa"/>
            <w:vAlign w:val="bottom"/>
          </w:tcPr>
          <w:p>
            <w:pPr>
              <w:jc w:val="right"/>
              <w:spacing w:after="0"/>
              <w:rPr>
                <w:sz w:val="20"/>
                <w:szCs w:val="20"/>
                <w:color w:val="auto"/>
              </w:rPr>
            </w:pPr>
            <w:r>
              <w:rPr>
                <w:rFonts w:ascii="Arial" w:cs="Arial" w:eastAsia="Arial" w:hAnsi="Arial"/>
                <w:sz w:val="18"/>
                <w:szCs w:val="18"/>
                <w:color w:val="auto"/>
              </w:rPr>
              <w:t>1 to 3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Parking garage</w:t>
            </w:r>
          </w:p>
        </w:tc>
        <w:tc>
          <w:tcPr>
            <w:tcW w:w="384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Airplanes</w:t>
            </w:r>
          </w:p>
        </w:tc>
        <w:tc>
          <w:tcPr>
            <w:tcW w:w="3840" w:type="dxa"/>
            <w:vAlign w:val="bottom"/>
          </w:tcPr>
          <w:p>
            <w:pPr>
              <w:jc w:val="right"/>
              <w:spacing w:after="0"/>
              <w:rPr>
                <w:sz w:val="20"/>
                <w:szCs w:val="20"/>
                <w:color w:val="auto"/>
              </w:rPr>
            </w:pPr>
            <w:r>
              <w:rPr>
                <w:rFonts w:ascii="Arial" w:cs="Arial" w:eastAsia="Arial" w:hAnsi="Arial"/>
                <w:sz w:val="18"/>
                <w:szCs w:val="18"/>
                <w:color w:val="auto"/>
              </w:rPr>
              <w:t>7 to 20 years</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40" w:type="dxa"/>
            <w:vAlign w:val="bottom"/>
          </w:tcPr>
          <w:p>
            <w:pPr>
              <w:jc w:val="right"/>
              <w:spacing w:after="0"/>
              <w:rPr>
                <w:sz w:val="20"/>
                <w:szCs w:val="20"/>
                <w:color w:val="auto"/>
              </w:rPr>
            </w:pPr>
            <w:r>
              <w:rPr>
                <w:rFonts w:ascii="Arial" w:cs="Arial" w:eastAsia="Arial" w:hAnsi="Arial"/>
                <w:sz w:val="18"/>
                <w:szCs w:val="18"/>
                <w:color w:val="auto"/>
              </w:rPr>
              <w:t>5 to 20 years</w:t>
            </w:r>
          </w:p>
        </w:tc>
      </w:tr>
    </w:tbl>
    <w:p>
      <w:pPr>
        <w:spacing w:after="0" w:line="14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 The design and development costs for Wynn Las Vegas are capitalized and depreciation has not yet commenced.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$115.0 million, $87.3 million, $13.5 and $222.1 million was capitalized for the years ended December 31, 2004, 2003 and 2002, for the period from inception to December 31, 2004,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and Water Rights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at appraised value. Radio frequencies, which are included in other assets, are recorded at cost. These intangible assets have indefinite useful lives, and accordingly, are not amortized, but are periodically reviewed for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 the terms of the related debt agreements. Approximately $8.9 million, $9.2 million, $1.6 million and $21.2 million was amortized to interest during the years ended December 31, 2004, 2003 and 2002, and for the period from inception to December 31, 2004, respectively.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deferred financing costs recognized at December 31, 2004, the Company expects approximately $7.9 million, $7.8 million, $7.7 million, $2.8 million and $2.7 million will be amortized to interest during 2005, 2006, 2007 through 2011, 2012 and 2013, and 2014,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deferred financing costs as of December 31, 2004 and 2003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Wynn</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Second</w:t>
            </w: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Las Vegas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First</w:t>
            </w: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Credit</w:t>
            </w:r>
          </w:p>
        </w:tc>
        <w:tc>
          <w:tcPr>
            <w:tcW w:w="480" w:type="dxa"/>
            <w:vAlign w:val="bottom"/>
          </w:tcPr>
          <w:p>
            <w:pPr>
              <w:spacing w:after="0"/>
              <w:rPr>
                <w:sz w:val="12"/>
                <w:szCs w:val="12"/>
                <w:color w:val="auto"/>
              </w:rPr>
            </w:pPr>
          </w:p>
        </w:tc>
        <w:tc>
          <w:tcPr>
            <w:tcW w:w="10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FF&amp;E</w:t>
            </w: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Financing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Notes</w:t>
            </w: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Facilities</w:t>
            </w:r>
          </w:p>
        </w:tc>
        <w:tc>
          <w:tcPr>
            <w:tcW w:w="480" w:type="dxa"/>
            <w:vAlign w:val="bottom"/>
          </w:tcPr>
          <w:p>
            <w:pPr>
              <w:spacing w:after="0"/>
              <w:rPr>
                <w:sz w:val="15"/>
                <w:szCs w:val="15"/>
                <w:color w:val="auto"/>
              </w:rPr>
            </w:pPr>
          </w:p>
        </w:tc>
        <w:tc>
          <w:tcPr>
            <w:tcW w:w="10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Facility</w:t>
            </w:r>
          </w:p>
        </w:tc>
        <w:tc>
          <w:tcPr>
            <w:tcW w:w="12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 amounts in millions)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Add: 2003 Financing costs</w:t>
            </w: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2003 Amortization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00" w:type="dxa"/>
            <w:vAlign w:val="bottom"/>
            <w:gridSpan w:val="2"/>
          </w:tcPr>
          <w:p>
            <w:pPr>
              <w:spacing w:after="0"/>
              <w:rPr>
                <w:sz w:val="20"/>
                <w:szCs w:val="20"/>
                <w:color w:val="auto"/>
              </w:rPr>
            </w:pPr>
            <w:r>
              <w:rPr>
                <w:rFonts w:ascii="Arial" w:cs="Arial" w:eastAsia="Arial" w:hAnsi="Arial"/>
                <w:sz w:val="18"/>
                <w:szCs w:val="18"/>
                <w:color w:val="auto"/>
              </w:rPr>
              <w:t>Add: 2004 Financing costs</w:t>
            </w: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2004 writeoffs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Less: 2004 Amortization</w:t>
            </w: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1480" w:type="dxa"/>
            <w:vAlign w:val="bottom"/>
            <w:gridSpan w:val="4"/>
          </w:tcPr>
          <w:p>
            <w:pPr>
              <w:jc w:val="right"/>
              <w:ind w:right="5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6"/>
              </w:rPr>
              <w:t>$ —</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1305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98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amortization amounted to $19.8 million and $12.3 million as of December 31, 2004 and 2003,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2004 and 2003, management does not believe any assets have been impaired. For assets to be held and used, we review fixed assets for impairment whenever indicators of impairment exist. If an indicator of impairment exists,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and utilities and travel,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accordance with SFAS No. 67, “Accounting for Costs and Initial Rental Operations of Real Estate Projects,” the golf course and related operations are being accounted for as incidental operations. Under this method, incidental operations with a net income are excluded from the operating results and the net income is recorded as a reduction in the carrying value of land. Incidental operations with a net loss are stated separately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640" w:firstLine="456"/>
        <w:spacing w:after="0" w:line="370" w:lineRule="auto"/>
        <w:rPr>
          <w:sz w:val="20"/>
          <w:szCs w:val="20"/>
          <w:color w:val="auto"/>
        </w:rPr>
      </w:pPr>
      <w:r>
        <w:rPr>
          <w:rFonts w:ascii="Arial" w:cs="Arial" w:eastAsia="Arial" w:hAnsi="Arial"/>
          <w:sz w:val="15"/>
          <w:szCs w:val="15"/>
          <w:color w:val="auto"/>
        </w:rPr>
        <w:t>The Company reports its operations on the consolidated tax return of Wynn Resorts. As a limited liability company, the Company is classified as a partnership for federal income tax purposes. Accordingly, no provision has been made for federal income taxes as such taxes are liabilities of its member.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Comprehensive income (loss) is a broad concept of an enterprise’s financial performance that includes all changes in equity during a period that arise from transactions and economic events from nonowner sources. 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 while the accumulated other comprehensive income reflected on the balance sheet consists of the cumulative adjustment to the fair value of the Company’s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Equity Instruments Issued to Employees and Consultants of the Company</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applies the provisions of Emerging Issues Task Force (“EITF”) 00-23, “Options Granted to Employees of Entities under Common Control” and records the cost of equity instruments granted by Wynn Resorts to employees of the Company in the Company’s consolidated financial statements as a capital contribution. See footnote 7 for further discussion on Wynn Resorts’ stock-based compensation plans.</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3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Inception Through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4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 as reported</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$(161,917)</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2"/>
              </w:rPr>
              <w:t>$ (15,973)</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$(4,833)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expenses determined under the fair-</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640"/>
              <w:spacing w:after="0"/>
              <w:rPr>
                <w:sz w:val="20"/>
                <w:szCs w:val="20"/>
                <w:color w:val="auto"/>
              </w:rPr>
            </w:pPr>
            <w:r>
              <w:rPr>
                <w:rFonts w:ascii="Arial" w:cs="Arial" w:eastAsia="Arial" w:hAnsi="Arial"/>
                <w:sz w:val="18"/>
                <w:szCs w:val="18"/>
                <w:color w:val="auto"/>
              </w:rPr>
              <w:t>value based method for all awards</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(1,750)</w:t>
            </w: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(997)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$(163,667)</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2"/>
              </w:rPr>
              <w:t>$ (16,970)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$(4,841)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(188,645)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6800" w:type="dxa"/>
            <w:vAlign w:val="bottom"/>
          </w:tcPr>
          <w:p>
            <w:pPr>
              <w:ind w:left="5520"/>
              <w:spacing w:after="0"/>
              <w:rPr>
                <w:sz w:val="20"/>
                <w:szCs w:val="20"/>
                <w:color w:val="auto"/>
              </w:rPr>
            </w:pPr>
            <w:r>
              <w:rPr>
                <w:rFonts w:ascii="Arial" w:cs="Arial" w:eastAsia="Arial" w:hAnsi="Arial"/>
                <w:sz w:val="18"/>
                <w:szCs w:val="18"/>
                <w:color w:val="auto"/>
              </w:rPr>
              <w:t>F-30</w:t>
            </w: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-325755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44132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7245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water-based live theatrical attraction (the “Show”) which will commence in the Wynn Theater upon the opening of Wynn Las Vegas. As additional compensation for the production services to be rendered, Wynn Resorts granted 189,723 restricted shares of Common Stock to the executive producer, which will fully vest on June 30, 2006, provided that a complete run of the Show at Wynn Las Vegas has commenced and not been discontinued. As a result of performance-based vesting conditions, the grant has no effect on the Company’s financial position or results of operations until such time as the performance conditions have been satisfied.</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4, 2004, Wynn Resorts granted 25,000 nonqualified stock options to a consultant to assist in the development and initial operation of the Wynn Las Vegas lake-mountain feature through May 31, 2005. These options vest 25% per year, with the first portion vesting in May 2005. In accordance with the above policy, the measurement date is the date performance is complete and the mark-to-market fair value of the options is recognized as compensation cost amortized over the service period. This cost is capitalized to the cost of the Wynn Las Vegas project. As of December 31, 2004, approximately $594,000 has been recognized in construction in progress to reflect the value of the services rendered as of that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is effective for the first interim or annual period beginning after June 15, 2005. Accordingly, the Company will adopt its provisions effective July 1, 2005. The Company has not yet determined the impact that adoption of this statement will have on its consolidated financial position or results of operations.</w:t>
      </w:r>
    </w:p>
    <w:p>
      <w:pPr>
        <w:spacing w:after="0" w:line="10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December 2004, the FASB issued SFAS No. 151, “Inventory Costs, an amendment of ARB No. 43, Chapter 4.” This statement amends the guidance in ARB No. 43, Chapter 4, “Inventory Pricing” to clarify the accounting for abnormal amounts of idle facility expense, freight, handling costs, and waster material (spoilage). Paragraph 5 of ARB 43, Chapter 4, previously stated that “...under some circumstances, items such as idle facility expense, excessive spoilage, double freight, and rehandling costs may be so abnormal as to require treatment as current period charges....” This statement requires that those items be recognized as current-period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charges regardless of whether they meet the criterion of “so abnormal.” In addition, this statement requires that allocation of the fixed production overheads to the costs of conversion be based on the normal capacity of the production facilities. This statement is effective for fiscal years beginning after June 15, 2005. Accordingly, the Company will adopt its provisions effective January 1, 2006. The Company does not anticipate that adoption of this statement will have a material impact on its consolidated financial position or results of operations.</w:t>
      </w:r>
    </w:p>
    <w:p>
      <w:pPr>
        <w:spacing w:after="0" w:line="13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2004, the FASB issued SFAS No. 153, “Exchanges of Nonmonetary Assets, an amendment of APB Opinion No. 29.” The guidance in APB Opinion No. 29, “Accounting for Nonmonetary Transactions</w:t>
      </w:r>
      <w:r>
        <w:rPr>
          <w:rFonts w:ascii="Arial" w:cs="Arial" w:eastAsia="Arial" w:hAnsi="Arial"/>
          <w:sz w:val="16"/>
          <w:szCs w:val="16"/>
          <w:i w:val="1"/>
          <w:iCs w:val="1"/>
          <w:color w:val="auto"/>
        </w:rPr>
        <w:t>,</w:t>
      </w:r>
      <w:r>
        <w:rPr>
          <w:rFonts w:ascii="Arial" w:cs="Arial" w:eastAsia="Arial" w:hAnsi="Arial"/>
          <w:sz w:val="16"/>
          <w:szCs w:val="16"/>
          <w:color w:val="auto"/>
        </w:rPr>
        <w:t>”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asset exchanges occurring in fiscal periods beginning after June 15, 2005. Accordingly, the Company will adopt its provisions for the fiscal quarter beginning July 1, 2005. The Company has not yet determined the impact that adoption of this statement will have on its consolidated financial position or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8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periodically incurs costs on behalf of Stephen A. Wynn, Wynn Resorts’ Chairman of the Board, Chief Executive Officer and one of its principal stockholders (“Mr. Wynn”) and other executive officers of Wynn Resorts, including costs with respect to their personal use of corporate aircraft. Mr. Wynn and these other officers have amounts on deposit to prepay any such items. These deposits are replenished on an ongoing basis as needed.</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Holdings entered into agreements with Mr. Wynn that confirm and clarify the Company’s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December 29, 2004, the Company entered into an agreement with Mr. Wynn for the lease of a villa suite in the Wynn Las Vegas resort to Mr. and Mrs. Wynn as their personal residence. The agreement becomes effective on the earlier of the date that Mr. and Mrs. Wynn first occupy the suite or the initial opening of Wynn Las Vegas to the public. The term of the agreement continues from year to year unless terminated on at least 90 days’ written notice prior to the end of any lease year, or upon the death of Mr. Wynn. Rent will be determined each year by the Audit Committee of the Board of Directors of Wynn Resorts (the “Audit Committee”), and will be based on the fair market value of the use of the suite accommodations. The Audit Committee has determined, based on a third-party appraisal, that the rental for the first lease year will be $580,000. All services for, and maintenance of, the suite are included in the rental, with certain exceptions.</w:t>
      </w:r>
    </w:p>
    <w:p>
      <w:pPr>
        <w:spacing w:after="0" w:line="9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the period from inception through December 31, 2004, the accompanying statements of operations include allocations from Valvino or Wynn Resorts, its successor, for legal, accounting, human resource,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information services, real estate, or other corporate support services. The corporate support service allocations have been determined on a basis that Wynn Resorts or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and amounted to approximately $80,000, $120,000, $239,000 and $635,000 for the years ended December 31, 2004, 2003, 2002 and for the period from inception to December 31, 2004, respectively. During 2004, 2003, 2002 and for the period from inception to December 31, 2004, the Company also transferred the salary cost of an officer dedicated to Wynn Resorts’ development opportunity in the Macau Special Administrative Region of the People’s Republic of China amounting to approximately $0, $312,000, $153,000 and $465,000, for the years ended December 31, 2004, 2003, 2002 and for the period from inception to December 31, 2004, respectively, to an affiliate. Given the development stage nature of the Company’s operations for the periods presented, management does not believe it is practicable to estimate the cost that would have been incurred if the Company had operated as a stand-alone entity.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2004 and 2003 consist of the following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Parking garage</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1,448,328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1,858,522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(3,640)</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1,854,882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45847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connection with the December 2004 refinancing of the Company’s debt and associated corporate simplification restructuring, the Company received land, a parking garage and furniture, fixtures and equipment with a net book value of approximately $145.1 million, $885,000 and $235,000 from Valvino and other affiliates. These assets were transferred at their carrying value.</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2004, the Company purchased a corporate aircraft for approximately $43.5 million and incurred additional amounts for capital improvements and enhancements to these aircraft. The Company also sold its former corporate aircraft for $33.0 million and recorded a loss on the sale of the aircraft of approximately $550,000.</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project.</w:t>
      </w:r>
    </w:p>
    <w:p>
      <w:pPr>
        <w:spacing w:after="0" w:line="15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December 31, 2004 and 2003, the Company had approximately 20 acres of land held for Encore. This land had a book value of approximately $74.4 million and $78.6 million as of December 31, 2004 and 2003,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December 31, 2004 and 2003 consists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6.625% First Mortgage Notes, due December 1, 2014.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1,300,000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$400.0 million Delay Draw Term Loan Facility; interest at LIBOR plus 2.125% (approximately 4.575%)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26,564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w w:val="92"/>
              </w:rPr>
              <w:t>12% Second Mortgage Notes, net of original issue discount of approximately $531,000 and $22.8 million, respectively due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1,336,175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385,220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131635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16355"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October 30, 2002, the Issuers issued $370.0 million aggregate principal amount of the Second Mortgage Notes maturing November 1, 2010 with semi-annual interest payments beginning in May 2003.</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14, 2004, the Issuers redeemed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after the consummation of the tender offer has been called for redemption in accordance with the indenture on November 1, 2006, at a price of 112% of the principal amount, plus accrued and unpaid interest to the redemption date.</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are not subject to any restrictive covenants under the Second Mortgage Notes indenture, and the guarantees and collateral securing the Second Mortgage Notes were released. However, the Company will continue to report the outstanding liability and the associated cash restricted for the repayment on its balance sheet until the Second Mortgage Note holders are fully repaid on November 1, 2006, from the funds deposited in trust.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14, 2004, the Issuers issued $1.3 billion aggregate principal amount of 6.625% First Mortgage Notes due 2014 (the “First Mortgage Notes”). The First Mortgage Notes mature on December 1, 2014 and bear interest at the rate of 6.625% per year. The Company may redeem up to 35% of the aggregate principal amount of the First Mortgage Notes at any time prior to December 1, 2007 at a redemption price of 106.625% with the proceeds of one or more of the Company’s qualified equity offerings that are contributed to Wynn Las Vegas, LLC. Commencing December 1, 2009, the First Mortgage Notes are redeemable at the Company’s option at a premium starting at 103.313% and declining ratably to par.</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does not guarantee the obligations of the Issuers. Subject to an intercreditor agreement and certain exceptions, the First Mortgage Notes and the guarantees thereof are secured by: (1) a first priority security interest in a liquidity reserve account, which may be used to pay costs for the completion of the construction and opening Wynn Las Vegas and, after the completion of Wynn Las Vegas, to meet Wynn Las Vegas, LLC’s debt service needs in connection with the operation of Wynn Las Vegas; (2) all amounts on deposit from time to time in a completion guarantee deposit account held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0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pari passu in right of payment with their existing and future senior secured indebtedness, including indebtedness with respect to the new Wynn Las Vegas credit facilities described below, and rank senior in right of payment to all of their existing and future subordinated indebtedness.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Previous Credit Facilities</w:t>
      </w:r>
      <w:r>
        <w:rPr>
          <w:rFonts w:ascii="Arial" w:cs="Arial" w:eastAsia="Arial" w:hAnsi="Arial"/>
          <w:sz w:val="16"/>
          <w:szCs w:val="16"/>
          <w:color w:val="auto"/>
        </w:rPr>
        <w:t>. Effective October 30, 2002, Wynn Las Vegas, LLC entered into a $750.0 million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 Revolver”) and a $250.0 million delay draw senior secured term loan facility (the “Previous Term Loan”, and together with the Previous Revolver, the “Previous Credit Facilities”) for additional construction financing for Wynn Las Vegas. Subsequently, the Previous Revolver was increased to $800.0 million.</w:t>
      </w:r>
    </w:p>
    <w:p>
      <w:pPr>
        <w:spacing w:after="0" w:line="9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Previous Revolver and the Previous Term Loan were to mature in October 2008 and October 2009, respectively. Annual interest was charged on outstanding borrowings at the London Interbank Offered Rate (“LIBOR”) plus 4% on the Previous Revolver and LIBOR plus 5.5% on the Previous Term Loan. In addition, the Previous Revolver required quarterly payments on the unused available borrowings at an annual rate of 2%,</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the Previous Term Loan required quarterly payments at an annual rate of 2.5% through December 31, 2002, 3% from January 1, 2003 to June 30, 2003 and 4% thereafter.</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December 14, 2004, as part of refinancing the Wynn Las Vegas indebtedness, the Company terminated the Previous Credit Facilities and repaid the approximately $458.6 million principal amount outstanding. The Company recorded a loss on the extinguishment of the debt of approximately $1.1 million from the writeoff of a portion of the unamortized deferred financing costs. The Previous Credit Facilities were replaced with new credit facilities as described below.</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New Credit Facilities</w:t>
      </w:r>
      <w:r>
        <w:rPr>
          <w:rFonts w:ascii="Arial" w:cs="Arial" w:eastAsia="Arial" w:hAnsi="Arial"/>
          <w:sz w:val="18"/>
          <w:szCs w:val="18"/>
          <w:color w:val="auto"/>
        </w:rPr>
        <w:t>. On December 14, 2004, Wynn Las Vegas, LLC entered into a credit agreement (the “New Credit Agreement”) and related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secured revolving credit and term loan facilities in the aggregate amount of $1.0 billion. The new credit facilities (the “New Credit Facilities”) consist of a revolving credit facility (the “New Revolver”) in the amount of $600.0 million and a term loan facility (the “New Term Loans”) in the amount of $400.0 million.</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New Revolver will terminate and be payable in full on December 14, 2009, and the New Term Loans will mature on December 14, 2011. Wynn Las Vegas, LLC is required to draw half of the New Term Loans by February 14, 2005 and the remaining half of the New Term Loans by March 14, 2005.</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budget, plans and specifications for Encore (the “Encore Budget, Plans and Specifications”) have not been approved by a majority of the arrangers or a majority of the lenders under the New Credit Agreement by June 30, 2005. This may result in a reduction of availability under the New Revolver, prepayment of loans under the New Term Loans or any combination of the two.</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New Credit Facilities will be designated, at the election of Wynn Las Vegas, LLC, as Eurodollar Loans or, in certain circumstances, Base Rate Loans. Eurodollar Loans under the New Revolver and New Term Loans bear interest at LIBOR plus 2.25% and LIBOR plus 2.125%, respectively. Interest on Eurodollar Loans shall be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1.25% or 1.125% under the New Revolver and New Term Loans, respectively. Interest on Base Rate Loans will be payable quarterly in arrears.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opening of Wynn Las Vegas or, if Encore qualifies for financing under the New Disbursement Agreement (as defined below), after the opening of Encore (collectively, “an Encore Qualifying Event”), the applicable borrowing margins for revolving loans will be based on Wynn Las Vegas, LLC’s leverage ratio, ranging from 1.25% to 2.5% per annum for Eurodollar Loans and 0.25% to 1.5% per annum for Base Rate Loans. Until an Encore Qualifying Event, Wynn Las Vegas, LLC will pay, quarterly in arrears, 0.75% per annum on the daily average of unborrowed availability under the revolving credit facility. After an Encore Qualifying Event, the annual fee Wynn Las Vegas, LLC will be required to pay for unborrowed availability under the revolving credit facility will be based on Wynn Las Vegas, LLC’s leverage ratio, ranging from 0.25% to 0.50% per annum. For unborrowed amounts under the New Term Loans, Wynn Las Vegas, LLC expects to pay, quarterly in arrears, 1.00% per annum on the daily average of the unborrowed amounts under the New Term Loans.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New Credit Facilities are obligations of Wynn Las Vegas, LLC, guaranteed by each of the subsidiaries of Wynn Las Vegas, LLC, other than Wynn Completion Guarantor, LLC. Subject to an intercreditor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certain exceptions, the obligations of Wynn Las Vegas, LLC and each of the guarantors under the new credit facilities are secured by: (1) a first priority security interest in a liquidity reserve account, which may be used to pay costs for the completion of the construction and opening of the Wynn Las Vegas hotel and casino resort and, after the completion of Wynn Las Vegas, to meet Wynn Las Vegas, LLC’s debt service needs in connection with the operation of Wynn Las Vegas; (2) all amounts on deposit from time to time in a completion guarantee deposit account held by Wynn Completion Guarantor, LLC; (3) all amounts on deposit from time to time in a secured account holding the proceeds of the New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owned by World Travel, LLC; provided, that the aircraft may be pledged to secure the New Credit Facilities under certain circumstances.</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New Credit Facilities rank pari passu in right of payment with their existing and future senior indebtedness, including indebtedness with respect to the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addition to scheduled amortization payments, Wynn Las Vegas, LLC will be required to make mandatory prepayments of indebtedness under the New Credit Facilities from the net proceeds of all debt offerings (other than those constituting certain permitted debt). After an Encore Qualifying Event, Wynn Las Vegas, LLC will also be required to make mandatory repayments of indebtedness under the New Credit Facilities from specified percentages of excess cash flow, which percentages may decrease and/or be eliminated based on Wynn Las Vegas, LLC’s leverage ratio. Other than with respect to a 1% premium that Wynn Las Vegas, LLC will be required to pay with respect to certain repayments of Wynn Las Vegas, LLC’s term loans occurring prior to December 14, 2005, Wynn Las Vegas, LLC will have the option to prepay all or any portion of the indebtedness under the New Credit Facilities at any time without premium or penalty.</w:t>
      </w:r>
    </w:p>
    <w:p>
      <w:pPr>
        <w:spacing w:after="0" w:line="9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New Credit Agreement contains customary negative covenants and financial covenants, including negative covenants that will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total debt to earnings before interest, taxes, depreciation and amortization.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Company was in compliance with all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FF&amp;E Facility</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Effective October 30, 2002, Wynn Las Vegas, LLC entered into a $188.5 million FF&amp;E facility (the “FF&amp;E Facility”) to provide financing and refinancing for furniture, fixtures and equipment to be used at Wynn Las Vegas.</w:t>
      </w:r>
    </w:p>
    <w:p>
      <w:pPr>
        <w:spacing w:after="0" w:line="118"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December 14, 2004, as part of the refinancing of the Wynn Las Vegas indebtedness, the Company terminated the FF&amp;E Facility and repaid the approximately $70.3 million principal amount outstanding. The Company recorded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loss on the extinguishment of the debt of approximately $9.6 million, comprised of a $1.6 million prepayment penalty and the writeoff of unamortized deferred financing costs of approximately $8.0 million.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Disbursement Agreement</w:t>
      </w:r>
    </w:p>
    <w:p>
      <w:pPr>
        <w:spacing w:after="0" w:line="7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Wynn Las Vegas, LLC was subject to a disbursement agreement under the Previous Credit Facilities. When the Wynn Las Vegas indebtedness was refinanced, Wynn Las Vegas, LLC entered into a new disbursement agreement (the “New Disbursement Agreement”).</w:t>
      </w:r>
    </w:p>
    <w:p>
      <w:pPr>
        <w:spacing w:after="0" w:line="7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New Disbursement Agreement sets forth Wynn Las Vegas, LLC’s material obligations to complete the Wynn Las Vegas hotel and casino resort and, if applicable, develop, construct and complete Encore (collectively, the “Projects”) and establishes mechanics for approval of a line-item budget and a schedule for the completion of construction of Wynn Las Vegas, and if and when applicable, the construction of Encore.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New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First Mortgage Notes trustee to release funds from the First Mortgage Notes proceeds account upon satisfaction of such conditions. The New Disbursement Agreement also sets forth the mechanics for approving change orders and amendments to the construction budgets and the construction schedules for the Projects. The New Disbursement Agreement includes certain representations, warranties, covenants and events of default that relate to construction of the Projects.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Under the New Disbursement Agreement, Wynn Las Vegas, LLC is permitted to use the proceeds of the First Mortgage Notes and borrowings under the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First Mortgage Notes will not be available to pay Project Costs related to Encore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Wynn Las Vegas, LLC shall have satisfied certain other conditions precedent relating to Encore.</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Prior to the approval of the Encore Budget, Schedule, Plans and Specifications, as set forth above, the New Disbursement Agreement will permit disbursements of up to $100.0 million in the aggregate from the borrowings under the new credit facilities and the proceeds of the First Mortgage Notes to pay for Project Costs related to Encore at Wynn Las Vegas pursuant to abbreviated disbursement procedures set forth in the New Disbursement Agreement. No more than $100.0 million from the proceeds of the New Credit Facilities and the First Mortgage Notes will be disbursed for application toward Project Costs related to Encore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in accordance with the New Disbursement Agreement.</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New Disbursement Agreement sets forth the order in which funds from the various sources will be made available to Wynn Las Vegas, LLC. Wynn Las Vegas, LLC expects that a significant portion of the funds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needed to pay Project Costs in respect of Encore will come from Wynn Las Vegas, LLC’s operating cash flows after opening of Wynn Las Vegas. Wynn Las Vegas, LLC’s failure to achieve operating cash flows, or obtain other funds, sufficient to fund certain of the Project Costs for Encore would prevent Wynn Las Vegas, LLC from obtaining disbursements and may cause an event of default under the Disbursement Agreement and, as a result, under the Indenture and the Credit Agreement.</w:t>
      </w:r>
    </w:p>
    <w:p>
      <w:pPr>
        <w:spacing w:after="0" w:line="13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New Disbursement Agreement will terminate after final completion of Wynn Las Vegas or, if the Encore Budget, Schedule, Plans and Specifications have been approved and Wynn Las Vegas, LLC has elected to construct it, after final completion of Encore. The New Disbursement Agreement will cease to apply to Wynn Las Vegas, LLC after final completion of Wynn Las Vegas. Upon termination of the Disbursement Agreement, all amounts remaining in any New Disbursement Agreement accounts other than amounts on deposit in the liquidity reserve account will be released to Wynn Las Vegas, LLC, and the covenants contained in the New Disbursement Agreement will cease to apply. Amounts remaining on deposit in the liquidity reserve account at substantial completion will be available to Wynn Las Vegas, LLC under certain circumstances to pay debt service. Upon satisfaction of certain financial tests, amounts remaining in the liquidity reserve account will be applied to repay the revolving loans under the New Credit Facilities (without reduction in revolving loan commitments thereunder).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part of the original Wynn Las Vegas financing, the Company contributed $50 million of the capital contributions of Wynn Resorts to Wynn Completion Guarantor, LLC, a special purpose subsidiary of Wynn Las Vegas, LLC formed in October 2002 to provide a completion guarantee in favor of the lenders under the Previous Credit Facilities and the Second Mortgage Notes to secure completion of Wynn Las Vegas.</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the Company deposited $30.0 million of the capital contributions from Wynn Resorts’ into a required escrow Liquidity Reserve Account to secure the completion and opening of Wynn Las Vegas.</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part of refinancing the Wynn Las Vegas indebtedness, the Company’s new debt agreements retained both the completion guarantee deposit and the liquidity reserve. The liquidity reserve is solely for use of the Wynn Las Vegas project. The $50 million completion guarantee relates to Wynn Las Vegas. Upon completion of Wynn Las Vegas, if the Encore Budget, Plans and Specifications are approved, at least $30 million is required to be on deposit in the completion guarantee collateral account as available to complete Encore. These funds will become gradually available to the Company as construction progresses.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Previous Credit Facilities required the Company to obtain interest rate protection for at least $325 million of borrowings thereunder, and in May 2003 and June 2003, the Company entered into two interest rate swap arrangements to hedge the underlying interest rate risk on a total of $825 million of expected future borrowings under the Previous Credit Facilities that were to mature in October 2008 and October 2009. These two interest rate swaps were accounted for as cash flow hedges under the provisions of SFAS No. 133.</w:t>
      </w:r>
    </w:p>
    <w:p>
      <w:pPr>
        <w:spacing w:after="0" w:line="13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December 14, 2004, concurrent with refinancing Wynn Las Vegas’ indebtedness, the Company terminated the two interest rate swaps. As a result of the termination, the Company received approximately $9.6 million in settlement of the related asset. The balance of $9.6 million in accumulated other comprehensive income will be amortized as a reduction to interest expense over the original contract life of the two interest rate swaps. Approximately $200,000 of amortization was recognized during 2004. Approximately $4.8 million will be amortized to earnings in 2005.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a total of $400.0 million of expected future term loan borrowings under New Credit Facilities, which bear interest at LIBOR plus 2.125%. Under each of these two new interest rate swap arrangements, the Company will receive payments at a variable rate of LIBOR and pay a fixed rate of 3.793% on $200 million notional amount set forth in the swap instruments from February and March 2005, respectively through December 2008. These effective dates of the two swaps were designed to correspond with the amounts and timing of expected term loan borrowings. The interest rate swaps are expected to be effective as hedging instruments as long as sufficient term loan borrowings are outstanding, and effectively fixes the interest rate on these borrowings at approximately 5.918%. Any ineffectiveness will increase the Company’s recorded interest expense in the consolidated financial statements.</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2003, the Company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the Company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w:t>
      </w:r>
    </w:p>
    <w:p>
      <w:pPr>
        <w:spacing w:after="0" w:line="10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net book value of the First Mortgage Notes at December 31, 2004 was approximately $1.3 billion. The estimated fair value of the First Mortgage Notes based upon most recent trades at December 31, 2004 was approximately $1.3 billion. The Company discharged its Second Mortgage Notes as previously noted, however, the net book value and the fair value of the Second Mortgage Notes based upon the November 1, 2006 12% call premium, was approximately $9.6 million and $11.4 million, respectively. The net book value of the Company’s borrowings under the $400 Million Delay Draw Term Loan of approximately $26.6 million approximates its fair value due to its floating market rate of interest.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6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Thereafter</w:t>
            </w: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1,310,142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1,336,706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89"/>
              </w:rPr>
              <w:t>Less: original issue discount</w:t>
            </w: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1,336,175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300" w:type="dxa"/>
            <w:vAlign w:val="bottom"/>
            <w:gridSpan w:val="2"/>
          </w:tcPr>
          <w:p>
            <w:pPr>
              <w:jc w:val="right"/>
              <w:ind w:right="3620"/>
              <w:spacing w:after="0"/>
              <w:rPr>
                <w:sz w:val="20"/>
                <w:szCs w:val="20"/>
                <w:color w:val="auto"/>
              </w:rPr>
            </w:pPr>
            <w:r>
              <w:rPr>
                <w:rFonts w:ascii="Arial" w:cs="Arial" w:eastAsia="Arial" w:hAnsi="Arial"/>
                <w:sz w:val="18"/>
                <w:szCs w:val="18"/>
                <w:color w:val="auto"/>
              </w:rPr>
              <w:t>F-40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-325755</wp:posOffset>
            </wp:positionV>
            <wp:extent cx="53594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right="9760" w:firstLine="8"/>
        <w:spacing w:after="0" w:line="398" w:lineRule="auto"/>
        <w:tabs>
          <w:tab w:leader="none" w:pos="176" w:val="left"/>
        </w:tabs>
        <w:numPr>
          <w:ilvl w:val="0"/>
          <w:numId w:val="2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on July 27, 2000. The plan allows employees of the Company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$159,000, $90,000, $31,000, and $299,000 for the years ended December 31, 2004, 2003 and 2002, and for the period from inception to December 31, 2004,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Wynn Resorts established the 2002 Stock Incentive Plan (the “Stock Plan”) which provides for the grant of (i) Incentive Stock Options (“ISO”), (ii) compensatory (i.e. non qualified) stock options (“NQSO”), and (iii) restricted shares of Wynn Resorts’ common stock for employees, directors and independent contractors or consultants of Wynn Resorts and its subsidiaries, including the Company. However, only employees are eligible to receive incentive stock options.</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Options are granted at the current market price at the date of grant. The Stock Plan provides for a variety of vesting schedules, including immediate, twenty-five percent after two years and 25% each year for the next 3 years thereafter, cliff vest at the vesting date, and others to be determined at the time of grant. All options expire ten years from the date of grant.</w:t>
      </w:r>
    </w:p>
    <w:p>
      <w:pPr>
        <w:spacing w:after="0" w:line="13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Wynn Resorts’ Board of Directors, and no options or restricted shares may be granted under the Stock Plan after such date.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2002, 2003 and 2004, a number of persons currently employed by the Company were each granted various numbers of options for shares of Wynn Resorts’ common stock at the market price on the dates of the respective grants. Total options outstanding at December 31, 2004 and 2003 were 1,133,000 and 887,500 options, respectively.</w:t>
      </w:r>
    </w:p>
    <w:p>
      <w:pPr>
        <w:spacing w:after="0" w:line="121" w:lineRule="exact"/>
        <w:rPr>
          <w:sz w:val="20"/>
          <w:szCs w:val="20"/>
          <w:color w:val="auto"/>
        </w:rPr>
      </w:pPr>
    </w:p>
    <w:p>
      <w:pPr>
        <w:ind w:right="8740" w:firstLine="8"/>
        <w:spacing w:after="0" w:line="332" w:lineRule="auto"/>
        <w:tabs>
          <w:tab w:leader="none" w:pos="176"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Construction Contracts. </w:t>
      </w:r>
      <w:r>
        <w:rPr>
          <w:rFonts w:ascii="Arial" w:cs="Arial" w:eastAsia="Arial" w:hAnsi="Arial"/>
          <w:sz w:val="18"/>
          <w:szCs w:val="18"/>
          <w:color w:val="auto"/>
        </w:rPr>
        <w:t>As of December 31, 2004, Wynn Las Vegas’ project budget, as amended and excluding the incremental cost anticipated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Encore, was approximately $2.7 billion. This amount includes the cost of acquiring approximately 235 acres of land, costs of design and construction, capitalized interest, pre-opening expenses, financing fees and construction contingencies.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Through December 31, 2004, the Company funded approximately $2.0 billion of the total $2.7 billion of budgeted project costs, primarily from a combination of contributed capital, proceeds from the issuance of the recently discharged Second Mortgage Notes and a portion of the previous credit facilities. As of December 31, 2004, budgeted costs still to be incurred totaled approximately $670.0 million, and the Company had availability under its new credit facilities and long-term restricted cash available for the project sufficient to complete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open Wynn Las Vegas. In addition, the Company has a $50.0 million completion guarantee balance and a $30.0 million liquidity reserve available for Wynn Las Vegas. As these amounts are committed for use, the Wynn Las Vegas project budget will increase correspondingly.</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At December 31, 2004, the project budget’s various contractual commitments for developing, constructing and equipping Wynn Las Vegas includes guaranteed maximum price contracts with the three prime contractors for the construction of the hotel and casino for approximately $1.1 billion, construction of the Wynn Las Vegas golf course for approximately $18.1 million and construction of the parking garage for approximately $10.1 million. The parking garage is substantially complete and is currently used for parking by construction personnel. The golf course and the hotel and casino are nearing substantial completion. Wynn Las Vegas will open on April 28, 2005.</w:t>
      </w:r>
    </w:p>
    <w:p>
      <w:pPr>
        <w:spacing w:after="0" w:line="129"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i w:val="1"/>
          <w:iCs w:val="1"/>
          <w:color w:val="auto"/>
        </w:rPr>
        <w:t xml:space="preserve">Encore. </w:t>
      </w:r>
      <w:r>
        <w:rPr>
          <w:rFonts w:ascii="Arial" w:cs="Arial" w:eastAsia="Arial" w:hAnsi="Arial"/>
          <w:sz w:val="15"/>
          <w:szCs w:val="15"/>
          <w:color w:val="auto"/>
        </w:rPr>
        <w:t>The Company continues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$900.0 million and to open in the second half of 2007. As initially planned, Encore was an addition to Wynn Las Vegas.</w:t>
      </w:r>
    </w:p>
    <w:p>
      <w:pPr>
        <w:spacing w:after="0" w:line="7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the Company’s desire to maximize the potential of its substantial real estate assets, the Company anticipates a significant increase in the scope of Encore, elevating it to the status of a free standing casino resort; one which is integrated with Wynn Las Vegas through its public space. Although the scope and design of the project have not been finalized, and remain subject to the approval of Wynn Resorts’ Board of Directors, the Company now expects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The Company currently anticipates that Encore will open in the first half of 2008.</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expects that the remaining proceeds from Wynn Las Vegas, LLC’s sale of First Mortgage Notes on December 14, 2004, together with remaining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the Company will seek the necessary consents and approvals from its lenders and noteholders.</w:t>
      </w:r>
    </w:p>
    <w:p>
      <w:pPr>
        <w:spacing w:after="0" w:line="13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has entered into long-term agreements with Productions du Dragon, S.A., a creative production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(“Dragon”) and Calitri Services and Licensing Limited Liability Company, its affiliated production services company (“Calitri”), for the licensing, creation, development and executive production of the water-based production show at Wynn Las Vegas to be named “Le Rêve, a small collection of imperfect dreams”. Under these agreements the Company is required to pay certain up-front creation and licensing fees, production costs and, upon opening of the production, a royalty of 10% of net ticket revenues and gross retail sales, and 50% of the show profits to Dragon and Calitri as calculated in accordance with the terms of the agreements. The term of each of the agreements is ten years after the opening date of the show, which will coincide with the opening of Wynn Las Vegas, with one five-year renewal option.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option with the Dragon and Calitri for the development of a second production show for Wynn Las Vegas or for another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the option will require the payment of an additional $1 million and any additional project will require additional funds to develop.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which is scheduled for completion in the third quarter of 2005.</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At December 31, 2004 and December 31, 2003, other assets included $32.9 million and $8.7 million, respectively, of amounts paid or accrued for production rights, creation and development costs in conjunction with these entertainment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9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the above, to accommodate its preopening and casino marketing efforts, the Company is the lessee under several leases for office space, a hangar for its corporate aircraft, warehouse facilities and certain office equipment.</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At December 31, 2004, the Company was obligated under non-cancelable operating leases to make future minimum lease payments as follows ($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2006</w:t>
            </w: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2008</w:t>
            </w: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Thereafter</w:t>
            </w:r>
          </w:p>
        </w:tc>
        <w:tc>
          <w:tcPr>
            <w:tcW w:w="6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domestic subsidiaries are covered under a self-insured medical plan up to a maximum of $40,000 per year for each insured person.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 excess of these thresholds are covered by the Company’s insurance programs, subject to customary policy limits.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60" w:right="2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voluntary termination of employment for “good reason” following a “change of control” (as these terms are defined in the employment contracts). The total future obligation under these contractions is approximately $ 34.9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February 23, 2004, the Company reached a settlement with all of the plaintiffs with respect to all claims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accordance with the settlement the Company affiliate paid $23 million in exchange for the 10 remaining residences and dismissal by the plaintiffs with prejudice of all of the actions and subsequently transferred the land to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met its requirement to draw at least $200 million of the New Term Loans by February 14, 2005 and the remaining $200 million on March 14,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Consolidating Financial Information of Guarantors and Issuers</w:t>
      </w:r>
    </w:p>
    <w:p>
      <w:pPr>
        <w:spacing w:after="0" w:line="8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following consolidating financial statements present information related to the Issuers of the First Mortgage Notes and their guarantor subsidiaries (World Travel, LLC; Las Vegas Jet, LLC; Wynn Show Performers, LLC; Wynn Golf, LLC and Wynn Sunrise, LLC) and non-guarantor subsidiary (Wynn Completion Guarantor, LLC) as of December 31, 2004 and 2003, for the years ended December 31, 2004, 2003 and 2002 and for the period from inception to December 31, 2004.</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fails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2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613,246</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50,043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1,692,228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162,654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1,854,882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62,370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972</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169,998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50,043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1,336,175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1,336,175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Due to affiliates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(192,550)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163,560</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1,298,819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164,067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1,452,550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(11,195)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(185,890)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(185,890)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1,276,667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2,575,486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169,998</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50,043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0" w:type="dxa"/>
            <w:vAlign w:val="bottom"/>
            <w:gridSpan w:val="5"/>
          </w:tcPr>
          <w:p>
            <w:pPr>
              <w:jc w:val="right"/>
              <w:ind w:right="10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-3962400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-3962400</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-3962400</wp:posOffset>
            </wp:positionV>
            <wp:extent cx="3873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-3962400</wp:posOffset>
            </wp:positionV>
            <wp:extent cx="48450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-3962400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-3962400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-3962400</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-3962400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-3962400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-3962400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-3962400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-3962400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-3962400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-325755</wp:posOffset>
            </wp:positionV>
            <wp:extent cx="53594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08788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08788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9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319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76,806</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247,508</w:t>
            </w: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9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w w:val="83"/>
              </w:rPr>
              <w:t>50,321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297,829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728,663</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18,745</w:t>
            </w:r>
          </w:p>
        </w:tc>
        <w:tc>
          <w:tcPr>
            <w:tcW w:w="4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50,321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 w:type="dxa"/>
            <w:vAlign w:val="bottom"/>
          </w:tcPr>
          <w:p>
            <w:pPr>
              <w:spacing w:after="0"/>
              <w:rPr>
                <w:sz w:val="9"/>
                <w:szCs w:val="9"/>
                <w:color w:val="auto"/>
              </w:rPr>
            </w:pPr>
          </w:p>
        </w:tc>
        <w:tc>
          <w:tcPr>
            <w:tcW w:w="61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9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1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59,922</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9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464,953</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49,504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910,095</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49,504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3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9"/>
              </w:rPr>
              <w:t>(11,925)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4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(23,973)</w:t>
            </w: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(4,702)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817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61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1,131,990</w:t>
            </w:r>
          </w:p>
        </w:tc>
        <w:tc>
          <w:tcPr>
            <w:tcW w:w="4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3"/>
              </w:rPr>
              <w:t>50,321</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1,209,183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gridSpan w:val="2"/>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20" w:type="dxa"/>
            <w:vAlign w:val="bottom"/>
            <w:gridSpan w:val="5"/>
          </w:tcPr>
          <w:p>
            <w:pPr>
              <w:jc w:val="right"/>
              <w:ind w:right="1040"/>
              <w:spacing w:after="0"/>
              <w:rPr>
                <w:sz w:val="20"/>
                <w:szCs w:val="20"/>
                <w:color w:val="auto"/>
              </w:rPr>
            </w:pPr>
            <w:r>
              <w:rPr>
                <w:rFonts w:ascii="Arial" w:cs="Arial" w:eastAsia="Arial" w:hAnsi="Arial"/>
                <w:sz w:val="18"/>
                <w:szCs w:val="18"/>
                <w:color w:val="auto"/>
              </w:rPr>
              <w:t>F-46</w:t>
            </w:r>
          </w:p>
        </w:tc>
        <w:tc>
          <w:tcPr>
            <w:tcW w:w="11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-3825240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-3825240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-3825240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-3825240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-3825240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-3825240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-3825240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-3825240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-3825240</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-3825240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-3825240</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-3825240</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-3825240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-3825240</wp:posOffset>
            </wp:positionV>
            <wp:extent cx="2159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-3825240</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-325755</wp:posOffset>
            </wp:positionV>
            <wp:extent cx="53594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-325755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-325755</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4"/>
              </w:rPr>
              <w:t>Guarantor</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Issuers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43,950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(45,869)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(118,351)</w:t>
            </w:r>
          </w:p>
        </w:tc>
        <w:tc>
          <w:tcPr>
            <w:tcW w:w="12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subsidiaries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(116,048)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(115,486)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(161,917)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678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F-47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3873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48450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-325755</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159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4"/>
                <w:szCs w:val="14"/>
                <w:color w:val="auto"/>
              </w:rPr>
            </w:pPr>
          </w:p>
        </w:tc>
        <w:tc>
          <w:tcPr>
            <w:tcW w:w="1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Nonguarantor</w:t>
            </w:r>
          </w:p>
        </w:tc>
        <w:tc>
          <w:tcPr>
            <w:tcW w:w="24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Issuers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17,038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17,637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(17,637)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(5,048)</w:t>
            </w:r>
          </w:p>
        </w:tc>
        <w:tc>
          <w:tcPr>
            <w:tcW w:w="180" w:type="dxa"/>
            <w:vAlign w:val="bottom"/>
          </w:tcPr>
          <w:p>
            <w:pPr>
              <w:spacing w:after="0"/>
              <w:rPr>
                <w:sz w:val="18"/>
                <w:szCs w:val="18"/>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(15,973)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(15,973)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980" w:type="dxa"/>
            <w:vAlign w:val="bottom"/>
            <w:gridSpan w:val="4"/>
          </w:tcPr>
          <w:p>
            <w:pPr>
              <w:jc w:val="right"/>
              <w:ind w:right="1020"/>
              <w:spacing w:after="0"/>
              <w:rPr>
                <w:sz w:val="20"/>
                <w:szCs w:val="20"/>
                <w:color w:val="auto"/>
              </w:rPr>
            </w:pPr>
            <w:r>
              <w:rPr>
                <w:rFonts w:ascii="Arial" w:cs="Arial" w:eastAsia="Arial" w:hAnsi="Arial"/>
                <w:sz w:val="18"/>
                <w:szCs w:val="18"/>
                <w:color w:val="auto"/>
              </w:rPr>
              <w:t>F-48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-325755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44132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4,533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4,635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(4,635)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(1,015)</w:t>
            </w: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accumulated during the development stage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(4,833)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124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953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(4,833)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F-49</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-325755</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-325755</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48450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-325755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-325755</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3816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(69,020)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(118,351)</w:t>
            </w:r>
          </w:p>
        </w:tc>
        <w:tc>
          <w:tcPr>
            <w:tcW w:w="120" w:type="dxa"/>
            <w:vAlign w:val="bottom"/>
          </w:tcPr>
          <w:p>
            <w:pPr>
              <w:spacing w:after="0"/>
              <w:rPr>
                <w:sz w:val="18"/>
                <w:szCs w:val="18"/>
                <w:color w:val="auto"/>
              </w:rPr>
            </w:pPr>
          </w:p>
        </w:tc>
        <w:tc>
          <w:tcPr>
            <w:tcW w:w="11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(116,870)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(185,890)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(185,890)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860"/>
              <w:spacing w:after="0"/>
              <w:rPr>
                <w:sz w:val="20"/>
                <w:szCs w:val="20"/>
                <w:color w:val="auto"/>
              </w:rPr>
            </w:pPr>
            <w:r>
              <w:rPr>
                <w:rFonts w:ascii="Arial" w:cs="Arial" w:eastAsia="Arial" w:hAnsi="Arial"/>
                <w:sz w:val="18"/>
                <w:szCs w:val="18"/>
                <w:color w:val="auto"/>
                <w:w w:val="86"/>
              </w:rPr>
              <w:t>F-50</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-325755</wp:posOffset>
            </wp:positionV>
            <wp:extent cx="1270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-325755</wp:posOffset>
            </wp:positionV>
            <wp:extent cx="3873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48450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-325755</wp:posOffset>
            </wp:positionV>
            <wp:extent cx="3873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44132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Issuers</w:t>
            </w:r>
          </w:p>
        </w:tc>
        <w:tc>
          <w:tcPr>
            <w:tcW w:w="200" w:type="dxa"/>
            <w:vAlign w:val="bottom"/>
          </w:tcPr>
          <w:p>
            <w:pPr>
              <w:spacing w:after="0"/>
              <w:rPr>
                <w:sz w:val="15"/>
                <w:szCs w:val="15"/>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 accumulated during the development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(161,917)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(562)</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678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(116)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(161,917)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2,213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50,499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116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678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(861,556)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(92,814)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(422,727)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278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129,669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58,024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46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(1,189,627)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(1,193,063)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(888,753)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1,817,459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1,817,459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1,288,848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7,456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25,692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F-51</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-325755</wp:posOffset>
            </wp:positionV>
            <wp:extent cx="57848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48450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-325755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215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-325755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-325755</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578485"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(15,973)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(1,337)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52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300"/>
              <w:spacing w:after="0"/>
              <w:rPr>
                <w:sz w:val="20"/>
                <w:szCs w:val="20"/>
                <w:color w:val="auto"/>
              </w:rPr>
            </w:pPr>
            <w:r>
              <w:rPr>
                <w:rFonts w:ascii="Arial" w:cs="Arial" w:eastAsia="Arial" w:hAnsi="Arial"/>
                <w:sz w:val="18"/>
                <w:szCs w:val="18"/>
                <w:color w:val="auto"/>
              </w:rPr>
              <w:t>644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 the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development stage to net cash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(408,882)</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436,785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(9,430)</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F-52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-325755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-325755</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-325755</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-325755</wp:posOffset>
            </wp:positionV>
            <wp:extent cx="387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-325755</wp:posOffset>
            </wp:positionV>
            <wp:extent cx="224218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421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Guarantor</w:t>
            </w:r>
          </w:p>
        </w:tc>
        <w:tc>
          <w:tcPr>
            <w:tcW w:w="3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Issuers</w:t>
            </w:r>
          </w:p>
        </w:tc>
        <w:tc>
          <w:tcPr>
            <w:tcW w:w="2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1"/>
              </w:rPr>
              <w:t>Subsidiaries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4"/>
              </w:rPr>
              <w:t>Net income (loss) accumulated during the development stage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(4,833)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(1,077)</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w w:val="86"/>
              </w:rPr>
              <w:t>124</w:t>
            </w:r>
          </w:p>
        </w:tc>
        <w:tc>
          <w:tcPr>
            <w:tcW w:w="36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953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accumulated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during the development stage to net cash provided by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11,504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124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(31,693)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(34,311)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(742,105)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(50,124)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(792,229)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(11,925)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234,376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21,861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306,237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(556,694)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(12,463)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11,925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(557,356)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237,075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11,925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(11,925)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(61,735)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381,334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556,674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11,925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(11,925)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7,508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F-53</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-325755</wp:posOffset>
            </wp:positionV>
            <wp:extent cx="49276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48450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58737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46736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FROM INCEPTION TO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 accumulated during the development stage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(185,890)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(5,264)</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1,495</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3,769</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(185,890)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accumulated during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development stage to net cash provided by operating</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OID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 Loss on sale of fixed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(88,373)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(1,302,134)</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(127,259)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(1,429,393)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(728,547)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(50,043)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from related parties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357,114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81,782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48,548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(1,731,457)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(1,734,476)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637,075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(11,925)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(101,593)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(888,753)</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2,198,793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2,198,793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1,845,522</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11,925</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(11,925)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1,845,522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F-54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-325755</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-325755</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-325755</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587375"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578485"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Quarterly Financial Information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2004</w:t>
            </w: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2"/>
                <w:szCs w:val="22"/>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(7,548)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(12,959)</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(46,431)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(6,770)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(35,031)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(12,470)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(107,646)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r>
      <w:tr>
        <w:trPr>
          <w:trHeight w:val="378"/>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 2003</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Second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22"/>
                <w:szCs w:val="22"/>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4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(3,428)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(18,981)</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(2,441)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(15,973)</w:t>
            </w:r>
          </w:p>
        </w:tc>
      </w:tr>
      <w:tr>
        <w:trPr>
          <w:trHeight w:val="363"/>
        </w:trPr>
        <w:tc>
          <w:tcPr>
            <w:tcW w:w="4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F-55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421"/>
        </w:trPr>
        <w:tc>
          <w:tcPr>
            <w:tcW w:w="840" w:type="dxa"/>
            <w:vAlign w:val="bottom"/>
          </w:tcPr>
          <w:p>
            <w:pPr>
              <w:spacing w:after="0"/>
              <w:rPr>
                <w:sz w:val="24"/>
                <w:szCs w:val="24"/>
                <w:color w:val="auto"/>
              </w:rPr>
            </w:pPr>
          </w:p>
        </w:tc>
        <w:tc>
          <w:tcPr>
            <w:tcW w:w="5620" w:type="dxa"/>
            <w:vAlign w:val="bottom"/>
            <w:gridSpan w:val="2"/>
          </w:tcPr>
          <w:p>
            <w:pPr>
              <w:jc w:val="center"/>
              <w:ind w:left="3064"/>
              <w:spacing w:after="0"/>
              <w:rPr>
                <w:sz w:val="20"/>
                <w:szCs w:val="20"/>
                <w:color w:val="auto"/>
              </w:rPr>
            </w:pPr>
            <w:r>
              <w:rPr>
                <w:rFonts w:ascii="Arial" w:cs="Arial" w:eastAsia="Arial" w:hAnsi="Arial"/>
                <w:sz w:val="32"/>
                <w:szCs w:val="32"/>
                <w:b w:val="1"/>
                <w:bCs w:val="1"/>
                <w:color w:val="auto"/>
                <w:w w:val="90"/>
              </w:rPr>
              <w:t>$1,300,000,000</w:t>
            </w:r>
          </w:p>
        </w:tc>
        <w:tc>
          <w:tcPr>
            <w:tcW w:w="4140" w:type="dxa"/>
            <w:vAlign w:val="bottom"/>
          </w:tcPr>
          <w:p>
            <w:pPr>
              <w:spacing w:after="0"/>
              <w:rPr>
                <w:sz w:val="24"/>
                <w:szCs w:val="24"/>
                <w:color w:val="auto"/>
              </w:rPr>
            </w:pPr>
          </w:p>
        </w:tc>
      </w:tr>
      <w:tr>
        <w:trPr>
          <w:trHeight w:val="457"/>
        </w:trPr>
        <w:tc>
          <w:tcPr>
            <w:tcW w:w="840" w:type="dxa"/>
            <w:vAlign w:val="bottom"/>
          </w:tcPr>
          <w:p>
            <w:pPr>
              <w:spacing w:after="0"/>
              <w:rPr>
                <w:sz w:val="24"/>
                <w:szCs w:val="24"/>
                <w:color w:val="auto"/>
              </w:rPr>
            </w:pPr>
          </w:p>
        </w:tc>
        <w:tc>
          <w:tcPr>
            <w:tcW w:w="9760" w:type="dxa"/>
            <w:vAlign w:val="bottom"/>
            <w:gridSpan w:val="3"/>
          </w:tcPr>
          <w:p>
            <w:pPr>
              <w:jc w:val="center"/>
              <w:ind w:right="920"/>
              <w:spacing w:after="0"/>
              <w:rPr>
                <w:sz w:val="20"/>
                <w:szCs w:val="20"/>
                <w:color w:val="auto"/>
              </w:rPr>
            </w:pPr>
            <w:r>
              <w:rPr>
                <w:rFonts w:ascii="Arial" w:cs="Arial" w:eastAsia="Arial" w:hAnsi="Arial"/>
                <w:sz w:val="32"/>
                <w:szCs w:val="32"/>
                <w:b w:val="1"/>
                <w:bCs w:val="1"/>
                <w:color w:val="auto"/>
                <w:w w:val="93"/>
              </w:rPr>
              <w:t>Wynn Las Vegas, LLC</w:t>
            </w:r>
          </w:p>
        </w:tc>
      </w:tr>
      <w:tr>
        <w:trPr>
          <w:trHeight w:val="421"/>
        </w:trPr>
        <w:tc>
          <w:tcPr>
            <w:tcW w:w="840" w:type="dxa"/>
            <w:vAlign w:val="bottom"/>
          </w:tcPr>
          <w:p>
            <w:pPr>
              <w:spacing w:after="0"/>
              <w:rPr>
                <w:sz w:val="24"/>
                <w:szCs w:val="24"/>
                <w:color w:val="auto"/>
              </w:rPr>
            </w:pPr>
          </w:p>
        </w:tc>
        <w:tc>
          <w:tcPr>
            <w:tcW w:w="9760" w:type="dxa"/>
            <w:vAlign w:val="bottom"/>
            <w:gridSpan w:val="3"/>
          </w:tcPr>
          <w:p>
            <w:pPr>
              <w:jc w:val="center"/>
              <w:ind w:right="940"/>
              <w:spacing w:after="0"/>
              <w:rPr>
                <w:sz w:val="20"/>
                <w:szCs w:val="20"/>
                <w:color w:val="auto"/>
              </w:rPr>
            </w:pPr>
            <w:r>
              <w:rPr>
                <w:rFonts w:ascii="Arial" w:cs="Arial" w:eastAsia="Arial" w:hAnsi="Arial"/>
                <w:sz w:val="32"/>
                <w:szCs w:val="32"/>
                <w:b w:val="1"/>
                <w:bCs w:val="1"/>
                <w:color w:val="auto"/>
                <w:w w:val="92"/>
              </w:rPr>
              <w:t>Wynn Las Vegas Capital Corp.</w:t>
            </w:r>
          </w:p>
        </w:tc>
      </w:tr>
      <w:tr>
        <w:trPr>
          <w:trHeight w:val="508"/>
        </w:trPr>
        <w:tc>
          <w:tcPr>
            <w:tcW w:w="840" w:type="dxa"/>
            <w:vAlign w:val="bottom"/>
          </w:tcPr>
          <w:p>
            <w:pPr>
              <w:spacing w:after="0"/>
              <w:rPr>
                <w:sz w:val="24"/>
                <w:szCs w:val="24"/>
                <w:color w:val="auto"/>
              </w:rPr>
            </w:pPr>
          </w:p>
        </w:tc>
        <w:tc>
          <w:tcPr>
            <w:tcW w:w="9760" w:type="dxa"/>
            <w:vAlign w:val="bottom"/>
            <w:gridSpan w:val="3"/>
          </w:tcPr>
          <w:p>
            <w:pPr>
              <w:jc w:val="center"/>
              <w:ind w:right="940"/>
              <w:spacing w:after="0"/>
              <w:rPr>
                <w:sz w:val="20"/>
                <w:szCs w:val="20"/>
                <w:color w:val="auto"/>
              </w:rPr>
            </w:pPr>
            <w:r>
              <w:rPr>
                <w:rFonts w:ascii="Arial" w:cs="Arial" w:eastAsia="Arial" w:hAnsi="Arial"/>
                <w:sz w:val="22"/>
                <w:szCs w:val="22"/>
                <w:b w:val="1"/>
                <w:bCs w:val="1"/>
                <w:color w:val="auto"/>
                <w:w w:val="89"/>
              </w:rPr>
              <w:t xml:space="preserve">6 </w:t>
            </w:r>
            <w:r>
              <w:rPr>
                <w:rFonts w:ascii="Arial" w:cs="Arial" w:eastAsia="Arial" w:hAnsi="Arial"/>
                <w:sz w:val="29"/>
                <w:szCs w:val="29"/>
                <w:b w:val="1"/>
                <w:bCs w:val="1"/>
                <w:color w:val="auto"/>
                <w:w w:val="89"/>
                <w:vertAlign w:val="superscript"/>
              </w:rPr>
              <w:t>5</w:t>
            </w:r>
            <w:r>
              <w:rPr>
                <w:rFonts w:ascii="Arial" w:cs="Arial" w:eastAsia="Arial" w:hAnsi="Arial"/>
                <w:sz w:val="22"/>
                <w:szCs w:val="22"/>
                <w:b w:val="1"/>
                <w:bCs w:val="1"/>
                <w:color w:val="auto"/>
                <w:w w:val="89"/>
              </w:rPr>
              <w:t>/</w:t>
            </w:r>
            <w:r>
              <w:rPr>
                <w:rFonts w:ascii="Arial" w:cs="Arial" w:eastAsia="Arial" w:hAnsi="Arial"/>
                <w:sz w:val="13"/>
                <w:szCs w:val="13"/>
                <w:b w:val="1"/>
                <w:bCs w:val="1"/>
                <w:color w:val="auto"/>
                <w:w w:val="89"/>
              </w:rPr>
              <w:t>8</w:t>
            </w:r>
            <w:r>
              <w:rPr>
                <w:rFonts w:ascii="Arial" w:cs="Arial" w:eastAsia="Arial" w:hAnsi="Arial"/>
                <w:sz w:val="22"/>
                <w:szCs w:val="22"/>
                <w:b w:val="1"/>
                <w:bCs w:val="1"/>
                <w:color w:val="auto"/>
                <w:w w:val="89"/>
              </w:rPr>
              <w:t>% First Mortgage Notes due 2014</w:t>
            </w:r>
          </w:p>
        </w:tc>
      </w:tr>
      <w:tr>
        <w:trPr>
          <w:trHeight w:val="287"/>
        </w:trPr>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r>
      <w:tr>
        <w:trPr>
          <w:trHeight w:val="452"/>
        </w:trPr>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93"/>
              </w:rPr>
              <w:t>PROSPECTUS</w:t>
            </w:r>
          </w:p>
        </w:tc>
      </w:tr>
      <w:tr>
        <w:trPr>
          <w:trHeight w:val="228"/>
        </w:trPr>
        <w:tc>
          <w:tcPr>
            <w:tcW w:w="8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99"/>
              </w:rPr>
              <w:t>May   , 2005</w:t>
            </w:r>
          </w:p>
        </w:tc>
      </w:tr>
      <w:tr>
        <w:trPr>
          <w:trHeight w:val="259"/>
        </w:trPr>
        <w:tc>
          <w:tcPr>
            <w:tcW w:w="84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4140" w:type="dxa"/>
            <w:vAlign w:val="bottom"/>
          </w:tcPr>
          <w:p>
            <w:pPr>
              <w:spacing w:after="0"/>
              <w:rPr>
                <w:sz w:val="22"/>
                <w:szCs w:val="22"/>
                <w:color w:val="auto"/>
              </w:rPr>
            </w:pPr>
          </w:p>
        </w:tc>
      </w:tr>
      <w:tr>
        <w:trPr>
          <w:trHeight w:val="613"/>
        </w:trPr>
        <w:tc>
          <w:tcPr>
            <w:tcW w:w="840" w:type="dxa"/>
            <w:vAlign w:val="bottom"/>
          </w:tcPr>
          <w:p>
            <w:pPr>
              <w:spacing w:after="0"/>
              <w:rPr>
                <w:sz w:val="20"/>
                <w:szCs w:val="20"/>
                <w:color w:val="auto"/>
              </w:rPr>
            </w:pPr>
            <w:r>
              <w:rPr>
                <w:rFonts w:ascii="Arial" w:cs="Arial" w:eastAsia="Arial" w:hAnsi="Arial"/>
                <w:sz w:val="18"/>
                <w:szCs w:val="18"/>
                <w:b w:val="1"/>
                <w:bCs w:val="1"/>
                <w:color w:val="auto"/>
              </w:rPr>
              <w:t>Until</w:t>
            </w:r>
          </w:p>
        </w:tc>
        <w:tc>
          <w:tcPr>
            <w:tcW w:w="9760" w:type="dxa"/>
            <w:vAlign w:val="bottom"/>
            <w:gridSpan w:val="3"/>
          </w:tcPr>
          <w:p>
            <w:pPr>
              <w:ind w:left="460"/>
              <w:spacing w:after="0"/>
              <w:rPr>
                <w:sz w:val="20"/>
                <w:szCs w:val="20"/>
                <w:color w:val="auto"/>
              </w:rPr>
            </w:pPr>
            <w:r>
              <w:rPr>
                <w:rFonts w:ascii="Arial" w:cs="Arial" w:eastAsia="Arial" w:hAnsi="Arial"/>
                <w:sz w:val="18"/>
                <w:szCs w:val="18"/>
                <w:b w:val="1"/>
                <w:bCs w:val="1"/>
                <w:color w:val="auto"/>
                <w:w w:val="87"/>
              </w:rPr>
              <w:t>, 2005, all dealers that effect transactions in these securities, whether or not participating in this offering, may be required to</w:t>
            </w:r>
          </w:p>
        </w:tc>
      </w:tr>
    </w:tbl>
    <w:p>
      <w:pPr>
        <w:spacing w:after="0" w:line="261" w:lineRule="auto"/>
        <w:rPr>
          <w:sz w:val="20"/>
          <w:szCs w:val="20"/>
          <w:color w:val="auto"/>
        </w:rPr>
      </w:pPr>
      <w:r>
        <w:rPr>
          <w:rFonts w:ascii="Arial" w:cs="Arial" w:eastAsia="Arial" w:hAnsi="Arial"/>
          <w:sz w:val="18"/>
          <w:szCs w:val="18"/>
          <w:b w:val="1"/>
          <w:bCs w:val="1"/>
          <w:color w:val="auto"/>
        </w:rPr>
        <w:t>deliver a prospectus. This is in addition to the dealers’ obligation to deliver a prospectus when acting as underwriters and with respect to their unsold allotments or subscriptions.</w:t>
      </w:r>
    </w:p>
    <w:p>
      <w:pPr>
        <w:sectPr>
          <w:pgSz w:w="11900" w:h="16838" w:orient="portrait"/>
          <w:cols w:equalWidth="0" w:num="1">
            <w:col w:w="11180"/>
          </w:cols>
          <w:pgMar w:left="24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8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actually and reasonably incurred by the person to be indemnified.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In either case, however, to be entitled to indemnification, the person to be indemnified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had no reasonable cause to believe his or her conduct was unlawful.</w:t>
      </w:r>
    </w:p>
    <w:p>
      <w:pPr>
        <w:spacing w:after="0" w:line="115"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he or she must be indemnified by the corporation against expenses, including attorneys’ fees actually and reasonably incurred in connection with the defense.</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Section 78.752 of the NRS permits a corporation to purchase and maintain insurance or make other financial arrangements on behalf of the corporation’s officers, directors, employees or agents, or any persons serving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circumstances in which indemnification is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reason of being or having been a manager, member, employee or agent of the limited liability company or serving in certain capacities at the request of the limited liability company. As with corporations, indemnification may include attorneys’ fees, judgments, fines and amounts paid in settlement actually and reasonably incurred by the person to be indemnified.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In either case, however, to be entitled to indemnification, the person to be indemnified must have acted in good faith and in a manner which he or she reasonably believed to be in or not opposed to the best interests of the limited liability company and, with respect to any criminal action or proceeding, had no reasonable cause to believe his or her conduct was unlawful.</w:t>
      </w:r>
    </w:p>
    <w:p>
      <w:pPr>
        <w:spacing w:after="0" w:line="1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2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managers, members employees or agents, or any persons serving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4"/>
        </w:trPr>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No.</w:t>
            </w:r>
          </w:p>
        </w:tc>
        <w:tc>
          <w:tcPr>
            <w:tcW w:w="5380" w:type="dxa"/>
            <w:vAlign w:val="bottom"/>
          </w:tcPr>
          <w:p>
            <w:pPr>
              <w:spacing w:after="0"/>
              <w:rPr>
                <w:sz w:val="15"/>
                <w:szCs w:val="15"/>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r>
      <w:tr>
        <w:trPr>
          <w:trHeight w:val="316"/>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98"/>
              </w:rPr>
              <w:t>First Amended and Restated Articles of Incorporation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95"/>
              </w:rPr>
              <w:t>Certificate of Amendment of the Articles of Incorporation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91"/>
              </w:rPr>
              <w:t>First Amendment to the 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w w:val="88"/>
              </w:rPr>
              <w:t>Second Amendment to the First Amended and Restated Bylaws of Wynn Las Vegas Capital Corp. (1)</w:t>
            </w:r>
          </w:p>
        </w:tc>
      </w:tr>
      <w:tr>
        <w:trPr>
          <w:trHeight w:val="324"/>
        </w:trPr>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7900" w:type="dxa"/>
            <w:vAlign w:val="bottom"/>
            <w:gridSpan w:val="3"/>
          </w:tcPr>
          <w:p>
            <w:pPr>
              <w:ind w:left="7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65"/>
        </w:trPr>
        <w:tc>
          <w:tcPr>
            <w:tcW w:w="580" w:type="dxa"/>
            <w:vAlign w:val="bottom"/>
          </w:tcPr>
          <w:p>
            <w:pPr>
              <w:spacing w:after="0"/>
              <w:rPr>
                <w:sz w:val="24"/>
                <w:szCs w:val="24"/>
                <w:color w:val="auto"/>
              </w:rPr>
            </w:pPr>
          </w:p>
        </w:tc>
        <w:tc>
          <w:tcPr>
            <w:tcW w:w="7900" w:type="dxa"/>
            <w:vAlign w:val="bottom"/>
            <w:gridSpan w:val="3"/>
          </w:tcPr>
          <w:p>
            <w:pPr>
              <w:ind w:left="500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174"/>
        </w:trPr>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44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16"/>
        </w:trPr>
        <w:tc>
          <w:tcPr>
            <w:tcW w:w="580" w:type="dxa"/>
            <w:vAlign w:val="bottom"/>
          </w:tcPr>
          <w:p>
            <w:pPr>
              <w:ind w:left="260"/>
              <w:spacing w:after="0"/>
              <w:rPr>
                <w:sz w:val="20"/>
                <w:szCs w:val="20"/>
                <w:color w:val="auto"/>
              </w:rPr>
            </w:pPr>
            <w:r>
              <w:rPr>
                <w:rFonts w:ascii="Arial" w:cs="Arial" w:eastAsia="Arial" w:hAnsi="Arial"/>
                <w:sz w:val="18"/>
                <w:szCs w:val="18"/>
                <w:color w:val="auto"/>
              </w:rPr>
              <w:t>3.9</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3.10</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580" w:type="dxa"/>
            <w:vAlign w:val="bottom"/>
          </w:tcPr>
          <w:p>
            <w:pPr>
              <w:ind w:left="280"/>
              <w:spacing w:after="0"/>
              <w:rPr>
                <w:sz w:val="20"/>
                <w:szCs w:val="20"/>
                <w:color w:val="auto"/>
              </w:rPr>
            </w:pPr>
            <w:r>
              <w:rPr>
                <w:rFonts w:ascii="Arial" w:cs="Arial" w:eastAsia="Arial" w:hAnsi="Arial"/>
                <w:sz w:val="18"/>
                <w:szCs w:val="18"/>
                <w:color w:val="auto"/>
                <w:w w:val="79"/>
              </w:rPr>
              <w:t>3.11</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3.12</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3.13</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3.14</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3.15</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3.16</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w w:val="85"/>
              </w:rPr>
              <w:t>3.17</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580" w:type="dxa"/>
            <w:vAlign w:val="bottom"/>
          </w:tcPr>
          <w:p>
            <w:pPr>
              <w:ind w:left="260"/>
              <w:spacing w:after="0"/>
              <w:rPr>
                <w:sz w:val="20"/>
                <w:szCs w:val="20"/>
                <w:color w:val="auto"/>
              </w:rPr>
            </w:pPr>
            <w:r>
              <w:rPr>
                <w:rFonts w:ascii="Arial" w:cs="Arial" w:eastAsia="Arial" w:hAnsi="Arial"/>
                <w:sz w:val="18"/>
                <w:szCs w:val="18"/>
                <w:color w:val="auto"/>
              </w:rPr>
              <w:t>4.1</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8"/>
              </w:rPr>
              <w:t>Indenture, dated as of October 30, 2002, governing the 12% Second Mortgage Notes due 2010 by and among Wynn Las Vegas, LLC; Wynn Las</w:t>
            </w:r>
          </w:p>
        </w:tc>
      </w:tr>
      <w:tr>
        <w:trPr>
          <w:trHeight w:val="216"/>
        </w:trPr>
        <w:tc>
          <w:tcPr>
            <w:tcW w:w="580" w:type="dxa"/>
            <w:vAlign w:val="bottom"/>
          </w:tcPr>
          <w:p>
            <w:pPr>
              <w:spacing w:after="0"/>
              <w:rPr>
                <w:sz w:val="18"/>
                <w:szCs w:val="18"/>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9"/>
              </w:rPr>
              <w:t>Vegas Capital Corp.; Desert Inn Water Company, LLC; Wynn Design &amp; Development, LLC; Wynn Resorts Holdings, LLC; Las Vegas Jet, LLC;</w:t>
            </w:r>
          </w:p>
        </w:tc>
      </w:tr>
      <w:tr>
        <w:trPr>
          <w:trHeight w:val="216"/>
        </w:trPr>
        <w:tc>
          <w:tcPr>
            <w:tcW w:w="580" w:type="dxa"/>
            <w:vAlign w:val="bottom"/>
          </w:tcPr>
          <w:p>
            <w:pPr>
              <w:spacing w:after="0"/>
              <w:rPr>
                <w:sz w:val="18"/>
                <w:szCs w:val="18"/>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90"/>
              </w:rPr>
              <w:t>World Travel, LLC; Palo, LLC; Valvino Lamore, LLC; the Wynn Resorts, Limited Registrant and Wells Fargo Bank, National Association, Inc.,</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as trustee. (2)</w:t>
            </w:r>
          </w:p>
        </w:tc>
      </w:tr>
      <w:tr>
        <w:trPr>
          <w:trHeight w:val="318"/>
        </w:trPr>
        <w:tc>
          <w:tcPr>
            <w:tcW w:w="580" w:type="dxa"/>
            <w:vAlign w:val="bottom"/>
          </w:tcPr>
          <w:p>
            <w:pPr>
              <w:ind w:left="260"/>
              <w:spacing w:after="0"/>
              <w:rPr>
                <w:sz w:val="20"/>
                <w:szCs w:val="20"/>
                <w:color w:val="auto"/>
              </w:rPr>
            </w:pPr>
            <w:r>
              <w:rPr>
                <w:rFonts w:ascii="Arial" w:cs="Arial" w:eastAsia="Arial" w:hAnsi="Arial"/>
                <w:sz w:val="18"/>
                <w:szCs w:val="18"/>
                <w:color w:val="auto"/>
              </w:rPr>
              <w:t>4.2</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580" w:type="dxa"/>
            <w:vAlign w:val="bottom"/>
          </w:tcPr>
          <w:p>
            <w:pPr>
              <w:ind w:left="260"/>
              <w:spacing w:after="0"/>
              <w:rPr>
                <w:sz w:val="20"/>
                <w:szCs w:val="20"/>
                <w:color w:val="auto"/>
              </w:rPr>
            </w:pPr>
            <w:r>
              <w:rPr>
                <w:rFonts w:ascii="Arial" w:cs="Arial" w:eastAsia="Arial" w:hAnsi="Arial"/>
                <w:sz w:val="18"/>
                <w:szCs w:val="18"/>
                <w:color w:val="auto"/>
              </w:rPr>
              <w:t>4.3</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rPr>
              <w:t>4.4</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Form of Second Mortgage Note (included in Exhibit 4.1) (2)</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rPr>
              <w:t>4.5</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Form of Notation of Guarantee (included in Exhibit 4.1) (2)</w:t>
            </w:r>
          </w:p>
        </w:tc>
      </w:tr>
      <w:tr>
        <w:trPr>
          <w:trHeight w:val="318"/>
        </w:trPr>
        <w:tc>
          <w:tcPr>
            <w:tcW w:w="580" w:type="dxa"/>
            <w:vAlign w:val="bottom"/>
          </w:tcPr>
          <w:p>
            <w:pPr>
              <w:ind w:left="260"/>
              <w:spacing w:after="0"/>
              <w:rPr>
                <w:sz w:val="20"/>
                <w:szCs w:val="20"/>
                <w:color w:val="auto"/>
              </w:rPr>
            </w:pPr>
            <w:r>
              <w:rPr>
                <w:rFonts w:ascii="Arial" w:cs="Arial" w:eastAsia="Arial" w:hAnsi="Arial"/>
                <w:sz w:val="18"/>
                <w:szCs w:val="18"/>
                <w:color w:val="auto"/>
              </w:rPr>
              <w:t>4.6</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91"/>
              </w:rPr>
              <w:t>Registration Rights Agreement, dated as of December 14, 2004, by and among Wynn Las Vegas, LLC, Wynn Las Vegas Capital Corp., the</w:t>
            </w:r>
          </w:p>
        </w:tc>
      </w:tr>
      <w:tr>
        <w:trPr>
          <w:trHeight w:val="216"/>
        </w:trPr>
        <w:tc>
          <w:tcPr>
            <w:tcW w:w="580" w:type="dxa"/>
            <w:vAlign w:val="bottom"/>
          </w:tcPr>
          <w:p>
            <w:pPr>
              <w:spacing w:after="0"/>
              <w:rPr>
                <w:sz w:val="18"/>
                <w:szCs w:val="18"/>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93"/>
              </w:rPr>
              <w:t>Guarantor signatories thereto and Deutsche Bank Securities Inc., Banc of America Securities LLC, Bear, Stearns &amp; Co. Inc., J.P. Morgan</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Securities Inc. and SG Americas Securities, LLC. (4)</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rPr>
              <w:t>5.1</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Opinion of Skadden, Arps, Slate, Meagher &amp; Flom LLP. (1)</w:t>
            </w:r>
          </w:p>
        </w:tc>
      </w:tr>
      <w:tr>
        <w:trPr>
          <w:trHeight w:val="324"/>
        </w:trPr>
        <w:tc>
          <w:tcPr>
            <w:tcW w:w="580" w:type="dxa"/>
            <w:vAlign w:val="bottom"/>
          </w:tcPr>
          <w:p>
            <w:pPr>
              <w:ind w:left="260"/>
              <w:spacing w:after="0"/>
              <w:rPr>
                <w:sz w:val="20"/>
                <w:szCs w:val="20"/>
                <w:color w:val="auto"/>
              </w:rPr>
            </w:pPr>
            <w:r>
              <w:rPr>
                <w:rFonts w:ascii="Arial" w:cs="Arial" w:eastAsia="Arial" w:hAnsi="Arial"/>
                <w:sz w:val="18"/>
                <w:szCs w:val="18"/>
                <w:color w:val="auto"/>
              </w:rPr>
              <w:t>5.2</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Opinion of Schreck Brignone. (1)</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10.1</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 and Marnell Corrao Associates, Inc. for Le</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Rêve. (5)</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10.2</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8"/>
              </w:rPr>
              <w:t>Change Order No. 1 to Agreement for Guaranteed Maximum Price Construction Services dated as of August 12, 2002, by and between Marnell</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Corrao Associates, Inc. as Contractor and Wynn Las Vegas, LLC. (6)</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10.3</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9"/>
              </w:rPr>
              <w:t>Change Order No. 2 to Agreement for Guarantee Maximum Price Construction Services, dated as of August 31, 2003, by and between Marnell</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Corrao Associates, Inc. as Contractor and Wynn Las Vegas, LLC. (7)</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10.4</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89"/>
              </w:rPr>
              <w:t>Change Order No. 3 to Agreement for Guarantee Maximum Price Construction Services, dated as of March 31, 2004, by and between Marnell</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Corrao Associates, Inc. as Contractor and Wynn Las Vegas. (8)</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10.5</w:t>
            </w: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w w:val="90"/>
              </w:rPr>
              <w:t>Change Order No. 4 to Agreement for Guarantee Maximum Price Construction Services, dated as of June 30, 2004, by and between Marnell</w:t>
            </w:r>
          </w:p>
        </w:tc>
      </w:tr>
      <w:tr>
        <w:trPr>
          <w:trHeight w:val="222"/>
        </w:trPr>
        <w:tc>
          <w:tcPr>
            <w:tcW w:w="580" w:type="dxa"/>
            <w:vAlign w:val="bottom"/>
          </w:tcPr>
          <w:p>
            <w:pPr>
              <w:spacing w:after="0"/>
              <w:rPr>
                <w:sz w:val="19"/>
                <w:szCs w:val="19"/>
                <w:color w:val="auto"/>
              </w:rPr>
            </w:pPr>
          </w:p>
        </w:tc>
        <w:tc>
          <w:tcPr>
            <w:tcW w:w="10720" w:type="dxa"/>
            <w:vAlign w:val="bottom"/>
            <w:gridSpan w:val="3"/>
          </w:tcPr>
          <w:p>
            <w:pPr>
              <w:ind w:left="540"/>
              <w:spacing w:after="0"/>
              <w:rPr>
                <w:sz w:val="20"/>
                <w:szCs w:val="20"/>
                <w:color w:val="auto"/>
              </w:rPr>
            </w:pPr>
            <w:r>
              <w:rPr>
                <w:rFonts w:ascii="Arial" w:cs="Arial" w:eastAsia="Arial" w:hAnsi="Arial"/>
                <w:sz w:val="18"/>
                <w:szCs w:val="18"/>
                <w:color w:val="auto"/>
              </w:rPr>
              <w:t>Corrao Associates, Inc. as Contractor and Wynn Las Vegas. (9)</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00"/>
          </w:cols>
          <w:pgMar w:left="240" w:top="460" w:right="3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74"/>
        </w:trPr>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r>
      <w:tr>
        <w:trPr>
          <w:trHeight w:val="309"/>
        </w:trPr>
        <w:tc>
          <w:tcPr>
            <w:tcW w:w="580" w:type="dxa"/>
            <w:vAlign w:val="bottom"/>
          </w:tcPr>
          <w:p>
            <w:pPr>
              <w:ind w:left="180"/>
              <w:spacing w:after="0"/>
              <w:rPr>
                <w:sz w:val="20"/>
                <w:szCs w:val="20"/>
                <w:color w:val="auto"/>
              </w:rPr>
            </w:pPr>
            <w:r>
              <w:rPr>
                <w:rFonts w:ascii="Arial" w:cs="Arial" w:eastAsia="Arial" w:hAnsi="Arial"/>
                <w:sz w:val="18"/>
                <w:szCs w:val="18"/>
                <w:color w:val="auto"/>
              </w:rPr>
              <w:t>10.6</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0"/>
              </w:rPr>
              <w:t>Change Order No. 5 to Agreement for Guarantee Maximum Price Construction Services, dated as of August 30, 2004, by and between Marnell</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Corrao Associates, Inc. and Wynn Las Vegas, LLC. (10)</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10.7</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3"/>
              </w:rPr>
              <w:t>Change Order No. 6 to Agreement for Guarantee Maximum Price Construction Services, dated as of November 30, 2004, by and between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Marnell Corrao Associates, Inc. and Wynn Las Vegas, LLC. (4)</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rPr>
              <w:t>10.8</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8"/>
              </w:rPr>
              <w:t>Change Order No. 7 to Agreement for Guarantee Maximum Price Construction Services, dated as of December 30, 2004, by and between Marnell</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Corrao Associates, Inc. and Wynn Las Vegas, LLC. (4)</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rPr>
              <w:t>10.9</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 (2)</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10.10</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Design/Build Agreement, dated June 6, 2002, by and between Wynn Las Vegas, LLC and Bomel Construction Company, Inc. (5)</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10.11</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 18, 2003.</w:t>
            </w:r>
          </w:p>
        </w:tc>
      </w:tr>
      <w:tr>
        <w:trPr>
          <w:trHeight w:val="222"/>
        </w:trPr>
        <w:tc>
          <w:tcPr>
            <w:tcW w:w="580" w:type="dxa"/>
            <w:vAlign w:val="bottom"/>
          </w:tcPr>
          <w:p>
            <w:pPr>
              <w:spacing w:after="0"/>
              <w:rPr>
                <w:sz w:val="19"/>
                <w:szCs w:val="19"/>
                <w:color w:val="auto"/>
              </w:rPr>
            </w:pPr>
          </w:p>
        </w:tc>
        <w:tc>
          <w:tcPr>
            <w:tcW w:w="5280" w:type="dxa"/>
            <w:vAlign w:val="bottom"/>
          </w:tcPr>
          <w:p>
            <w:pPr>
              <w:ind w:left="540"/>
              <w:spacing w:after="0"/>
              <w:rPr>
                <w:sz w:val="20"/>
                <w:szCs w:val="20"/>
                <w:color w:val="auto"/>
              </w:rPr>
            </w:pPr>
            <w:r>
              <w:rPr>
                <w:rFonts w:ascii="Arial" w:cs="Arial" w:eastAsia="Arial" w:hAnsi="Arial"/>
                <w:sz w:val="18"/>
                <w:szCs w:val="18"/>
                <w:color w:val="auto"/>
              </w:rPr>
              <w:t>(11)</w:t>
            </w:r>
          </w:p>
        </w:tc>
        <w:tc>
          <w:tcPr>
            <w:tcW w:w="84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10.12</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the Bank Agent, and U.S. Bank National Association, as Indenture Trustee. (4)</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10.13</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Stephen A. Wynn. (2)</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10.14</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0"/>
              </w:rPr>
              <w:t>Purchase Agreement, dated October 25, 2002, by and among Wynn Las Vegas, LLC, Wynn Las Vegas Capital Corp. and Aruze USA, Inc. (2)</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10.15</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5"/>
              </w:rPr>
              <w:t>License Agreement, dated October 31, 2002, by and between Wynn Las Vegas, LLC and Calitri Services and Licensing Limited Liability</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Company. (12)</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10.16</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4"/>
              </w:rPr>
              <w:t>Production Services Agreement, dated October 31, 2002, by and between Wynn Las Vegas, LLC and Productions Du Dragon, S.A. (12)</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10.17</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the lenders named therein. (13)</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10.18</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Vegas, LLC. (10)</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10.19</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8"/>
              </w:rPr>
              <w:t>Credit Agreement, dated as of December 14, 2004, among Wynn Las Vegas, LLC, Deutsche Bank Securities Inc., Deutsche Bank Trust Company</w:t>
            </w:r>
          </w:p>
        </w:tc>
      </w:tr>
      <w:tr>
        <w:trPr>
          <w:trHeight w:val="216"/>
        </w:trPr>
        <w:tc>
          <w:tcPr>
            <w:tcW w:w="580" w:type="dxa"/>
            <w:vAlign w:val="bottom"/>
          </w:tcPr>
          <w:p>
            <w:pPr>
              <w:spacing w:after="0"/>
              <w:rPr>
                <w:sz w:val="18"/>
                <w:szCs w:val="18"/>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1"/>
              </w:rPr>
              <w:t>Americas, Banc of America Securities LLC, Bank of America, N.A., Bear Stearns Corporate Lending Inc., Bear, Stearns &amp; Co. Inc., JPMorgan</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Chase Bank, N.A., J.P. Morgan Securities Inc., Société Générale and SG Americas Securities, LLC. (3)</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10.20</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Las</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 (4)</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10.21</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8"/>
              </w:rPr>
              <w:t>Deed of Trust, Assignment of Rents and Leases, Security Agreement and Fixture Filing, dated as of December 14, 2004, made by Wynn Sunrise,</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(4)</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84"/>
              </w:rPr>
              <w:t>10.22</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Golf,</w:t>
            </w:r>
          </w:p>
        </w:tc>
      </w:tr>
      <w:tr>
        <w:trPr>
          <w:trHeight w:val="222"/>
        </w:trPr>
        <w:tc>
          <w:tcPr>
            <w:tcW w:w="58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(4)</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700" w:type="dxa"/>
            <w:vAlign w:val="bottom"/>
          </w:tcPr>
          <w:p>
            <w:pPr>
              <w:spacing w:after="0"/>
              <w:rPr>
                <w:sz w:val="14"/>
                <w:szCs w:val="14"/>
                <w:color w:val="auto"/>
              </w:rPr>
            </w:pPr>
          </w:p>
        </w:tc>
      </w:tr>
      <w:tr>
        <w:trPr>
          <w:trHeight w:val="174"/>
        </w:trPr>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4980" w:type="dxa"/>
            <w:vAlign w:val="bottom"/>
          </w:tcPr>
          <w:p>
            <w:pPr>
              <w:spacing w:after="0"/>
              <w:rPr>
                <w:sz w:val="15"/>
                <w:szCs w:val="15"/>
                <w:color w:val="auto"/>
              </w:rPr>
            </w:pPr>
          </w:p>
        </w:tc>
        <w:tc>
          <w:tcPr>
            <w:tcW w:w="5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r>
      <w:tr>
        <w:trPr>
          <w:trHeight w:val="309"/>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10.24</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Trust Company Americas and U.S. Bank National Association. (3)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Performers, LLC, Wynn Las Vegas Capital Corp., Wynn Golf, LLC, World Travel, LLC, Las Vegas Jet, LLC, Wynn Sunrise, LLC and the other</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7"/>
              </w:rPr>
              <w:t>Management Fees Subordination Agreement, dated as of December 14, 2004, by Wynn Resorts, Limited, Wynn Las Vegas, LLC, Wynn Las Vegas</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9"/>
              </w:rPr>
              <w:t xml:space="preserve">Capital Corp., and those subsidiaries of Wynn Las Vegas, LLC listed on </w:t>
            </w:r>
            <w:r>
              <w:rPr>
                <w:rFonts w:ascii="Arial" w:cs="Arial" w:eastAsia="Arial" w:hAnsi="Arial"/>
                <w:sz w:val="18"/>
                <w:szCs w:val="18"/>
                <w:i w:val="1"/>
                <w:iCs w:val="1"/>
                <w:color w:val="auto"/>
                <w:w w:val="89"/>
              </w:rPr>
              <w:t>Exhibit A</w:t>
            </w:r>
            <w:r>
              <w:rPr>
                <w:rFonts w:ascii="Arial" w:cs="Arial" w:eastAsia="Arial" w:hAnsi="Arial"/>
                <w:sz w:val="18"/>
                <w:szCs w:val="18"/>
                <w:color w:val="auto"/>
                <w:w w:val="89"/>
              </w:rPr>
              <w:t xml:space="preserve"> hereto in favor of Deutsche Bank Trust Company Americas, 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administrative agent, and U.S. Bank National Association, as trustee.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&amp; Development, LLC. (4)</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Wynn Las Vegas, LLC. (4)</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September 16, 2003 by and between Wynn Las Vegas, LLC and David Sisk.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10.33</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9"/>
              </w:rPr>
              <w:t>First Amendment to Employment Agreement, dated October 20, 2003, by and between Wynn Las Vegas, LLC and David Sisk.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December 11, 2002 by and between Wynn Las Vegas, LLC and Arthur Nathan.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10.35</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7"/>
              </w:rPr>
              <w:t>First Amendment to Employment Agreement, dated August 28, 2003, by and between Wynn Las Vegas, LLC and Arthur Nathan.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10.36</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December 16, 2002 by and between Wynn Las Vegas, LLC and James E. Pettis. (1)</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w w:val="99"/>
              </w:rPr>
              <w:t>First Amendment to Employment Agreement, dated June 7, 2004, by and between Wynn Las Vegas, LLC and James E. Pettis.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10580" w:type="dxa"/>
            <w:vAlign w:val="bottom"/>
            <w:gridSpan w:val="3"/>
          </w:tcPr>
          <w:p>
            <w:pPr>
              <w:ind w:left="260"/>
              <w:spacing w:after="0"/>
              <w:rPr>
                <w:sz w:val="20"/>
                <w:szCs w:val="20"/>
                <w:color w:val="auto"/>
              </w:rPr>
            </w:pPr>
            <w:r>
              <w:rPr>
                <w:rFonts w:ascii="Arial" w:cs="Arial" w:eastAsia="Arial" w:hAnsi="Arial"/>
                <w:sz w:val="18"/>
                <w:szCs w:val="18"/>
                <w:color w:val="auto"/>
              </w:rPr>
              <w:t>Statements re Computation of Ratios. (14)</w:t>
            </w:r>
          </w:p>
        </w:tc>
      </w:tr>
      <w:tr>
        <w:trPr>
          <w:trHeight w:val="365"/>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580" w:type="dxa"/>
            <w:vAlign w:val="bottom"/>
            <w:gridSpan w:val="3"/>
          </w:tcPr>
          <w:p>
            <w:pPr>
              <w:ind w:left="476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74"/>
        </w:trPr>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rPr>
              <w:t>No.</w:t>
            </w:r>
          </w:p>
        </w:tc>
        <w:tc>
          <w:tcPr>
            <w:tcW w:w="5260" w:type="dxa"/>
            <w:vAlign w:val="bottom"/>
          </w:tcPr>
          <w:p>
            <w:pPr>
              <w:spacing w:after="0"/>
              <w:rPr>
                <w:sz w:val="15"/>
                <w:szCs w:val="15"/>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r>
      <w:tr>
        <w:trPr>
          <w:trHeight w:val="4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21.1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Deloitte &amp; Touche LLP. (14)</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23.2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Skadden, Arps, Slate, Meagher &amp; Flom LLP (included in Exhibit 5.1).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23.3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Consent of Schreck Brignone (included in Exhibit 5.2).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24.1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Powers of Attorney (included in the signature pages to the Registration Statement).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24.2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Powers of Attorney. (14)</w:t>
            </w:r>
          </w:p>
        </w:tc>
      </w:tr>
      <w:tr>
        <w:trPr>
          <w:trHeight w:val="318"/>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25.1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99"/>
        </w:trPr>
        <w:tc>
          <w:tcPr>
            <w:tcW w:w="540" w:type="dxa"/>
            <w:vAlign w:val="bottom"/>
          </w:tcPr>
          <w:p>
            <w:pPr>
              <w:spacing w:after="0"/>
              <w:rPr>
                <w:sz w:val="24"/>
                <w:szCs w:val="24"/>
                <w:color w:val="auto"/>
              </w:rPr>
            </w:pP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 xml:space="preserve">LLC and Wynn Las Vegas Capital Corp.’s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(1)</w:t>
            </w:r>
          </w:p>
        </w:tc>
      </w:tr>
      <w:tr>
        <w:trPr>
          <w:trHeight w:val="248"/>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99.1</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Letter of Transmittal.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99.2</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Notice of Guaranteed Delivery.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99.3</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Letter to Clients. (1)</w:t>
            </w:r>
          </w:p>
        </w:tc>
      </w:tr>
      <w:tr>
        <w:trPr>
          <w:trHeight w:val="324"/>
        </w:trPr>
        <w:tc>
          <w:tcPr>
            <w:tcW w:w="540" w:type="dxa"/>
            <w:vAlign w:val="bottom"/>
          </w:tcPr>
          <w:p>
            <w:pPr>
              <w:jc w:val="right"/>
              <w:ind w:right="15"/>
              <w:spacing w:after="0"/>
              <w:rPr>
                <w:sz w:val="20"/>
                <w:szCs w:val="20"/>
                <w:color w:val="auto"/>
              </w:rPr>
            </w:pPr>
            <w:r>
              <w:rPr>
                <w:rFonts w:ascii="Arial" w:cs="Arial" w:eastAsia="Arial" w:hAnsi="Arial"/>
                <w:sz w:val="18"/>
                <w:szCs w:val="18"/>
                <w:color w:val="auto"/>
              </w:rPr>
              <w:t>99.4</w:t>
            </w:r>
          </w:p>
        </w:tc>
        <w:tc>
          <w:tcPr>
            <w:tcW w:w="10560" w:type="dxa"/>
            <w:vAlign w:val="bottom"/>
            <w:gridSpan w:val="3"/>
          </w:tcPr>
          <w:p>
            <w:pPr>
              <w:ind w:left="540"/>
              <w:spacing w:after="0"/>
              <w:rPr>
                <w:sz w:val="20"/>
                <w:szCs w:val="20"/>
                <w:color w:val="auto"/>
              </w:rPr>
            </w:pPr>
            <w:r>
              <w:rPr>
                <w:rFonts w:ascii="Arial" w:cs="Arial" w:eastAsia="Arial" w:hAnsi="Arial"/>
                <w:sz w:val="18"/>
                <w:szCs w:val="18"/>
                <w:color w:val="auto"/>
              </w:rPr>
              <w:t>Form of Letter to Brokers, Dealers, Commercial Banks, Trust Companies and Other Nominees.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Registrants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Wynn Resorts on June 17,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Wynn Resorts on August 20,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13,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August 3,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28,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8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240" w:top="460" w:right="5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registrants hereby undertake that:</w:t>
      </w:r>
    </w:p>
    <w:p>
      <w:pPr>
        <w:spacing w:after="0" w:line="77" w:lineRule="exact"/>
        <w:rPr>
          <w:sz w:val="20"/>
          <w:szCs w:val="20"/>
          <w:color w:val="auto"/>
        </w:rPr>
      </w:pPr>
    </w:p>
    <w:p>
      <w:pPr>
        <w:ind w:left="460" w:firstLine="443"/>
        <w:spacing w:after="0" w:line="289" w:lineRule="auto"/>
        <w:tabs>
          <w:tab w:leader="none" w:pos="114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3"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48" w:lineRule="exact"/>
        <w:rPr>
          <w:rFonts w:ascii="Arial" w:cs="Arial" w:eastAsia="Arial" w:hAnsi="Arial"/>
          <w:sz w:val="18"/>
          <w:szCs w:val="18"/>
          <w:color w:val="auto"/>
        </w:rPr>
      </w:pPr>
    </w:p>
    <w:p>
      <w:pPr>
        <w:ind w:left="460" w:firstLine="443"/>
        <w:spacing w:after="0" w:line="332" w:lineRule="auto"/>
        <w:tabs>
          <w:tab w:leader="none" w:pos="114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60" w:right="2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WYNN LAS VEGAS,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20"/>
              <w:spacing w:after="0"/>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600"/>
              <w:spacing w:after="0"/>
              <w:rPr>
                <w:sz w:val="20"/>
                <w:szCs w:val="20"/>
                <w:color w:val="auto"/>
              </w:rPr>
            </w:pPr>
            <w:r>
              <w:rPr>
                <w:rFonts w:ascii="Arial" w:cs="Arial" w:eastAsia="Arial" w:hAnsi="Arial"/>
                <w:sz w:val="14"/>
                <w:szCs w:val="14"/>
                <w:b w:val="1"/>
                <w:bCs w:val="1"/>
                <w:color w:val="auto"/>
                <w:w w:val="85"/>
              </w:rPr>
              <w:t>D. Boone Wayson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bl>
    <w:p>
      <w:pPr>
        <w:jc w:val="center"/>
        <w:ind w:left="2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0703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b w:val="1"/>
          <w:bCs w:val="1"/>
          <w:color w:val="auto"/>
        </w:rPr>
        <w:t>Elaine P. Wynn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120" w:type="dxa"/>
            <w:vAlign w:val="bottom"/>
          </w:tcPr>
          <w:p>
            <w:pPr>
              <w:jc w:val="center"/>
              <w:ind w:right="36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Stanley R. Zax</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3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120" w:type="dxa"/>
            <w:vAlign w:val="bottom"/>
            <w:tcBorders>
              <w:top w:val="single" w:sz="8" w:color="auto"/>
            </w:tcBorders>
          </w:tcPr>
          <w:p>
            <w:pPr>
              <w:jc w:val="center"/>
              <w:ind w:left="584"/>
              <w:spacing w:after="0" w:line="131" w:lineRule="exact"/>
              <w:rPr>
                <w:sz w:val="20"/>
                <w:szCs w:val="20"/>
                <w:color w:val="auto"/>
              </w:rPr>
            </w:pPr>
            <w:r>
              <w:rPr>
                <w:rFonts w:ascii="Arial" w:cs="Arial" w:eastAsia="Arial" w:hAnsi="Arial"/>
                <w:sz w:val="14"/>
                <w:szCs w:val="14"/>
                <w:b w:val="1"/>
                <w:bCs w:val="1"/>
                <w:color w:val="auto"/>
                <w:w w:val="88"/>
              </w:rPr>
              <w:t>Stephen A. Wynn</w:t>
            </w:r>
          </w:p>
        </w:tc>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140" w:type="dxa"/>
            <w:vAlign w:val="bottom"/>
            <w:gridSpan w:val="2"/>
          </w:tcPr>
          <w:p>
            <w:pPr>
              <w:jc w:val="center"/>
              <w:ind w:left="564"/>
              <w:spacing w:after="0"/>
              <w:rPr>
                <w:sz w:val="20"/>
                <w:szCs w:val="20"/>
                <w:color w:val="auto"/>
              </w:rPr>
            </w:pPr>
            <w:r>
              <w:rPr>
                <w:rFonts w:ascii="Arial" w:cs="Arial" w:eastAsia="Arial" w:hAnsi="Arial"/>
                <w:sz w:val="14"/>
                <w:szCs w:val="14"/>
                <w:b w:val="1"/>
                <w:bCs w:val="1"/>
                <w:color w:val="auto"/>
                <w:w w:val="90"/>
              </w:rPr>
              <w:t>Attorney-in-fact</w:t>
            </w: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ind w:left="1000"/>
              <w:spacing w:after="0"/>
              <w:rPr>
                <w:sz w:val="20"/>
                <w:szCs w:val="20"/>
                <w:color w:val="auto"/>
              </w:rPr>
            </w:pPr>
            <w:r>
              <w:rPr>
                <w:rFonts w:ascii="Arial" w:cs="Arial" w:eastAsia="Arial" w:hAnsi="Arial"/>
                <w:sz w:val="18"/>
                <w:szCs w:val="18"/>
                <w:color w:val="auto"/>
              </w:rPr>
              <w:t>S-2</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60" w:right="9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WYNN LAS VEGAS CAPITAL CORP.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and Director (Principal</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Executive Officer)</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56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Financial and Accounting Officer)</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56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5"/>
              </w:rPr>
              <w:t>D. Boone Wayson</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7"/>
              </w:rPr>
              <w:t>Elaine P. Wynn</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0"/>
        </w:trPr>
        <w:tc>
          <w:tcPr>
            <w:tcW w:w="1600" w:type="dxa"/>
            <w:vAlign w:val="bottom"/>
            <w:tcBorders>
              <w:bottom w:val="single" w:sz="8" w:color="auto"/>
            </w:tcBorders>
          </w:tcPr>
          <w:p>
            <w:pPr>
              <w:spacing w:after="0"/>
              <w:rPr>
                <w:sz w:val="9"/>
                <w:szCs w:val="9"/>
                <w:color w:val="auto"/>
              </w:rPr>
            </w:pPr>
          </w:p>
        </w:tc>
        <w:tc>
          <w:tcPr>
            <w:tcW w:w="2980" w:type="dxa"/>
            <w:vAlign w:val="bottom"/>
            <w:tcBorders>
              <w:bottom w:val="single" w:sz="8" w:color="auto"/>
            </w:tcBorders>
            <w:gridSpan w:val="3"/>
          </w:tcPr>
          <w:p>
            <w:pPr>
              <w:spacing w:after="0"/>
              <w:rPr>
                <w:sz w:val="9"/>
                <w:szCs w:val="9"/>
                <w:color w:val="auto"/>
              </w:rPr>
            </w:pPr>
          </w:p>
        </w:tc>
        <w:tc>
          <w:tcPr>
            <w:tcW w:w="2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7"/>
              </w:rPr>
              <w:t>Stanley R. Zax</w:t>
            </w:r>
          </w:p>
        </w:tc>
        <w:tc>
          <w:tcPr>
            <w:tcW w:w="2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560" w:type="dxa"/>
            <w:vAlign w:val="bottom"/>
            <w:gridSpan w:val="3"/>
          </w:tcPr>
          <w:p>
            <w:pPr>
              <w:ind w:left="1020"/>
              <w:spacing w:after="0"/>
              <w:rPr>
                <w:sz w:val="20"/>
                <w:szCs w:val="20"/>
                <w:color w:val="auto"/>
              </w:rPr>
            </w:pPr>
            <w:r>
              <w:rPr>
                <w:rFonts w:ascii="Arial" w:cs="Arial" w:eastAsia="Arial" w:hAnsi="Arial"/>
                <w:sz w:val="18"/>
                <w:szCs w:val="18"/>
                <w:color w:val="auto"/>
              </w:rPr>
              <w:t>S-3</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both"/>
        <w:ind w:left="2260"/>
        <w:spacing w:after="0"/>
        <w:tabs>
          <w:tab w:leader="none" w:pos="4800" w:val="left"/>
          <w:tab w:leader="none" w:pos="9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6"/>
          <w:szCs w:val="16"/>
          <w:color w:val="auto"/>
        </w:rPr>
        <w:t>May 20,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Allan Zeman</w:t>
      </w:r>
    </w:p>
    <w:p>
      <w:pPr>
        <w:spacing w:after="0" w:line="370" w:lineRule="exact"/>
        <w:rPr>
          <w:sz w:val="20"/>
          <w:szCs w:val="20"/>
          <w:color w:val="auto"/>
        </w:rPr>
      </w:pPr>
    </w:p>
    <w:p>
      <w:pPr>
        <w:spacing w:after="0"/>
        <w:tabs>
          <w:tab w:leader="none" w:pos="1800" w:val="left"/>
          <w:tab w:leader="none" w:pos="2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260731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234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4"/>
          <w:szCs w:val="14"/>
          <w:b w:val="1"/>
          <w:bCs w:val="1"/>
          <w:color w:val="auto"/>
        </w:rPr>
        <w:t>Attorney-in-fact</w:t>
      </w:r>
    </w:p>
    <w:p>
      <w:pPr>
        <w:spacing w:after="0" w:line="1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720"/>
          </w:cols>
          <w:pgMar w:left="240" w:top="460" w:right="9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LAS VEGAS JET,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20"/>
              <w:spacing w:after="0"/>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bl>
    <w:p>
      <w:pPr>
        <w:jc w:val="center"/>
        <w:ind w:left="2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0703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60" w:right="2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Elaine P. Wynn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Stanley R. Zax</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3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120" w:type="dxa"/>
            <w:vAlign w:val="bottom"/>
            <w:tcBorders>
              <w:top w:val="single" w:sz="8" w:color="auto"/>
            </w:tcBorders>
          </w:tcPr>
          <w:p>
            <w:pPr>
              <w:jc w:val="center"/>
              <w:ind w:left="583"/>
              <w:spacing w:after="0" w:line="131" w:lineRule="exact"/>
              <w:rPr>
                <w:sz w:val="20"/>
                <w:szCs w:val="20"/>
                <w:color w:val="auto"/>
              </w:rPr>
            </w:pPr>
            <w:r>
              <w:rPr>
                <w:rFonts w:ascii="Arial" w:cs="Arial" w:eastAsia="Arial" w:hAnsi="Arial"/>
                <w:sz w:val="14"/>
                <w:szCs w:val="14"/>
                <w:b w:val="1"/>
                <w:bCs w:val="1"/>
                <w:color w:val="auto"/>
                <w:w w:val="88"/>
              </w:rPr>
              <w:t>Stephen A. Wynn</w:t>
            </w:r>
          </w:p>
        </w:tc>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140" w:type="dxa"/>
            <w:vAlign w:val="bottom"/>
            <w:gridSpan w:val="2"/>
          </w:tcPr>
          <w:p>
            <w:pPr>
              <w:jc w:val="center"/>
              <w:ind w:left="563"/>
              <w:spacing w:after="0"/>
              <w:rPr>
                <w:sz w:val="20"/>
                <w:szCs w:val="20"/>
                <w:color w:val="auto"/>
              </w:rPr>
            </w:pPr>
            <w:r>
              <w:rPr>
                <w:rFonts w:ascii="Arial" w:cs="Arial" w:eastAsia="Arial" w:hAnsi="Arial"/>
                <w:sz w:val="14"/>
                <w:szCs w:val="14"/>
                <w:b w:val="1"/>
                <w:bCs w:val="1"/>
                <w:color w:val="auto"/>
                <w:w w:val="90"/>
              </w:rPr>
              <w:t>Attorney-in-fact</w:t>
            </w: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ind w:left="1000"/>
              <w:spacing w:after="0"/>
              <w:rPr>
                <w:sz w:val="20"/>
                <w:szCs w:val="20"/>
                <w:color w:val="auto"/>
              </w:rPr>
            </w:pPr>
            <w:r>
              <w:rPr>
                <w:rFonts w:ascii="Arial" w:cs="Arial" w:eastAsia="Arial" w:hAnsi="Arial"/>
                <w:sz w:val="18"/>
                <w:szCs w:val="18"/>
                <w:color w:val="auto"/>
              </w:rPr>
              <w:t>S-6</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60" w:right="9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WORLD TRAVEL,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20"/>
              <w:spacing w:after="0"/>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bl>
    <w:p>
      <w:pPr>
        <w:jc w:val="center"/>
        <w:ind w:left="2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0703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Elaine P. Wynn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Stanley R. Zax</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3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120" w:type="dxa"/>
            <w:vAlign w:val="bottom"/>
            <w:tcBorders>
              <w:top w:val="single" w:sz="8" w:color="auto"/>
            </w:tcBorders>
          </w:tcPr>
          <w:p>
            <w:pPr>
              <w:jc w:val="center"/>
              <w:ind w:left="583"/>
              <w:spacing w:after="0" w:line="131" w:lineRule="exact"/>
              <w:rPr>
                <w:sz w:val="20"/>
                <w:szCs w:val="20"/>
                <w:color w:val="auto"/>
              </w:rPr>
            </w:pPr>
            <w:r>
              <w:rPr>
                <w:rFonts w:ascii="Arial" w:cs="Arial" w:eastAsia="Arial" w:hAnsi="Arial"/>
                <w:sz w:val="14"/>
                <w:szCs w:val="14"/>
                <w:b w:val="1"/>
                <w:bCs w:val="1"/>
                <w:color w:val="auto"/>
                <w:w w:val="88"/>
              </w:rPr>
              <w:t>Stephen A. Wynn</w:t>
            </w:r>
          </w:p>
        </w:tc>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140" w:type="dxa"/>
            <w:vAlign w:val="bottom"/>
            <w:gridSpan w:val="2"/>
          </w:tcPr>
          <w:p>
            <w:pPr>
              <w:jc w:val="center"/>
              <w:ind w:left="563"/>
              <w:spacing w:after="0"/>
              <w:rPr>
                <w:sz w:val="20"/>
                <w:szCs w:val="20"/>
                <w:color w:val="auto"/>
              </w:rPr>
            </w:pPr>
            <w:r>
              <w:rPr>
                <w:rFonts w:ascii="Arial" w:cs="Arial" w:eastAsia="Arial" w:hAnsi="Arial"/>
                <w:sz w:val="14"/>
                <w:szCs w:val="14"/>
                <w:b w:val="1"/>
                <w:bCs w:val="1"/>
                <w:color w:val="auto"/>
                <w:w w:val="90"/>
              </w:rPr>
              <w:t>Attorney-in-fact</w:t>
            </w: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ind w:left="1000"/>
              <w:spacing w:after="0"/>
              <w:rPr>
                <w:sz w:val="20"/>
                <w:szCs w:val="20"/>
                <w:color w:val="auto"/>
              </w:rPr>
            </w:pPr>
            <w:r>
              <w:rPr>
                <w:rFonts w:ascii="Arial" w:cs="Arial" w:eastAsia="Arial" w:hAnsi="Arial"/>
                <w:sz w:val="18"/>
                <w:szCs w:val="18"/>
                <w:color w:val="auto"/>
              </w:rPr>
              <w:t>S-8</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59" w:right="9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WYNN SUNRISE,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20"/>
              <w:spacing w:after="0"/>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bl>
    <w:p>
      <w:pPr>
        <w:jc w:val="center"/>
        <w:ind w:left="2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0703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Elaine P. Wynn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Stanley R. Zax</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3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120" w:type="dxa"/>
            <w:vAlign w:val="bottom"/>
            <w:tcBorders>
              <w:top w:val="single" w:sz="8" w:color="auto"/>
            </w:tcBorders>
          </w:tcPr>
          <w:p>
            <w:pPr>
              <w:jc w:val="center"/>
              <w:ind w:left="583"/>
              <w:spacing w:after="0" w:line="131" w:lineRule="exact"/>
              <w:rPr>
                <w:sz w:val="20"/>
                <w:szCs w:val="20"/>
                <w:color w:val="auto"/>
              </w:rPr>
            </w:pPr>
            <w:r>
              <w:rPr>
                <w:rFonts w:ascii="Arial" w:cs="Arial" w:eastAsia="Arial" w:hAnsi="Arial"/>
                <w:sz w:val="14"/>
                <w:szCs w:val="14"/>
                <w:b w:val="1"/>
                <w:bCs w:val="1"/>
                <w:color w:val="auto"/>
                <w:w w:val="88"/>
              </w:rPr>
              <w:t>Stephen A. Wynn</w:t>
            </w:r>
          </w:p>
        </w:tc>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140" w:type="dxa"/>
            <w:vAlign w:val="bottom"/>
            <w:gridSpan w:val="2"/>
          </w:tcPr>
          <w:p>
            <w:pPr>
              <w:jc w:val="center"/>
              <w:ind w:left="563"/>
              <w:spacing w:after="0"/>
              <w:rPr>
                <w:sz w:val="20"/>
                <w:szCs w:val="20"/>
                <w:color w:val="auto"/>
              </w:rPr>
            </w:pPr>
            <w:r>
              <w:rPr>
                <w:rFonts w:ascii="Arial" w:cs="Arial" w:eastAsia="Arial" w:hAnsi="Arial"/>
                <w:sz w:val="14"/>
                <w:szCs w:val="14"/>
                <w:b w:val="1"/>
                <w:bCs w:val="1"/>
                <w:color w:val="auto"/>
                <w:w w:val="90"/>
              </w:rPr>
              <w:t>Attorney-in-fact</w:t>
            </w: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Arial" w:cs="Arial" w:eastAsia="Arial" w:hAnsi="Arial"/>
                <w:sz w:val="18"/>
                <w:szCs w:val="18"/>
                <w:color w:val="auto"/>
              </w:rPr>
              <w:t>S-10</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60" w:right="9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WYNN SHOW PERFORMERS,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20"/>
              <w:spacing w:after="0"/>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bl>
    <w:p>
      <w:pPr>
        <w:jc w:val="center"/>
        <w:ind w:left="2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0703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Elaine P. Wynn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Stanley R. Zax</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3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120" w:type="dxa"/>
            <w:vAlign w:val="bottom"/>
            <w:tcBorders>
              <w:top w:val="single" w:sz="8" w:color="auto"/>
            </w:tcBorders>
          </w:tcPr>
          <w:p>
            <w:pPr>
              <w:jc w:val="center"/>
              <w:ind w:left="583"/>
              <w:spacing w:after="0" w:line="131" w:lineRule="exact"/>
              <w:rPr>
                <w:sz w:val="20"/>
                <w:szCs w:val="20"/>
                <w:color w:val="auto"/>
              </w:rPr>
            </w:pPr>
            <w:r>
              <w:rPr>
                <w:rFonts w:ascii="Arial" w:cs="Arial" w:eastAsia="Arial" w:hAnsi="Arial"/>
                <w:sz w:val="14"/>
                <w:szCs w:val="14"/>
                <w:b w:val="1"/>
                <w:bCs w:val="1"/>
                <w:color w:val="auto"/>
                <w:w w:val="88"/>
              </w:rPr>
              <w:t>Stephen A. Wynn</w:t>
            </w:r>
          </w:p>
        </w:tc>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140" w:type="dxa"/>
            <w:vAlign w:val="bottom"/>
            <w:gridSpan w:val="2"/>
          </w:tcPr>
          <w:p>
            <w:pPr>
              <w:jc w:val="center"/>
              <w:ind w:left="563"/>
              <w:spacing w:after="0"/>
              <w:rPr>
                <w:sz w:val="20"/>
                <w:szCs w:val="20"/>
                <w:color w:val="auto"/>
              </w:rPr>
            </w:pPr>
            <w:r>
              <w:rPr>
                <w:rFonts w:ascii="Arial" w:cs="Arial" w:eastAsia="Arial" w:hAnsi="Arial"/>
                <w:sz w:val="14"/>
                <w:szCs w:val="14"/>
                <w:b w:val="1"/>
                <w:bCs w:val="1"/>
                <w:color w:val="auto"/>
                <w:w w:val="90"/>
              </w:rPr>
              <w:t>Attorney-in-fact</w:t>
            </w: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Arial" w:cs="Arial" w:eastAsia="Arial" w:hAnsi="Arial"/>
                <w:sz w:val="18"/>
                <w:szCs w:val="18"/>
                <w:color w:val="auto"/>
              </w:rPr>
              <w:t>S-12</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59" w:right="9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1 to the Registration Statement to be signed on its behalf by the undersigned, thereunto duly authorized, in the City of Las Vegas, State of Nevada, on May 20, 2005.</w:t>
      </w:r>
    </w:p>
    <w:p>
      <w:pPr>
        <w:spacing w:after="0" w:line="7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4560" w:type="dxa"/>
            <w:vAlign w:val="bottom"/>
            <w:gridSpan w:val="2"/>
          </w:tcPr>
          <w:p>
            <w:pPr>
              <w:spacing w:after="0"/>
              <w:rPr>
                <w:sz w:val="20"/>
                <w:szCs w:val="20"/>
                <w:color w:val="auto"/>
              </w:rPr>
            </w:pPr>
            <w:r>
              <w:rPr>
                <w:rFonts w:ascii="Arial" w:cs="Arial" w:eastAsia="Arial" w:hAnsi="Arial"/>
                <w:sz w:val="18"/>
                <w:szCs w:val="18"/>
                <w:color w:val="auto"/>
              </w:rPr>
              <w:t>WYNN GOLF,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10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10"/>
        </w:trPr>
        <w:tc>
          <w:tcPr>
            <w:tcW w:w="50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20"/>
              <w:spacing w:after="0"/>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6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6"/>
              </w:rPr>
              <w:t>Signature</w:t>
            </w:r>
          </w:p>
        </w:tc>
        <w:tc>
          <w:tcPr>
            <w:tcW w:w="2060" w:type="dxa"/>
            <w:vAlign w:val="bottom"/>
          </w:tcPr>
          <w:p>
            <w:pPr>
              <w:spacing w:after="0"/>
              <w:rPr>
                <w:sz w:val="15"/>
                <w:szCs w:val="15"/>
                <w:color w:val="auto"/>
              </w:rPr>
            </w:pPr>
          </w:p>
        </w:tc>
        <w:tc>
          <w:tcPr>
            <w:tcW w:w="260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5"/>
        </w:trPr>
        <w:tc>
          <w:tcPr>
            <w:tcW w:w="1600" w:type="dxa"/>
            <w:vAlign w:val="bottom"/>
          </w:tcPr>
          <w:p>
            <w:pPr>
              <w:ind w:left="1280"/>
              <w:spacing w:after="0"/>
              <w:rPr>
                <w:sz w:val="20"/>
                <w:szCs w:val="20"/>
                <w:color w:val="auto"/>
              </w:rPr>
            </w:pPr>
            <w:r>
              <w:rPr>
                <w:rFonts w:ascii="Arial" w:cs="Arial" w:eastAsia="Arial" w:hAnsi="Arial"/>
                <w:sz w:val="18"/>
                <w:szCs w:val="18"/>
                <w:color w:val="auto"/>
              </w:rPr>
              <w:t>/s/</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Chairman of Board and Chief Executive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Executive Officer)</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ind w:left="1440"/>
              <w:spacing w:after="0"/>
              <w:rPr>
                <w:sz w:val="20"/>
                <w:szCs w:val="20"/>
                <w:color w:val="auto"/>
              </w:rPr>
            </w:pPr>
            <w:r>
              <w:rPr>
                <w:rFonts w:ascii="Arial" w:cs="Arial" w:eastAsia="Arial" w:hAnsi="Arial"/>
                <w:sz w:val="18"/>
                <w:szCs w:val="18"/>
                <w:color w:val="auto"/>
                <w:w w:val="73"/>
              </w:rPr>
              <w:t>/s/</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 Officer of</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 (Principal Financial and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660" w:type="dxa"/>
            <w:vAlign w:val="bottom"/>
            <w:gridSpan w:val="3"/>
            <w:vMerge w:val="continue"/>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00" w:type="dxa"/>
            <w:vAlign w:val="bottom"/>
          </w:tcPr>
          <w:p>
            <w:pPr>
              <w:spacing w:after="0"/>
              <w:rPr>
                <w:sz w:val="19"/>
                <w:szCs w:val="19"/>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John Strzemp</w:t>
            </w:r>
          </w:p>
        </w:tc>
        <w:tc>
          <w:tcPr>
            <w:tcW w:w="4660" w:type="dxa"/>
            <w:vAlign w:val="bottom"/>
            <w:gridSpan w:val="3"/>
          </w:tcPr>
          <w:p>
            <w:pPr>
              <w:ind w:left="460"/>
              <w:spacing w:after="0"/>
              <w:rPr>
                <w:sz w:val="20"/>
                <w:szCs w:val="20"/>
                <w:color w:val="auto"/>
              </w:rPr>
            </w:pPr>
            <w:r>
              <w:rPr>
                <w:rFonts w:ascii="Arial" w:cs="Arial" w:eastAsia="Arial" w:hAnsi="Arial"/>
                <w:sz w:val="18"/>
                <w:szCs w:val="18"/>
                <w:color w:val="auto"/>
              </w:rPr>
              <w:t>Accounting Officer)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Vice Chairman of Board</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9"/>
              </w:rPr>
              <w:t>Ronald J. Kramer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r>
        <w:trPr>
          <w:trHeight w:val="116"/>
        </w:trPr>
        <w:tc>
          <w:tcPr>
            <w:tcW w:w="1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60" w:type="dxa"/>
            <w:vAlign w:val="bottom"/>
            <w:gridSpan w:val="3"/>
            <w:vMerge w:val="restart"/>
          </w:tcPr>
          <w:p>
            <w:pPr>
              <w:ind w:left="460"/>
              <w:spacing w:after="0"/>
              <w:rPr>
                <w:sz w:val="20"/>
                <w:szCs w:val="20"/>
                <w:color w:val="auto"/>
              </w:rPr>
            </w:pPr>
            <w:r>
              <w:rPr>
                <w:rFonts w:ascii="Arial" w:cs="Arial" w:eastAsia="Arial" w:hAnsi="Arial"/>
                <w:sz w:val="18"/>
                <w:szCs w:val="18"/>
                <w:color w:val="auto"/>
              </w:rPr>
              <w:t>Wynn Resorts, Limited</w:t>
            </w: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298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1"/>
              </w:rPr>
              <w:t>Kiril Sokoloff</w:t>
            </w:r>
          </w:p>
        </w:tc>
        <w:tc>
          <w:tcPr>
            <w:tcW w:w="46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600" w:type="dxa"/>
            <w:vAlign w:val="bottom"/>
          </w:tcPr>
          <w:p>
            <w:pPr>
              <w:spacing w:after="0"/>
              <w:rPr>
                <w:sz w:val="15"/>
                <w:szCs w:val="15"/>
                <w:color w:val="auto"/>
              </w:rPr>
            </w:pPr>
          </w:p>
        </w:tc>
        <w:tc>
          <w:tcPr>
            <w:tcW w:w="2980" w:type="dxa"/>
            <w:vAlign w:val="bottom"/>
            <w:gridSpan w:val="3"/>
            <w:vMerge w:val="continue"/>
          </w:tcPr>
          <w:p>
            <w:pPr>
              <w:spacing w:after="0"/>
              <w:rPr>
                <w:sz w:val="15"/>
                <w:szCs w:val="15"/>
                <w:color w:val="auto"/>
              </w:rPr>
            </w:pPr>
          </w:p>
        </w:tc>
        <w:tc>
          <w:tcPr>
            <w:tcW w:w="2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600" w:type="dxa"/>
            <w:vAlign w:val="bottom"/>
          </w:tcPr>
          <w:p>
            <w:pPr>
              <w:spacing w:after="0"/>
              <w:rPr>
                <w:sz w:val="24"/>
                <w:szCs w:val="24"/>
                <w:color w:val="auto"/>
              </w:rPr>
            </w:pPr>
          </w:p>
        </w:tc>
        <w:tc>
          <w:tcPr>
            <w:tcW w:w="1080" w:type="dxa"/>
            <w:vAlign w:val="bottom"/>
            <w:gridSpan w:val="2"/>
          </w:tcPr>
          <w:p>
            <w:pPr>
              <w:jc w:val="center"/>
              <w:ind w:left="242"/>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3"/>
          </w:tcPr>
          <w:p>
            <w:pPr>
              <w:jc w:val="center"/>
              <w:ind w:left="412"/>
              <w:spacing w:after="0"/>
              <w:rPr>
                <w:sz w:val="20"/>
                <w:szCs w:val="20"/>
                <w:color w:val="auto"/>
              </w:rPr>
            </w:pPr>
            <w:r>
              <w:rPr>
                <w:rFonts w:ascii="Arial" w:cs="Arial" w:eastAsia="Arial" w:hAnsi="Arial"/>
                <w:sz w:val="18"/>
                <w:szCs w:val="18"/>
                <w:color w:val="auto"/>
                <w:w w:val="89"/>
              </w:rPr>
              <w:t>May 20, 2005</w:t>
            </w:r>
          </w:p>
        </w:tc>
        <w:tc>
          <w:tcPr>
            <w:tcW w:w="0" w:type="dxa"/>
            <w:vAlign w:val="bottom"/>
          </w:tcPr>
          <w:p>
            <w:pPr>
              <w:spacing w:after="0"/>
              <w:rPr>
                <w:sz w:val="1"/>
                <w:szCs w:val="1"/>
                <w:color w:val="auto"/>
              </w:rPr>
            </w:pPr>
          </w:p>
        </w:tc>
      </w:tr>
    </w:tbl>
    <w:p>
      <w:pPr>
        <w:jc w:val="center"/>
        <w:ind w:left="280"/>
        <w:spacing w:after="0"/>
        <w:rPr>
          <w:sz w:val="20"/>
          <w:szCs w:val="20"/>
          <w:color w:val="auto"/>
        </w:rPr>
      </w:pPr>
      <w:r>
        <w:rPr>
          <w:rFonts w:ascii="Arial" w:cs="Arial" w:eastAsia="Arial" w:hAnsi="Arial"/>
          <w:sz w:val="18"/>
          <w:szCs w:val="18"/>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290703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4"/>
          <w:szCs w:val="14"/>
          <w:b w:val="1"/>
          <w:bCs w:val="1"/>
          <w:color w:val="auto"/>
        </w:rPr>
        <w:t>D. Boone Wayson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020"/>
        <w:spacing w:after="0"/>
        <w:tabs>
          <w:tab w:leader="none" w:pos="666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68580</wp:posOffset>
            </wp:positionV>
            <wp:extent cx="48006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68580</wp:posOffset>
            </wp:positionV>
            <wp:extent cx="23177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68580</wp:posOffset>
            </wp:positionV>
            <wp:extent cx="24003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Elaine P. Wynn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Stanley R. Zax</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60" w:type="dxa"/>
            <w:vAlign w:val="bottom"/>
          </w:tcPr>
          <w:p>
            <w:pPr>
              <w:spacing w:after="0"/>
              <w:rPr>
                <w:sz w:val="24"/>
                <w:szCs w:val="24"/>
                <w:color w:val="auto"/>
              </w:rPr>
            </w:pPr>
          </w:p>
        </w:tc>
        <w:tc>
          <w:tcPr>
            <w:tcW w:w="4120" w:type="dxa"/>
            <w:vAlign w:val="bottom"/>
          </w:tcPr>
          <w:p>
            <w:pPr>
              <w:jc w:val="center"/>
              <w:ind w:right="36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5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46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600" w:type="dxa"/>
            <w:vAlign w:val="bottom"/>
            <w:vMerge w:val="restart"/>
          </w:tcPr>
          <w:p>
            <w:pPr>
              <w:ind w:left="440"/>
              <w:spacing w:after="0"/>
              <w:rPr>
                <w:sz w:val="20"/>
                <w:szCs w:val="20"/>
                <w:color w:val="auto"/>
              </w:rPr>
            </w:pPr>
            <w:r>
              <w:rPr>
                <w:rFonts w:ascii="Arial" w:cs="Arial" w:eastAsia="Arial" w:hAnsi="Arial"/>
                <w:sz w:val="18"/>
                <w:szCs w:val="18"/>
                <w:color w:val="auto"/>
              </w:rPr>
              <w:t>Wynn Resorts, Limited</w:t>
            </w: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60" w:type="dxa"/>
            <w:vAlign w:val="bottom"/>
          </w:tcPr>
          <w:p>
            <w:pPr>
              <w:spacing w:after="0"/>
              <w:rPr>
                <w:sz w:val="7"/>
                <w:szCs w:val="7"/>
                <w:color w:val="auto"/>
              </w:rPr>
            </w:pPr>
          </w:p>
        </w:tc>
        <w:tc>
          <w:tcPr>
            <w:tcW w:w="4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Allan Zeman</w:t>
            </w:r>
          </w:p>
        </w:tc>
        <w:tc>
          <w:tcPr>
            <w:tcW w:w="360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60" w:type="dxa"/>
            <w:vAlign w:val="bottom"/>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3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60" w:type="dxa"/>
            <w:vAlign w:val="bottom"/>
          </w:tcPr>
          <w:p>
            <w:pPr>
              <w:spacing w:after="0"/>
              <w:rPr>
                <w:sz w:val="11"/>
                <w:szCs w:val="11"/>
                <w:color w:val="auto"/>
              </w:rPr>
            </w:pPr>
          </w:p>
        </w:tc>
        <w:tc>
          <w:tcPr>
            <w:tcW w:w="4120" w:type="dxa"/>
            <w:vAlign w:val="bottom"/>
            <w:tcBorders>
              <w:top w:val="single" w:sz="8" w:color="auto"/>
            </w:tcBorders>
          </w:tcPr>
          <w:p>
            <w:pPr>
              <w:jc w:val="center"/>
              <w:ind w:left="583"/>
              <w:spacing w:after="0" w:line="131" w:lineRule="exact"/>
              <w:rPr>
                <w:sz w:val="20"/>
                <w:szCs w:val="20"/>
                <w:color w:val="auto"/>
              </w:rPr>
            </w:pPr>
            <w:r>
              <w:rPr>
                <w:rFonts w:ascii="Arial" w:cs="Arial" w:eastAsia="Arial" w:hAnsi="Arial"/>
                <w:sz w:val="14"/>
                <w:szCs w:val="14"/>
                <w:b w:val="1"/>
                <w:bCs w:val="1"/>
                <w:color w:val="auto"/>
                <w:w w:val="88"/>
              </w:rPr>
              <w:t>Stephen A. Wynn</w:t>
            </w:r>
          </w:p>
        </w:tc>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4140" w:type="dxa"/>
            <w:vAlign w:val="bottom"/>
            <w:gridSpan w:val="2"/>
          </w:tcPr>
          <w:p>
            <w:pPr>
              <w:jc w:val="center"/>
              <w:ind w:left="563"/>
              <w:spacing w:after="0"/>
              <w:rPr>
                <w:sz w:val="20"/>
                <w:szCs w:val="20"/>
                <w:color w:val="auto"/>
              </w:rPr>
            </w:pPr>
            <w:r>
              <w:rPr>
                <w:rFonts w:ascii="Arial" w:cs="Arial" w:eastAsia="Arial" w:hAnsi="Arial"/>
                <w:sz w:val="14"/>
                <w:szCs w:val="14"/>
                <w:b w:val="1"/>
                <w:bCs w:val="1"/>
                <w:color w:val="auto"/>
                <w:w w:val="90"/>
              </w:rPr>
              <w:t>Attorney-in-fact</w:t>
            </w:r>
          </w:p>
        </w:tc>
        <w:tc>
          <w:tcPr>
            <w:tcW w:w="36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0" w:type="dxa"/>
            <w:vAlign w:val="bottom"/>
          </w:tcPr>
          <w:p>
            <w:pPr>
              <w:ind w:left="940"/>
              <w:spacing w:after="0"/>
              <w:rPr>
                <w:sz w:val="20"/>
                <w:szCs w:val="20"/>
                <w:color w:val="auto"/>
              </w:rPr>
            </w:pPr>
            <w:r>
              <w:rPr>
                <w:rFonts w:ascii="Arial" w:cs="Arial" w:eastAsia="Arial" w:hAnsi="Arial"/>
                <w:sz w:val="18"/>
                <w:szCs w:val="18"/>
                <w:color w:val="auto"/>
              </w:rPr>
              <w:t>S-14</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59" w:right="9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jc w:val="right"/>
              <w:ind w:right="4820"/>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74"/>
        </w:trPr>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No.</w:t>
            </w:r>
          </w:p>
        </w:tc>
        <w:tc>
          <w:tcPr>
            <w:tcW w:w="4980" w:type="dxa"/>
            <w:vAlign w:val="bottom"/>
          </w:tcPr>
          <w:p>
            <w:pPr>
              <w:spacing w:after="0"/>
              <w:rPr>
                <w:sz w:val="15"/>
                <w:szCs w:val="15"/>
                <w:color w:val="auto"/>
              </w:rPr>
            </w:pPr>
          </w:p>
        </w:tc>
        <w:tc>
          <w:tcPr>
            <w:tcW w:w="5620" w:type="dxa"/>
            <w:vAlign w:val="bottom"/>
            <w:gridSpan w:val="2"/>
          </w:tcPr>
          <w:p>
            <w:pPr>
              <w:jc w:val="right"/>
              <w:ind w:right="4840"/>
              <w:spacing w:after="0"/>
              <w:rPr>
                <w:sz w:val="20"/>
                <w:szCs w:val="20"/>
                <w:color w:val="auto"/>
              </w:rPr>
            </w:pPr>
            <w:r>
              <w:rPr>
                <w:rFonts w:ascii="Arial" w:cs="Arial" w:eastAsia="Arial" w:hAnsi="Arial"/>
                <w:sz w:val="14"/>
                <w:szCs w:val="14"/>
                <w:b w:val="1"/>
                <w:bCs w:val="1"/>
                <w:color w:val="auto"/>
                <w:w w:val="98"/>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r>
      <w:tr>
        <w:trPr>
          <w:trHeight w:val="316"/>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3.1</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3.2</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3.3</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3.4</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3.5</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3.6</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3.7</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820" w:type="dxa"/>
            <w:vAlign w:val="bottom"/>
            <w:gridSpan w:val="2"/>
          </w:tcPr>
          <w:p>
            <w:pPr>
              <w:ind w:left="320"/>
              <w:spacing w:after="0"/>
              <w:rPr>
                <w:sz w:val="20"/>
                <w:szCs w:val="20"/>
                <w:color w:val="auto"/>
              </w:rPr>
            </w:pPr>
            <w:r>
              <w:rPr>
                <w:rFonts w:ascii="Arial" w:cs="Arial" w:eastAsia="Arial" w:hAnsi="Arial"/>
                <w:sz w:val="18"/>
                <w:szCs w:val="18"/>
                <w:color w:val="auto"/>
              </w:rPr>
              <w:t>3.8</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3.10</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82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3.12</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3.13</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3.14</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3.15</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3.16</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820" w:type="dxa"/>
            <w:vAlign w:val="bottom"/>
            <w:gridSpan w:val="2"/>
          </w:tcPr>
          <w:p>
            <w:pPr>
              <w:ind w:left="220"/>
              <w:spacing w:after="0"/>
              <w:rPr>
                <w:sz w:val="20"/>
                <w:szCs w:val="20"/>
                <w:color w:val="auto"/>
              </w:rPr>
            </w:pPr>
            <w:r>
              <w:rPr>
                <w:rFonts w:ascii="Arial" w:cs="Arial" w:eastAsia="Arial" w:hAnsi="Arial"/>
                <w:sz w:val="18"/>
                <w:szCs w:val="18"/>
                <w:color w:val="auto"/>
              </w:rPr>
              <w:t>3.17</w:t>
            </w: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89"/>
              </w:rPr>
              <w:t>Indenture, dated as of October 30, 2002, governing the 12% Second Mortgage Notes due 2010 by and among Wynn Las Vegas, LLC; Wynn Las</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1"/>
              </w:rPr>
              <w:t>Vegas Capital Corp.; Desert Inn Water Company, LLC; Wynn Design &amp; Development, LLC; Wynn Resorts Holdings, LLC; Las Vegas Jet, LLC;</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0"/>
              </w:rPr>
              <w:t>World Travel, LLC; Palo, LLC; Valvino Lamore, LLC; the Wynn Resorts, Limited Registrant and Wells Fargo Bank, National Association, Inc., 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trustee. (2)</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0"/>
              </w:rPr>
              <w:t>Indenture, dated as of December 14, 2004, among Wynn Las Vegas, LLC, Wynn Las Vegas Capital Corp., the Guarantors set forth therein and</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89"/>
              </w:rPr>
              <w:t>Supplemental Indenture, dated as of December 14, 2004, among Wynn Las Vegas, LLC, Wynn Las Vegas Capital Corp., the Guarantors set forth</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Form of Second Mortgage Note (included in Exhibit 4.1) (2)</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Form of Notation of Guarantee (included in Exhibit 4.1) (2)</w:t>
            </w:r>
          </w:p>
        </w:tc>
      </w:tr>
      <w:tr>
        <w:trPr>
          <w:trHeight w:val="318"/>
        </w:trPr>
        <w:tc>
          <w:tcPr>
            <w:tcW w:w="540" w:type="dxa"/>
            <w:vAlign w:val="bottom"/>
          </w:tcPr>
          <w:p>
            <w:pPr>
              <w:ind w:left="22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4"/>
              </w:rPr>
              <w:t>Guarantor signatories thereto and Deutsche Bank Securities Inc., Banc of America Securities LLC, Bear, Stearns &amp; Co. Inc., J.P. Morgan</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Securities Inc. and SG Americas Securities, LLC. (4)</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Opinion of Skadden, Arps, Slate, Meagher &amp; Flom LLP. (1)</w:t>
            </w:r>
          </w:p>
        </w:tc>
      </w:tr>
      <w:tr>
        <w:trPr>
          <w:trHeight w:val="324"/>
        </w:trPr>
        <w:tc>
          <w:tcPr>
            <w:tcW w:w="540" w:type="dxa"/>
            <w:vAlign w:val="bottom"/>
          </w:tcPr>
          <w:p>
            <w:pPr>
              <w:ind w:left="22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Opinion of Schreck Brignone. (1)</w:t>
            </w:r>
          </w:p>
        </w:tc>
      </w:tr>
      <w:tr>
        <w:trPr>
          <w:trHeight w:val="318"/>
        </w:trPr>
        <w:tc>
          <w:tcPr>
            <w:tcW w:w="5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80" w:type="dxa"/>
            <w:vAlign w:val="bottom"/>
          </w:tcPr>
          <w:p>
            <w:pPr>
              <w:spacing w:after="0"/>
              <w:rPr>
                <w:sz w:val="24"/>
                <w:szCs w:val="24"/>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w w:val="92"/>
              </w:rPr>
              <w:t>Agreement for Guaranteed Maximum Price Construction Services between Wynn Las Vegas, LLC and Marnell Corrao Associates, Inc. for Le</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260"/>
              <w:spacing w:after="0"/>
              <w:rPr>
                <w:sz w:val="20"/>
                <w:szCs w:val="20"/>
                <w:color w:val="auto"/>
              </w:rPr>
            </w:pPr>
            <w:r>
              <w:rPr>
                <w:rFonts w:ascii="Arial" w:cs="Arial" w:eastAsia="Arial" w:hAnsi="Arial"/>
                <w:sz w:val="18"/>
                <w:szCs w:val="18"/>
                <w:color w:val="auto"/>
              </w:rPr>
              <w:t>Rêve. (5)</w:t>
            </w:r>
          </w:p>
        </w:tc>
      </w:tr>
    </w:tbl>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174"/>
        </w:trPr>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4980" w:type="dxa"/>
            <w:vAlign w:val="bottom"/>
          </w:tcPr>
          <w:p>
            <w:pPr>
              <w:spacing w:after="0"/>
              <w:rPr>
                <w:sz w:val="15"/>
                <w:szCs w:val="15"/>
                <w:color w:val="auto"/>
              </w:rPr>
            </w:pPr>
          </w:p>
        </w:tc>
        <w:tc>
          <w:tcPr>
            <w:tcW w:w="55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r>
      <w:tr>
        <w:trPr>
          <w:trHeight w:val="417"/>
        </w:trPr>
        <w:tc>
          <w:tcPr>
            <w:tcW w:w="540" w:type="dxa"/>
            <w:vAlign w:val="bottom"/>
          </w:tcPr>
          <w:p>
            <w:pPr>
              <w:ind w:left="1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1 to Agreement for Guaranteed Maximum Price Construction Services dated as of August 12, 2002, by and between Marnell</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LLC. (6)</w:t>
            </w:r>
          </w:p>
        </w:tc>
      </w:tr>
      <w:tr>
        <w:trPr>
          <w:trHeight w:val="216"/>
        </w:trPr>
        <w:tc>
          <w:tcPr>
            <w:tcW w:w="540" w:type="dxa"/>
            <w:vAlign w:val="bottom"/>
          </w:tcPr>
          <w:p>
            <w:pPr>
              <w:ind w:left="1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2 to Agreement for Guarantee Maximum Price Construction Services, dated as of August 31, 2003,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LLC. (7)</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3 to Agreement for Guarantee Maximum Price Construction Services, dated as of March 31,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(8)</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Change Order No. 4 to Agreement for Guarantee Maximum Price Construction Services, dated as of June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as Contractor and Wynn Las Vegas. (9)</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Change Order No. 5 to Agreement for Guarantee Maximum Price Construction Services, dated as of August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and Wynn Las Vegas, LLC. (10)</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Change Order No. 6 to Agreement for Guarantee Maximum Price Construction Services, dated as of November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and Wynn Las Vegas, LLC. (4)</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Change Order No. 7 to Agreement for Guarantee Maximum Price Construction Services, dated as of December 30, 2004, by and between Marnell</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Corrao Associates, Inc. and Wynn Las Vegas, LLC. (4)</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Amended and Restated Continuing Guaranty, dated October 22, 2002, by Austi, Inc. in favor of Wynn Las Vegas, LLC. (2)</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10.10</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Design/Build Agreement, dated June 6, 2002, by and between Wynn Las Vegas, LLC and Bomel Construction Company, Inc. (5)</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10.11</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 18, 2003.</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80" w:type="dxa"/>
            <w:vAlign w:val="bottom"/>
          </w:tcPr>
          <w:p>
            <w:pPr>
              <w:ind w:left="260"/>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10.12</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Completion Guaranty, dated December 14, 2004, by Wynn Completion Guarantor, LLC in favor of Deutsche Bank Trust Company Americas, 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the Bank Agent, and U.S. Bank National Association, as Indenture Trustee. (4)</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10.13</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Stephen A. Wynn. (2)</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10.14</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Purchase Agreement, dated October 25, 2002, by and among Wynn Las Vegas, LLC, Wynn Las Vegas Capital Corp. and Aruze USA, Inc. (2)</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5"/>
              </w:rPr>
              <w:t>License Agreement, dated October 31, 2002, by and between Wynn Las Vegas, LLC and Calitri Services and Licensing Limited Liability</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Company. (12)</w:t>
            </w:r>
          </w:p>
        </w:tc>
      </w:tr>
      <w:tr>
        <w:trPr>
          <w:trHeight w:val="324"/>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10.16</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5"/>
              </w:rPr>
              <w:t>Production Services Agreement, dated October 31, 2002, by and between Wynn Las Vegas, LLC and Productions Du Dragon, S.A. (12)</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10.17</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0"/>
              </w:rPr>
              <w:t>Acknowledgement and Agreement, dated as of September 1, 2004, among Wynn Las Vegas, LLC, Wells Fargo Bank, National Association and</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the lenders named therein. (13)</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10.18</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Vegas, LLC. (10)</w:t>
            </w:r>
          </w:p>
        </w:tc>
      </w:tr>
      <w:tr>
        <w:trPr>
          <w:trHeight w:val="318"/>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10.19</w:t>
            </w: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88"/>
              </w:rPr>
              <w:t>Credit Agreement, dated as of December 14, 2004, among Wynn Las Vegas, LLC, Deutsche Bank Securities Inc., Deutsche Bank Trust Company</w:t>
            </w:r>
          </w:p>
        </w:tc>
      </w:tr>
      <w:tr>
        <w:trPr>
          <w:trHeight w:val="216"/>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w w:val="91"/>
              </w:rPr>
              <w:t>Americas, Banc of America Securities LLC, Bank of America, N.A., Bear Stearns Corporate Lending Inc., Bear, Stearns &amp; Co. Inc., JPMorgan</w:t>
            </w:r>
          </w:p>
        </w:tc>
      </w:tr>
      <w:tr>
        <w:trPr>
          <w:trHeight w:val="222"/>
        </w:trPr>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gridSpan w:val="3"/>
          </w:tcPr>
          <w:p>
            <w:pPr>
              <w:ind w:left="260"/>
              <w:spacing w:after="0"/>
              <w:rPr>
                <w:sz w:val="20"/>
                <w:szCs w:val="20"/>
                <w:color w:val="auto"/>
              </w:rPr>
            </w:pPr>
            <w:r>
              <w:rPr>
                <w:rFonts w:ascii="Arial" w:cs="Arial" w:eastAsia="Arial" w:hAnsi="Arial"/>
                <w:sz w:val="18"/>
                <w:szCs w:val="18"/>
                <w:color w:val="auto"/>
              </w:rPr>
              <w:t>Chase Bank, N.A., J.P. Morgan Securities Inc., Société Générale and SG Americas Securities, LLC. (3)</w:t>
            </w:r>
          </w:p>
        </w:tc>
      </w:tr>
    </w:tbl>
    <w:p>
      <w:pPr>
        <w:sectPr>
          <w:pgSz w:w="11900" w:h="16838" w:orient="portrait"/>
          <w:cols w:equalWidth="0" w:num="1">
            <w:col w:w="11380"/>
          </w:cols>
          <w:pgMar w:left="240" w:top="460" w:right="279" w:bottom="1440" w:gutter="0" w:footer="0" w:header="0"/>
        </w:sectPr>
      </w:pPr>
    </w:p>
    <w:bookmarkStart w:id="269" w:name="page270"/>
    <w:bookmarkEnd w:id="2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jc w:val="center"/>
        <w:ind w:right="466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3464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90805</wp:posOffset>
            </wp:positionV>
            <wp:extent cx="5746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200" w:space="720"/>
            <w:col w:w="5480"/>
          </w:cols>
          <w:pgMar w:left="240" w:top="459" w:right="259" w:bottom="1440" w:gutter="0" w:footer="0" w:header="0"/>
          <w:type w:val="continuous"/>
        </w:sectPr>
      </w:pPr>
    </w:p>
    <w:p>
      <w:pPr>
        <w:spacing w:after="0" w:line="116" w:lineRule="exact"/>
        <w:rPr>
          <w:sz w:val="20"/>
          <w:szCs w:val="20"/>
          <w:color w:val="auto"/>
        </w:rPr>
      </w:pPr>
    </w:p>
    <w:p>
      <w:pPr>
        <w:ind w:left="1080" w:right="220" w:hanging="948"/>
        <w:spacing w:after="0" w:line="305" w:lineRule="auto"/>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 (4)</w:t>
      </w:r>
    </w:p>
    <w:p>
      <w:pPr>
        <w:ind w:left="1080" w:right="120" w:hanging="948"/>
        <w:spacing w:after="0" w:line="361" w:lineRule="auto"/>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 (4)</w:t>
      </w:r>
    </w:p>
    <w:p>
      <w:pPr>
        <w:spacing w:after="0" w:line="15" w:lineRule="exact"/>
        <w:rPr>
          <w:sz w:val="20"/>
          <w:szCs w:val="20"/>
          <w:color w:val="auto"/>
        </w:rPr>
      </w:pPr>
    </w:p>
    <w:p>
      <w:pPr>
        <w:ind w:left="1080" w:right="320" w:hanging="948"/>
        <w:spacing w:after="0" w:line="370" w:lineRule="auto"/>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Golf, LLC, as trustor, to Nevada Title Company, as trustee, for the benefit of Deutsche Bank Trust Company Americas, as collateral agent. (4)</w:t>
      </w:r>
    </w:p>
    <w:p>
      <w:pPr>
        <w:spacing w:after="0" w:line="8" w:lineRule="exact"/>
        <w:rPr>
          <w:sz w:val="20"/>
          <w:szCs w:val="20"/>
          <w:color w:val="auto"/>
        </w:rPr>
      </w:pPr>
    </w:p>
    <w:p>
      <w:pPr>
        <w:ind w:left="1080" w:hanging="948"/>
        <w:spacing w:after="0" w:line="306" w:lineRule="auto"/>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(4)</w:t>
      </w:r>
    </w:p>
    <w:p>
      <w:pPr>
        <w:spacing w:after="0" w:line="53" w:lineRule="exact"/>
        <w:rPr>
          <w:sz w:val="20"/>
          <w:szCs w:val="20"/>
          <w:color w:val="auto"/>
        </w:rPr>
      </w:pPr>
    </w:p>
    <w:p>
      <w:pPr>
        <w:ind w:left="1080" w:right="80" w:hanging="948"/>
        <w:spacing w:after="0" w:line="268"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Master Disbursement Agreement, dated as of December 14, 2004, among Wynn Las Vegas, LLC, Wynn Las Vegas Capital Corp., Deutsche Bank Trust Company Americas and U.S. Bank National Association. (3)</w:t>
      </w:r>
    </w:p>
    <w:p>
      <w:pPr>
        <w:spacing w:after="0" w:line="78" w:lineRule="exact"/>
        <w:rPr>
          <w:sz w:val="20"/>
          <w:szCs w:val="20"/>
          <w:color w:val="auto"/>
        </w:rPr>
      </w:pPr>
    </w:p>
    <w:p>
      <w:pPr>
        <w:ind w:left="1080" w:right="200" w:hanging="948"/>
        <w:spacing w:after="0" w:line="268"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 (3)</w:t>
      </w:r>
    </w:p>
    <w:p>
      <w:pPr>
        <w:spacing w:after="0" w:line="78" w:lineRule="exact"/>
        <w:rPr>
          <w:sz w:val="20"/>
          <w:szCs w:val="20"/>
          <w:color w:val="auto"/>
        </w:rPr>
      </w:pPr>
    </w:p>
    <w:p>
      <w:pPr>
        <w:ind w:left="1080" w:right="220" w:hanging="948"/>
        <w:spacing w:after="0" w:line="306" w:lineRule="auto"/>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(4)</w:t>
      </w:r>
    </w:p>
    <w:p>
      <w:pPr>
        <w:spacing w:after="0" w:line="53" w:lineRule="exact"/>
        <w:rPr>
          <w:sz w:val="20"/>
          <w:szCs w:val="20"/>
          <w:color w:val="auto"/>
        </w:rPr>
      </w:pPr>
    </w:p>
    <w:p>
      <w:pPr>
        <w:ind w:left="1080" w:hanging="948"/>
        <w:spacing w:after="0" w:line="259" w:lineRule="auto"/>
        <w:tabs>
          <w:tab w:leader="none" w:pos="10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 xml:space="preserve">Management Fees Subordination Agreement, dated as of December 14, 2004, by Wynn Resorts, Limited, Wynn Las Vegas, LLC, Wynn Las Vegas Capital Corp., and those subsidiaries of Wynn Las Vegas, LLC listed on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hereto in favor of Deutsche Bank Trust Company Americas, as administrative agent, and U.S. Bank National Association, as trustee. (4)</w:t>
      </w:r>
    </w:p>
    <w:p>
      <w:pPr>
        <w:spacing w:after="0" w:line="86" w:lineRule="exact"/>
        <w:rPr>
          <w:sz w:val="20"/>
          <w:szCs w:val="20"/>
          <w:color w:val="auto"/>
        </w:rPr>
      </w:pPr>
    </w:p>
    <w:p>
      <w:pPr>
        <w:ind w:left="1080" w:right="120" w:hanging="948"/>
        <w:spacing w:after="0" w:line="332" w:lineRule="auto"/>
        <w:tabs>
          <w:tab w:leader="none" w:pos="10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 (4)</w:t>
      </w:r>
    </w:p>
    <w:p>
      <w:pPr>
        <w:spacing w:after="0" w:line="31" w:lineRule="exact"/>
        <w:rPr>
          <w:sz w:val="20"/>
          <w:szCs w:val="20"/>
          <w:color w:val="auto"/>
        </w:rPr>
      </w:pPr>
    </w:p>
    <w:p>
      <w:pPr>
        <w:ind w:left="1080" w:right="240" w:hanging="948"/>
        <w:spacing w:after="0" w:line="268" w:lineRule="auto"/>
        <w:tabs>
          <w:tab w:leader="none" w:pos="106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 (4)</w:t>
      </w:r>
    </w:p>
    <w:p>
      <w:pPr>
        <w:spacing w:after="0" w:line="78" w:lineRule="exact"/>
        <w:rPr>
          <w:sz w:val="20"/>
          <w:szCs w:val="20"/>
          <w:color w:val="auto"/>
        </w:rPr>
      </w:pPr>
    </w:p>
    <w:p>
      <w:pPr>
        <w:ind w:left="1080" w:right="60" w:hanging="948"/>
        <w:spacing w:after="0" w:line="268" w:lineRule="auto"/>
        <w:tabs>
          <w:tab w:leader="none" w:pos="10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 (4)</w:t>
      </w:r>
    </w:p>
    <w:p>
      <w:pPr>
        <w:spacing w:after="0" w:line="78" w:lineRule="exact"/>
        <w:rPr>
          <w:sz w:val="20"/>
          <w:szCs w:val="20"/>
          <w:color w:val="auto"/>
        </w:rPr>
      </w:pPr>
    </w:p>
    <w:p>
      <w:pPr>
        <w:ind w:left="1080" w:right="360" w:hanging="948"/>
        <w:spacing w:after="0" w:line="268" w:lineRule="auto"/>
        <w:tabs>
          <w:tab w:leader="none" w:pos="10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 (4)</w:t>
      </w:r>
    </w:p>
    <w:p>
      <w:pPr>
        <w:spacing w:after="0" w:line="78"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5"/>
          <w:szCs w:val="15"/>
          <w:color w:val="auto"/>
        </w:rPr>
        <w:t>Employment Agreement, dated as of September 16, 2003 by and between Wynn Las Vegas, LLC and David Sisk. (1)</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First Amendment to Employment Agreement, dated October 20, 2003, by and between Wynn Las Vegas, LLC and David Sisk. (1)</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Employment Agreement, dated as of December 11, 2002 by and between Wynn Las Vegas, LLC and Arthur Nathan. (1)</w:t>
      </w:r>
    </w:p>
    <w:p>
      <w:pPr>
        <w:spacing w:after="0" w:line="117" w:lineRule="exact"/>
        <w:rPr>
          <w:sz w:val="20"/>
          <w:szCs w:val="20"/>
          <w:color w:val="auto"/>
        </w:rPr>
      </w:pPr>
    </w:p>
    <w:p>
      <w:pPr>
        <w:ind w:left="140"/>
        <w:spacing w:after="0"/>
        <w:tabs>
          <w:tab w:leader="none" w:pos="106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First Amendment to Employment Agreement, dated August 28, 2003, by and between Wynn Las Vegas, LLC and Arthur Nathan. (1)</w:t>
      </w:r>
    </w:p>
    <w:p>
      <w:pPr>
        <w:sectPr>
          <w:pgSz w:w="11900" w:h="16838" w:orient="portrait"/>
          <w:cols w:equalWidth="0" w:num="1">
            <w:col w:w="11400"/>
          </w:cols>
          <w:pgMar w:left="240" w:top="459" w:right="259" w:bottom="1440" w:gutter="0" w:footer="0" w:header="0"/>
          <w:type w:val="continuous"/>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74"/>
        </w:trPr>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w:t>
            </w:r>
          </w:p>
        </w:tc>
        <w:tc>
          <w:tcPr>
            <w:tcW w:w="4980" w:type="dxa"/>
            <w:vAlign w:val="bottom"/>
          </w:tcPr>
          <w:p>
            <w:pPr>
              <w:spacing w:after="0"/>
              <w:rPr>
                <w:sz w:val="15"/>
                <w:szCs w:val="15"/>
                <w:color w:val="auto"/>
              </w:rPr>
            </w:pPr>
          </w:p>
        </w:tc>
        <w:tc>
          <w:tcPr>
            <w:tcW w:w="53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0" w:type="dxa"/>
            <w:vAlign w:val="bottom"/>
          </w:tcPr>
          <w:p>
            <w:pPr>
              <w:spacing w:after="0"/>
              <w:rPr>
                <w:sz w:val="8"/>
                <w:szCs w:val="8"/>
                <w:color w:val="auto"/>
              </w:rPr>
            </w:pPr>
          </w:p>
        </w:tc>
      </w:tr>
      <w:tr>
        <w:trPr>
          <w:trHeight w:val="417"/>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10.36</w:t>
            </w: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December 16, 2002 by and between Wynn Las Vegas, LLC and James E. Pettis. (1)</w:t>
            </w:r>
          </w:p>
        </w:tc>
      </w:tr>
      <w:tr>
        <w:trPr>
          <w:trHeight w:val="22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w w:val="96"/>
              </w:rPr>
              <w:t>First Amendment to Employment Agreement, dated June 7, 2004, by and between Wynn Las Vegas, LLC and James E. Pettis.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Statements re Computation of Ratios. (14)</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Subsidiaries of the Registrant.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Consent of Deloitte &amp; Touche LLP. (14)</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Consent of Skadden, Arps, Slate, Meagher &amp; Flom LLP (included in Exhibit 5.1).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Consent of Schreck Brignone (included in Exhibit 5.2).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Powers of Attorney (included in the signature pages to the Registration Statement).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Powers of Attorney. (14)</w:t>
            </w:r>
          </w:p>
        </w:tc>
      </w:tr>
      <w:tr>
        <w:trPr>
          <w:trHeight w:val="318"/>
        </w:trPr>
        <w:tc>
          <w:tcPr>
            <w:tcW w:w="540" w:type="dxa"/>
            <w:vAlign w:val="bottom"/>
          </w:tcPr>
          <w:p>
            <w:pPr>
              <w:ind w:left="14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w w:val="89"/>
              </w:rPr>
              <w:t>Statement of Eligibility and Qualification on Form T-1 of U.S. Bank National Association, as trustee under the Indenture for Wynn Las Vegas,</w:t>
            </w:r>
          </w:p>
        </w:tc>
      </w:tr>
      <w:tr>
        <w:trPr>
          <w:trHeight w:val="299"/>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 xml:space="preserve">LLC and Wynn Las Vegas Capital Corp.’s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(1)</w:t>
            </w:r>
          </w:p>
        </w:tc>
      </w:tr>
      <w:tr>
        <w:trPr>
          <w:trHeight w:val="248"/>
        </w:trPr>
        <w:tc>
          <w:tcPr>
            <w:tcW w:w="540" w:type="dxa"/>
            <w:vAlign w:val="bottom"/>
          </w:tcPr>
          <w:p>
            <w:pPr>
              <w:ind w:left="14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1"/>
                <w:szCs w:val="21"/>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Form of Letter of Transmittal.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Form of Notice of Guaranteed Delivery.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99.3</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Form of Letter to Clients. (1)</w:t>
            </w:r>
          </w:p>
        </w:tc>
      </w:tr>
      <w:tr>
        <w:trPr>
          <w:trHeight w:val="324"/>
        </w:trPr>
        <w:tc>
          <w:tcPr>
            <w:tcW w:w="540" w:type="dxa"/>
            <w:vAlign w:val="bottom"/>
          </w:tcPr>
          <w:p>
            <w:pPr>
              <w:ind w:left="140"/>
              <w:spacing w:after="0"/>
              <w:rPr>
                <w:sz w:val="20"/>
                <w:szCs w:val="20"/>
                <w:color w:val="auto"/>
              </w:rPr>
            </w:pPr>
            <w:r>
              <w:rPr>
                <w:rFonts w:ascii="Arial" w:cs="Arial" w:eastAsia="Arial" w:hAnsi="Arial"/>
                <w:sz w:val="18"/>
                <w:szCs w:val="18"/>
                <w:color w:val="auto"/>
              </w:rPr>
              <w:t>99.4</w:t>
            </w:r>
          </w:p>
        </w:tc>
        <w:tc>
          <w:tcPr>
            <w:tcW w:w="280" w:type="dxa"/>
            <w:vAlign w:val="bottom"/>
          </w:tcPr>
          <w:p>
            <w:pPr>
              <w:spacing w:after="0"/>
              <w:rPr>
                <w:sz w:val="24"/>
                <w:szCs w:val="24"/>
                <w:color w:val="auto"/>
              </w:rPr>
            </w:pPr>
          </w:p>
        </w:tc>
        <w:tc>
          <w:tcPr>
            <w:tcW w:w="10280" w:type="dxa"/>
            <w:vAlign w:val="bottom"/>
            <w:gridSpan w:val="3"/>
          </w:tcPr>
          <w:p>
            <w:pPr>
              <w:ind w:left="260"/>
              <w:spacing w:after="0"/>
              <w:rPr>
                <w:sz w:val="20"/>
                <w:szCs w:val="20"/>
                <w:color w:val="auto"/>
              </w:rPr>
            </w:pPr>
            <w:r>
              <w:rPr>
                <w:rFonts w:ascii="Arial" w:cs="Arial" w:eastAsia="Arial" w:hAnsi="Arial"/>
                <w:sz w:val="18"/>
                <w:szCs w:val="18"/>
                <w:color w:val="auto"/>
              </w:rPr>
              <w:t>Form of Letter to Brokers, Dealers, Commercial Banks, Trust Companies and Other Nominees.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Registrants on April 13, 2005.</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Wynn Resorts on June 17, 2002.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Wynn Resorts on August 20, 2002 (File No. 333-90600).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13,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5,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August 3,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28, 2003.</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100"/>
          </w:cols>
          <w:pgMar w:left="240" w:top="460" w:right="55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14"/>
          </w:tcPr>
          <w:p>
            <w:pPr>
              <w:ind w:left="60"/>
              <w:spacing w:after="0"/>
              <w:rPr>
                <w:sz w:val="20"/>
                <w:szCs w:val="20"/>
                <w:color w:val="auto"/>
              </w:rPr>
            </w:pPr>
            <w:r>
              <w:rPr>
                <w:rFonts w:ascii="Arial" w:cs="Arial" w:eastAsia="Arial" w:hAnsi="Arial"/>
                <w:sz w:val="18"/>
                <w:szCs w:val="18"/>
                <w:color w:val="auto"/>
              </w:rPr>
              <w:t>Wynn Las Vegas, LLC and Subsidiaries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900" w:type="dxa"/>
            <w:vAlign w:val="bottom"/>
            <w:gridSpan w:val="16"/>
          </w:tcPr>
          <w:p>
            <w:pPr>
              <w:jc w:val="right"/>
              <w:ind w:right="320"/>
              <w:spacing w:after="0"/>
              <w:rPr>
                <w:sz w:val="20"/>
                <w:szCs w:val="20"/>
                <w:color w:val="auto"/>
              </w:rPr>
            </w:pPr>
            <w:r>
              <w:rPr>
                <w:rFonts w:ascii="Arial" w:cs="Arial" w:eastAsia="Arial" w:hAnsi="Arial"/>
                <w:sz w:val="18"/>
                <w:szCs w:val="18"/>
                <w:color w:val="auto"/>
                <w:w w:val="90"/>
              </w:rPr>
              <w:t>Calculation of Ratio of Earnings to Fixed Charges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Period from</w:t>
            </w:r>
          </w:p>
        </w:tc>
        <w:tc>
          <w:tcPr>
            <w:tcW w:w="100" w:type="dxa"/>
            <w:vAlign w:val="bottom"/>
          </w:tcPr>
          <w:p>
            <w:pPr>
              <w:spacing w:after="0"/>
              <w:rPr>
                <w:sz w:val="24"/>
                <w:szCs w:val="24"/>
                <w:color w:val="auto"/>
              </w:rPr>
            </w:pPr>
          </w:p>
        </w:tc>
        <w:tc>
          <w:tcPr>
            <w:tcW w:w="15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24"/>
                <w:szCs w:val="24"/>
                <w:color w:val="auto"/>
              </w:rPr>
            </w:pPr>
          </w:p>
        </w:tc>
        <w:tc>
          <w:tcPr>
            <w:tcW w:w="8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80" w:type="dxa"/>
            <w:vAlign w:val="bottom"/>
            <w:gridSpan w:val="9"/>
            <w:vMerge w:val="restart"/>
          </w:tcPr>
          <w:p>
            <w:pPr>
              <w:jc w:val="right"/>
              <w:ind w:right="36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7"/>
            <w:vMerge w:val="restart"/>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gridSpan w:val="9"/>
            <w:vMerge w:val="continue"/>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100" w:type="dxa"/>
            <w:vAlign w:val="bottom"/>
          </w:tcPr>
          <w:p>
            <w:pPr>
              <w:spacing w:after="0"/>
              <w:rPr>
                <w:sz w:val="8"/>
                <w:szCs w:val="8"/>
                <w:color w:val="auto"/>
              </w:rPr>
            </w:pPr>
          </w:p>
        </w:tc>
        <w:tc>
          <w:tcPr>
            <w:tcW w:w="1540" w:type="dxa"/>
            <w:vAlign w:val="bottom"/>
            <w:gridSpan w:val="7"/>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4"/>
                <w:szCs w:val="14"/>
                <w:b w:val="1"/>
                <w:bCs w:val="1"/>
                <w:color w:val="auto"/>
              </w:rPr>
              <w:t>2004(1)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5"/>
              </w:rPr>
              <w:t>2003(1)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w w:val="91"/>
              </w:rPr>
              <w:t>2002(1)</w:t>
            </w:r>
          </w:p>
        </w:tc>
        <w:tc>
          <w:tcPr>
            <w:tcW w:w="24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2001(1)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2000(1)</w:t>
            </w:r>
          </w:p>
        </w:tc>
        <w:tc>
          <w:tcPr>
            <w:tcW w:w="240" w:type="dxa"/>
            <w:vAlign w:val="bottom"/>
          </w:tcPr>
          <w:p>
            <w:pPr>
              <w:spacing w:after="0"/>
              <w:rPr>
                <w:sz w:val="15"/>
                <w:szCs w:val="15"/>
                <w:color w:val="auto"/>
              </w:rPr>
            </w:pPr>
          </w:p>
        </w:tc>
        <w:tc>
          <w:tcPr>
            <w:tcW w:w="64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rPr>
              <w:t>2005(1)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w w:val="86"/>
              </w:rPr>
              <w:t>2004(1)</w:t>
            </w:r>
          </w:p>
        </w:tc>
        <w:tc>
          <w:tcPr>
            <w:tcW w:w="100" w:type="dxa"/>
            <w:vAlign w:val="bottom"/>
          </w:tcPr>
          <w:p>
            <w:pPr>
              <w:spacing w:after="0"/>
              <w:rPr>
                <w:sz w:val="15"/>
                <w:szCs w:val="15"/>
                <w:color w:val="auto"/>
              </w:rPr>
            </w:pPr>
          </w:p>
        </w:tc>
        <w:tc>
          <w:tcPr>
            <w:tcW w:w="88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86"/>
              </w:rPr>
              <w:t>2005(1)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8"/>
          </w:tcPr>
          <w:p>
            <w:pPr>
              <w:ind w:left="520"/>
              <w:spacing w:after="0"/>
              <w:rPr>
                <w:sz w:val="20"/>
                <w:szCs w:val="20"/>
                <w:color w:val="auto"/>
              </w:rPr>
            </w:pPr>
            <w:r>
              <w:rPr>
                <w:rFonts w:ascii="Arial" w:cs="Arial" w:eastAsia="Arial" w:hAnsi="Arial"/>
                <w:sz w:val="14"/>
                <w:szCs w:val="14"/>
                <w:b w:val="1"/>
                <w:bCs w:val="1"/>
                <w:color w:val="auto"/>
                <w:w w:val="85"/>
              </w:rPr>
              <w:t>(in thousands, except ratio amounts)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9"/>
              </w:rPr>
              <w:t>Pretax income from continuing operations before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w w:val="96"/>
              </w:rPr>
              <w:t>adjustment for minority interests in consolidated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w w:val="88"/>
              </w:rPr>
              <w:t>subsidiaries or income or loss from equity investees</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$(161,917)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(15,973)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(4,833)</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$(1,704)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(1,463)</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w w:val="82"/>
              </w:rPr>
              <w:t>$ (26,908)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(6,770)</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$(212,798)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92,304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26,325</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Subtract: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13,500</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26,692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26,325</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Earnings</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(161,917)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(10,925)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(2,961)</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(1,463)</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(26,908)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(205,878)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capitalized</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115,037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87,256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13,500</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26,692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26,325</w:t>
            </w: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248,810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$ 115,037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92,304</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$ 6,325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$ 26,692</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26,325</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$ 255,730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1120" w:type="dxa"/>
            <w:vAlign w:val="bottom"/>
            <w:gridSpan w:val="4"/>
          </w:tcPr>
          <w:p>
            <w:pPr>
              <w:jc w:val="right"/>
              <w:ind w:right="60"/>
              <w:spacing w:after="0"/>
              <w:rPr>
                <w:sz w:val="20"/>
                <w:szCs w:val="20"/>
                <w:color w:val="auto"/>
              </w:rPr>
            </w:pPr>
            <w:r>
              <w:rPr>
                <w:rFonts w:ascii="Arial" w:cs="Arial" w:eastAsia="Arial" w:hAnsi="Arial"/>
                <w:sz w:val="18"/>
                <w:szCs w:val="18"/>
                <w:color w:val="auto"/>
              </w:rPr>
              <w:t>$(276,954)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w w:val="85"/>
              </w:rPr>
              <w:t>(103,229)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(18,333)</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$(8,029)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(1,463)</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w w:val="82"/>
              </w:rPr>
              <w:t>$ (53,600)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(33,095)</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$(461,608)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-952500</wp:posOffset>
            </wp:positionV>
            <wp:extent cx="69024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90245"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-952500</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-952500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-952500</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-952500</wp:posOffset>
            </wp:positionV>
            <wp:extent cx="295402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95402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-377825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-377825</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-377825</wp:posOffset>
            </wp:positionV>
            <wp:extent cx="85344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5344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-377825</wp:posOffset>
            </wp:positionV>
            <wp:extent cx="295402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95402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ind w:left="460" w:right="20" w:hanging="452"/>
        <w:spacing w:after="0" w:line="256" w:lineRule="auto"/>
        <w:tabs>
          <w:tab w:leader="none" w:pos="4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Wynn Las Vegas, LLC’s earnings were insufficient to cover our fixed charges by $1.5 million, $8.0 million, $18.3 million, $103.2 million and $277.0 million for the period from inception to December 31, 2000, and for the years ended December 31, 2001, 2002, 2003 and 2004, respectively. Wynn Las Vegas, LLC’s earnings were insufficient to cover its fixed charges by $53.6 million and $33.1 million for the three months ended March 31, 2005 and 2004, respectively, and by $461.6 million for the period from inception to March 31, 2005.</w:t>
      </w:r>
    </w:p>
    <w:p>
      <w:pPr>
        <w:sectPr>
          <w:pgSz w:w="11900" w:h="16838" w:orient="portrait"/>
          <w:cols w:equalWidth="0" w:num="1">
            <w:col w:w="11420"/>
          </w:cols>
          <w:pgMar w:left="240" w:top="125"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We consent to the use in this Amendment No. 1 to Registration Statement No. 333-124052 of our report dated March 15, 2005 relating to the consolidated financial statements of Wynn Las Vegas, LLC and subsidiaries (a development stage company) appearing in the Prospectus, which is part of this Registration Statement and to the reference to us under the headings “Selected Consolidated Financial Data” and “Experts” in such Prospectus.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16, 2005</w:t>
      </w:r>
    </w:p>
    <w:p>
      <w:pPr>
        <w:sectPr>
          <w:pgSz w:w="11900" w:h="16838" w:orient="portrait"/>
          <w:cols w:equalWidth="0" w:num="1">
            <w:col w:w="11420"/>
          </w:cols>
          <w:pgMar w:left="240" w:top="126"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24.2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severally constitutes and appoints Stephen A. Wynn and John Strzemp, and each of them singly, as his or her true and lawful attorney-in-fact and agent with full power of substitution and resubstitution for him or her and in his or her name, place and stead, and in any and all capacities to sign any and all amendments (including preeffective and post-effective amendments) to this registration statement (File No. 333-124052),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gridSpan w:val="2"/>
          </w:tcPr>
          <w:p>
            <w:pPr>
              <w:ind w:left="13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3520" w:type="dxa"/>
            <w:vAlign w:val="bottom"/>
          </w:tcPr>
          <w:p>
            <w:pPr>
              <w:ind w:left="240"/>
              <w:spacing w:after="0"/>
              <w:rPr>
                <w:sz w:val="20"/>
                <w:szCs w:val="20"/>
                <w:color w:val="auto"/>
              </w:rPr>
            </w:pPr>
            <w:r>
              <w:rPr>
                <w:rFonts w:ascii="Arial" w:cs="Arial" w:eastAsia="Arial" w:hAnsi="Arial"/>
                <w:sz w:val="18"/>
                <w:szCs w:val="18"/>
                <w:color w:val="auto"/>
              </w:rPr>
              <w:t>President and Director</w:t>
            </w:r>
          </w:p>
        </w:tc>
        <w:tc>
          <w:tcPr>
            <w:tcW w:w="2620" w:type="dxa"/>
            <w:vAlign w:val="bottom"/>
          </w:tcPr>
          <w:p>
            <w:pPr>
              <w:ind w:left="16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520" w:type="dxa"/>
            <w:vAlign w:val="bottom"/>
            <w:vMerge w:val="restart"/>
          </w:tcPr>
          <w:p>
            <w:pPr>
              <w:ind w:left="240"/>
              <w:spacing w:after="0"/>
              <w:rPr>
                <w:sz w:val="20"/>
                <w:szCs w:val="20"/>
                <w:color w:val="auto"/>
              </w:rPr>
            </w:pPr>
            <w:r>
              <w:rPr>
                <w:rFonts w:ascii="Arial" w:cs="Arial" w:eastAsia="Arial" w:hAnsi="Arial"/>
                <w:sz w:val="18"/>
                <w:szCs w:val="18"/>
                <w:color w:val="auto"/>
              </w:rPr>
              <w:t>Wynn Resorts, Limited</w:t>
            </w: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3080" w:type="dxa"/>
            <w:vAlign w:val="bottom"/>
            <w:vMerge w:val="restart"/>
          </w:tcPr>
          <w:p>
            <w:pPr>
              <w:jc w:val="center"/>
              <w:ind w:right="1622"/>
              <w:spacing w:after="0"/>
              <w:rPr>
                <w:sz w:val="20"/>
                <w:szCs w:val="20"/>
                <w:color w:val="auto"/>
              </w:rPr>
            </w:pPr>
            <w:r>
              <w:rPr>
                <w:rFonts w:ascii="Arial" w:cs="Arial" w:eastAsia="Arial" w:hAnsi="Arial"/>
                <w:sz w:val="14"/>
                <w:szCs w:val="14"/>
                <w:b w:val="1"/>
                <w:bCs w:val="1"/>
                <w:color w:val="auto"/>
                <w:w w:val="91"/>
              </w:rPr>
              <w:t>Ronald J. Kramer</w:t>
            </w:r>
          </w:p>
        </w:tc>
        <w:tc>
          <w:tcPr>
            <w:tcW w:w="352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720" w:type="dxa"/>
            <w:vAlign w:val="bottom"/>
          </w:tcPr>
          <w:p>
            <w:pPr>
              <w:ind w:left="1480"/>
              <w:spacing w:after="0"/>
              <w:rPr>
                <w:sz w:val="20"/>
                <w:szCs w:val="20"/>
                <w:color w:val="auto"/>
              </w:rPr>
            </w:pPr>
            <w:r>
              <w:rPr>
                <w:rFonts w:ascii="Arial" w:cs="Arial" w:eastAsia="Arial" w:hAnsi="Arial"/>
                <w:sz w:val="18"/>
                <w:szCs w:val="18"/>
                <w:color w:val="auto"/>
              </w:rPr>
              <w:t>/s/</w:t>
            </w:r>
          </w:p>
        </w:tc>
        <w:tc>
          <w:tcPr>
            <w:tcW w:w="3080" w:type="dxa"/>
            <w:vAlign w:val="bottom"/>
          </w:tcPr>
          <w:p>
            <w:pPr>
              <w:jc w:val="center"/>
              <w:ind w:right="1582"/>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3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16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520" w:type="dxa"/>
            <w:vAlign w:val="bottom"/>
            <w:vMerge w:val="restart"/>
          </w:tcPr>
          <w:p>
            <w:pPr>
              <w:ind w:left="240"/>
              <w:spacing w:after="0"/>
              <w:rPr>
                <w:sz w:val="20"/>
                <w:szCs w:val="20"/>
                <w:color w:val="auto"/>
              </w:rPr>
            </w:pPr>
            <w:r>
              <w:rPr>
                <w:rFonts w:ascii="Arial" w:cs="Arial" w:eastAsia="Arial" w:hAnsi="Arial"/>
                <w:sz w:val="18"/>
                <w:szCs w:val="18"/>
                <w:color w:val="auto"/>
              </w:rPr>
              <w:t>Wynn Resorts, Limited</w:t>
            </w: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3080" w:type="dxa"/>
            <w:vAlign w:val="bottom"/>
            <w:vMerge w:val="restart"/>
          </w:tcPr>
          <w:p>
            <w:pPr>
              <w:jc w:val="center"/>
              <w:ind w:right="1642"/>
              <w:spacing w:after="0"/>
              <w:rPr>
                <w:sz w:val="20"/>
                <w:szCs w:val="20"/>
                <w:color w:val="auto"/>
              </w:rPr>
            </w:pPr>
            <w:r>
              <w:rPr>
                <w:rFonts w:ascii="Arial" w:cs="Arial" w:eastAsia="Arial" w:hAnsi="Arial"/>
                <w:sz w:val="14"/>
                <w:szCs w:val="14"/>
                <w:b w:val="1"/>
                <w:bCs w:val="1"/>
                <w:color w:val="auto"/>
                <w:w w:val="90"/>
              </w:rPr>
              <w:t>John A. Moran</w:t>
            </w:r>
          </w:p>
        </w:tc>
        <w:tc>
          <w:tcPr>
            <w:tcW w:w="352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720" w:type="dxa"/>
            <w:vAlign w:val="bottom"/>
          </w:tcPr>
          <w:p>
            <w:pPr>
              <w:ind w:left="1360"/>
              <w:spacing w:after="0"/>
              <w:rPr>
                <w:sz w:val="20"/>
                <w:szCs w:val="20"/>
                <w:color w:val="auto"/>
              </w:rPr>
            </w:pPr>
            <w:r>
              <w:rPr>
                <w:rFonts w:ascii="Arial" w:cs="Arial" w:eastAsia="Arial" w:hAnsi="Arial"/>
                <w:sz w:val="18"/>
                <w:szCs w:val="18"/>
                <w:color w:val="auto"/>
              </w:rPr>
              <w:t>/s/</w:t>
            </w:r>
          </w:p>
        </w:tc>
        <w:tc>
          <w:tcPr>
            <w:tcW w:w="3080" w:type="dxa"/>
            <w:vAlign w:val="bottom"/>
          </w:tcPr>
          <w:p>
            <w:pPr>
              <w:spacing w:after="0"/>
              <w:rPr>
                <w:sz w:val="20"/>
                <w:szCs w:val="20"/>
                <w:color w:val="auto"/>
              </w:rPr>
            </w:pPr>
            <w:r>
              <w:rPr>
                <w:rFonts w:ascii="Arial" w:cs="Arial" w:eastAsia="Arial" w:hAnsi="Arial"/>
                <w:sz w:val="18"/>
                <w:szCs w:val="18"/>
                <w:color w:val="auto"/>
              </w:rPr>
              <w:t>D. B</w:t>
            </w:r>
            <w:r>
              <w:rPr>
                <w:rFonts w:ascii="Arial" w:cs="Arial" w:eastAsia="Arial" w:hAnsi="Arial"/>
                <w:sz w:val="14"/>
                <w:szCs w:val="14"/>
                <w:color w:val="auto"/>
              </w:rPr>
              <w:t>OONE</w:t>
            </w:r>
            <w:r>
              <w:rPr>
                <w:rFonts w:ascii="Arial" w:cs="Arial" w:eastAsia="Arial" w:hAnsi="Arial"/>
                <w:sz w:val="18"/>
                <w:szCs w:val="18"/>
                <w:color w:val="auto"/>
              </w:rPr>
              <w:t xml:space="preserve"> W</w:t>
            </w:r>
            <w:r>
              <w:rPr>
                <w:rFonts w:ascii="Arial" w:cs="Arial" w:eastAsia="Arial" w:hAnsi="Arial"/>
                <w:sz w:val="14"/>
                <w:szCs w:val="14"/>
                <w:color w:val="auto"/>
              </w:rPr>
              <w:t>AYSON</w:t>
            </w:r>
          </w:p>
        </w:tc>
        <w:tc>
          <w:tcPr>
            <w:tcW w:w="3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16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520" w:type="dxa"/>
            <w:vAlign w:val="bottom"/>
            <w:vMerge w:val="restart"/>
          </w:tcPr>
          <w:p>
            <w:pPr>
              <w:ind w:left="240"/>
              <w:spacing w:after="0"/>
              <w:rPr>
                <w:sz w:val="20"/>
                <w:szCs w:val="20"/>
                <w:color w:val="auto"/>
              </w:rPr>
            </w:pPr>
            <w:r>
              <w:rPr>
                <w:rFonts w:ascii="Arial" w:cs="Arial" w:eastAsia="Arial" w:hAnsi="Arial"/>
                <w:sz w:val="18"/>
                <w:szCs w:val="18"/>
                <w:color w:val="auto"/>
              </w:rPr>
              <w:t>Wynn Resorts, Limited</w:t>
            </w: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3080" w:type="dxa"/>
            <w:vAlign w:val="bottom"/>
            <w:vMerge w:val="restart"/>
          </w:tcPr>
          <w:p>
            <w:pPr>
              <w:jc w:val="center"/>
              <w:ind w:right="1622"/>
              <w:spacing w:after="0"/>
              <w:rPr>
                <w:sz w:val="20"/>
                <w:szCs w:val="20"/>
                <w:color w:val="auto"/>
              </w:rPr>
            </w:pPr>
            <w:r>
              <w:rPr>
                <w:rFonts w:ascii="Arial" w:cs="Arial" w:eastAsia="Arial" w:hAnsi="Arial"/>
                <w:sz w:val="14"/>
                <w:szCs w:val="14"/>
                <w:b w:val="1"/>
                <w:bCs w:val="1"/>
                <w:color w:val="auto"/>
                <w:w w:val="85"/>
              </w:rPr>
              <w:t>D. Boone Wayson</w:t>
            </w:r>
          </w:p>
        </w:tc>
        <w:tc>
          <w:tcPr>
            <w:tcW w:w="352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720" w:type="dxa"/>
            <w:vAlign w:val="bottom"/>
          </w:tcPr>
          <w:p>
            <w:pPr>
              <w:spacing w:after="0"/>
              <w:rPr>
                <w:sz w:val="15"/>
                <w:szCs w:val="15"/>
                <w:color w:val="auto"/>
              </w:rPr>
            </w:pPr>
          </w:p>
        </w:tc>
        <w:tc>
          <w:tcPr>
            <w:tcW w:w="308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720" w:type="dxa"/>
            <w:vAlign w:val="bottom"/>
          </w:tcPr>
          <w:p>
            <w:pPr>
              <w:ind w:left="1540"/>
              <w:spacing w:after="0"/>
              <w:rPr>
                <w:sz w:val="20"/>
                <w:szCs w:val="20"/>
                <w:color w:val="auto"/>
              </w:rPr>
            </w:pPr>
            <w:r>
              <w:rPr>
                <w:rFonts w:ascii="Arial" w:cs="Arial" w:eastAsia="Arial" w:hAnsi="Arial"/>
                <w:sz w:val="18"/>
                <w:szCs w:val="18"/>
                <w:color w:val="auto"/>
                <w:w w:val="83"/>
              </w:rPr>
              <w:t>/s/</w:t>
            </w:r>
          </w:p>
        </w:tc>
        <w:tc>
          <w:tcPr>
            <w:tcW w:w="3080" w:type="dxa"/>
            <w:vAlign w:val="bottom"/>
          </w:tcPr>
          <w:p>
            <w:pPr>
              <w:jc w:val="center"/>
              <w:ind w:right="1582"/>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35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1640"/>
              <w:spacing w:after="0"/>
              <w:rPr>
                <w:sz w:val="20"/>
                <w:szCs w:val="20"/>
                <w:color w:val="auto"/>
              </w:rPr>
            </w:pPr>
            <w:r>
              <w:rPr>
                <w:rFonts w:ascii="Arial" w:cs="Arial" w:eastAsia="Arial" w:hAnsi="Arial"/>
                <w:sz w:val="18"/>
                <w:szCs w:val="18"/>
                <w:color w:val="auto"/>
                <w:w w:val="87"/>
              </w:rPr>
              <w:t>May 20, 2005</w:t>
            </w:r>
          </w:p>
        </w:tc>
        <w:tc>
          <w:tcPr>
            <w:tcW w:w="0" w:type="dxa"/>
            <w:vAlign w:val="bottom"/>
          </w:tcPr>
          <w:p>
            <w:pPr>
              <w:spacing w:after="0"/>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520" w:type="dxa"/>
            <w:vAlign w:val="bottom"/>
            <w:vMerge w:val="restart"/>
          </w:tcPr>
          <w:p>
            <w:pPr>
              <w:ind w:left="240"/>
              <w:spacing w:after="0"/>
              <w:rPr>
                <w:sz w:val="20"/>
                <w:szCs w:val="20"/>
                <w:color w:val="auto"/>
              </w:rPr>
            </w:pPr>
            <w:r>
              <w:rPr>
                <w:rFonts w:ascii="Arial" w:cs="Arial" w:eastAsia="Arial" w:hAnsi="Arial"/>
                <w:sz w:val="18"/>
                <w:szCs w:val="18"/>
                <w:color w:val="auto"/>
              </w:rPr>
              <w:t>Wynn Resorts, Limited</w:t>
            </w: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7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Allan Zeman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1)"/>
      <w:numFmt w:val="decimal"/>
      <w:start w:val="213"/>
    </w:lvl>
  </w:abstractNum>
  <w:abstractNum w:abstractNumId="1">
    <w:nsid w:val="6AA7B75C"/>
    <w:multiLevelType w:val="hybridMultilevel"/>
    <w:lvl w:ilvl="0">
      <w:lvlJc w:val="left"/>
      <w:lvlText w:val="*"/>
      <w:numFmt w:val="bullet"/>
      <w:start w:val="1"/>
    </w:lvl>
  </w:abstractNum>
  <w:abstractNum w:abstractNumId="2">
    <w:nsid w:val="1DF029D3"/>
    <w:multiLevelType w:val="hybridMultilevel"/>
    <w:lvl w:ilvl="0">
      <w:lvlJc w:val="left"/>
      <w:lvlText w:val="•"/>
      <w:numFmt w:val="bullet"/>
      <w:start w:val="1"/>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1)"/>
      <w:numFmt w:val="decimal"/>
      <w:start w:val="1"/>
    </w:lvl>
  </w:abstractNum>
  <w:abstractNum w:abstractNumId="5">
    <w:nsid w:val="3DB012B3"/>
    <w:multiLevelType w:val="hybridMultilevel"/>
    <w:lvl w:ilvl="0">
      <w:lvlJc w:val="left"/>
      <w:lvlText w:val="•"/>
      <w:numFmt w:val="bullet"/>
      <w:start w:val="1"/>
    </w:lvl>
  </w:abstractNum>
  <w:abstractNum w:abstractNumId="6">
    <w:nsid w:val="2708C9AF"/>
    <w:multiLevelType w:val="hybridMultilevel"/>
    <w:lvl w:ilvl="0">
      <w:lvlJc w:val="left"/>
      <w:lvlText w:val="•"/>
      <w:numFmt w:val="bullet"/>
      <w:start w:val="1"/>
    </w:lvl>
  </w:abstractNum>
  <w:abstractNum w:abstractNumId="7">
    <w:nsid w:val="5B25ACE2"/>
    <w:multiLevelType w:val="hybridMultilevel"/>
    <w:lvl w:ilvl="0">
      <w:lvlJc w:val="left"/>
      <w:lvlText w:val="•"/>
      <w:numFmt w:val="bullet"/>
      <w:start w:val="1"/>
    </w:lvl>
  </w:abstractNum>
  <w:abstractNum w:abstractNumId="8">
    <w:nsid w:val="175DFCF0"/>
    <w:multiLevelType w:val="hybridMultilevel"/>
    <w:lvl w:ilvl="0">
      <w:lvlJc w:val="left"/>
      <w:lvlText w:val="•"/>
      <w:numFmt w:val="bullet"/>
      <w:start w:val="1"/>
    </w:lvl>
  </w:abstractNum>
  <w:abstractNum w:abstractNumId="9">
    <w:nsid w:val="4F97E3E4"/>
    <w:multiLevelType w:val="hybridMultilevel"/>
    <w:lvl w:ilvl="0">
      <w:lvlJc w:val="left"/>
      <w:lvlText w:val="•"/>
      <w:numFmt w:val="bullet"/>
      <w:start w:val="1"/>
    </w:lvl>
  </w:abstractNum>
  <w:abstractNum w:abstractNumId="10">
    <w:nsid w:val="53B0A9E"/>
    <w:multiLevelType w:val="hybridMultilevel"/>
    <w:lvl w:ilvl="0">
      <w:lvlJc w:val="left"/>
      <w:lvlText w:val="•"/>
      <w:numFmt w:val="bullet"/>
      <w:start w:val="1"/>
    </w:lvl>
  </w:abstractNum>
  <w:abstractNum w:abstractNumId="11">
    <w:nsid w:val="34FD6B4F"/>
    <w:multiLevelType w:val="hybridMultilevel"/>
    <w:lvl w:ilvl="0">
      <w:lvlJc w:val="left"/>
      <w:lvlText w:val="•"/>
      <w:numFmt w:val="bullet"/>
      <w:start w:val="1"/>
    </w:lvl>
    <w:lvl w:ilvl="1">
      <w:lvlJc w:val="left"/>
      <w:lvlText w:val="•"/>
      <w:numFmt w:val="bullet"/>
      <w:start w:val="1"/>
    </w:lvl>
  </w:abstractNum>
  <w:abstractNum w:abstractNumId="12">
    <w:nsid w:val="5915FF32"/>
    <w:multiLevelType w:val="hybridMultilevel"/>
    <w:lvl w:ilvl="0">
      <w:lvlJc w:val="left"/>
      <w:lvlText w:val="•"/>
      <w:numFmt w:val="bullet"/>
      <w:start w:val="1"/>
    </w:lvl>
  </w:abstractNum>
  <w:abstractNum w:abstractNumId="13">
    <w:nsid w:val="56438D15"/>
    <w:multiLevelType w:val="hybridMultilevel"/>
    <w:lvl w:ilvl="0">
      <w:lvlJc w:val="left"/>
      <w:lvlText w:val="•"/>
      <w:numFmt w:val="bullet"/>
      <w:start w:val="1"/>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
      <w:numFmt w:val="bullet"/>
      <w:start w:val="1"/>
    </w:lvl>
  </w:abstractNum>
  <w:abstractNum w:abstractNumId="16">
    <w:nsid w:val="17A1B582"/>
    <w:multiLevelType w:val="hybridMultilevel"/>
    <w:lvl w:ilvl="0">
      <w:lvlJc w:val="left"/>
      <w:lvlText w:val="•"/>
      <w:numFmt w:val="bullet"/>
      <w:start w:val="1"/>
    </w:lvl>
  </w:abstractNum>
  <w:abstractNum w:abstractNumId="17">
    <w:nsid w:val="4DF72E4E"/>
    <w:multiLevelType w:val="hybridMultilevel"/>
    <w:lvl w:ilvl="0">
      <w:lvlJc w:val="left"/>
      <w:lvlText w:val="•"/>
      <w:numFmt w:val="bullet"/>
      <w:start w:val="1"/>
    </w:lvl>
    <w:lvl w:ilvl="1">
      <w:lvlJc w:val="left"/>
      <w:lvlText w:val="•"/>
      <w:numFmt w:val="bullet"/>
      <w:start w:val="1"/>
    </w:lvl>
  </w:abstractNum>
  <w:abstractNum w:abstractNumId="18">
    <w:nsid w:val="5046B5A9"/>
    <w:multiLevelType w:val="hybridMultilevel"/>
    <w:lvl w:ilvl="0">
      <w:lvlJc w:val="left"/>
      <w:lvlText w:val="•"/>
      <w:numFmt w:val="bullet"/>
      <w:start w:val="1"/>
    </w:lvl>
  </w:abstractNum>
  <w:abstractNum w:abstractNumId="19">
    <w:nsid w:val="5D888A08"/>
    <w:multiLevelType w:val="hybridMultilevel"/>
    <w:lvl w:ilvl="0">
      <w:lvlJc w:val="left"/>
      <w:lvlText w:val="•"/>
      <w:numFmt w:val="bullet"/>
      <w:start w:val="1"/>
    </w:lvl>
  </w:abstractNum>
  <w:abstractNum w:abstractNumId="20">
    <w:nsid w:val="2A082C70"/>
    <w:multiLevelType w:val="hybridMultilevel"/>
    <w:lvl w:ilvl="0">
      <w:lvlJc w:val="left"/>
      <w:lvlText w:val="•"/>
      <w:numFmt w:val="bullet"/>
      <w:start w:val="1"/>
    </w:lvl>
  </w:abstractNum>
  <w:abstractNum w:abstractNumId="21">
    <w:nsid w:val="5EC6AFD4"/>
    <w:multiLevelType w:val="hybridMultilevel"/>
    <w:lvl w:ilvl="0">
      <w:lvlJc w:val="left"/>
      <w:lvlText w:val="•"/>
      <w:numFmt w:val="bullet"/>
      <w:start w:val="1"/>
    </w:lvl>
    <w:lvl w:ilvl="1">
      <w:lvlJc w:val="left"/>
      <w:lvlText w:val="•"/>
      <w:numFmt w:val="bullet"/>
      <w:start w:val="1"/>
    </w:lvl>
  </w:abstractNum>
  <w:abstractNum w:abstractNumId="22">
    <w:nsid w:val="19E21BB2"/>
    <w:multiLevelType w:val="hybridMultilevel"/>
    <w:lvl w:ilvl="0">
      <w:lvlJc w:val="left"/>
      <w:lvlText w:val="•"/>
      <w:numFmt w:val="bullet"/>
      <w:start w:val="1"/>
    </w:lvl>
  </w:abstractNum>
  <w:abstractNum w:abstractNumId="23">
    <w:nsid w:val="75E0858A"/>
    <w:multiLevelType w:val="hybridMultilevel"/>
    <w:lvl w:ilvl="0">
      <w:lvlJc w:val="left"/>
      <w:lvlText w:val="•"/>
      <w:numFmt w:val="bullet"/>
      <w:start w:val="1"/>
    </w:lvl>
  </w:abstractNum>
  <w:abstractNum w:abstractNumId="24">
    <w:nsid w:val="57A61A29"/>
    <w:multiLevelType w:val="hybridMultilevel"/>
    <w:lvl w:ilvl="0">
      <w:lvlJc w:val="left"/>
      <w:lvlText w:val="(%1)"/>
      <w:numFmt w:val="decimal"/>
      <w:start w:val="1"/>
    </w:lvl>
  </w:abstractNum>
  <w:abstractNum w:abstractNumId="25">
    <w:nsid w:val="5399C654"/>
    <w:multiLevelType w:val="hybridMultilevel"/>
    <w:lvl w:ilvl="0">
      <w:lvlJc w:val="left"/>
      <w:lvlText w:val="•"/>
      <w:numFmt w:val="bullet"/>
      <w:start w:val="1"/>
    </w:lvl>
  </w:abstractNum>
  <w:abstractNum w:abstractNumId="26">
    <w:nsid w:val="20EE1348"/>
    <w:multiLevelType w:val="hybridMultilevel"/>
    <w:lvl w:ilvl="0">
      <w:lvlJc w:val="left"/>
      <w:lvlText w:val="•"/>
      <w:numFmt w:val="bullet"/>
      <w:start w:val="1"/>
    </w:lvl>
  </w:abstractNum>
  <w:abstractNum w:abstractNumId="27">
    <w:nsid w:val="4427069A"/>
    <w:multiLevelType w:val="hybridMultilevel"/>
    <w:lvl w:ilvl="0">
      <w:lvlJc w:val="left"/>
      <w:lvlText w:val="(%1)"/>
      <w:numFmt w:val="decimal"/>
      <w:start w:val="1"/>
    </w:lvl>
  </w:abstractNum>
  <w:abstractNum w:abstractNumId="28">
    <w:nsid w:val="B37E80A"/>
    <w:multiLevelType w:val="hybridMultilevel"/>
    <w:lvl w:ilvl="0">
      <w:lvlJc w:val="left"/>
      <w:lvlText w:val="(%1)"/>
      <w:numFmt w:val="decimal"/>
      <w:start w:val="1"/>
    </w:lvl>
  </w:abstractNum>
  <w:abstractNum w:abstractNumId="29">
    <w:nsid w:val="2157F6BC"/>
    <w:multiLevelType w:val="hybridMultilevel"/>
    <w:lvl w:ilvl="0">
      <w:lvlJc w:val="left"/>
      <w:lvlText w:val="•"/>
      <w:numFmt w:val="bullet"/>
      <w:start w:val="1"/>
    </w:lvl>
  </w:abstractNum>
  <w:abstractNum w:abstractNumId="30">
    <w:nsid w:val="704E1DD5"/>
    <w:multiLevelType w:val="hybridMultilevel"/>
    <w:lvl w:ilvl="0">
      <w:lvlJc w:val="left"/>
      <w:lvlText w:val="•"/>
      <w:numFmt w:val="bullet"/>
      <w:start w:val="1"/>
    </w:lvl>
  </w:abstractNum>
  <w:abstractNum w:abstractNumId="31">
    <w:nsid w:val="57D2F10E"/>
    <w:multiLevelType w:val="hybridMultilevel"/>
    <w:lvl w:ilvl="0">
      <w:lvlJc w:val="left"/>
      <w:lvlText w:val="•"/>
      <w:numFmt w:val="bullet"/>
      <w:start w:val="1"/>
    </w:lvl>
  </w:abstractNum>
  <w:abstractNum w:abstractNumId="32">
    <w:nsid w:val="BFFAE18"/>
    <w:multiLevelType w:val="hybridMultilevel"/>
    <w:lvl w:ilvl="0">
      <w:lvlJc w:val="left"/>
      <w:lvlText w:val="•"/>
      <w:numFmt w:val="bullet"/>
      <w:start w:val="1"/>
    </w:lvl>
  </w:abstractNum>
  <w:abstractNum w:abstractNumId="33">
    <w:nsid w:val="E3E47A8"/>
    <w:multiLevelType w:val="hybridMultilevel"/>
    <w:lvl w:ilvl="0">
      <w:lvlJc w:val="left"/>
      <w:lvlText w:val="•"/>
      <w:numFmt w:val="bullet"/>
      <w:start w:val="1"/>
    </w:lvl>
  </w:abstractNum>
  <w:abstractNum w:abstractNumId="34">
    <w:nsid w:val="2E48F044"/>
    <w:multiLevelType w:val="hybridMultilevel"/>
    <w:lvl w:ilvl="0">
      <w:lvlJc w:val="left"/>
      <w:lvlText w:val="•"/>
      <w:numFmt w:val="bullet"/>
      <w:start w:val="1"/>
    </w:lvl>
  </w:abstractNum>
  <w:abstractNum w:abstractNumId="35">
    <w:nsid w:val="49D0FEAC"/>
    <w:multiLevelType w:val="hybridMultilevel"/>
    <w:lvl w:ilvl="0">
      <w:lvlJc w:val="left"/>
      <w:lvlText w:val="•"/>
      <w:numFmt w:val="bullet"/>
      <w:start w:val="1"/>
    </w:lvl>
  </w:abstractNum>
  <w:abstractNum w:abstractNumId="36">
    <w:nsid w:val="4BEE5A5B"/>
    <w:multiLevelType w:val="hybridMultilevel"/>
    <w:lvl w:ilvl="0">
      <w:lvlJc w:val="left"/>
      <w:lvlText w:val="•"/>
      <w:numFmt w:val="bullet"/>
      <w:start w:val="1"/>
    </w:lvl>
  </w:abstractNum>
  <w:abstractNum w:abstractNumId="37">
    <w:nsid w:val="5551B9F3"/>
    <w:multiLevelType w:val="hybridMultilevel"/>
    <w:lvl w:ilvl="0">
      <w:lvlJc w:val="left"/>
      <w:lvlText w:val="•"/>
      <w:numFmt w:val="bullet"/>
      <w:start w:val="1"/>
    </w:lvl>
  </w:abstractNum>
  <w:abstractNum w:abstractNumId="38">
    <w:nsid w:val="24F6AB8E"/>
    <w:multiLevelType w:val="hybridMultilevel"/>
    <w:lvl w:ilvl="0">
      <w:lvlJc w:val="left"/>
      <w:lvlText w:val="•"/>
      <w:numFmt w:val="bullet"/>
      <w:start w:val="1"/>
    </w:lvl>
  </w:abstractNum>
  <w:abstractNum w:abstractNumId="39">
    <w:nsid w:val="634C574C"/>
    <w:multiLevelType w:val="hybridMultilevel"/>
    <w:lvl w:ilvl="0">
      <w:lvlJc w:val="left"/>
      <w:lvlText w:val="(%1)"/>
      <w:numFmt w:val="decimal"/>
      <w:start w:val="1"/>
    </w:lvl>
  </w:abstractNum>
  <w:abstractNum w:abstractNumId="40">
    <w:nsid w:val="24E99DD7"/>
    <w:multiLevelType w:val="hybridMultilevel"/>
    <w:lvl w:ilvl="0">
      <w:lvlJc w:val="left"/>
      <w:lvlText w:val="(%1)"/>
      <w:numFmt w:val="decimal"/>
      <w:start w:val="1"/>
    </w:lvl>
  </w:abstractNum>
  <w:abstractNum w:abstractNumId="41">
    <w:nsid w:val="2A31B62D"/>
    <w:multiLevelType w:val="hybridMultilevel"/>
    <w:lvl w:ilvl="0">
      <w:lvlJc w:val="left"/>
      <w:lvlText w:val="•"/>
      <w:numFmt w:val="bullet"/>
      <w:start w:val="1"/>
    </w:lvl>
  </w:abstractNum>
  <w:abstractNum w:abstractNumId="42">
    <w:nsid w:val="1849C29B"/>
    <w:multiLevelType w:val="hybridMultilevel"/>
    <w:lvl w:ilvl="0">
      <w:lvlJc w:val="left"/>
      <w:lvlText w:val="(%1)"/>
      <w:numFmt w:val="lowerRoman"/>
      <w:start w:val="2"/>
    </w:lvl>
  </w:abstractNum>
  <w:abstractNum w:abstractNumId="43">
    <w:nsid w:val="7DFF9D09"/>
    <w:multiLevelType w:val="hybridMultilevel"/>
    <w:lvl w:ilvl="0">
      <w:lvlJc w:val="left"/>
      <w:lvlText w:val="(%1)"/>
      <w:numFmt w:val="lowerLetter"/>
      <w:start w:val="1"/>
    </w:lvl>
  </w:abstractNum>
  <w:abstractNum w:abstractNumId="44">
    <w:nsid w:val="754342"/>
    <w:multiLevelType w:val="hybridMultilevel"/>
    <w:lvl w:ilvl="0">
      <w:lvlJc w:val="left"/>
      <w:lvlText w:val="(%1)"/>
      <w:numFmt w:val="lowerLetter"/>
      <w:start w:val="1"/>
    </w:lvl>
  </w:abstractNum>
  <w:abstractNum w:abstractNumId="45">
    <w:nsid w:val="69E7F3E5"/>
    <w:multiLevelType w:val="hybridMultilevel"/>
    <w:lvl w:ilvl="0">
      <w:lvlJc w:val="left"/>
      <w:lvlText w:val="*"/>
      <w:numFmt w:val="bullet"/>
      <w:start w:val="1"/>
    </w:lvl>
  </w:abstractNum>
  <w:abstractNum w:abstractNumId="46">
    <w:nsid w:val="2A6DE806"/>
    <w:multiLevelType w:val="hybridMultilevel"/>
    <w:lvl w:ilvl="0">
      <w:lvlJc w:val="left"/>
      <w:lvlText w:val="(%1)"/>
      <w:numFmt w:val="decimal"/>
      <w:start w:val="1"/>
    </w:lvl>
  </w:abstractNum>
  <w:abstractNum w:abstractNumId="47">
    <w:nsid w:val="1816F8C4"/>
    <w:multiLevelType w:val="hybridMultilevel"/>
    <w:lvl w:ilvl="0">
      <w:lvlJc w:val="left"/>
      <w:lvlText w:val="(%1)"/>
      <w:numFmt w:val="decimal"/>
      <w:start w:val="2"/>
    </w:lvl>
  </w:abstractNum>
  <w:abstractNum w:abstractNumId="48">
    <w:nsid w:val="37DF2233"/>
    <w:multiLevelType w:val="hybridMultilevel"/>
    <w:lvl w:ilvl="0">
      <w:lvlJc w:val="left"/>
      <w:lvlText w:val="(%1)"/>
      <w:numFmt w:val="decimal"/>
      <w:start w:val="12"/>
    </w:lvl>
  </w:abstractNum>
  <w:abstractNum w:abstractNumId="49">
    <w:nsid w:val="7AB49DAF"/>
    <w:multiLevelType w:val="hybridMultilevel"/>
    <w:lvl w:ilvl="0">
      <w:lvlJc w:val="left"/>
      <w:lvlText w:val="•"/>
      <w:numFmt w:val="bullet"/>
      <w:start w:val="1"/>
    </w:lvl>
  </w:abstractNum>
  <w:abstractNum w:abstractNumId="50">
    <w:nsid w:val="759F82CD"/>
    <w:multiLevelType w:val="hybridMultilevel"/>
    <w:lvl w:ilvl="0">
      <w:lvlJc w:val="left"/>
      <w:lvlText w:val="•"/>
      <w:numFmt w:val="bullet"/>
      <w:start w:val="1"/>
    </w:lvl>
  </w:abstractNum>
  <w:abstractNum w:abstractNumId="51">
    <w:nsid w:val="61E74EA3"/>
    <w:multiLevelType w:val="hybridMultilevel"/>
    <w:lvl w:ilvl="0">
      <w:lvlJc w:val="left"/>
      <w:lvlText w:val="•"/>
      <w:numFmt w:val="bullet"/>
      <w:start w:val="1"/>
    </w:lvl>
  </w:abstractNum>
  <w:abstractNum w:abstractNumId="52">
    <w:nsid w:val="597B4D84"/>
    <w:multiLevelType w:val="hybridMultilevel"/>
    <w:lvl w:ilvl="0">
      <w:lvlJc w:val="left"/>
      <w:lvlText w:val="•"/>
      <w:numFmt w:val="bullet"/>
      <w:start w:val="1"/>
    </w:lvl>
  </w:abstractNum>
  <w:abstractNum w:abstractNumId="53">
    <w:nsid w:val="F819E7F"/>
    <w:multiLevelType w:val="hybridMultilevel"/>
    <w:lvl w:ilvl="0">
      <w:lvlJc w:val="left"/>
      <w:lvlText w:val="•"/>
      <w:numFmt w:val="bullet"/>
      <w:start w:val="1"/>
    </w:lvl>
  </w:abstractNum>
  <w:abstractNum w:abstractNumId="54">
    <w:nsid w:val="57C7D42D"/>
    <w:multiLevelType w:val="hybridMultilevel"/>
    <w:lvl w:ilvl="0">
      <w:lvlJc w:val="left"/>
      <w:lvlText w:val="•"/>
      <w:numFmt w:val="bullet"/>
      <w:start w:val="1"/>
    </w:lvl>
  </w:abstractNum>
  <w:abstractNum w:abstractNumId="55">
    <w:nsid w:val="312167AD"/>
    <w:multiLevelType w:val="hybridMultilevel"/>
    <w:lvl w:ilvl="0">
      <w:lvlJc w:val="left"/>
      <w:lvlText w:val="•"/>
      <w:numFmt w:val="bullet"/>
      <w:start w:val="1"/>
    </w:lvl>
  </w:abstractNum>
  <w:abstractNum w:abstractNumId="56">
    <w:nsid w:val="631B64D4"/>
    <w:multiLevelType w:val="hybridMultilevel"/>
    <w:lvl w:ilvl="0">
      <w:lvlJc w:val="left"/>
      <w:lvlText w:val="•"/>
      <w:numFmt w:val="bullet"/>
      <w:start w:val="1"/>
    </w:lvl>
  </w:abstractNum>
  <w:abstractNum w:abstractNumId="57">
    <w:nsid w:val="78B5E776"/>
    <w:multiLevelType w:val="hybridMultilevel"/>
    <w:lvl w:ilvl="0">
      <w:lvlJc w:val="left"/>
      <w:lvlText w:val="•"/>
      <w:numFmt w:val="bullet"/>
      <w:start w:val="1"/>
    </w:lvl>
  </w:abstractNum>
  <w:abstractNum w:abstractNumId="58">
    <w:nsid w:val="75486E47"/>
    <w:multiLevelType w:val="hybridMultilevel"/>
    <w:lvl w:ilvl="0">
      <w:lvlJc w:val="left"/>
      <w:lvlText w:val="•"/>
      <w:numFmt w:val="bullet"/>
      <w:start w:val="1"/>
    </w:lvl>
  </w:abstractNum>
  <w:abstractNum w:abstractNumId="59">
    <w:nsid w:val="6E534CDE"/>
    <w:multiLevelType w:val="hybridMultilevel"/>
    <w:lvl w:ilvl="0">
      <w:lvlJc w:val="left"/>
      <w:lvlText w:val="•"/>
      <w:numFmt w:val="bullet"/>
      <w:start w:val="1"/>
    </w:lvl>
  </w:abstractNum>
  <w:abstractNum w:abstractNumId="60">
    <w:nsid w:val="1A0DDE32"/>
    <w:multiLevelType w:val="hybridMultilevel"/>
    <w:lvl w:ilvl="0">
      <w:lvlJc w:val="left"/>
      <w:lvlText w:val="•"/>
      <w:numFmt w:val="bullet"/>
      <w:start w:val="1"/>
    </w:lvl>
  </w:abstractNum>
  <w:abstractNum w:abstractNumId="61">
    <w:nsid w:val="65968C1C"/>
    <w:multiLevelType w:val="hybridMultilevel"/>
    <w:lvl w:ilvl="0">
      <w:lvlJc w:val="left"/>
      <w:lvlText w:val="•"/>
      <w:numFmt w:val="bullet"/>
      <w:start w:val="1"/>
    </w:lvl>
  </w:abstractNum>
  <w:abstractNum w:abstractNumId="62">
    <w:nsid w:val="46263DEC"/>
    <w:multiLevelType w:val="hybridMultilevel"/>
    <w:lvl w:ilvl="0">
      <w:lvlJc w:val="left"/>
      <w:lvlText w:val="•"/>
      <w:numFmt w:val="bullet"/>
      <w:start w:val="1"/>
    </w:lvl>
  </w:abstractNum>
  <w:abstractNum w:abstractNumId="63">
    <w:nsid w:val="260D8C4A"/>
    <w:multiLevelType w:val="hybridMultilevel"/>
    <w:lvl w:ilvl="0">
      <w:lvlJc w:val="left"/>
      <w:lvlText w:val="(%1)"/>
      <w:numFmt w:val="decimal"/>
      <w:start w:val="1"/>
    </w:lvl>
    <w:lvl w:ilvl="1">
      <w:lvlJc w:val="left"/>
      <w:lvlText w:val="(%2)"/>
      <w:numFmt w:val="lowerLetter"/>
      <w:start w:val="1"/>
    </w:lvl>
  </w:abstractNum>
  <w:abstractNum w:abstractNumId="64">
    <w:nsid w:val="73D4D3C4"/>
    <w:multiLevelType w:val="hybridMultilevel"/>
    <w:lvl w:ilvl="0">
      <w:lvlJc w:val="left"/>
      <w:lvlText w:val="(%1)"/>
      <w:numFmt w:val="decimal"/>
      <w:start w:val="1"/>
    </w:lvl>
  </w:abstractNum>
  <w:abstractNum w:abstractNumId="65">
    <w:nsid w:val="746F2E30"/>
    <w:multiLevelType w:val="hybridMultilevel"/>
    <w:lvl w:ilvl="0">
      <w:lvlJc w:val="left"/>
      <w:lvlText w:val="(%1)"/>
      <w:numFmt w:val="decimal"/>
      <w:start w:val="1"/>
    </w:lvl>
  </w:abstractNum>
  <w:abstractNum w:abstractNumId="66">
    <w:nsid w:val="6FDE8AF6"/>
    <w:multiLevelType w:val="hybridMultilevel"/>
    <w:lvl w:ilvl="0">
      <w:lvlJc w:val="left"/>
      <w:lvlText w:val="(%1)"/>
      <w:numFmt w:val="decimal"/>
      <w:start w:val="3"/>
    </w:lvl>
  </w:abstractNum>
  <w:abstractNum w:abstractNumId="67">
    <w:nsid w:val="3FC32E20"/>
    <w:multiLevelType w:val="hybridMultilevel"/>
    <w:lvl w:ilvl="0">
      <w:lvlJc w:val="left"/>
      <w:lvlText w:val="(%1)"/>
      <w:numFmt w:val="decimal"/>
      <w:start w:val="1"/>
    </w:lvl>
  </w:abstractNum>
  <w:abstractNum w:abstractNumId="68">
    <w:nsid w:val="49C0E823"/>
    <w:multiLevelType w:val="hybridMultilevel"/>
    <w:lvl w:ilvl="0">
      <w:lvlJc w:val="left"/>
      <w:lvlText w:val="(%1)"/>
      <w:numFmt w:val="decimal"/>
      <w:start w:val="1"/>
    </w:lvl>
  </w:abstractNum>
  <w:abstractNum w:abstractNumId="69">
    <w:nsid w:val="14D53685"/>
    <w:multiLevelType w:val="hybridMultilevel"/>
    <w:lvl w:ilvl="0">
      <w:lvlJc w:val="left"/>
      <w:lvlText w:val="(%1)"/>
      <w:numFmt w:val="lowerLetter"/>
      <w:start w:val="1"/>
    </w:lvl>
  </w:abstractNum>
  <w:abstractNum w:abstractNumId="70">
    <w:nsid w:val="230F856C"/>
    <w:multiLevelType w:val="hybridMultilevel"/>
    <w:lvl w:ilvl="0">
      <w:lvlJc w:val="left"/>
      <w:lvlText w:val="%1"/>
      <w:numFmt w:val="lowerLetter"/>
      <w:start w:val="1"/>
    </w:lvl>
    <w:lvl w:ilvl="1">
      <w:lvlJc w:val="left"/>
      <w:lvlText w:val="(%2)"/>
      <w:numFmt w:val="lowerLetter"/>
      <w:start w:val="4"/>
    </w:lvl>
  </w:abstractNum>
  <w:abstractNum w:abstractNumId="71">
    <w:nsid w:val="6EAA85FB"/>
    <w:multiLevelType w:val="hybridMultilevel"/>
    <w:lvl w:ilvl="0">
      <w:lvlJc w:val="left"/>
      <w:lvlText w:val="(%1)"/>
      <w:numFmt w:val="lowerLetter"/>
      <w:start w:val="5"/>
    </w:lvl>
    <w:lvl w:ilvl="1">
      <w:lvlJc w:val="left"/>
      <w:lvlText w:val="%2"/>
      <w:numFmt w:val="lowerLetter"/>
      <w:start w:val="1"/>
    </w:lvl>
  </w:abstractNum>
  <w:abstractNum w:abstractNumId="72">
    <w:nsid w:val="3F06E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3B594807"/>
    <w:multiLevelType w:val="hybridMultilevel"/>
    <w:lvl w:ilvl="0">
      <w:lvlJc w:val="left"/>
      <w:lvlText w:val="(%1)"/>
      <w:numFmt w:val="decimal"/>
      <w:start w:val="1"/>
    </w:lvl>
  </w:abstractNum>
  <w:abstractNum w:abstractNumId="74">
    <w:nsid w:val="6CAA2304"/>
    <w:multiLevelType w:val="hybridMultilevel"/>
    <w:lvl w:ilvl="0">
      <w:lvlJc w:val="left"/>
      <w:lvlText w:val="(%1)"/>
      <w:numFmt w:val="decimal"/>
      <w:start w:val="1"/>
    </w:lvl>
  </w:abstractNum>
  <w:abstractNum w:abstractNumId="75">
    <w:nsid w:val="3F7C2FF4"/>
    <w:multiLevelType w:val="hybridMultilevel"/>
    <w:lvl w:ilvl="0">
      <w:lvlJc w:val="left"/>
      <w:lvlText w:val="(%1)"/>
      <w:numFmt w:val="decimal"/>
      <w:start w:val="3"/>
    </w:lvl>
  </w:abstractNum>
  <w:abstractNum w:abstractNumId="76">
    <w:nsid w:val="25413BEC"/>
    <w:multiLevelType w:val="hybridMultilevel"/>
    <w:lvl w:ilvl="0">
      <w:lvlJc w:val="left"/>
      <w:lvlText w:val="(%1)"/>
      <w:numFmt w:val="decimal"/>
      <w:start w:val="1"/>
    </w:lvl>
  </w:abstractNum>
  <w:abstractNum w:abstractNumId="77">
    <w:nsid w:val="17180B0B"/>
    <w:multiLevelType w:val="hybridMultilevel"/>
    <w:lvl w:ilvl="0">
      <w:lvlJc w:val="left"/>
      <w:lvlText w:val="(%1)"/>
      <w:numFmt w:val="decimal"/>
      <w:start w:val="3"/>
    </w:lvl>
    <w:lvl w:ilvl="1">
      <w:lvlJc w:val="left"/>
      <w:lvlText w:val="(%2)"/>
      <w:numFmt w:val="lowerLetter"/>
      <w:start w:val="1"/>
    </w:lvl>
  </w:abstractNum>
  <w:abstractNum w:abstractNumId="78">
    <w:nsid w:val="579328B9"/>
    <w:multiLevelType w:val="hybridMultilevel"/>
    <w:lvl w:ilvl="0">
      <w:lvlJc w:val="left"/>
      <w:lvlText w:val="(%1)"/>
      <w:numFmt w:val="decimal"/>
      <w:start w:val="2"/>
    </w:lvl>
  </w:abstractNum>
  <w:abstractNum w:abstractNumId="79">
    <w:nsid w:val="5D205E20"/>
    <w:multiLevelType w:val="hybridMultilevel"/>
    <w:lvl w:ilvl="0">
      <w:lvlJc w:val="left"/>
      <w:lvlText w:val="(%1)"/>
      <w:numFmt w:val="decimal"/>
      <w:start w:val="1"/>
    </w:lvl>
  </w:abstractNum>
  <w:abstractNum w:abstractNumId="80">
    <w:nsid w:val="11CCA8BA"/>
    <w:multiLevelType w:val="hybridMultilevel"/>
    <w:lvl w:ilvl="0">
      <w:lvlJc w:val="left"/>
      <w:lvlText w:val="(%1)"/>
      <w:numFmt w:val="decimal"/>
      <w:start w:val="1"/>
    </w:lvl>
  </w:abstractNum>
  <w:abstractNum w:abstractNumId="81">
    <w:nsid w:val="4D32AB86"/>
    <w:multiLevelType w:val="hybridMultilevel"/>
    <w:lvl w:ilvl="0">
      <w:lvlJc w:val="left"/>
      <w:lvlText w:val="(%1)"/>
      <w:numFmt w:val="decimal"/>
      <w:start w:val="1"/>
    </w:lvl>
  </w:abstractNum>
  <w:abstractNum w:abstractNumId="82">
    <w:nsid w:val="3F07ACC3"/>
    <w:multiLevelType w:val="hybridMultilevel"/>
    <w:lvl w:ilvl="0">
      <w:lvlJc w:val="left"/>
      <w:lvlText w:val="(%1)"/>
      <w:numFmt w:val="decimal"/>
      <w:start w:val="2"/>
    </w:lvl>
  </w:abstractNum>
  <w:abstractNum w:abstractNumId="83">
    <w:nsid w:val="6B47F63E"/>
    <w:multiLevelType w:val="hybridMultilevel"/>
    <w:lvl w:ilvl="0">
      <w:lvlJc w:val="left"/>
      <w:lvlText w:val="(%1)"/>
      <w:numFmt w:val="decimal"/>
      <w:start w:val="1"/>
    </w:lvl>
  </w:abstractNum>
  <w:abstractNum w:abstractNumId="84">
    <w:nsid w:val="5CB44A05"/>
    <w:multiLevelType w:val="hybridMultilevel"/>
    <w:lvl w:ilvl="0">
      <w:lvlJc w:val="left"/>
      <w:lvlText w:val="(%1)"/>
      <w:numFmt w:val="decimal"/>
      <w:start w:val="4"/>
    </w:lvl>
    <w:lvl w:ilvl="1">
      <w:lvlJc w:val="left"/>
      <w:lvlText w:val="(%2)"/>
      <w:numFmt w:val="lowerLetter"/>
      <w:start w:val="1"/>
    </w:lvl>
  </w:abstractNum>
  <w:abstractNum w:abstractNumId="85">
    <w:nsid w:val="16CF80F1"/>
    <w:multiLevelType w:val="hybridMultilevel"/>
    <w:lvl w:ilvl="0">
      <w:lvlJc w:val="left"/>
      <w:lvlText w:val="(%1)"/>
      <w:numFmt w:val="lowerLetter"/>
      <w:start w:val="4"/>
    </w:lvl>
  </w:abstractNum>
  <w:abstractNum w:abstractNumId="86">
    <w:nsid w:val="1C695DEC"/>
    <w:multiLevelType w:val="hybridMultilevel"/>
    <w:lvl w:ilvl="0">
      <w:lvlJc w:val="left"/>
      <w:lvlText w:val="(%1)"/>
      <w:numFmt w:val="decimal"/>
      <w:start w:val="1"/>
    </w:lvl>
  </w:abstractNum>
  <w:abstractNum w:abstractNumId="87">
    <w:nsid w:val="3FCFAED9"/>
    <w:multiLevelType w:val="hybridMultilevel"/>
    <w:lvl w:ilvl="0">
      <w:lvlJc w:val="left"/>
      <w:lvlText w:val="(%1)"/>
      <w:numFmt w:val="decimal"/>
      <w:start w:val="6"/>
    </w:lvl>
  </w:abstractNum>
  <w:abstractNum w:abstractNumId="88">
    <w:nsid w:val="F856867"/>
    <w:multiLevelType w:val="hybridMultilevel"/>
    <w:lvl w:ilvl="0">
      <w:lvlJc w:val="left"/>
      <w:lvlText w:val="(%1)"/>
      <w:numFmt w:val="decimal"/>
      <w:start w:val="2"/>
    </w:lvl>
    <w:lvl w:ilvl="1">
      <w:lvlJc w:val="left"/>
      <w:lvlText w:val="(%2)"/>
      <w:numFmt w:val="decimal"/>
      <w:start w:val="1"/>
    </w:lvl>
  </w:abstractNum>
  <w:abstractNum w:abstractNumId="89">
    <w:nsid w:val="11B1CC33"/>
    <w:multiLevelType w:val="hybridMultilevel"/>
    <w:lvl w:ilvl="0">
      <w:lvlJc w:val="left"/>
      <w:lvlText w:val="(%1)"/>
      <w:numFmt w:val="decimal"/>
      <w:start w:val="1"/>
    </w:lvl>
  </w:abstractNum>
  <w:abstractNum w:abstractNumId="90">
    <w:nsid w:val="2E22FBB7"/>
    <w:multiLevelType w:val="hybridMultilevel"/>
    <w:lvl w:ilvl="0">
      <w:lvlJc w:val="left"/>
      <w:lvlText w:val="(%1)"/>
      <w:numFmt w:val="decimal"/>
      <w:start w:val="2"/>
    </w:lvl>
    <w:lvl w:ilvl="1">
      <w:lvlJc w:val="left"/>
      <w:lvlText w:val="(%2)"/>
      <w:numFmt w:val="lowerLetter"/>
      <w:start w:val="1"/>
    </w:lvl>
  </w:abstractNum>
  <w:abstractNum w:abstractNumId="91">
    <w:nsid w:val="29934699"/>
    <w:multiLevelType w:val="hybridMultilevel"/>
    <w:lvl w:ilvl="0">
      <w:lvlJc w:val="left"/>
      <w:lvlText w:val="%1"/>
      <w:numFmt w:val="decimal"/>
      <w:start w:val="1"/>
    </w:lvl>
    <w:lvl w:ilvl="1">
      <w:lvlJc w:val="left"/>
      <w:lvlText w:val="(%2)"/>
      <w:numFmt w:val="lowerLetter"/>
      <w:start w:val="1"/>
    </w:lvl>
  </w:abstractNum>
  <w:abstractNum w:abstractNumId="92">
    <w:nsid w:val="77485850"/>
    <w:multiLevelType w:val="hybridMultilevel"/>
    <w:lvl w:ilvl="0">
      <w:lvlJc w:val="left"/>
      <w:lvlText w:val="(%1)"/>
      <w:numFmt w:val="decimal"/>
      <w:start w:val="9"/>
    </w:lvl>
    <w:lvl w:ilvl="1">
      <w:lvlJc w:val="left"/>
      <w:lvlText w:val="(%2)"/>
      <w:numFmt w:val="lowerLetter"/>
      <w:start w:val="1"/>
    </w:lvl>
  </w:abstractNum>
  <w:abstractNum w:abstractNumId="93">
    <w:nsid w:val="744939A3"/>
    <w:multiLevelType w:val="hybridMultilevel"/>
    <w:lvl w:ilvl="0">
      <w:lvlJc w:val="left"/>
      <w:lvlText w:val="(%1)"/>
      <w:numFmt w:val="decimal"/>
      <w:start w:val="1"/>
    </w:lvl>
    <w:lvl w:ilvl="1">
      <w:lvlJc w:val="left"/>
      <w:lvlText w:val="(%2)"/>
      <w:numFmt w:val="lowerLetter"/>
      <w:start w:val="1"/>
    </w:lvl>
  </w:abstractNum>
  <w:abstractNum w:abstractNumId="94">
    <w:nsid w:val="4FA0D2E3"/>
    <w:multiLevelType w:val="hybridMultilevel"/>
    <w:lvl w:ilvl="0">
      <w:lvlJc w:val="left"/>
      <w:lvlText w:val="(%1)"/>
      <w:numFmt w:val="decimal"/>
      <w:start w:val="1"/>
    </w:lvl>
  </w:abstractNum>
  <w:abstractNum w:abstractNumId="95">
    <w:nsid w:val="6B1D2C14"/>
    <w:multiLevelType w:val="hybridMultilevel"/>
    <w:lvl w:ilvl="0">
      <w:lvlJc w:val="left"/>
      <w:lvlText w:val="(%1)"/>
      <w:numFmt w:val="decimal"/>
      <w:start w:val="1"/>
    </w:lvl>
  </w:abstractNum>
  <w:abstractNum w:abstractNumId="96">
    <w:nsid w:val="68B867D3"/>
    <w:multiLevelType w:val="hybridMultilevel"/>
    <w:lvl w:ilvl="0">
      <w:lvlJc w:val="left"/>
      <w:lvlText w:val="(%1)"/>
      <w:numFmt w:val="decimal"/>
      <w:start w:val="2"/>
    </w:lvl>
  </w:abstractNum>
  <w:abstractNum w:abstractNumId="97">
    <w:nsid w:val="3F7F5DD9"/>
    <w:multiLevelType w:val="hybridMultilevel"/>
    <w:lvl w:ilvl="0">
      <w:lvlJc w:val="left"/>
      <w:lvlText w:val="(%1)"/>
      <w:numFmt w:val="decimal"/>
      <w:start w:val="1"/>
    </w:lvl>
  </w:abstractNum>
  <w:abstractNum w:abstractNumId="98">
    <w:nsid w:val="2AE05A34"/>
    <w:multiLevelType w:val="hybridMultilevel"/>
    <w:lvl w:ilvl="0">
      <w:lvlJc w:val="left"/>
      <w:lvlText w:val="(%1)"/>
      <w:numFmt w:val="decimal"/>
      <w:start w:val="5"/>
    </w:lvl>
    <w:lvl w:ilvl="1">
      <w:lvlJc w:val="left"/>
      <w:lvlText w:val="(%2)"/>
      <w:numFmt w:val="lowerLetter"/>
      <w:start w:val="1"/>
    </w:lvl>
  </w:abstractNum>
  <w:abstractNum w:abstractNumId="99">
    <w:nsid w:val="32794FF7"/>
    <w:multiLevelType w:val="hybridMultilevel"/>
    <w:lvl w:ilvl="0">
      <w:lvlJc w:val="left"/>
      <w:lvlText w:val="(%1)"/>
      <w:numFmt w:val="decimal"/>
      <w:start w:val="1"/>
    </w:lvl>
    <w:lvl w:ilvl="1">
      <w:lvlJc w:val="left"/>
      <w:lvlText w:val="(%2)"/>
      <w:numFmt w:val="lowerLetter"/>
      <w:start w:val="1"/>
    </w:lvl>
  </w:abstractNum>
  <w:abstractNum w:abstractNumId="100">
    <w:nsid w:val="5454945E"/>
    <w:multiLevelType w:val="hybridMultilevel"/>
    <w:lvl w:ilvl="0">
      <w:lvlJc w:val="left"/>
      <w:lvlText w:val="(%1)"/>
      <w:numFmt w:val="decimal"/>
      <w:start w:val="1"/>
    </w:lvl>
  </w:abstractNum>
  <w:abstractNum w:abstractNumId="101">
    <w:nsid w:val="4DEFDFA0"/>
    <w:multiLevelType w:val="hybridMultilevel"/>
    <w:lvl w:ilvl="0">
      <w:lvlJc w:val="left"/>
      <w:lvlText w:val="(%1)"/>
      <w:numFmt w:val="decimal"/>
      <w:start w:val="6"/>
    </w:lvl>
  </w:abstractNum>
  <w:abstractNum w:abstractNumId="102">
    <w:nsid w:val="2123D5F2"/>
    <w:multiLevelType w:val="hybridMultilevel"/>
    <w:lvl w:ilvl="0">
      <w:lvlJc w:val="left"/>
      <w:lvlText w:val="(%1)"/>
      <w:numFmt w:val="decimal"/>
      <w:start w:val="1"/>
    </w:lvl>
  </w:abstractNum>
  <w:abstractNum w:abstractNumId="103">
    <w:nsid w:val="135B8110"/>
    <w:multiLevelType w:val="hybridMultilevel"/>
    <w:lvl w:ilvl="0">
      <w:lvlJc w:val="left"/>
      <w:lvlText w:val="(%1)"/>
      <w:numFmt w:val="decimal"/>
      <w:start w:val="1"/>
    </w:lvl>
  </w:abstractNum>
  <w:abstractNum w:abstractNumId="104">
    <w:nsid w:val="94927A8"/>
    <w:multiLevelType w:val="hybridMultilevel"/>
    <w:lvl w:ilvl="0">
      <w:lvlJc w:val="left"/>
      <w:lvlText w:val="(%1)"/>
      <w:numFmt w:val="decimal"/>
      <w:start w:val="1"/>
    </w:lvl>
  </w:abstractNum>
  <w:abstractNum w:abstractNumId="105">
    <w:nsid w:val="DCDF8F6"/>
    <w:multiLevelType w:val="hybridMultilevel"/>
    <w:lvl w:ilvl="0">
      <w:lvlJc w:val="left"/>
      <w:lvlText w:val="(%1)"/>
      <w:numFmt w:val="decimal"/>
      <w:start w:val="1"/>
    </w:lvl>
    <w:lvl w:ilvl="1">
      <w:lvlJc w:val="left"/>
      <w:lvlText w:val="(%2)"/>
      <w:numFmt w:val="lowerLetter"/>
      <w:start w:val="1"/>
    </w:lvl>
  </w:abstractNum>
  <w:abstractNum w:abstractNumId="106">
    <w:nsid w:val="52D7B105"/>
    <w:multiLevelType w:val="hybridMultilevel"/>
    <w:lvl w:ilvl="0">
      <w:lvlJc w:val="left"/>
      <w:lvlText w:val="(%1)"/>
      <w:numFmt w:val="decimal"/>
      <w:start w:val="1"/>
    </w:lvl>
  </w:abstractNum>
  <w:abstractNum w:abstractNumId="107">
    <w:nsid w:val="2E8A6394"/>
    <w:multiLevelType w:val="hybridMultilevel"/>
    <w:lvl w:ilvl="0">
      <w:lvlJc w:val="left"/>
      <w:lvlText w:val="(%1)"/>
      <w:numFmt w:val="decimal"/>
      <w:start w:val="1"/>
    </w:lvl>
  </w:abstractNum>
  <w:abstractNum w:abstractNumId="108">
    <w:nsid w:val="24E60401"/>
    <w:multiLevelType w:val="hybridMultilevel"/>
    <w:lvl w:ilvl="0">
      <w:lvlJc w:val="left"/>
      <w:lvlText w:val="(%1)"/>
      <w:numFmt w:val="decimal"/>
      <w:start w:val="1"/>
    </w:lvl>
  </w:abstractNum>
  <w:abstractNum w:abstractNumId="109">
    <w:nsid w:val="2A6AD9BE"/>
    <w:multiLevelType w:val="hybridMultilevel"/>
    <w:lvl w:ilvl="0">
      <w:lvlJc w:val="left"/>
      <w:lvlText w:val="(%1)"/>
      <w:numFmt w:val="decimal"/>
      <w:start w:val="1"/>
    </w:lvl>
  </w:abstractNum>
  <w:abstractNum w:abstractNumId="110">
    <w:nsid w:val="BAAC1B4"/>
    <w:multiLevelType w:val="hybridMultilevel"/>
    <w:lvl w:ilvl="0">
      <w:lvlJc w:val="left"/>
      <w:lvlText w:val="(%1)"/>
      <w:numFmt w:val="lowerLetter"/>
      <w:start w:val="2"/>
    </w:lvl>
  </w:abstractNum>
  <w:abstractNum w:abstractNumId="111">
    <w:nsid w:val="36B2ACBC"/>
    <w:multiLevelType w:val="hybridMultilevel"/>
    <w:lvl w:ilvl="0">
      <w:lvlJc w:val="left"/>
      <w:lvlText w:val="(%1)"/>
      <w:numFmt w:val="decimal"/>
      <w:start w:val="2"/>
    </w:lvl>
  </w:abstractNum>
  <w:abstractNum w:abstractNumId="112">
    <w:nsid w:val="779D8544"/>
    <w:multiLevelType w:val="hybridMultilevel"/>
    <w:lvl w:ilvl="0">
      <w:lvlJc w:val="left"/>
      <w:lvlText w:val="(%1)"/>
      <w:numFmt w:val="decimal"/>
      <w:start w:val="3"/>
    </w:lvl>
    <w:lvl w:ilvl="1">
      <w:lvlJc w:val="left"/>
      <w:lvlText w:val="(%2)"/>
      <w:numFmt w:val="lowerLetter"/>
      <w:start w:val="1"/>
    </w:lvl>
  </w:abstractNum>
  <w:abstractNum w:abstractNumId="113">
    <w:nsid w:val="4AB26E78"/>
    <w:multiLevelType w:val="hybridMultilevel"/>
    <w:lvl w:ilvl="0">
      <w:lvlJc w:val="left"/>
      <w:lvlText w:val="(%1)"/>
      <w:numFmt w:val="decimal"/>
      <w:start w:val="1"/>
    </w:lvl>
    <w:lvl w:ilvl="1">
      <w:lvlJc w:val="left"/>
      <w:lvlText w:val="(%2)"/>
      <w:numFmt w:val="lowerLetter"/>
      <w:start w:val="1"/>
    </w:lvl>
  </w:abstractNum>
  <w:abstractNum w:abstractNumId="114">
    <w:nsid w:val="21FAA2FA"/>
    <w:multiLevelType w:val="hybridMultilevel"/>
    <w:lvl w:ilvl="0">
      <w:lvlJc w:val="left"/>
      <w:lvlText w:val="(%1)"/>
      <w:numFmt w:val="decimal"/>
      <w:start w:val="3"/>
    </w:lvl>
  </w:abstractNum>
  <w:abstractNum w:abstractNumId="115">
    <w:nsid w:val="5451CF49"/>
    <w:multiLevelType w:val="hybridMultilevel"/>
    <w:lvl w:ilvl="0">
      <w:lvlJc w:val="left"/>
      <w:lvlText w:val="(%1)"/>
      <w:numFmt w:val="decimal"/>
      <w:start w:val="1"/>
    </w:lvl>
  </w:abstractNum>
  <w:abstractNum w:abstractNumId="116">
    <w:nsid w:val="6181EF69"/>
    <w:multiLevelType w:val="hybridMultilevel"/>
    <w:lvl w:ilvl="0">
      <w:lvlJc w:val="left"/>
      <w:lvlText w:val="(%1)"/>
      <w:numFmt w:val="decimal"/>
      <w:start w:val="1"/>
    </w:lvl>
  </w:abstractNum>
  <w:abstractNum w:abstractNumId="117">
    <w:nsid w:val="3E6400E6"/>
    <w:multiLevelType w:val="hybridMultilevel"/>
    <w:lvl w:ilvl="0">
      <w:lvlJc w:val="left"/>
      <w:lvlText w:val="(%1)"/>
      <w:numFmt w:val="decimal"/>
      <w:start w:val="1"/>
    </w:lvl>
    <w:lvl w:ilvl="1">
      <w:lvlJc w:val="left"/>
      <w:lvlText w:val="(%2)"/>
      <w:numFmt w:val="lowerLetter"/>
      <w:start w:val="1"/>
    </w:lvl>
  </w:abstractNum>
  <w:abstractNum w:abstractNumId="118">
    <w:nsid w:val="14217E23"/>
    <w:multiLevelType w:val="hybridMultilevel"/>
    <w:lvl w:ilvl="0">
      <w:lvlJc w:val="left"/>
      <w:lvlText w:val="(%1)"/>
      <w:numFmt w:val="decimal"/>
      <w:start w:val="4"/>
    </w:lvl>
    <w:lvl w:ilvl="1">
      <w:lvlJc w:val="left"/>
      <w:lvlText w:val="(%2)"/>
      <w:numFmt w:val="lowerLetter"/>
      <w:start w:val="1"/>
    </w:lvl>
  </w:abstractNum>
  <w:abstractNum w:abstractNumId="119">
    <w:nsid w:val="710757D0"/>
    <w:multiLevelType w:val="hybridMultilevel"/>
    <w:lvl w:ilvl="0">
      <w:lvlJc w:val="left"/>
      <w:lvlText w:val="(%1)"/>
      <w:numFmt w:val="decimal"/>
      <w:start w:val="7"/>
    </w:lvl>
  </w:abstractNum>
  <w:abstractNum w:abstractNumId="120">
    <w:nsid w:val="5015CD1A"/>
    <w:multiLevelType w:val="hybridMultilevel"/>
    <w:lvl w:ilvl="0">
      <w:lvlJc w:val="left"/>
      <w:lvlText w:val="(%1)"/>
      <w:numFmt w:val="decimal"/>
      <w:start w:val="12"/>
    </w:lvl>
  </w:abstractNum>
  <w:abstractNum w:abstractNumId="121">
    <w:nsid w:val="424479DA"/>
    <w:multiLevelType w:val="hybridMultilevel"/>
    <w:lvl w:ilvl="0">
      <w:lvlJc w:val="left"/>
      <w:lvlText w:val="(%1)"/>
      <w:numFmt w:val="decimal"/>
      <w:start w:val="1"/>
    </w:lvl>
  </w:abstractNum>
  <w:abstractNum w:abstractNumId="122">
    <w:nsid w:val="1A9A9E69"/>
    <w:multiLevelType w:val="hybridMultilevel"/>
    <w:lvl w:ilvl="0">
      <w:lvlJc w:val="left"/>
      <w:lvlText w:val="(%1)"/>
      <w:numFmt w:val="decimal"/>
      <w:start w:val="1"/>
    </w:lvl>
  </w:abstractNum>
  <w:abstractNum w:abstractNumId="123">
    <w:nsid w:val="475E256A"/>
    <w:multiLevelType w:val="hybridMultilevel"/>
    <w:lvl w:ilvl="0">
      <w:lvlJc w:val="left"/>
      <w:lvlText w:val="(%1)"/>
      <w:numFmt w:val="decimal"/>
      <w:start w:val="1"/>
    </w:lvl>
  </w:abstractNum>
  <w:abstractNum w:abstractNumId="124">
    <w:nsid w:val="368DB37E"/>
    <w:multiLevelType w:val="hybridMultilevel"/>
    <w:lvl w:ilvl="0">
      <w:lvlJc w:val="left"/>
      <w:lvlText w:val="(%1)"/>
      <w:numFmt w:val="decimal"/>
      <w:start w:val="2"/>
    </w:lvl>
  </w:abstractNum>
  <w:abstractNum w:abstractNumId="125">
    <w:nsid w:val="6A3B714C"/>
    <w:multiLevelType w:val="hybridMultilevel"/>
    <w:lvl w:ilvl="0">
      <w:lvlJc w:val="left"/>
      <w:lvlText w:val="%1"/>
      <w:numFmt w:val="lowerLetter"/>
      <w:start w:val="1"/>
    </w:lvl>
    <w:lvl w:ilvl="1">
      <w:lvlJc w:val="left"/>
      <w:lvlText w:val="(%2)"/>
      <w:numFmt w:val="decimal"/>
      <w:start w:val="1"/>
    </w:lvl>
  </w:abstractNum>
  <w:abstractNum w:abstractNumId="126">
    <w:nsid w:val="327B517E"/>
    <w:multiLevelType w:val="hybridMultilevel"/>
    <w:lvl w:ilvl="0">
      <w:lvlJc w:val="left"/>
      <w:lvlText w:val="(%1)"/>
      <w:numFmt w:val="lowerLetter"/>
      <w:start w:val="1"/>
    </w:lvl>
    <w:lvl w:ilvl="1">
      <w:lvlJc w:val="left"/>
      <w:lvlText w:val="(%2)"/>
      <w:numFmt w:val="decimal"/>
      <w:start w:val="3"/>
    </w:lvl>
  </w:abstractNum>
  <w:abstractNum w:abstractNumId="127">
    <w:nsid w:val="1F461B51"/>
    <w:multiLevelType w:val="hybridMultilevel"/>
    <w:lvl w:ilvl="0">
      <w:lvlJc w:val="left"/>
      <w:lvlText w:val="(%1)"/>
      <w:numFmt w:val="decimal"/>
      <w:start w:val="7"/>
    </w:lvl>
  </w:abstractNum>
  <w:abstractNum w:abstractNumId="128">
    <w:nsid w:val="29BACF25"/>
    <w:multiLevelType w:val="hybridMultilevel"/>
    <w:lvl w:ilvl="0">
      <w:lvlJc w:val="left"/>
      <w:lvlText w:val="(%1)"/>
      <w:numFmt w:val="decimal"/>
      <w:start w:val="1"/>
    </w:lvl>
  </w:abstractNum>
  <w:abstractNum w:abstractNumId="129">
    <w:nsid w:val="5D5BABB3"/>
    <w:multiLevelType w:val="hybridMultilevel"/>
    <w:lvl w:ilvl="0">
      <w:lvlJc w:val="left"/>
      <w:lvlText w:val="(%1)"/>
      <w:numFmt w:val="decimal"/>
      <w:start w:val="9"/>
    </w:lvl>
  </w:abstractNum>
  <w:abstractNum w:abstractNumId="130">
    <w:nsid w:val="51BF6B48"/>
    <w:multiLevelType w:val="hybridMultilevel"/>
    <w:lvl w:ilvl="0">
      <w:lvlJc w:val="left"/>
      <w:lvlText w:val="(%1)"/>
      <w:numFmt w:val="decimal"/>
      <w:start w:val="1"/>
    </w:lvl>
  </w:abstractNum>
  <w:abstractNum w:abstractNumId="131">
    <w:nsid w:val="7E0F6384"/>
    <w:multiLevelType w:val="hybridMultilevel"/>
    <w:lvl w:ilvl="0">
      <w:lvlJc w:val="left"/>
      <w:lvlText w:val="(%1)"/>
      <w:numFmt w:val="decimal"/>
      <w:start w:val="7"/>
    </w:lvl>
  </w:abstractNum>
  <w:abstractNum w:abstractNumId="132">
    <w:nsid w:val="2B4B8B53"/>
    <w:multiLevelType w:val="hybridMultilevel"/>
    <w:lvl w:ilvl="0">
      <w:lvlJc w:val="left"/>
      <w:lvlText w:val="(%1)"/>
      <w:numFmt w:val="decimal"/>
      <w:start w:val="1"/>
    </w:lvl>
  </w:abstractNum>
  <w:abstractNum w:abstractNumId="133">
    <w:nsid w:val="72E3413A"/>
    <w:multiLevelType w:val="hybridMultilevel"/>
    <w:lvl w:ilvl="0">
      <w:lvlJc w:val="left"/>
      <w:lvlText w:val="(%1)"/>
      <w:numFmt w:val="decimal"/>
      <w:start w:val="1"/>
    </w:lvl>
    <w:lvl w:ilvl="1">
      <w:lvlJc w:val="left"/>
      <w:lvlText w:val="(%2)"/>
      <w:numFmt w:val="lowerLetter"/>
      <w:start w:val="1"/>
    </w:lvl>
  </w:abstractNum>
  <w:abstractNum w:abstractNumId="134">
    <w:nsid w:val="116AE494"/>
    <w:multiLevelType w:val="hybridMultilevel"/>
    <w:lvl w:ilvl="0">
      <w:lvlJc w:val="left"/>
      <w:lvlText w:val="(%1)"/>
      <w:numFmt w:val="decimal"/>
      <w:start w:val="2"/>
    </w:lvl>
  </w:abstractNum>
  <w:abstractNum w:abstractNumId="135">
    <w:nsid w:val="3494B2FB"/>
    <w:multiLevelType w:val="hybridMultilevel"/>
    <w:lvl w:ilvl="0">
      <w:lvlJc w:val="left"/>
      <w:lvlText w:val="(%1)"/>
      <w:numFmt w:val="decimal"/>
      <w:start w:val="1"/>
    </w:lvl>
  </w:abstractNum>
  <w:abstractNum w:abstractNumId="136">
    <w:nsid w:val="B13A31"/>
    <w:multiLevelType w:val="hybridMultilevel"/>
    <w:lvl w:ilvl="0">
      <w:lvlJc w:val="left"/>
      <w:lvlText w:val="(%1)"/>
      <w:numFmt w:val="decimal"/>
      <w:start w:val="1"/>
    </w:lvl>
  </w:abstractNum>
  <w:abstractNum w:abstractNumId="137">
    <w:nsid w:val="64429599"/>
    <w:multiLevelType w:val="hybridMultilevel"/>
    <w:lvl w:ilvl="0">
      <w:lvlJc w:val="left"/>
      <w:lvlText w:val="(%1)"/>
      <w:numFmt w:val="decimal"/>
      <w:start w:val="1"/>
    </w:lvl>
  </w:abstractNum>
  <w:abstractNum w:abstractNumId="138">
    <w:nsid w:val="631F1690"/>
    <w:multiLevelType w:val="hybridMultilevel"/>
    <w:lvl w:ilvl="0">
      <w:lvlJc w:val="left"/>
      <w:lvlText w:val="(%1)"/>
      <w:numFmt w:val="decimal"/>
      <w:start w:val="1"/>
    </w:lvl>
  </w:abstractNum>
  <w:abstractNum w:abstractNumId="139">
    <w:nsid w:val="25973E32"/>
    <w:multiLevelType w:val="hybridMultilevel"/>
    <w:lvl w:ilvl="0">
      <w:lvlJc w:val="left"/>
      <w:lvlText w:val="(%1)"/>
      <w:numFmt w:val="decimal"/>
      <w:start w:val="1"/>
    </w:lvl>
  </w:abstractNum>
  <w:abstractNum w:abstractNumId="140">
    <w:nsid w:val="EAD6F57"/>
    <w:multiLevelType w:val="hybridMultilevel"/>
    <w:lvl w:ilvl="0">
      <w:lvlJc w:val="left"/>
      <w:lvlText w:val="(%1)"/>
      <w:numFmt w:val="decimal"/>
      <w:start w:val="1"/>
    </w:lvl>
  </w:abstractNum>
  <w:abstractNum w:abstractNumId="141">
    <w:nsid w:val="6EC9D844"/>
    <w:multiLevelType w:val="hybridMultilevel"/>
    <w:lvl w:ilvl="0">
      <w:lvlJc w:val="left"/>
      <w:lvlText w:val="(%1)"/>
      <w:numFmt w:val="decimal"/>
      <w:start w:val="1"/>
    </w:lvl>
    <w:lvl w:ilvl="1">
      <w:lvlJc w:val="left"/>
      <w:lvlText w:val="(%2)"/>
      <w:numFmt w:val="lowerLetter"/>
      <w:start w:val="1"/>
    </w:lvl>
  </w:abstractNum>
  <w:abstractNum w:abstractNumId="142">
    <w:nsid w:val="5C49EAEE"/>
    <w:multiLevelType w:val="hybridMultilevel"/>
    <w:lvl w:ilvl="0">
      <w:lvlJc w:val="left"/>
      <w:lvlText w:val="(%1)"/>
      <w:numFmt w:val="decimal"/>
      <w:start w:val="3"/>
    </w:lvl>
  </w:abstractNum>
  <w:abstractNum w:abstractNumId="143">
    <w:nsid w:val="64AF49B"/>
    <w:multiLevelType w:val="hybridMultilevel"/>
    <w:lvl w:ilvl="0">
      <w:lvlJc w:val="left"/>
      <w:lvlText w:val="(%1)"/>
      <w:numFmt w:val="decimal"/>
      <w:start w:val="1"/>
    </w:lvl>
  </w:abstractNum>
  <w:abstractNum w:abstractNumId="144">
    <w:nsid w:val="397C46BC"/>
    <w:multiLevelType w:val="hybridMultilevel"/>
    <w:lvl w:ilvl="0">
      <w:lvlJc w:val="left"/>
      <w:lvlText w:val="(%1)"/>
      <w:numFmt w:val="decimal"/>
      <w:start w:val="1"/>
    </w:lvl>
  </w:abstractNum>
  <w:abstractNum w:abstractNumId="145">
    <w:nsid w:val="7E448DE9"/>
    <w:multiLevelType w:val="hybridMultilevel"/>
    <w:lvl w:ilvl="0">
      <w:lvlJc w:val="left"/>
      <w:lvlText w:val="(%1)"/>
      <w:numFmt w:val="decimal"/>
      <w:start w:val="2"/>
    </w:lvl>
  </w:abstractNum>
  <w:abstractNum w:abstractNumId="146">
    <w:nsid w:val="5A9CC3E5"/>
    <w:multiLevelType w:val="hybridMultilevel"/>
    <w:lvl w:ilvl="0">
      <w:lvlJc w:val="left"/>
      <w:lvlText w:val="(%1)"/>
      <w:numFmt w:val="decimal"/>
      <w:start w:val="1"/>
    </w:lvl>
    <w:lvl w:ilvl="1">
      <w:lvlJc w:val="left"/>
      <w:lvlText w:val="(%2)"/>
      <w:numFmt w:val="lowerLetter"/>
      <w:start w:val="60"/>
    </w:lvl>
    <w:lvl w:ilvl="2">
      <w:lvlJc w:val="left"/>
      <w:lvlText w:val="(%3)"/>
      <w:numFmt w:val="lowerLetter"/>
      <w:start w:val="1"/>
    </w:lvl>
  </w:abstractNum>
  <w:abstractNum w:abstractNumId="147">
    <w:nsid w:val="1AFE36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48">
    <w:nsid w:val="3CA88ECF"/>
    <w:multiLevelType w:val="hybridMultilevel"/>
    <w:lvl w:ilvl="0">
      <w:lvlJc w:val="left"/>
      <w:lvlText w:val="(%1)"/>
      <w:numFmt w:val="decimal"/>
      <w:start w:val="4"/>
    </w:lvl>
  </w:abstractNum>
  <w:abstractNum w:abstractNumId="149">
    <w:nsid w:val="6EBE4208"/>
    <w:multiLevelType w:val="hybridMultilevel"/>
    <w:lvl w:ilvl="0">
      <w:lvlJc w:val="left"/>
      <w:lvlText w:val="(%1)"/>
      <w:numFmt w:val="decimal"/>
      <w:start w:val="1"/>
    </w:lvl>
  </w:abstractNum>
  <w:abstractNum w:abstractNumId="150">
    <w:nsid w:val="C058DF5"/>
    <w:multiLevelType w:val="hybridMultilevel"/>
    <w:lvl w:ilvl="0">
      <w:lvlJc w:val="left"/>
      <w:lvlText w:val="(%1)"/>
      <w:numFmt w:val="decimal"/>
      <w:start w:val="1"/>
    </w:lvl>
  </w:abstractNum>
  <w:abstractNum w:abstractNumId="151">
    <w:nsid w:val="CBE5BE9"/>
    <w:multiLevelType w:val="hybridMultilevel"/>
    <w:lvl w:ilvl="0">
      <w:lvlJc w:val="left"/>
      <w:lvlText w:val="(%1)"/>
      <w:numFmt w:val="decimal"/>
      <w:start w:val="1"/>
    </w:lvl>
  </w:abstractNum>
  <w:abstractNum w:abstractNumId="152">
    <w:nsid w:val="3102BBE2"/>
    <w:multiLevelType w:val="hybridMultilevel"/>
    <w:lvl w:ilvl="0">
      <w:lvlJc w:val="left"/>
      <w:lvlText w:val="(%1)"/>
      <w:numFmt w:val="decimal"/>
      <w:start w:val="1"/>
    </w:lvl>
  </w:abstractNum>
  <w:abstractNum w:abstractNumId="153">
    <w:nsid w:val="26A02C5E"/>
    <w:multiLevelType w:val="hybridMultilevel"/>
    <w:lvl w:ilvl="0">
      <w:lvlJc w:val="left"/>
      <w:lvlText w:val="(%1)"/>
      <w:numFmt w:val="decimal"/>
      <w:start w:val="1"/>
    </w:lvl>
  </w:abstractNum>
  <w:abstractNum w:abstractNumId="154">
    <w:nsid w:val="541C8153"/>
    <w:multiLevelType w:val="hybridMultilevel"/>
    <w:lvl w:ilvl="0">
      <w:lvlJc w:val="left"/>
      <w:lvlText w:val="(%1)"/>
      <w:numFmt w:val="decimal"/>
      <w:start w:val="1"/>
    </w:lvl>
  </w:abstractNum>
  <w:abstractNum w:abstractNumId="155">
    <w:nsid w:val="67906F60"/>
    <w:multiLevelType w:val="hybridMultilevel"/>
    <w:lvl w:ilvl="0">
      <w:lvlJc w:val="left"/>
      <w:lvlText w:val="(%1)"/>
      <w:numFmt w:val="decimal"/>
      <w:start w:val="2"/>
    </w:lvl>
  </w:abstractNum>
  <w:abstractNum w:abstractNumId="156">
    <w:nsid w:val="10DB9DAA"/>
    <w:multiLevelType w:val="hybridMultilevel"/>
    <w:lvl w:ilvl="0">
      <w:lvlJc w:val="left"/>
      <w:lvlText w:val="(%1)"/>
      <w:numFmt w:val="decimal"/>
      <w:start w:val="1"/>
    </w:lvl>
  </w:abstractNum>
  <w:abstractNum w:abstractNumId="157">
    <w:nsid w:val="697D2D2"/>
    <w:multiLevelType w:val="hybridMultilevel"/>
    <w:lvl w:ilvl="0">
      <w:lvlJc w:val="left"/>
      <w:lvlText w:val="(%1)"/>
      <w:numFmt w:val="decimal"/>
      <w:start w:val="2"/>
    </w:lvl>
  </w:abstractNum>
  <w:abstractNum w:abstractNumId="158">
    <w:nsid w:val="6D68AB2"/>
    <w:multiLevelType w:val="hybridMultilevel"/>
    <w:lvl w:ilvl="0">
      <w:lvlJc w:val="left"/>
      <w:lvlText w:val="(%1)"/>
      <w:numFmt w:val="decimal"/>
      <w:start w:val="1"/>
    </w:lvl>
  </w:abstractNum>
  <w:abstractNum w:abstractNumId="159">
    <w:nsid w:val="3A966CD0"/>
    <w:multiLevelType w:val="hybridMultilevel"/>
    <w:lvl w:ilvl="0">
      <w:lvlJc w:val="left"/>
      <w:lvlText w:val="(%1)"/>
      <w:numFmt w:val="decimal"/>
      <w:start w:val="1"/>
    </w:lvl>
  </w:abstractNum>
  <w:abstractNum w:abstractNumId="160">
    <w:nsid w:val="63F37E85"/>
    <w:multiLevelType w:val="hybridMultilevel"/>
    <w:lvl w:ilvl="0">
      <w:lvlJc w:val="left"/>
      <w:lvlText w:val="(%1)"/>
      <w:numFmt w:val="decimal"/>
      <w:start w:val="1"/>
    </w:lvl>
  </w:abstractNum>
  <w:abstractNum w:abstractNumId="161">
    <w:nsid w:val="5895F5FA"/>
    <w:multiLevelType w:val="hybridMultilevel"/>
    <w:lvl w:ilvl="0">
      <w:lvlJc w:val="left"/>
      <w:lvlText w:val="(%1)"/>
      <w:numFmt w:val="decimal"/>
      <w:start w:val="1"/>
    </w:lvl>
  </w:abstractNum>
  <w:abstractNum w:abstractNumId="162">
    <w:nsid w:val="38A5D054"/>
    <w:multiLevelType w:val="hybridMultilevel"/>
    <w:lvl w:ilvl="0">
      <w:lvlJc w:val="left"/>
      <w:lvlText w:val="(%1)"/>
      <w:numFmt w:val="decimal"/>
      <w:start w:val="1"/>
    </w:lvl>
  </w:abstractNum>
  <w:abstractNum w:abstractNumId="163">
    <w:nsid w:val="F3F09D8"/>
    <w:multiLevelType w:val="hybridMultilevel"/>
    <w:lvl w:ilvl="0">
      <w:lvlJc w:val="left"/>
      <w:lvlText w:val="(%1)"/>
      <w:numFmt w:val="decimal"/>
      <w:start w:val="1"/>
    </w:lvl>
    <w:lvl w:ilvl="1">
      <w:lvlJc w:val="left"/>
      <w:lvlText w:val="(%2)"/>
      <w:numFmt w:val="lowerLetter"/>
      <w:start w:val="1"/>
    </w:lvl>
  </w:abstractNum>
  <w:abstractNum w:abstractNumId="164">
    <w:nsid w:val="4B793735"/>
    <w:multiLevelType w:val="hybridMultilevel"/>
    <w:lvl w:ilvl="0">
      <w:lvlJc w:val="left"/>
      <w:lvlText w:val="(%1)"/>
      <w:numFmt w:val="decimal"/>
      <w:start w:val="1"/>
    </w:lvl>
  </w:abstractNum>
  <w:abstractNum w:abstractNumId="165">
    <w:nsid w:val="4A10B4E8"/>
    <w:multiLevelType w:val="hybridMultilevel"/>
    <w:lvl w:ilvl="0">
      <w:lvlJc w:val="left"/>
      <w:lvlText w:val="(%1)"/>
      <w:numFmt w:val="decimal"/>
      <w:start w:val="1"/>
    </w:lvl>
  </w:abstractNum>
  <w:abstractNum w:abstractNumId="166">
    <w:nsid w:val="43D3BCD4"/>
    <w:multiLevelType w:val="hybridMultilevel"/>
    <w:lvl w:ilvl="0">
      <w:lvlJc w:val="left"/>
      <w:lvlText w:val="(%1)"/>
      <w:numFmt w:val="decimal"/>
      <w:start w:val="1"/>
    </w:lvl>
  </w:abstractNum>
  <w:abstractNum w:abstractNumId="167">
    <w:nsid w:val="4C2A7166"/>
    <w:multiLevelType w:val="hybridMultilevel"/>
    <w:lvl w:ilvl="0">
      <w:lvlJc w:val="left"/>
      <w:lvlText w:val="(%1)"/>
      <w:numFmt w:val="decimal"/>
      <w:start w:val="1"/>
    </w:lvl>
  </w:abstractNum>
  <w:abstractNum w:abstractNumId="168">
    <w:nsid w:val="2E534A82"/>
    <w:multiLevelType w:val="hybridMultilevel"/>
    <w:lvl w:ilvl="0">
      <w:lvlJc w:val="left"/>
      <w:lvlText w:val="(%1)"/>
      <w:numFmt w:val="decimal"/>
      <w:start w:val="1"/>
    </w:lvl>
  </w:abstractNum>
  <w:abstractNum w:abstractNumId="169">
    <w:nsid w:val="26F2D364"/>
    <w:multiLevelType w:val="hybridMultilevel"/>
    <w:lvl w:ilvl="0">
      <w:lvlJc w:val="left"/>
      <w:lvlText w:val="(%1)"/>
      <w:numFmt w:val="decimal"/>
      <w:start w:val="1"/>
    </w:lvl>
  </w:abstractNum>
  <w:abstractNum w:abstractNumId="170">
    <w:nsid w:val="71C1AF98"/>
    <w:multiLevelType w:val="hybridMultilevel"/>
    <w:lvl w:ilvl="0">
      <w:lvlJc w:val="left"/>
      <w:lvlText w:val="(%1)"/>
      <w:numFmt w:val="decimal"/>
      <w:start w:val="1"/>
    </w:lvl>
  </w:abstractNum>
  <w:abstractNum w:abstractNumId="171">
    <w:nsid w:val="3D00B9D9"/>
    <w:multiLevelType w:val="hybridMultilevel"/>
    <w:lvl w:ilvl="0">
      <w:lvlJc w:val="left"/>
      <w:lvlText w:val="(%1)"/>
      <w:numFmt w:val="decimal"/>
      <w:start w:val="1"/>
    </w:lvl>
  </w:abstractNum>
  <w:abstractNum w:abstractNumId="172">
    <w:nsid w:val="15BCABA8"/>
    <w:multiLevelType w:val="hybridMultilevel"/>
    <w:lvl w:ilvl="0">
      <w:lvlJc w:val="left"/>
      <w:lvlText w:val="(%1)"/>
      <w:numFmt w:val="decimal"/>
      <w:start w:val="1"/>
    </w:lvl>
  </w:abstractNum>
  <w:abstractNum w:abstractNumId="173">
    <w:nsid w:val="4E0B9A87"/>
    <w:multiLevelType w:val="hybridMultilevel"/>
    <w:lvl w:ilvl="0">
      <w:lvlJc w:val="left"/>
      <w:lvlText w:val="(%1)"/>
      <w:numFmt w:val="decimal"/>
      <w:start w:val="9"/>
    </w:lvl>
  </w:abstractNum>
  <w:abstractNum w:abstractNumId="174">
    <w:nsid w:val="434BAE75"/>
    <w:multiLevelType w:val="hybridMultilevel"/>
    <w:lvl w:ilvl="0">
      <w:lvlJc w:val="left"/>
      <w:lvlText w:val="(%1)"/>
      <w:numFmt w:val="decimal"/>
      <w:start w:val="1"/>
    </w:lvl>
    <w:lvl w:ilvl="1">
      <w:lvlJc w:val="left"/>
      <w:lvlText w:val="(%2)"/>
      <w:numFmt w:val="lowerLetter"/>
      <w:start w:val="1"/>
    </w:lvl>
  </w:abstractNum>
  <w:abstractNum w:abstractNumId="175">
    <w:nsid w:val="4F38F265"/>
    <w:multiLevelType w:val="hybridMultilevel"/>
    <w:lvl w:ilvl="0">
      <w:lvlJc w:val="left"/>
      <w:lvlText w:val="(%1)"/>
      <w:numFmt w:val="decimal"/>
      <w:start w:val="13"/>
    </w:lvl>
  </w:abstractNum>
  <w:abstractNum w:abstractNumId="176">
    <w:nsid w:val="4C502870"/>
    <w:multiLevelType w:val="hybridMultilevel"/>
    <w:lvl w:ilvl="0">
      <w:lvlJc w:val="left"/>
      <w:lvlText w:val="(%1)"/>
      <w:numFmt w:val="decimal"/>
      <w:start w:val="1"/>
    </w:lvl>
    <w:lvl w:ilvl="1">
      <w:lvlJc w:val="left"/>
      <w:lvlText w:val="(%2)"/>
      <w:numFmt w:val="lowerLetter"/>
      <w:start w:val="1"/>
    </w:lvl>
  </w:abstractNum>
  <w:abstractNum w:abstractNumId="177">
    <w:nsid w:val="1DE8725A"/>
    <w:multiLevelType w:val="hybridMultilevel"/>
    <w:lvl w:ilvl="0">
      <w:lvlJc w:val="left"/>
      <w:lvlText w:val="(%1)"/>
      <w:numFmt w:val="decimal"/>
      <w:start w:val="8"/>
    </w:lvl>
    <w:lvl w:ilvl="1">
      <w:lvlJc w:val="left"/>
      <w:lvlText w:val="(%2)"/>
      <w:numFmt w:val="lowerLetter"/>
      <w:start w:val="1"/>
    </w:lvl>
  </w:abstractNum>
  <w:abstractNum w:abstractNumId="178">
    <w:nsid w:val="6A37288A"/>
    <w:multiLevelType w:val="hybridMultilevel"/>
    <w:lvl w:ilvl="0">
      <w:lvlJc w:val="left"/>
      <w:lvlText w:val="(%1)"/>
      <w:numFmt w:val="decimal"/>
      <w:start w:val="16"/>
    </w:lvl>
    <w:lvl w:ilvl="1">
      <w:lvlJc w:val="left"/>
      <w:lvlText w:val="(%2)"/>
      <w:numFmt w:val="lowerLetter"/>
      <w:start w:val="1"/>
    </w:lvl>
  </w:abstractNum>
  <w:abstractNum w:abstractNumId="179">
    <w:nsid w:val="8F8B73F"/>
    <w:multiLevelType w:val="hybridMultilevel"/>
    <w:lvl w:ilvl="0">
      <w:lvlJc w:val="left"/>
      <w:lvlText w:val="(%1)"/>
      <w:numFmt w:val="decimal"/>
      <w:start w:val="25"/>
    </w:lvl>
  </w:abstractNum>
  <w:abstractNum w:abstractNumId="180">
    <w:nsid w:val="CA6B462"/>
    <w:multiLevelType w:val="hybridMultilevel"/>
    <w:lvl w:ilvl="0">
      <w:lvlJc w:val="left"/>
      <w:lvlText w:val="(%1)"/>
      <w:numFmt w:val="decimal"/>
      <w:start w:val="1"/>
    </w:lvl>
  </w:abstractNum>
  <w:abstractNum w:abstractNumId="181">
    <w:nsid w:val="763CB680"/>
    <w:multiLevelType w:val="hybridMultilevel"/>
    <w:lvl w:ilvl="0">
      <w:lvlJc w:val="left"/>
      <w:lvlText w:val="(%1)"/>
      <w:numFmt w:val="decimal"/>
      <w:start w:val="1"/>
    </w:lvl>
  </w:abstractNum>
  <w:abstractNum w:abstractNumId="182">
    <w:nsid w:val="15B71329"/>
    <w:multiLevelType w:val="hybridMultilevel"/>
    <w:lvl w:ilvl="0">
      <w:lvlJc w:val="left"/>
      <w:lvlText w:val="(%1)"/>
      <w:numFmt w:val="decimal"/>
      <w:start w:val="1"/>
    </w:lvl>
    <w:lvl w:ilvl="1">
      <w:lvlJc w:val="left"/>
      <w:lvlText w:val="(%2)"/>
      <w:numFmt w:val="lowerLetter"/>
      <w:start w:val="1"/>
    </w:lvl>
  </w:abstractNum>
  <w:abstractNum w:abstractNumId="183">
    <w:nsid w:val="3DA97044"/>
    <w:multiLevelType w:val="hybridMultilevel"/>
    <w:lvl w:ilvl="0">
      <w:lvlJc w:val="left"/>
      <w:lvlText w:val="(%1)"/>
      <w:numFmt w:val="decimal"/>
      <w:start w:val="1"/>
    </w:lvl>
  </w:abstractNum>
  <w:abstractNum w:abstractNumId="184">
    <w:nsid w:val="1CDCE2DE"/>
    <w:multiLevelType w:val="hybridMultilevel"/>
    <w:lvl w:ilvl="0">
      <w:lvlJc w:val="left"/>
      <w:lvlText w:val="(%1)"/>
      <w:numFmt w:val="decimal"/>
      <w:start w:val="1"/>
    </w:lvl>
  </w:abstractNum>
  <w:abstractNum w:abstractNumId="185">
    <w:nsid w:val="69D3947C"/>
    <w:multiLevelType w:val="hybridMultilevel"/>
    <w:lvl w:ilvl="0">
      <w:lvlJc w:val="left"/>
      <w:lvlText w:val="(%1)"/>
      <w:numFmt w:val="decimal"/>
      <w:start w:val="1"/>
    </w:lvl>
  </w:abstractNum>
  <w:abstractNum w:abstractNumId="186">
    <w:nsid w:val="2539DFA5"/>
    <w:multiLevelType w:val="hybridMultilevel"/>
    <w:lvl w:ilvl="0">
      <w:lvlJc w:val="left"/>
      <w:lvlText w:val="(%1)"/>
      <w:numFmt w:val="decimal"/>
      <w:start w:val="1"/>
    </w:lvl>
    <w:lvl w:ilvl="1">
      <w:lvlJc w:val="left"/>
      <w:lvlText w:val="(%2)"/>
      <w:numFmt w:val="lowerLetter"/>
      <w:start w:val="1"/>
    </w:lvl>
  </w:abstractNum>
  <w:abstractNum w:abstractNumId="187">
    <w:nsid w:val="2DB88089"/>
    <w:multiLevelType w:val="hybridMultilevel"/>
    <w:lvl w:ilvl="0">
      <w:lvlJc w:val="left"/>
      <w:lvlText w:val="%1"/>
      <w:numFmt w:val="decimal"/>
      <w:start w:val="1"/>
    </w:lvl>
    <w:lvl w:ilvl="1">
      <w:lvlJc w:val="left"/>
      <w:lvlText w:val="(%2)"/>
      <w:numFmt w:val="lowerLetter"/>
      <w:start w:val="2"/>
    </w:lvl>
  </w:abstractNum>
  <w:abstractNum w:abstractNumId="188">
    <w:nsid w:val="706B674E"/>
    <w:multiLevelType w:val="hybridMultilevel"/>
    <w:lvl w:ilvl="0">
      <w:lvlJc w:val="left"/>
      <w:lvlText w:val="(%1)"/>
      <w:numFmt w:val="decimal"/>
      <w:start w:val="4"/>
    </w:lvl>
    <w:lvl w:ilvl="1">
      <w:lvlJc w:val="left"/>
      <w:lvlText w:val="%2"/>
      <w:numFmt w:val="lowerLetter"/>
      <w:start w:val="1"/>
    </w:lvl>
  </w:abstractNum>
  <w:abstractNum w:abstractNumId="189">
    <w:nsid w:val="2C106A57"/>
    <w:multiLevelType w:val="hybridMultilevel"/>
    <w:lvl w:ilvl="0">
      <w:lvlJc w:val="left"/>
      <w:lvlText w:val="(%1)"/>
      <w:numFmt w:val="decimal"/>
      <w:start w:val="1"/>
    </w:lvl>
  </w:abstractNum>
  <w:abstractNum w:abstractNumId="190">
    <w:nsid w:val="684EED59"/>
    <w:multiLevelType w:val="hybridMultilevel"/>
    <w:lvl w:ilvl="0">
      <w:lvlJc w:val="left"/>
      <w:lvlText w:val="(%1)"/>
      <w:numFmt w:val="decimal"/>
      <w:start w:val="8"/>
    </w:lvl>
  </w:abstractNum>
  <w:abstractNum w:abstractNumId="191">
    <w:nsid w:val="545EE5D3"/>
    <w:multiLevelType w:val="hybridMultilevel"/>
    <w:lvl w:ilvl="0">
      <w:lvlJc w:val="left"/>
      <w:lvlText w:val="(%1)"/>
      <w:numFmt w:val="decimal"/>
      <w:start w:val="1"/>
    </w:lvl>
  </w:abstractNum>
  <w:abstractNum w:abstractNumId="192">
    <w:nsid w:val="4A66051"/>
    <w:multiLevelType w:val="hybridMultilevel"/>
    <w:lvl w:ilvl="0">
      <w:lvlJc w:val="left"/>
      <w:lvlText w:val="(%1)"/>
      <w:numFmt w:val="decimal"/>
      <w:start w:val="1"/>
    </w:lvl>
  </w:abstractNum>
  <w:abstractNum w:abstractNumId="193">
    <w:nsid w:val="20F4BDAD"/>
    <w:multiLevelType w:val="hybridMultilevel"/>
    <w:lvl w:ilvl="0">
      <w:lvlJc w:val="left"/>
      <w:lvlText w:val="(%1)"/>
      <w:numFmt w:val="decimal"/>
      <w:start w:val="1"/>
    </w:lvl>
  </w:abstractNum>
  <w:abstractNum w:abstractNumId="194">
    <w:nsid w:val="639DEFAC"/>
    <w:multiLevelType w:val="hybridMultilevel"/>
    <w:lvl w:ilvl="0">
      <w:lvlJc w:val="left"/>
      <w:lvlText w:val="(%1)"/>
      <w:numFmt w:val="decimal"/>
      <w:start w:val="1"/>
    </w:lvl>
  </w:abstractNum>
  <w:abstractNum w:abstractNumId="195">
    <w:nsid w:val="501F9786"/>
    <w:multiLevelType w:val="hybridMultilevel"/>
    <w:lvl w:ilvl="0">
      <w:lvlJc w:val="left"/>
      <w:lvlText w:val="(%1)"/>
      <w:numFmt w:val="decimal"/>
      <w:start w:val="1"/>
    </w:lvl>
  </w:abstractNum>
  <w:abstractNum w:abstractNumId="196">
    <w:nsid w:val="6B057295"/>
    <w:multiLevelType w:val="hybridMultilevel"/>
    <w:lvl w:ilvl="0">
      <w:lvlJc w:val="left"/>
      <w:lvlText w:val="(%1)"/>
      <w:numFmt w:val="decimal"/>
      <w:start w:val="1"/>
    </w:lvl>
  </w:abstractNum>
  <w:abstractNum w:abstractNumId="197">
    <w:nsid w:val="2771AC80"/>
    <w:multiLevelType w:val="hybridMultilevel"/>
    <w:lvl w:ilvl="0">
      <w:lvlJc w:val="left"/>
      <w:lvlText w:val="(%1)"/>
      <w:numFmt w:val="decimal"/>
      <w:start w:val="3"/>
    </w:lvl>
  </w:abstractNum>
  <w:abstractNum w:abstractNumId="198">
    <w:nsid w:val="1C4A08EC"/>
    <w:multiLevelType w:val="hybridMultilevel"/>
    <w:lvl w:ilvl="0">
      <w:lvlJc w:val="left"/>
      <w:lvlText w:val="(%1)"/>
      <w:numFmt w:val="decimal"/>
      <w:start w:val="1"/>
    </w:lvl>
  </w:abstractNum>
  <w:abstractNum w:abstractNumId="199">
    <w:nsid w:val="1958BD17"/>
    <w:multiLevelType w:val="hybridMultilevel"/>
    <w:lvl w:ilvl="0">
      <w:lvlJc w:val="left"/>
      <w:lvlText w:val="•"/>
      <w:numFmt w:val="bullet"/>
      <w:start w:val="1"/>
    </w:lvl>
  </w:abstractNum>
  <w:abstractNum w:abstractNumId="200">
    <w:nsid w:val="4E647FE4"/>
    <w:multiLevelType w:val="hybridMultilevel"/>
    <w:lvl w:ilvl="0">
      <w:lvlJc w:val="left"/>
      <w:lvlText w:val="•"/>
      <w:numFmt w:val="bullet"/>
      <w:start w:val="1"/>
    </w:lvl>
  </w:abstractNum>
  <w:abstractNum w:abstractNumId="201">
    <w:nsid w:val="E0BB885"/>
    <w:multiLevelType w:val="hybridMultilevel"/>
    <w:lvl w:ilvl="0">
      <w:lvlJc w:val="left"/>
      <w:lvlText w:val="•"/>
      <w:numFmt w:val="bullet"/>
      <w:start w:val="1"/>
    </w:lvl>
  </w:abstractNum>
  <w:abstractNum w:abstractNumId="202">
    <w:nsid w:val="565976F1"/>
    <w:multiLevelType w:val="hybridMultilevel"/>
    <w:lvl w:ilvl="0">
      <w:lvlJc w:val="left"/>
      <w:lvlText w:val="•"/>
      <w:numFmt w:val="bullet"/>
      <w:start w:val="1"/>
    </w:lvl>
  </w:abstractNum>
  <w:abstractNum w:abstractNumId="203">
    <w:nsid w:val="64212B8C"/>
    <w:multiLevelType w:val="hybridMultilevel"/>
    <w:lvl w:ilvl="0">
      <w:lvlJc w:val="left"/>
      <w:lvlText w:val="•"/>
      <w:numFmt w:val="bullet"/>
      <w:start w:val="1"/>
    </w:lvl>
  </w:abstractNum>
  <w:abstractNum w:abstractNumId="204">
    <w:nsid w:val="5C17530C"/>
    <w:multiLevelType w:val="hybridMultilevel"/>
    <w:lvl w:ilvl="0">
      <w:lvlJc w:val="left"/>
      <w:lvlText w:val="•"/>
      <w:numFmt w:val="bullet"/>
      <w:start w:val="1"/>
    </w:lvl>
  </w:abstractNum>
  <w:abstractNum w:abstractNumId="205">
    <w:nsid w:val="19A52566"/>
    <w:multiLevelType w:val="hybridMultilevel"/>
    <w:lvl w:ilvl="0">
      <w:lvlJc w:val="left"/>
      <w:lvlText w:val="•"/>
      <w:numFmt w:val="bullet"/>
      <w:start w:val="1"/>
    </w:lvl>
  </w:abstractNum>
  <w:abstractNum w:abstractNumId="206">
    <w:nsid w:val="335A1DF1"/>
    <w:multiLevelType w:val="hybridMultilevel"/>
    <w:lvl w:ilvl="0">
      <w:lvlJc w:val="left"/>
      <w:lvlText w:val="•"/>
      <w:numFmt w:val="bullet"/>
      <w:start w:val="1"/>
    </w:lvl>
  </w:abstractNum>
  <w:abstractNum w:abstractNumId="207">
    <w:nsid w:val="28677B7C"/>
    <w:multiLevelType w:val="hybridMultilevel"/>
    <w:lvl w:ilvl="0">
      <w:lvlJc w:val="left"/>
      <w:lvlText w:val="•"/>
      <w:numFmt w:val="bullet"/>
      <w:start w:val="1"/>
    </w:lvl>
  </w:abstractNum>
  <w:abstractNum w:abstractNumId="208">
    <w:nsid w:val="378D97C0"/>
    <w:multiLevelType w:val="hybridMultilevel"/>
    <w:lvl w:ilvl="0">
      <w:lvlJc w:val="left"/>
      <w:lvlText w:val="•"/>
      <w:numFmt w:val="bullet"/>
      <w:start w:val="1"/>
    </w:lvl>
    <w:lvl w:ilvl="1">
      <w:lvlJc w:val="left"/>
      <w:lvlText w:val="(%2)"/>
      <w:numFmt w:val="decimal"/>
      <w:start w:val="1"/>
    </w:lvl>
  </w:abstractNum>
  <w:abstractNum w:abstractNumId="209">
    <w:nsid w:val="1D91467C"/>
    <w:multiLevelType w:val="hybridMultilevel"/>
    <w:lvl w:ilvl="0">
      <w:lvlJc w:val="left"/>
      <w:lvlText w:val="•"/>
      <w:numFmt w:val="bullet"/>
      <w:start w:val="1"/>
    </w:lvl>
    <w:lvl w:ilvl="1">
      <w:lvlJc w:val="left"/>
      <w:lvlText w:val="(%2)"/>
      <w:numFmt w:val="decimal"/>
      <w:start w:val="4"/>
    </w:lvl>
  </w:abstractNum>
  <w:abstractNum w:abstractNumId="210">
    <w:nsid w:val="316032BB"/>
    <w:multiLevelType w:val="hybridMultilevel"/>
    <w:lvl w:ilvl="0">
      <w:lvlJc w:val="left"/>
      <w:lvlText w:val="•"/>
      <w:numFmt w:val="bullet"/>
      <w:start w:val="1"/>
    </w:lvl>
  </w:abstractNum>
  <w:abstractNum w:abstractNumId="211">
    <w:nsid w:val="44344C22"/>
    <w:multiLevelType w:val="hybridMultilevel"/>
    <w:lvl w:ilvl="0">
      <w:lvlJc w:val="left"/>
      <w:lvlText w:val="•"/>
      <w:numFmt w:val="bullet"/>
      <w:start w:val="1"/>
    </w:lvl>
  </w:abstractNum>
  <w:abstractNum w:abstractNumId="212">
    <w:nsid w:val="13CDFCFC"/>
    <w:multiLevelType w:val="hybridMultilevel"/>
    <w:lvl w:ilvl="0">
      <w:lvlJc w:val="left"/>
      <w:lvlText w:val="•"/>
      <w:numFmt w:val="bullet"/>
      <w:start w:val="1"/>
    </w:lvl>
  </w:abstractNum>
  <w:abstractNum w:abstractNumId="213">
    <w:nsid w:val="471745E4"/>
    <w:multiLevelType w:val="hybridMultilevel"/>
    <w:lvl w:ilvl="0">
      <w:lvlJc w:val="left"/>
      <w:lvlText w:val="•"/>
      <w:numFmt w:val="bullet"/>
      <w:start w:val="1"/>
    </w:lvl>
    <w:lvl w:ilvl="1">
      <w:lvlJc w:val="left"/>
      <w:lvlText w:val="(%2)"/>
      <w:numFmt w:val="decimal"/>
      <w:start w:val="1"/>
    </w:lvl>
  </w:abstractNum>
  <w:abstractNum w:abstractNumId="214">
    <w:nsid w:val="1DDBC66"/>
    <w:multiLevelType w:val="hybridMultilevel"/>
    <w:lvl w:ilvl="0">
      <w:lvlJc w:val="left"/>
      <w:lvlText w:val="•"/>
      <w:numFmt w:val="bullet"/>
      <w:start w:val="1"/>
    </w:lvl>
  </w:abstractNum>
  <w:abstractNum w:abstractNumId="215">
    <w:nsid w:val="30AADFDA"/>
    <w:multiLevelType w:val="hybridMultilevel"/>
    <w:lvl w:ilvl="0">
      <w:lvlJc w:val="left"/>
      <w:lvlText w:val="•"/>
      <w:numFmt w:val="bullet"/>
      <w:start w:val="1"/>
    </w:lvl>
  </w:abstractNum>
  <w:abstractNum w:abstractNumId="216">
    <w:nsid w:val="30EADA61"/>
    <w:multiLevelType w:val="hybridMultilevel"/>
    <w:lvl w:ilvl="0">
      <w:lvlJc w:val="left"/>
      <w:lvlText w:val="•"/>
      <w:numFmt w:val="bullet"/>
      <w:start w:val="1"/>
    </w:lvl>
  </w:abstractNum>
  <w:abstractNum w:abstractNumId="217">
    <w:nsid w:val="27179C0B"/>
    <w:multiLevelType w:val="hybridMultilevel"/>
    <w:lvl w:ilvl="0">
      <w:lvlJc w:val="left"/>
      <w:lvlText w:val="•"/>
      <w:numFmt w:val="bullet"/>
      <w:start w:val="1"/>
    </w:lvl>
    <w:lvl w:ilvl="1">
      <w:lvlJc w:val="left"/>
      <w:lvlText w:val="•"/>
      <w:numFmt w:val="bullet"/>
      <w:start w:val="1"/>
    </w:lvl>
  </w:abstractNum>
  <w:abstractNum w:abstractNumId="218">
    <w:nsid w:val="5E636063"/>
    <w:multiLevelType w:val="hybridMultilevel"/>
    <w:lvl w:ilvl="0">
      <w:lvlJc w:val="left"/>
      <w:lvlText w:val="•"/>
      <w:numFmt w:val="bullet"/>
      <w:start w:val="1"/>
    </w:lvl>
  </w:abstractNum>
  <w:abstractNum w:abstractNumId="219">
    <w:nsid w:val="215641AF"/>
    <w:multiLevelType w:val="hybridMultilevel"/>
    <w:lvl w:ilvl="0">
      <w:lvlJc w:val="left"/>
      <w:lvlText w:val="•"/>
      <w:numFmt w:val="bullet"/>
      <w:start w:val="1"/>
    </w:lvl>
  </w:abstractNum>
  <w:abstractNum w:abstractNumId="220">
    <w:nsid w:val="53280662"/>
    <w:multiLevelType w:val="hybridMultilevel"/>
    <w:lvl w:ilvl="0">
      <w:lvlJc w:val="left"/>
      <w:lvlText w:val="•"/>
      <w:numFmt w:val="bullet"/>
      <w:start w:val="1"/>
    </w:lvl>
  </w:abstractNum>
  <w:abstractNum w:abstractNumId="221">
    <w:nsid w:val="46B24DBC"/>
    <w:multiLevelType w:val="hybridMultilevel"/>
    <w:lvl w:ilvl="0">
      <w:lvlJc w:val="left"/>
      <w:lvlText w:val="•"/>
      <w:numFmt w:val="bullet"/>
      <w:start w:val="1"/>
    </w:lvl>
  </w:abstractNum>
  <w:abstractNum w:abstractNumId="222">
    <w:nsid w:val="75B52783"/>
    <w:multiLevelType w:val="hybridMultilevel"/>
    <w:lvl w:ilvl="0">
      <w:lvlJc w:val="left"/>
      <w:lvlText w:val="•"/>
      <w:numFmt w:val="bullet"/>
      <w:start w:val="1"/>
    </w:lvl>
    <w:lvl w:ilvl="1">
      <w:lvlJc w:val="left"/>
      <w:lvlText w:val="•"/>
      <w:numFmt w:val="bullet"/>
      <w:start w:val="1"/>
    </w:lvl>
  </w:abstractNum>
  <w:abstractNum w:abstractNumId="223">
    <w:nsid w:val="57CE66B4"/>
    <w:multiLevelType w:val="hybridMultilevel"/>
    <w:lvl w:ilvl="0">
      <w:lvlJc w:val="left"/>
      <w:lvlText w:val="•"/>
      <w:numFmt w:val="bullet"/>
      <w:start w:val="1"/>
    </w:lvl>
    <w:lvl w:ilvl="1">
      <w:lvlJc w:val="left"/>
      <w:lvlText w:val="•"/>
      <w:numFmt w:val="bullet"/>
      <w:start w:val="1"/>
    </w:lvl>
  </w:abstractNum>
  <w:abstractNum w:abstractNumId="224">
    <w:nsid w:val="67A70B69"/>
    <w:multiLevelType w:val="hybridMultilevel"/>
    <w:lvl w:ilvl="0">
      <w:lvlJc w:val="left"/>
      <w:lvlText w:val="•"/>
      <w:numFmt w:val="bullet"/>
      <w:start w:val="1"/>
    </w:lvl>
    <w:lvl w:ilvl="1">
      <w:lvlJc w:val="left"/>
      <w:lvlText w:val="•"/>
      <w:numFmt w:val="bullet"/>
      <w:start w:val="1"/>
    </w:lvl>
  </w:abstractNum>
  <w:abstractNum w:abstractNumId="225">
    <w:nsid w:val="5953172F"/>
    <w:multiLevelType w:val="hybridMultilevel"/>
    <w:lvl w:ilvl="0">
      <w:lvlJc w:val="left"/>
      <w:lvlText w:val="•"/>
      <w:numFmt w:val="bullet"/>
      <w:start w:val="1"/>
    </w:lvl>
  </w:abstractNum>
  <w:abstractNum w:abstractNumId="226">
    <w:nsid w:val="27EDFE3A"/>
    <w:multiLevelType w:val="hybridMultilevel"/>
    <w:lvl w:ilvl="0">
      <w:lvlJc w:val="left"/>
      <w:lvlText w:val="•"/>
      <w:numFmt w:val="bullet"/>
      <w:start w:val="1"/>
    </w:lvl>
  </w:abstractNum>
  <w:abstractNum w:abstractNumId="227">
    <w:nsid w:val="52AC7DFF"/>
    <w:multiLevelType w:val="hybridMultilevel"/>
    <w:lvl w:ilvl="0">
      <w:lvlJc w:val="left"/>
      <w:lvlText w:val="%1."/>
      <w:numFmt w:val="decimal"/>
      <w:start w:val="1"/>
    </w:lvl>
  </w:abstractNum>
  <w:abstractNum w:abstractNumId="228">
    <w:nsid w:val="C4C3AF"/>
    <w:multiLevelType w:val="hybridMultilevel"/>
    <w:lvl w:ilvl="0">
      <w:lvlJc w:val="left"/>
      <w:lvlText w:val="%1."/>
      <w:numFmt w:val="decimal"/>
      <w:start w:val="6"/>
    </w:lvl>
  </w:abstractNum>
  <w:abstractNum w:abstractNumId="229">
    <w:nsid w:val="44380727"/>
    <w:multiLevelType w:val="hybridMultilevel"/>
    <w:lvl w:ilvl="0">
      <w:lvlJc w:val="left"/>
      <w:lvlText w:val="%1."/>
      <w:numFmt w:val="decimal"/>
      <w:start w:val="7"/>
    </w:lvl>
  </w:abstractNum>
  <w:abstractNum w:abstractNumId="230">
    <w:nsid w:val="6C053B16"/>
    <w:multiLevelType w:val="hybridMultilevel"/>
    <w:lvl w:ilvl="0">
      <w:lvlJc w:val="left"/>
      <w:lvlText w:val="%1."/>
      <w:numFmt w:val="decimal"/>
      <w:start w:val="2"/>
    </w:lvl>
  </w:abstractNum>
  <w:abstractNum w:abstractNumId="231">
    <w:nsid w:val="4F294393"/>
    <w:multiLevelType w:val="hybridMultilevel"/>
    <w:lvl w:ilvl="0">
      <w:lvlJc w:val="left"/>
      <w:lvlText w:val="%1."/>
      <w:numFmt w:val="decimal"/>
      <w:start w:val="7"/>
    </w:lvl>
  </w:abstractNum>
  <w:abstractNum w:abstractNumId="232">
    <w:nsid w:val="5243BFAC"/>
    <w:multiLevelType w:val="hybridMultilevel"/>
    <w:lvl w:ilvl="0">
      <w:lvlJc w:val="left"/>
      <w:lvlText w:val="%1."/>
      <w:numFmt w:val="decimal"/>
      <w:start w:val="8"/>
    </w:lvl>
  </w:abstractNum>
  <w:abstractNum w:abstractNumId="233">
    <w:nsid w:val="425EB207"/>
    <w:multiLevelType w:val="hybridMultilevel"/>
    <w:lvl w:ilvl="0">
      <w:lvlJc w:val="left"/>
      <w:lvlText w:val="(%1)"/>
      <w:numFmt w:val="decimal"/>
      <w:start w:val="1"/>
    </w:lvl>
  </w:abstractNum>
  <w:abstractNum w:abstractNumId="234">
    <w:nsid w:val="334A6F1F"/>
    <w:multiLevelType w:val="hybridMultilevel"/>
    <w:lvl w:ilvl="0">
      <w:lvlJc w:val="left"/>
      <w:lvlText w:val="(%1)"/>
      <w:numFmt w:val="decimal"/>
      <w:start w:val="1"/>
    </w:lvl>
  </w:abstractNum>
  <w:abstractNum w:abstractNumId="235">
    <w:nsid w:val="2E5B12B8"/>
    <w:multiLevelType w:val="hybridMultilevel"/>
    <w:lvl w:ilvl="0">
      <w:lvlJc w:val="left"/>
      <w:lvlText w:val="(%1)"/>
      <w:numFmt w:val="decimal"/>
      <w:start w:val="1"/>
    </w:lvl>
  </w:abstractNum>
  <w:abstractNum w:abstractNumId="236">
    <w:nsid w:val="5C03D76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2019-12-12T03:56:16Z</dcterms:created>
  <dcterms:modified xsi:type="dcterms:W3CDTF">2019-12-12T03:56:16Z</dcterms:modified>
</cp:coreProperties>
</file>