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-617220</wp:posOffset>
            </wp:positionV>
            <wp:extent cx="57785" cy="630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731520</wp:posOffset>
            </wp:positionV>
            <wp:extent cx="7047230" cy="5358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Mulroy Patricia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79"/>
                <w:vertAlign w:val="subscript"/>
              </w:rPr>
              <w:t>4,438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79"/>
                <w:vertAlign w:val="subscript"/>
              </w:rPr>
              <w:t>4,438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8,385.34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gridSpan w:val="8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4"/>
                <w:vertAlign w:val="subscript"/>
              </w:rPr>
              <w:t>4,438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80" w:type="dxa"/>
            <w:vAlign w:val="bottom"/>
          </w:tcPr>
          <w:p>
            <w:pPr>
              <w:jc w:val="center"/>
              <w:ind w:left="323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vMerge w:val="restart"/>
          </w:tcPr>
          <w:p>
            <w:pPr>
              <w:jc w:val="center"/>
              <w:ind w:left="3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multiple transactions for the same price.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were effected by the reporting person, pursuant to a Rule 10b5-1 trading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39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Patricia 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-22225</wp:posOffset>
            </wp:positionV>
            <wp:extent cx="1109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77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2025-09-03T19:09:21Z</dcterms:created>
  <dcterms:modified xsi:type="dcterms:W3CDTF">2025-09-03T19:09:21Z</dcterms:modified>
</cp:coreProperties>
</file>