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160" w:hanging="456"/>
        <w:spacing w:after="0" w:line="276"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-2955290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-2629535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-2166620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-1840865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-1548765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-794385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-468630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182880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276860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80"/>
          </w:cols>
          <w:pgMar w:left="440" w:top="368" w:right="5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Commission File No.: 000-50028</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Wynn Resorts, Limited (the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May 2, 2018, counsel for the Company delivered the attached letter to counsel for Elaine P. Wynn:</w:t>
      </w:r>
    </w:p>
    <w:p>
      <w:pPr>
        <w:sectPr>
          <w:pgSz w:w="11900" w:h="16838" w:orient="portrait"/>
          <w:cols w:equalWidth="0" w:num="1">
            <w:col w:w="11020"/>
          </w:cols>
          <w:pgMar w:left="440" w:top="274" w:right="439" w:bottom="1440" w:gutter="0" w:footer="0" w:header="0"/>
        </w:sectPr>
      </w:pPr>
    </w:p>
    <w:bookmarkStart w:id="2" w:name="page3"/>
    <w:bookmarkEnd w:id="2"/>
    <w:p>
      <w:pPr>
        <w:spacing w:after="0" w:line="12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Mark Holscher</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To Call Writer Directly:</w:t>
      </w:r>
    </w:p>
    <w:p>
      <w:pPr>
        <w:spacing w:after="0" w:line="9" w:lineRule="exact"/>
        <w:rPr>
          <w:sz w:val="20"/>
          <w:szCs w:val="20"/>
          <w:color w:val="auto"/>
        </w:rPr>
      </w:pPr>
    </w:p>
    <w:p>
      <w:pPr>
        <w:ind w:left="1700" w:hanging="43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680-8190</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mark.holscher@kirkland.com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FEDERAL EXPRESS &amp;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Patrick J. Reilly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Sydnee R. Gambee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Holland &amp; 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9555 Hillwood Drive,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preilly@hollandhart.com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srgambee@hollandhart.com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 Elaine P. Wynn v. Wynn Resorts,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Mr. Reilly,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jc w:val="center"/>
              <w:ind w:right="1030"/>
              <w:spacing w:after="0"/>
              <w:rPr>
                <w:sz w:val="20"/>
                <w:szCs w:val="20"/>
                <w:color w:val="auto"/>
              </w:rPr>
            </w:pPr>
            <w:r>
              <w:rPr>
                <w:rFonts w:ascii="Arial" w:cs="Arial" w:eastAsia="Arial" w:hAnsi="Arial"/>
                <w:sz w:val="18"/>
                <w:szCs w:val="18"/>
                <w:color w:val="auto"/>
                <w:w w:val="89"/>
              </w:rPr>
              <w:t>333 South Hope Street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jc w:val="center"/>
              <w:ind w:right="1030"/>
              <w:spacing w:after="0"/>
              <w:rPr>
                <w:sz w:val="20"/>
                <w:szCs w:val="20"/>
                <w:color w:val="auto"/>
              </w:rPr>
            </w:pPr>
            <w:r>
              <w:rPr>
                <w:rFonts w:ascii="Arial" w:cs="Arial" w:eastAsia="Arial" w:hAnsi="Arial"/>
                <w:sz w:val="18"/>
                <w:szCs w:val="18"/>
                <w:color w:val="auto"/>
                <w:w w:val="90"/>
              </w:rPr>
              <w:t>Los Angeles, CA 90071</w:t>
            </w:r>
          </w:p>
        </w:tc>
        <w:tc>
          <w:tcPr>
            <w:tcW w:w="2260" w:type="dxa"/>
            <w:vAlign w:val="bottom"/>
            <w:vMerge w:val="restart"/>
          </w:tcPr>
          <w:p>
            <w:pPr>
              <w:jc w:val="center"/>
              <w:ind w:left="1050"/>
              <w:spacing w:after="0"/>
              <w:rPr>
                <w:sz w:val="20"/>
                <w:szCs w:val="20"/>
                <w:color w:val="auto"/>
              </w:rPr>
            </w:pPr>
            <w:r>
              <w:rPr>
                <w:rFonts w:ascii="Arial" w:cs="Arial" w:eastAsia="Arial" w:hAnsi="Arial"/>
                <w:sz w:val="18"/>
                <w:szCs w:val="18"/>
                <w:color w:val="auto"/>
                <w:w w:val="93"/>
              </w:rPr>
              <w:t>Facsimile:</w:t>
            </w:r>
          </w:p>
        </w:tc>
        <w:tc>
          <w:tcPr>
            <w:tcW w:w="0" w:type="dxa"/>
            <w:vAlign w:val="bottom"/>
          </w:tcPr>
          <w:p>
            <w:pPr>
              <w:spacing w:after="0"/>
              <w:rPr>
                <w:sz w:val="1"/>
                <w:szCs w:val="1"/>
                <w:color w:val="auto"/>
              </w:rPr>
            </w:pPr>
          </w:p>
        </w:tc>
      </w:tr>
      <w:tr>
        <w:trPr>
          <w:trHeight w:val="161"/>
        </w:trPr>
        <w:tc>
          <w:tcPr>
            <w:tcW w:w="2840" w:type="dxa"/>
            <w:vAlign w:val="bottom"/>
            <w:vMerge w:val="restart"/>
          </w:tcPr>
          <w:p>
            <w:pPr>
              <w:jc w:val="center"/>
              <w:ind w:right="1030"/>
              <w:spacing w:after="0"/>
              <w:rPr>
                <w:sz w:val="20"/>
                <w:szCs w:val="20"/>
                <w:color w:val="auto"/>
              </w:rPr>
            </w:pPr>
            <w:r>
              <w:rPr>
                <w:rFonts w:ascii="Arial" w:cs="Arial" w:eastAsia="Arial" w:hAnsi="Arial"/>
                <w:sz w:val="18"/>
                <w:szCs w:val="18"/>
                <w:color w:val="auto"/>
                <w:w w:val="90"/>
              </w:rPr>
              <w:t>(213) 680-8400</w:t>
            </w: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40" w:type="dxa"/>
            <w:vAlign w:val="bottom"/>
            <w:vMerge w:val="continue"/>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(213) 680-8500</w:t>
            </w:r>
          </w:p>
        </w:tc>
        <w:tc>
          <w:tcPr>
            <w:tcW w:w="0" w:type="dxa"/>
            <w:vAlign w:val="bottom"/>
          </w:tcPr>
          <w:p>
            <w:pPr>
              <w:spacing w:after="0"/>
              <w:rPr>
                <w:sz w:val="1"/>
                <w:szCs w:val="1"/>
                <w:color w:val="auto"/>
              </w:rPr>
            </w:pPr>
          </w:p>
        </w:tc>
      </w:tr>
      <w:tr>
        <w:trPr>
          <w:trHeight w:val="284"/>
        </w:trPr>
        <w:tc>
          <w:tcPr>
            <w:tcW w:w="2840" w:type="dxa"/>
            <w:vAlign w:val="bottom"/>
          </w:tcPr>
          <w:p>
            <w:pPr>
              <w:jc w:val="center"/>
              <w:ind w:right="1050"/>
              <w:spacing w:after="0"/>
              <w:rPr>
                <w:sz w:val="20"/>
                <w:szCs w:val="20"/>
                <w:color w:val="auto"/>
              </w:rPr>
            </w:pPr>
            <w:r>
              <w:rPr>
                <w:rFonts w:ascii="Arial" w:cs="Arial" w:eastAsia="Arial" w:hAnsi="Arial"/>
                <w:sz w:val="18"/>
                <w:szCs w:val="18"/>
                <w:color w:val="auto"/>
                <w:w w:val="95"/>
              </w:rPr>
              <w:t>www.kirkland.com</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40" w:type="dxa"/>
            <w:vAlign w:val="bottom"/>
          </w:tcPr>
          <w:p>
            <w:pPr>
              <w:ind w:left="340"/>
              <w:spacing w:after="0"/>
              <w:rPr>
                <w:sz w:val="20"/>
                <w:szCs w:val="20"/>
                <w:color w:val="auto"/>
              </w:rPr>
            </w:pPr>
            <w:r>
              <w:rPr>
                <w:rFonts w:ascii="Arial" w:cs="Arial" w:eastAsia="Arial" w:hAnsi="Arial"/>
                <w:sz w:val="18"/>
                <w:szCs w:val="18"/>
                <w:color w:val="auto"/>
              </w:rPr>
              <w:t>May 2, 2018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-1517015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-1423035</wp:posOffset>
            </wp:positionV>
            <wp:extent cx="203263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283210"/>
                    </a:xfrm>
                    <a:prstGeom prst="rect">
                      <a:avLst/>
                    </a:prstGeom>
                    <a:noFill/>
                  </pic:spPr>
                </pic:pic>
              </a:graphicData>
            </a:graphic>
          </wp:anchor>
        </w:drawing>
      </w:r>
    </w:p>
    <w:p>
      <w:pPr>
        <w:spacing w:after="0" w:line="3118" w:lineRule="exact"/>
        <w:rPr>
          <w:sz w:val="20"/>
          <w:szCs w:val="20"/>
          <w:color w:val="auto"/>
        </w:rPr>
      </w:pPr>
    </w:p>
    <w:p>
      <w:pPr>
        <w:sectPr>
          <w:pgSz w:w="11900" w:h="16838" w:orient="portrait"/>
          <w:cols w:equalWidth="0" w:num="2">
            <w:col w:w="4000" w:space="720"/>
            <w:col w:w="6280"/>
          </w:cols>
          <w:pgMar w:left="440" w:top="962" w:right="459" w:bottom="1440" w:gutter="0" w:footer="0" w:header="0"/>
        </w:sectPr>
      </w:pPr>
    </w:p>
    <w:p>
      <w:pPr>
        <w:ind w:right="280"/>
        <w:spacing w:after="0" w:line="277" w:lineRule="auto"/>
        <w:rPr>
          <w:sz w:val="20"/>
          <w:szCs w:val="20"/>
          <w:color w:val="auto"/>
        </w:rPr>
      </w:pPr>
      <w:r>
        <w:rPr>
          <w:rFonts w:ascii="Arial" w:cs="Arial" w:eastAsia="Arial" w:hAnsi="Arial"/>
          <w:sz w:val="18"/>
          <w:szCs w:val="18"/>
          <w:color w:val="auto"/>
        </w:rPr>
        <w:t>I write to you on behalf of Wynn Resorts, Limited, in response to the lawsuit you filed last night on behalf of Elaine Wynn. Needless to say, we were surprised and disappointed by Ms. Wynn’s decision to file yet another lawsuit against the Company.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Last week, Ms. Wynn delivered a sweeping request for records that goes well beyond the requirements of Nevada law. The Company promptly responded to Ms. Wynn’s request two days before legally required and informed your client that the Company was prepared to make available all of the records required to be made available under Nevada law. As you know, the Nevada legislature amended the applicable statute (NRS 78.105(1)(c)) in 2015 to make crystal clear that Nevada companies need only provide information relating to “[a] stock ledger or a duplicate stock ledger, revised annually not later than 60 days after the date by which an annual list is required to be filed pursuant to NRS 78.150, containing the names, alphabetically arranged, of all persons who are </w:t>
      </w:r>
      <w:r>
        <w:rPr>
          <w:rFonts w:ascii="Arial" w:cs="Arial" w:eastAsia="Arial" w:hAnsi="Arial"/>
          <w:sz w:val="16"/>
          <w:szCs w:val="16"/>
          <w:i w:val="1"/>
          <w:iCs w:val="1"/>
          <w:u w:val="single" w:color="auto"/>
          <w:color w:val="auto"/>
        </w:rPr>
        <w:t>stockholders of record</w:t>
      </w:r>
      <w:r>
        <w:rPr>
          <w:rFonts w:ascii="Arial" w:cs="Arial" w:eastAsia="Arial" w:hAnsi="Arial"/>
          <w:sz w:val="16"/>
          <w:szCs w:val="16"/>
          <w:color w:val="auto"/>
        </w:rPr>
        <w:t xml:space="preserve"> of the corporation, showing their places of residence, if known, and the number of shares held by them respectively.” (emphasis added) The Company fulfilled these requirements promptly and to the letter of the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Beijing Boston Chicago Hong Kong Houston London Munich New York Palo Alto San Francisco  Shanghai Washington, D.C.</w:t>
      </w:r>
    </w:p>
    <w:p>
      <w:pPr>
        <w:sectPr>
          <w:pgSz w:w="11900" w:h="16838" w:orient="portrait"/>
          <w:cols w:equalWidth="0" w:num="1">
            <w:col w:w="11000"/>
          </w:cols>
          <w:pgMar w:left="440" w:top="962" w:right="4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Patrick J. Riley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Sydney R. Gambee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yet, at no time prior to your commencement of litigation did Ms. Wynn (directly or through counsel) object to the Company’s position that it would be making available the records required by Nevada law.</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Moreover, the Company also promptly complied with Ms. Wynn’s separate federal request and advised her that it would mail her proxy solicitation materials on her behalf. The Company has not yet received a response and instead understands that Ms. Wynn intends to simply disregard this offer and mail on its own.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Regardless of the fact that Ms. Wynn’s lawsuit and request are without merit, Wynn Resorts does not believe that engaging in additional and unnecessary litigation is constructive or productive. We have set up a secure website containing the “NOBO” list and “DTC” list that you have requested. We provide this information, to which your client is not entitled under the statute, to put an end to this unnecessary distraction. Please confirm that your client will dismiss her complaint now that she has received the information you sought.</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Despite the fact that your client has neither responded to the Company’s requests to engage in substantive dialogue about the future of Wynn Resorts nor requested such a meeting with management or the Board, the Company nonetheless reiterates that management and the Board remain open to constructive dialogue with Ms. Wynn. Filing lawsuits that may have been avoided with a simple conversation is not constructive or value-enhancing.</w:t>
      </w:r>
    </w:p>
    <w:p>
      <w:pPr>
        <w:spacing w:after="0" w:line="14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Holscher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Kai Liekefett, Sidley Austin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21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2019-12-06T20:09:38Z</dcterms:created>
  <dcterms:modified xsi:type="dcterms:W3CDTF">2019-12-06T20:09:38Z</dcterms:modified>
</cp:coreProperties>
</file>