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84"/>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46-0484987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3131 Las Vegas Boulevard South</w:t>
      </w:r>
    </w:p>
    <w:p>
      <w:pPr>
        <w:spacing w:after="0" w:line="50"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62" w:lineRule="exact"/>
        <w:rPr>
          <w:sz w:val="24"/>
          <w:szCs w:val="24"/>
          <w:color w:val="auto"/>
        </w:rPr>
      </w:pPr>
    </w:p>
    <w:p>
      <w:pPr>
        <w:sectPr>
          <w:pgSz w:w="11900" w:h="16838" w:orient="portrait"/>
          <w:cols w:equalWidth="0" w:num="2">
            <w:col w:w="7384" w:space="720"/>
            <w:col w:w="2920"/>
          </w:cols>
          <w:pgMar w:left="436" w:top="368"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64" w:space="720"/>
            <w:col w:w="30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WYNN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On February 8, 2021, Wynn Resorts, Limited (“Wynn Resorts” or the “Company”) commenced an underwritten public offering of 5,500,000 shares of its common stock (the “Offering”). Wynn Resorts intends to grant the underwriters a 30-day option to purchase up to 825,000 shares of common stock. Wynn Resorts expects to use the net proceeds from the Offering for general corporate purposes. The Offering is subject to market and other conditions. The press release relating to the Offering is attached hereto as Exhibit 99.1 and is incorporated herein by reference.</w:t>
      </w:r>
    </w:p>
    <w:p>
      <w:pPr>
        <w:spacing w:after="0" w:line="30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In connection with the Offering, Wynn Resorts provided supplemental risk factors to potential investors. The supplemental risk factors are attached hereto as Exhibit 99.2 and are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6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6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7800" w:type="dxa"/>
            <w:vAlign w:val="bottom"/>
            <w:gridSpan w:val="2"/>
          </w:tcPr>
          <w:p>
            <w:pPr>
              <w:spacing w:after="0"/>
              <w:rPr>
                <w:rFonts w:ascii="Arial" w:cs="Arial" w:eastAsia="Arial" w:hAnsi="Arial"/>
                <w:sz w:val="18"/>
                <w:szCs w:val="18"/>
                <w:u w:val="single" w:color="auto"/>
                <w:color w:val="0000EE"/>
                <w:w w:val="90"/>
              </w:rPr>
            </w:pPr>
            <w:hyperlink w:anchor="page4">
              <w:r>
                <w:rPr>
                  <w:rFonts w:ascii="Arial" w:cs="Arial" w:eastAsia="Arial" w:hAnsi="Arial"/>
                  <w:sz w:val="18"/>
                  <w:szCs w:val="18"/>
                  <w:u w:val="single" w:color="auto"/>
                  <w:color w:val="0000EE"/>
                  <w:w w:val="90"/>
                </w:rPr>
                <w:t>Press release, dated February 8, 2021, of Wynn Resorts, Limited relating to the underwritten public offering.</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78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Supplemental Risk Factors</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760"/>
          </w:cols>
          <w:pgMar w:left="440" w:top="297"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February 8, 2021</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Whittemore</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Ellen Whittemore</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General Counsel &amp;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Public Offering of Common Stock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LAS VEGAS, Feb. 8, 2021 /PRNEWSWIRE/ — Wynn Resorts, Limited (NASDAQ: WYNN) (“Wynn Resorts”) today announced that it has commenced an underwritten public offering of 5,500,000 shares of its common stock. Wynn Resorts intends to grant the underwriters a 30-day option to purchase up to an additional 825,000 shares of common stock. Wynn Resorts expects to use the net proceeds from the offering for general corporate purposes.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Goldman Sachs &amp; Co. LLC and BofA Securities, Inc. are acting as joint lead book-running managers for the offering.</w:t>
      </w:r>
    </w:p>
    <w:p>
      <w:pPr>
        <w:spacing w:after="0" w:line="23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An effective shelf registration statement relating to these securities was previously filed with the Securities and Exchange Commission (the “SEC”) on November 6, 2019. The offering of these securities will be made only by means of a prospectus supplement and the accompanying prospectus. Before you invest, you should read the prospectus, the prospectus supplement and the documents incorporated by reference therein for more complete information about Wynn Resorts and the offering. You may get these documents for free by visiting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Alternatively, copies of the prospectus supplement and accompanying prospectus, when available, may be obtained from Deutsche Bank Securities Inc., Prospectus Group, 60 Wall Street, New York, NY 10005, or by telephone at (800) 503-4611, or by email at prospectus.CPDG@db.com, Goldman Sachs &amp; Co. LLC, Attention: Prospectus Department, 200 West Street, New York, NY 10282, or by phone at (866) 471-2526, or by email at prospectus-ny@ny.email.gs.com, or BofA Securities, Inc., Attention: Prospectus Department, NC1-004-03-43, 200 North College Street, 3rd floor, Charlotte NC 28255-0001, or by email at dg.prospectus_requests@bofa.com.</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release contains forward-looking statements regarding the proposed offering. Such forward-looking statements are subject to a number of risks and uncertainties that could cause actual results to differ materially from those expressed in these forward-looking statements. For example, the offering is subject to market and other conditions outside of Wynn Resorts’ control. These forward-looking statements are not guarantees of future performance, conditions or results. For a discussion of additional risks and uncertainties, which could cause actual results to differ from those contained in the forward-looking statements, see Wynn Resorts’ Annual Report on Form 10-K for the year ended December 31, 2019 and Wynn Resorts’ other periodic reports filed with the SEC. Wynn Resorts is under no obligation to (and expressly disclaims any such obligation to) update or revise its forward-looking statements as a result of new information, future events or otherwise.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Vincent Zahn, 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Weaver, 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michael.weaver@wynnresorts.com</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i w:val="1"/>
          <w:iCs w:val="1"/>
          <w:color w:val="auto"/>
        </w:rPr>
        <w:t>You should carefully consider the risk factors set forth below, as well as the other information contained in our Quarterly Report on Form 10-Q for the quarterly period ended September 30, 2020 and our Annual Report on Form 10-K for the year ended December 31, 2019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The initial outbreak of COVID-19 and subsequent COVID-19 pandemic have had and will likely continue to have an adverse effect on our business, operations, financial condition and operating results, and the ability of our subsidiaries to pay dividends and distributions.</w:t>
      </w:r>
    </w:p>
    <w:p>
      <w:pPr>
        <w:spacing w:after="0" w:line="38"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In January 2020, an outbreak of a new strain of coronavirus, COVID-19, was identified and has since then spread around the world. Currently, there are no fully-effective treatments that are broadly approved for COVID-19 and there can be no assurance that a fully-effective treatment will be developed. While vaccines have been developed and approved for use by certain governmental health agencies, there is considerable uncertainty with regard to how quickly such vaccines can be deployed to the general public and how quickly they will stem the spread of COVID-19. The COVID-19 pandemic and the spread, and risk of resurgence, of COVID-19 have and continue to negatively impact many aspects of our business and the ability and desire of people to travel and participate in activities at crowded indoor places, such as those we offer at our properties.</w:t>
      </w:r>
    </w:p>
    <w:p>
      <w:pPr>
        <w:spacing w:after="0" w:line="16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In response to and as part of a continuing effort to reduce the initial spread of COVID-19, each of our properties was closed temporarily pursuant to government directives. Since reopening, we have implemented certain COVID-19 specific protective measures at each location, such as limiting the number of seats per table game, increasing the spacing between slot machines, temperature checks, and mask protection. Health declarations and proof of negative COVID-19 test results are required for entry into gaming areas in Macau. Although all of our properties are currently open, we cannot predict whether future closures, in full or in part, will occur. For example, in response to an increase in COVID-19 cases in Massachusetts, on November 2, 2020, the Governor of Massachusetts issued a directive limiting the operating hours of certain businesses, including restaurants and casinos, effective November 6, 2020. Encore Boston Harbor modified its hours of operation as a result of this directive, which was lifted on January 25, 2021.</w:t>
      </w:r>
    </w:p>
    <w:p>
      <w:pPr>
        <w:spacing w:after="0" w:line="192" w:lineRule="exact"/>
        <w:rPr>
          <w:sz w:val="20"/>
          <w:szCs w:val="20"/>
          <w:color w:val="auto"/>
        </w:rPr>
      </w:pPr>
    </w:p>
    <w:p>
      <w:pPr>
        <w:ind w:right="240" w:firstLine="440"/>
        <w:spacing w:after="0" w:line="271" w:lineRule="auto"/>
        <w:rPr>
          <w:sz w:val="20"/>
          <w:szCs w:val="20"/>
          <w:color w:val="auto"/>
        </w:rPr>
      </w:pPr>
      <w:r>
        <w:rPr>
          <w:rFonts w:ascii="Arial" w:cs="Arial" w:eastAsia="Arial" w:hAnsi="Arial"/>
          <w:sz w:val="17"/>
          <w:szCs w:val="17"/>
          <w:color w:val="auto"/>
        </w:rPr>
        <w:t>Visitation to our properties and gross gaming revenues have significantly decreased since the outbreak of COVID-19, driven by the strong deterrent effect of the COVID-19 pandemic on travel and social activities, broad quarantine measures, travel restrictions and advisories, including recommendations by the U.S. Department of State and the Centers for Disease Control and Prevention, and in Macau, the suspension or reduced availability of the IVS, group tour scheme and other travel visas for visitors. While some of the initial protective measures and restrictions have eased since their initial implementation, certain border control, travel-related restrictions and conditions, including quarantine and medical observation measures, stringent health declarations, COVID-19 testing and other procedures remain in place. 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adverse developments in the COVID-19 situation. Moreover, once travel advisories and restrictions are fully lifted, demand for casino resorts may remain weak for a significant length of time and inbound tourism to Macau may be slow to recover. We cannot predict when, or even if, operating results at our properties will return to pre-outbreak levels. In particular, consumer behavior related to discretionary spending and traveling, including demand for casino resorts, may be negatively impacted by the adverse changes in the perceived or actual economic climate, including higher unemployment rates, declines in income levels and loss of personal wealth resulting from the impact of the COVID-19 pandemic. In addition, we cannot predict the impact that the COVID-19 pandemic will have on our partners, such as tenants, travel agencies, suppliers and other vendors, which may adversely impact our operations.</w:t>
      </w:r>
    </w:p>
    <w:p>
      <w:pPr>
        <w:spacing w:after="0" w:line="19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Given the uncertainty around the extent and timing of the potential future spread or mitigation of COVID-19 and around the imposition or relaxation of containment measures, the impact on our results of operations, cash flows and financial condition in 2021 and potentially thereafter will be material, but cannot be reasonably estimated at this time. To the extent the COVID-19 pandemic adversely affects our business, operations, financial condition and operating results, it may also have the effect of heightening many of the other risks related to our business, including those relating to our ability to raise capital, our high level of indebtedness, our need to generate sufficient cash flows to service our indebtedness, and our ability to comply with the covenants or other restrictions contained in the agreements that govern our indebtedness. In addition, the COVID-19 pandemic has significantly increased global economic and demand uncertainty. Global recovery from the economic fallout of the COVID-19 pandemic could take many years, which could continue to have adversely impact our financial condition and operations.</w:t>
      </w:r>
    </w:p>
    <w:p>
      <w:pPr>
        <w:spacing w:after="0" w:line="28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6"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w:t>
      </w:r>
    </w:p>
    <w:p>
      <w:pPr>
        <w:spacing w:after="0" w:line="16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61"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Nevada and Massachusetts regulatory authorities have broad powers to request detailed financial and other information, to limit, condition, suspend or revoke a registration, gaming license or related approvals; approve changes in our operations; and levy fines or require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Failure to adhere to the regulatory and gaming requirements in Macau could result in the revocation of our Macau Operations’ concession or otherwise negatively affect its operations in Macau. Moreover, we are subject to the risk that U.S. regulators may not permit us to conduct operations in Macau in a manner consistent with the way in which we intend, or the applicable U.S. gaming authorities require us, to conduct our operations in the United States.</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Each of these regulatory authorities has extensive power to license and oversee the operations of our casino resorts and has taken action and could take action against the Company and its related licensees, including actions that could affect the ability or terms upon which our subsidiaries hold their gaming licenses and concessions, and the suitability of the Company to continue as a stockholder of those affiliates.</w:t>
      </w:r>
    </w:p>
    <w:p>
      <w:pPr>
        <w:spacing w:after="0" w:line="2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Ongoing investigations, litigation and other disputes could distract management and result in negative publicity and additional scrutiny from regulators.</w:t>
      </w:r>
    </w:p>
    <w:p>
      <w:pPr>
        <w:spacing w:after="0" w:line="6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Company is subject to various claims related to our operations. These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62" w:lineRule="exact"/>
        <w:rPr>
          <w:sz w:val="20"/>
          <w:szCs w:val="20"/>
          <w:color w:val="auto"/>
        </w:rPr>
      </w:pPr>
    </w:p>
    <w:p>
      <w:pPr>
        <w:ind w:right="320" w:firstLine="440"/>
        <w:spacing w:after="0" w:line="257" w:lineRule="auto"/>
        <w:rPr>
          <w:sz w:val="20"/>
          <w:szCs w:val="20"/>
          <w:color w:val="auto"/>
        </w:rPr>
      </w:pPr>
      <w:r>
        <w:rPr>
          <w:rFonts w:ascii="Arial" w:cs="Arial" w:eastAsia="Arial" w:hAnsi="Arial"/>
          <w:sz w:val="18"/>
          <w:szCs w:val="18"/>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including as a result of economic downturns or increasing geopolitical tensions.</w:t>
      </w:r>
    </w:p>
    <w:p>
      <w:pPr>
        <w:spacing w:after="0" w:line="62" w:lineRule="exact"/>
        <w:rPr>
          <w:sz w:val="20"/>
          <w:szCs w:val="20"/>
          <w:color w:val="auto"/>
        </w:rPr>
      </w:pPr>
    </w:p>
    <w:p>
      <w:pPr>
        <w:ind w:right="260" w:firstLine="440"/>
        <w:spacing w:after="0" w:line="301" w:lineRule="auto"/>
        <w:rPr>
          <w:sz w:val="20"/>
          <w:szCs w:val="20"/>
          <w:color w:val="auto"/>
        </w:rPr>
      </w:pPr>
      <w:r>
        <w:rPr>
          <w:rFonts w:ascii="Arial" w:cs="Arial" w:eastAsia="Arial" w:hAnsi="Arial"/>
          <w:sz w:val="16"/>
          <w:szCs w:val="16"/>
          <w:color w:val="auto"/>
        </w:rPr>
        <w:t>The global macroeconomic environment is facing significant challenges, including an extended economic downturn, and possibly a global recession, caused primarily by the global COVID-19 pandemic, dampened business sentiment and outlook, the various geopolitical and trade-related tensions. Our financial results have been, and are expected to continue to be, affected by the global and regional economy. Any severe or prolonged slowdown in the global or regional economy may materially and adversely affect our business, results of operations and financial condition.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7" w:name="page8"/>
    <w:bookmarkEnd w:id="7"/>
    <w:p>
      <w:pPr>
        <w:ind w:right="2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Recently there have also been heightened tensions in international relations, notably with respect to international trade, including increases in tariffs and company and industry specific restrictions. These issues, in addition to changes in national security policies and geopolitical issues can impact the global and regional economy and impact our business in a negative fashion. Various types of restrictions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global equity and debt capital markets, which could trigger a severe contraction of liquidity in the global credit markets.</w:t>
      </w:r>
    </w:p>
    <w:p>
      <w:pPr>
        <w:spacing w:after="0" w:line="1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Consumer demand for hotels, casino resorts, trade shows, conventions and for the type of luxury amenities that we offer is particularly sensitive to downturns in the economy, which adversely affect discretionary spending on leisure activities. Because a significant number of our customers come from the People’s Republic of China (“PRC”), Hong Kong and Taiwan, the economic condition of Macau and its surrounding region, in particular, affects the gaming industry in Macau and our Macau Operations. Changes in discretionary consumer spending or consumer preferences brought about by factors such as perceived or actual general economic conditions, high unemployment, perceived or actual changes in disposable consumer income and wealth, economic recession, changes in consumer confidence in the economy, fears of war and acts of terrorism could reduce customer demand for the luxury amenities and leisure activities we offer and may negatively impact our operating results.</w:t>
      </w:r>
    </w:p>
    <w:p>
      <w:pPr>
        <w:spacing w:after="0" w:line="2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Demand for our products and services may be negatively impacted by strained international relations, economic disruptions, visa and travel restrictions or difficulties, anti-corruption campaigns, restrictions on international money transfers and other policies or campaigns implemented by regional governments.</w:t>
      </w:r>
    </w:p>
    <w:p>
      <w:pPr>
        <w:spacing w:after="0" w:line="76"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A significant amount of our gaming revenues is generated from customers arriving from the PRC, Hong Kong and Taiwan. Strained international relations, economic disruption and other similar events could negatively impact the number of visitors to our facilities and the amount they spend. 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could disrupt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and the amount of money they spend. The overall effect of these campaigns and monetary transfer restrictions may negatively affect our revenues and results of operations.</w:t>
      </w:r>
    </w:p>
    <w:p>
      <w:pPr>
        <w:spacing w:after="0" w:line="293"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w:t>
      </w:r>
    </w:p>
    <w:p>
      <w:pPr>
        <w:spacing w:after="0" w:line="3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8" w:name="page9"/>
    <w:bookmarkEnd w:id="8"/>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and cash flows. In addition, governmental action and uncertainty resulting from global political trends and policies of major global economies, including potential barriers to travel, trade and immigration can reduce demand for hospitality products and services, including visitation to our resorts.</w:t>
      </w:r>
    </w:p>
    <w:p>
      <w:pPr>
        <w:spacing w:after="0" w:line="16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Furthermore, the attack in Las Vegas on October 1, 2017 underscores the possibility that large public facilities could become the target of mass shootings or other attacks in the future. The occurrence or the possibility of attacks could cause all or portions of affected properties to be shut down for prolonged periods, resulting in a loss of income; generally reduce travel to affected areas for tourism and business or adversely affect the willingness of customers to stay in or avail themselves of the services of the affected properties; expose us to a risk of monetary claims arising from death, injury or damage to property caused by any such attack; and result in higher costs for security and insurance premiums, all of which could adversely affect our results.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success depends on our ability to maintain the reputation of our resorts.</w:t>
      </w:r>
    </w:p>
    <w:p>
      <w:pPr>
        <w:spacing w:after="0" w:line="117"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62"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outbreak of infectious diseases; an increase in the cost of maintaining our properties; a decline in the number of visitors to Las Vegas, Macau or Boston; and a decrease in gaming and non-casino activities at our resorts. Any of these factors could negatively affect our results of operations and our ability to generate sufficient cash flow to make payments or maintain our covenants with respect to our debt.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are a parent company and our primary source of cash is and will be distributions from our subsidiaries.</w:t>
      </w:r>
    </w:p>
    <w:p>
      <w:pPr>
        <w:spacing w:after="0" w:line="117"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if the Coronavirus outbreak continues to interrupt our gaming operations or visitation to Macau or if the outbreak escalates, it may have a material adverse effect on our subsidiaries’ results of operations and their ability to pay dividends or distributions to us.</w:t>
      </w:r>
    </w:p>
    <w:p>
      <w:pPr>
        <w:spacing w:after="0" w:line="17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casino/hotel industry is highly competitive. Increased competition could result in a loss of customers, which may negatively affect</w:t>
      </w:r>
      <w:r>
        <w:rPr>
          <w:rFonts w:ascii="Arial" w:cs="Arial" w:eastAsia="Arial" w:hAnsi="Arial"/>
          <w:sz w:val="18"/>
          <w:szCs w:val="18"/>
          <w:i w:val="1"/>
          <w:iCs w:val="1"/>
          <w:color w:val="auto"/>
        </w:rPr>
        <w:t xml:space="preserve"> </w:t>
      </w:r>
      <w:r>
        <w:rPr>
          <w:rFonts w:ascii="Arial" w:cs="Arial" w:eastAsia="Arial" w:hAnsi="Arial"/>
          <w:sz w:val="18"/>
          <w:szCs w:val="18"/>
          <w:color w:val="auto"/>
        </w:rPr>
        <w:t>our cash flows and results of operations.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There are three gaming concessions and three subconcessions authorized by the Macau government for the operation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casinos in Macau, of which the concession we hold is one.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have opened facilities in the Cotai area over the past few years, which has significantly increased gaming and non-gaming offerings in Macau, with continued development and further openings in Cotai expected in the near future.</w:t>
      </w:r>
    </w:p>
    <w:p>
      <w:pPr>
        <w:spacing w:after="0" w:line="19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18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i w:val="1"/>
          <w:iCs w:val="1"/>
          <w:color w:val="auto"/>
        </w:rPr>
        <w:t xml:space="preserve">Las Vegas Operations and Encore Boston Harbor. </w:t>
      </w:r>
      <w:r>
        <w:rPr>
          <w:rFonts w:ascii="Arial" w:cs="Arial" w:eastAsia="Arial" w:hAnsi="Arial"/>
          <w:sz w:val="16"/>
          <w:szCs w:val="16"/>
          <w:color w:val="auto"/>
        </w:rPr>
        <w:t>Our Las Vegas Operations compete with other Las Vegas Strip hotels and with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casinos in Las Vegas on the basis of overall atmosphere, range of amenities, level of service, price, location, entertainment, theme and size, among other factors.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customers away from Wynn Las Vegas. 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relies on premium customers. We often extend credit, and we may not be able to collect gaming receivables from our credit players or credit play may decrease.</w:t>
      </w:r>
    </w:p>
    <w:p>
      <w:pPr>
        <w:spacing w:after="0" w:line="62"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games revenue at our resorts is attributable to the play of a limited number of premium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The loss or a reduction in the play of the most significant of these customers could have a material adverse effect on our business, financial condition, results of operations and cash flows. Adverse global or regional economic conditions, could reduce the frequency of visits by these customers and revenue generated from them.</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16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Although the law in Macau permits casino operators to extend credit to gaming customers, our Macau Operations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92"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pacing w:after="0" w:line="187"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i w:val="1"/>
          <w:iCs w:val="1"/>
          <w:color w:val="auto"/>
        </w:rPr>
        <w:t>Las Vegas Operations and Encore Boston Harbor</w:t>
      </w:r>
      <w:r>
        <w:rPr>
          <w:rFonts w:ascii="Arial" w:cs="Arial" w:eastAsia="Arial" w:hAnsi="Arial"/>
          <w:sz w:val="16"/>
          <w:szCs w:val="16"/>
          <w:color w:val="auto"/>
        </w:rPr>
        <w:t>. While gaming debts evidenced by a credit instrument, including what is commonly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as a “marker,”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 rates for our gaming operations depend on a variety of factors, some of which are beyond our control.</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64"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new projects may not be successful. Construction projects will be subject to development and construction risks, which could have an adverse effect on our financial condition, results of operations or cash flows.</w:t>
      </w:r>
    </w:p>
    <w:p>
      <w:pPr>
        <w:spacing w:after="0" w:line="6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could encounter higher than expected cost increases in the development of our projects.</w:t>
      </w:r>
    </w:p>
    <w:p>
      <w:pPr>
        <w:spacing w:after="0" w:line="11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this project may not be completed. Failure to complete this project may negatively affect our financial condition, our results of operations and our ability to pay our debt.</w:t>
      </w:r>
    </w:p>
    <w:p>
      <w:pPr>
        <w:spacing w:after="0" w:line="2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regulations or the Foreign Corrupt Practices Act or sanctions could adversely affect our business, performance, prospects, value, financial condition, and results of operations.</w:t>
      </w:r>
    </w:p>
    <w:p>
      <w:pPr>
        <w:spacing w:after="0" w:line="6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Commerce Department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178"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28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6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exceeded our initial estimates. We may be required to conduct additional investigations and remediation with respect to this site.</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Adverse incidents or adverse publicity concerning our resorts or our corporate responsibilities could harm our brand and reputation and negatively impact our financial results.</w:t>
      </w:r>
    </w:p>
    <w:p>
      <w:pPr>
        <w:spacing w:after="0" w:line="62" w:lineRule="exact"/>
        <w:rPr>
          <w:sz w:val="20"/>
          <w:szCs w:val="20"/>
          <w:color w:val="auto"/>
        </w:rPr>
      </w:pPr>
    </w:p>
    <w:p>
      <w:pPr>
        <w:ind w:right="240" w:firstLine="440"/>
        <w:spacing w:after="0" w:line="296" w:lineRule="auto"/>
        <w:rPr>
          <w:sz w:val="20"/>
          <w:szCs w:val="20"/>
          <w:color w:val="auto"/>
        </w:rPr>
      </w:pPr>
      <w:r>
        <w:rPr>
          <w:rFonts w:ascii="Arial" w:cs="Arial" w:eastAsia="Arial" w:hAnsi="Arial"/>
          <w:sz w:val="16"/>
          <w:szCs w:val="16"/>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changing laws and regulations may result in additional expenses and compliance risks.</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117"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We are subject to taxation by various governments and agencies, both in the U.S. and in Macau.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System failure, information leakage and the cost of maintaining sufficient cybersecurity could adversely affect our business.</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w:t>
      </w:r>
    </w:p>
    <w:p>
      <w:pPr>
        <w:spacing w:after="0" w:line="18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w:t>
      </w:r>
    </w:p>
    <w:p>
      <w:pPr>
        <w:spacing w:after="0" w:line="18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w:t>
      </w:r>
    </w:p>
    <w:p>
      <w:pPr>
        <w:spacing w:after="0" w:line="2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62"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which became effective in May 2018 and replaced the old data protection laws of each EU member state, requires companies to meet new and more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11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62"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18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6" w:name="page17"/>
    <w:bookmarkEnd w:id="16"/>
    <w:p>
      <w:pPr>
        <w:ind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eligible for registration unless the surname has acquired “secondary meaning.” To date, we have been successful in demonstrating to the PTO such secondary meaning for the Wynn name, in certain of the applications, based upon factors including Mr. Wynn’s historical prominence as a resort developer, but we cannot assure you that we will be successful with the other pending applications.</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actions and other labor problems could negatively impact our operations.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union activity in the future. The impact of any union activity is undetermined and could have a material adverse effect on our business, financial condition, results of operations and cash flows.</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6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88"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7" w:name="page18"/>
    <w:bookmarkEnd w:id="17"/>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9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Risks Associated with our 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Macau Operations may be affected by adverse political and economic conditions.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Our Macau Operations are subject to significant political, economic and social risks inherent in doing business in an emerging market. The future success of our Macau Operations will depend on political and economic conditions in Macau and the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2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or renewal of our concession, or a new concession, by June 26, 2022, or if the Macau government exercises its redemption right.</w:t>
      </w:r>
    </w:p>
    <w:p>
      <w:pPr>
        <w:spacing w:after="0" w:line="62"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The term of our concession agreement with the Macau government ends on June 26, 2022. Unless the term of our concession agreement is extended or renewed or we receive a new gaming concession or other right to operate gaming at our resorts in Macau, subject to any separate arrangement with the Macau government, all of our gaming operations and related equipment in Macau will be automatically transferred to the Macau government without compensation to us and we will cease to generate any revenues from these operations at the end of the term of our concession agreement. The Macau government has publicly commented that it is studying the process by which concessions and subconcessions may be renewed, extended or issued. Effective since June 2017, the Macau government may redeem our concession agreement by providing us at least one year’s prior notice. In the event the Macau government exercises this redemption right, we are entitled to fair compensation or indemnity based on the amount of revenue generated during the tax year prior to the redemption multiplied by the remaining years under our concession. We are considering various options to place us in a good position for the renewal, extension or concession application process; however, we may not be able to extend our concession agreement or renew our concession or obtain a new concession on terms favorable to us or at all. If our concession is redeemed, the compensation paid to us may not be adequate to compensate us for the loss of future revenues. The redemption of or failure to extend or renew our concession or obtain a new concession would have a material adverse effect on our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for limited labor resources in Macau and local policies may also affect our ability to employ imported labor.</w:t>
      </w:r>
    </w:p>
    <w:p>
      <w:pPr>
        <w:spacing w:after="0" w:line="11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will continue to increase as other competitors expand their operations. We seek employees from outside Macau to adequately staff our resorts where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4" w:right="539" w:bottom="1440" w:gutter="0" w:footer="0" w:header="0"/>
        </w:sectPr>
      </w:pPr>
    </w:p>
    <w:bookmarkStart w:id="18" w:name="page19"/>
    <w:bookmarkEnd w:id="18"/>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and cash flows.</w:t>
      </w:r>
    </w:p>
    <w:p>
      <w:pPr>
        <w:spacing w:after="0" w:line="269" w:lineRule="exact"/>
        <w:rPr>
          <w:sz w:val="20"/>
          <w:szCs w:val="20"/>
          <w:color w:val="auto"/>
        </w:rPr>
      </w:pPr>
    </w:p>
    <w:p>
      <w:pPr>
        <w:jc w:val="center"/>
        <w:ind w:right="220"/>
        <w:spacing w:after="0" w:line="361" w:lineRule="auto"/>
        <w:rPr>
          <w:sz w:val="20"/>
          <w:szCs w:val="20"/>
          <w:color w:val="auto"/>
        </w:rPr>
      </w:pPr>
      <w:r>
        <w:rPr>
          <w:rFonts w:ascii="Arial" w:cs="Arial" w:eastAsia="Arial" w:hAnsi="Arial"/>
          <w:sz w:val="16"/>
          <w:szCs w:val="16"/>
          <w:b w:val="1"/>
          <w:bCs w:val="1"/>
          <w:i w:val="1"/>
          <w:iCs w:val="1"/>
          <w:color w:val="auto"/>
        </w:rPr>
        <w:t xml:space="preserve">The smoking control legislation in Macau could have an adverse effect on our business, financial condition, results of operations and cash flows. </w:t>
      </w:r>
      <w:r>
        <w:rPr>
          <w:rFonts w:ascii="Arial" w:cs="Arial" w:eastAsia="Arial" w:hAnsi="Arial"/>
          <w:sz w:val="16"/>
          <w:szCs w:val="16"/>
          <w:color w:val="auto"/>
        </w:rPr>
        <w:t>Under the Macau Smoking Prevention and Tobacco Control Law, as of January 1, 2019, smoking on casino premises is only permitted in</w:t>
      </w:r>
    </w:p>
    <w:p>
      <w:pPr>
        <w:spacing w:after="0" w:line="1"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and disrupt the number of customers visiting or the amount of time visiting customers spend at our property, which could have a material adverse effect on our business, financial condition, results of operations and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Transportation services, infrastructure and related facilities may need to be improved to accommodate the demand of visitors to Macau.</w:t>
      </w:r>
    </w:p>
    <w:p>
      <w:pPr>
        <w:spacing w:after="0" w:line="14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Transportation services, infrastructure and related facilities within Macau and between Macau, Hong Kong and the PRC may need to be improved to accommodate the increased visitation to Macau driven by additional casino projects and attractions that are under construction and to be developed in the future as well as the opening of the Hong Kong-Zhuhai-Macau Bridge which may further strain existing transportation infrastructure.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 and future casino and infrastructure projects, adjacent to our properties could impede access to our properties during construction and development. This may negatively impact the results of our Macau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our Macau Operations.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Any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3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Macau Operations fail to comply with the concession agreement, the Macau government can terminate our concession without compensation to us, which would have a material adverse effect on our business and financial condition.</w:t>
      </w:r>
    </w:p>
    <w:p>
      <w:pPr>
        <w:spacing w:after="0" w:line="62"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9" w:name="page20"/>
    <w:bookmarkEnd w:id="19"/>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Macau laws. The concession agreement expressly provides a non-exhaustive list of facts and circumstances under which the government of Macau may unilaterally rescind the concession agreement of our Macau Operations, including if it conducts unauthorized games or activities that are excluded from its corporate purpose; suspends gaming operations in Macau for more than seven consecutive days (or more than 14 days in a civil year) without justification; defaults in payment of taxes, premiums, contributions or other required amounts; does not comply with government inspections or supervision; systematically fails to observe its obligations under the concession system; or does not comply with directions issued by the Macau government, in particular the Macau gaming regulator; fails to maintain bank guarantees or bonds satisfactory to the government; is the subject of bankruptcy proceedings or becomes insolvent; engages in serious fraudulent activity, damaging to the public interest; or repeatedly violates applicable gaming laws.</w:t>
      </w:r>
    </w:p>
    <w:p>
      <w:pPr>
        <w:spacing w:after="0" w:line="19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Nevada gaming laws apply to our Macau Operations’ gaming activities and associations.</w:t>
      </w:r>
    </w:p>
    <w:p>
      <w:pPr>
        <w:spacing w:after="0" w:line="11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Certain Nevada gaming laws also apply to gaming activities and associations in jurisdictions outside the State of Nevada. With respect to our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NGC if our Macau-related subsidiaries knowingly violate any Macau laws relating to their Macau gaming operations; fail to conduct our Macau Operations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 engage in any activity or enter into any association that interferes with the ability of the State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79"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In addition, if the Nevada Gaming Control Board determines that any actual or intended activities or associations of our Macau-related subsidiaries may be prohibited pursuant to one or more of the standards described above, the Nevada Gaming Control Board can require us and our licensed Nevada subsidiaries to file an application with the NGC for a finding of suitability of the activity or association. If the NGC finds that the activity or association in Macau is unsuitable or prohibited, our Macau-related subsidiaries will either be required to terminate the activity or association, or will be prohibited from undertaking the activity or association. Consequently, should the NGC find that our Macau-related subsidiary’s gaming activities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associations in Macau are unsuitable, those subsidiaries may be prohibited from undertaking their planned gaming activities or associations in Macau, or be required to divest their investment in Macau, possibly on unfavorable terms.</w:t>
      </w:r>
    </w:p>
    <w:p>
      <w:pPr>
        <w:spacing w:after="0" w:line="27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1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A significant portion of our gaming revenue in Macau is generated by clientele of our gaming promoters. There is intense competition among casino operators in Macau for services provided by gaming promoters. We anticipate that this competition will further intensify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premium customers. In addition, if our gaming promoters are unable to develop or maintain relationships with premium customers, our ability to maintain or grow our gaming revenues will be hampered.</w:t>
      </w:r>
    </w:p>
    <w:p>
      <w:pPr>
        <w:spacing w:after="0" w:line="28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The financial resources of our gaming promoters may be insufficient to allow them to continue doing business in Macau which could adversely affect our business and financial condition. Our gaming promoters may experience difficulty in attracting customers.</w:t>
      </w:r>
    </w:p>
    <w:p>
      <w:pPr>
        <w:spacing w:after="0" w:line="1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Economic and regulatory factors in the region may cause our gaming promoters to experience difficulties in their Macau operations, including intensified competition in attracting customers to come to Macau. Further, gaming promoters may face a decrease in liquidity, limiting their ability to grant credit to their customers, and difficulties in collecting credit they extended previously. The inability to attract sufficient customers, grant credit and collect amounts due in a timely manner may negatively affect our gaming promoters’ operations, causing gaming promoters to wind up or liquidate their operations or resulting in some of our gaming promoters leaving Macau. Current and any future difficulties could have an adverse impact on our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competition for the services of gaming promoters may require us to pay increased commission rates to gaming promoters.</w:t>
      </w:r>
    </w:p>
    <w:p>
      <w:pPr>
        <w:spacing w:after="0" w:line="129"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Certain gaming promoters have significant leverage and bargaining strength in negotiating operational agreements with casino operators. This leverage could result in gaming promoters negotiating changes to our operational agreements, including 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2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1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 w:name="page22"/>
    <w:bookmarkEnd w:id="21"/>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 gaming laws while on our premises, the Macau government may, in its discretion, take enforcement action against us, the gaming promoter, or each concurrently, and we may be sanctioned and our reputation could be harmed. If our gaming promoters are unable to maintain required standards of probity and integrity, we may face adverse consequences from gaming regulators with authority over our operations.</w:t>
      </w:r>
    </w:p>
    <w:p>
      <w:pPr>
        <w:spacing w:after="0" w:line="27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6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184" w:lineRule="exact"/>
        <w:rPr>
          <w:sz w:val="20"/>
          <w:szCs w:val="20"/>
          <w:color w:val="auto"/>
        </w:rPr>
      </w:pPr>
    </w:p>
    <w:p>
      <w:pPr>
        <w:ind w:right="660" w:firstLine="440"/>
        <w:spacing w:after="0" w:line="308" w:lineRule="auto"/>
        <w:rPr>
          <w:sz w:val="20"/>
          <w:szCs w:val="20"/>
          <w:color w:val="auto"/>
        </w:rPr>
      </w:pPr>
      <w:r>
        <w:rPr>
          <w:rFonts w:ascii="Arial" w:cs="Arial" w:eastAsia="Arial" w:hAnsi="Arial"/>
          <w:sz w:val="17"/>
          <w:szCs w:val="17"/>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46"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our Macau Operations.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Macau subsidiaries’ indebtedness is secured by a substantial portion of their assets.</w:t>
      </w:r>
    </w:p>
    <w:p>
      <w:pPr>
        <w:spacing w:after="0" w:line="117"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 w:name="page23"/>
    <w:bookmarkEnd w:id="22"/>
    <w:p>
      <w:pPr>
        <w:ind w:right="2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be entitled to payment from their collateral security, and then would the holders of our Macau subsidiaries’ unsecured debt be entitled to payment from their remaining assets, and only then would we, as a holder of capital stock, be entitled to distribution of any remaining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11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2020,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2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6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As of December 31, 2020, we had a total of 323 table games at Wynn Palace and 331 at Wynn Macau.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29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Risks Related to Share Ownership and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As of December 31, 2020, Elaine P. Wynn owned approximately 9% of our outstanding common stock. As a result, Elaine P. Wynn may be able to exert significant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later of (i) the date that Phil Satre no longer serves as Chair of the Board and (ii) the day after the conclusion of the 2020 annual meeting of the Company’s stockholders, unless earlier terminated pursuant to the circumstances described in the Cooperation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Our stock price may fluctuate in response to a number of events and factors,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62"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We have a substantial amount of consolidated debt in relation to our equity. As of December 31, 2020, we had total outstanding debt of approximately $13.15 billion, which includes a portion of the funds we expect to need for the development and construction of our current projects. We may, however, incur additional indebtedness in connection with the construction of these projects. In addition, we are permitted to incur additional indebtedness if certain conditions are met, including conditions under our Wynn Macau Credit Facilities, our WRF Credit Facilities, and our indentures in connection with other future potential development plans.</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if any,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if market interest rates increase.</w:t>
      </w:r>
    </w:p>
    <w:p>
      <w:pPr>
        <w:spacing w:after="0" w:line="176"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The interest rates of certain of our credit agreements are tied to the London Interbank Offered Rate, or LIBOR. In July 2017, the head of the United Kingdom Financial Conduct Authority announced the desire to phase out the use of LIBOR by the end of 2021. If LIBOR ceases to exist, we may need to renegotiate any of our credit agreements extending beyond 2021 that utilize LIBOR as a factor in determining the interest rate to replace LIBOR with the new standard that is established. There is currently no definitive information regarding the future utilization of LIBOR or of any particular replacement rate. As such, the potential effect of any such event could have on our business and financial condition cannot yet be determined.</w:t>
      </w:r>
    </w:p>
    <w:p>
      <w:pPr>
        <w:spacing w:after="0" w:line="16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agreements governing our debt facilities contain certain covenants that restrict our ability to engage in certain transactions and may impair our ability to respond to changing business and economic conditions.</w:t>
      </w:r>
    </w:p>
    <w:p>
      <w:pPr>
        <w:spacing w:after="0" w:line="6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Future indebtedness or other contracts could contain covenants more restrictive than those contained in our existing debt facilities.</w:t>
      </w:r>
    </w:p>
    <w:p>
      <w:pPr>
        <w:spacing w:after="0" w:line="187"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spacing w:after="0" w:line="16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2021-02-08T05:24:09Z</dcterms:created>
  <dcterms:modified xsi:type="dcterms:W3CDTF">2021-02-08T05:24:09Z</dcterms:modified>
</cp:coreProperties>
</file>