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340995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158750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00" w:hanging="665"/>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w:t>
      </w:r>
    </w:p>
    <w:p>
      <w:pPr>
        <w:spacing w:after="0" w:line="14" w:lineRule="exact"/>
        <w:rPr>
          <w:sz w:val="24"/>
          <w:szCs w:val="24"/>
          <w:color w:val="auto"/>
        </w:rPr>
      </w:pPr>
    </w:p>
    <w:p>
      <w:pPr>
        <w:ind w:left="700"/>
        <w:spacing w:after="0"/>
        <w:rPr>
          <w:sz w:val="20"/>
          <w:szCs w:val="20"/>
          <w:color w:val="auto"/>
        </w:rPr>
      </w:pPr>
      <w:r>
        <w:rPr>
          <w:rFonts w:ascii="Arial" w:cs="Arial" w:eastAsia="Arial" w:hAnsi="Arial"/>
          <w:sz w:val="22"/>
          <w:szCs w:val="22"/>
          <w:b w:val="1"/>
          <w:bCs w:val="1"/>
          <w:color w:val="auto"/>
        </w:rPr>
        <w:t>ACT OF 1934</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1040" w:hanging="665"/>
        <w:spacing w:after="0" w:line="248"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-8255</wp:posOffset>
            </wp:positionV>
            <wp:extent cx="1295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180340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3940" w:type="dxa"/>
            <w:vAlign w:val="bottom"/>
          </w:tcPr>
          <w:p>
            <w:pPr>
              <w:jc w:val="center"/>
              <w:ind w:right="19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320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88-0494875</w:t>
            </w:r>
          </w:p>
        </w:tc>
      </w:tr>
      <w:tr>
        <w:trPr>
          <w:trHeight w:val="180"/>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3"/>
              </w:rPr>
              <w:t>(State or other jurisdiction of</w:t>
            </w:r>
          </w:p>
        </w:tc>
        <w:tc>
          <w:tcPr>
            <w:tcW w:w="3200" w:type="dxa"/>
            <w:vAlign w:val="bottom"/>
          </w:tcPr>
          <w:p>
            <w:pPr>
              <w:jc w:val="center"/>
              <w:ind w:left="19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4"/>
              </w:rPr>
              <w:t>incorporation or organization)</w:t>
            </w:r>
          </w:p>
        </w:tc>
        <w:tc>
          <w:tcPr>
            <w:tcW w:w="3200" w:type="dxa"/>
            <w:vAlign w:val="bottom"/>
          </w:tcPr>
          <w:p>
            <w:pPr>
              <w:jc w:val="center"/>
              <w:ind w:left="1982"/>
              <w:spacing w:after="0"/>
              <w:rPr>
                <w:sz w:val="20"/>
                <w:szCs w:val="20"/>
                <w:color w:val="auto"/>
              </w:rPr>
            </w:pPr>
            <w:r>
              <w:rPr>
                <w:rFonts w:ascii="Arial" w:cs="Arial" w:eastAsia="Arial" w:hAnsi="Arial"/>
                <w:sz w:val="14"/>
                <w:szCs w:val="14"/>
                <w:b w:val="1"/>
                <w:bCs w:val="1"/>
                <w:color w:val="auto"/>
                <w:w w:val="96"/>
              </w:rPr>
              <w:t>Identification No.)</w:t>
            </w:r>
          </w:p>
        </w:tc>
      </w:tr>
    </w:tbl>
    <w:p>
      <w:pPr>
        <w:jc w:val="center"/>
        <w:ind w:right="-39"/>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(702) 770-7555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-127635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9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2"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387"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2700" w:space="720"/>
            <w:col w:w="2620" w:space="720"/>
            <w:col w:w="3060" w:space="720"/>
            <w:col w:w="840"/>
          </w:cols>
          <w:pgMar w:left="240" w:top="387"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2700" w:space="720"/>
            <w:col w:w="2620" w:space="720"/>
            <w:col w:w="3060" w:space="720"/>
            <w:col w:w="840"/>
          </w:cols>
          <w:pgMar w:left="240" w:top="387" w:right="279" w:bottom="1440"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63" w:lineRule="exact"/>
        <w:rPr>
          <w:sz w:val="24"/>
          <w:szCs w:val="24"/>
          <w:color w:val="auto"/>
        </w:rPr>
      </w:pPr>
    </w:p>
    <w:p>
      <w:pPr>
        <w:sectPr>
          <w:pgSz w:w="11900" w:h="16838" w:orient="portrait"/>
          <w:cols w:equalWidth="0" w:num="4">
            <w:col w:w="8620" w:space="220"/>
            <w:col w:w="260" w:space="100"/>
            <w:col w:w="160" w:space="220"/>
            <w:col w:w="1800"/>
          </w:cols>
          <w:pgMar w:left="240" w:top="387" w:right="27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Wynn Resorts Holdings, LLC owns all of the membership interests of the Registrant as of May 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177800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right="360" w:firstLine="432"/>
        <w:spacing w:after="0" w:line="277" w:lineRule="auto"/>
        <w:rPr>
          <w:sz w:val="20"/>
          <w:szCs w:val="20"/>
          <w:color w:val="auto"/>
        </w:rPr>
      </w:pPr>
      <w:r>
        <w:rPr>
          <w:rFonts w:ascii="Arial" w:cs="Arial" w:eastAsia="Arial" w:hAnsi="Arial"/>
          <w:sz w:val="18"/>
          <w:szCs w:val="18"/>
          <w:color w:val="auto"/>
        </w:rPr>
        <w:t>The Registrant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151765</wp:posOffset>
            </wp:positionV>
            <wp:extent cx="6877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66040</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387" w:right="27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9800" w:type="dxa"/>
            <w:vAlign w:val="bottom"/>
            <w:gridSpan w:val="14"/>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March 31, 2014 (unaudited) and December 31, 2013</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60" w:type="dxa"/>
            <w:vAlign w:val="bottom"/>
            <w:gridSpan w:val="13"/>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 xml:space="preserve">Condensed Consolidated Statements of Operations and Comprehensive Loss (unaudited) – Three </w:t>
              </w:r>
            </w:hyperlink>
            <w:r>
              <w:rPr>
                <w:rFonts w:ascii="Arial" w:cs="Arial" w:eastAsia="Arial" w:hAnsi="Arial"/>
                <w:sz w:val="18"/>
                <w:szCs w:val="18"/>
                <w:color w:val="0000FF"/>
                <w:w w:val="98"/>
              </w:rPr>
              <w:t>months</w:t>
            </w:r>
            <w:r>
              <w:rPr>
                <w:rFonts w:ascii="Arial" w:cs="Arial" w:eastAsia="Arial" w:hAnsi="Arial"/>
                <w:sz w:val="18"/>
                <w:szCs w:val="18"/>
                <w:color w:val="0000EE"/>
                <w:w w:val="98"/>
              </w:rPr>
              <w:t xml:space="preserve"> </w:t>
            </w:r>
            <w:r>
              <w:rPr>
                <w:rFonts w:ascii="Arial" w:cs="Arial" w:eastAsia="Arial" w:hAnsi="Arial"/>
                <w:sz w:val="18"/>
                <w:szCs w:val="18"/>
                <w:color w:val="0000FF"/>
                <w:w w:val="98"/>
              </w:rPr>
              <w:t>ended March</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4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FF"/>
              </w:rPr>
              <w:t>31, 2014 and 2013</w:t>
            </w:r>
          </w:p>
        </w:tc>
        <w:tc>
          <w:tcPr>
            <w:tcW w:w="1520" w:type="dxa"/>
            <w:vAlign w:val="bottom"/>
            <w:tcBorders>
              <w:top w:val="single" w:sz="8" w:color="0000FF"/>
            </w:tcBorders>
            <w:gridSpan w:val="2"/>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60" w:type="dxa"/>
            <w:vAlign w:val="bottom"/>
            <w:gridSpan w:val="1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Statements of Cash Flows (unaudited) – </w:t>
              </w:r>
            </w:hyperlink>
            <w:r>
              <w:rPr>
                <w:rFonts w:ascii="Arial" w:cs="Arial" w:eastAsia="Arial" w:hAnsi="Arial"/>
                <w:sz w:val="18"/>
                <w:szCs w:val="18"/>
                <w:color w:val="0000FF"/>
              </w:rPr>
              <w:t>Three months ended March 31, 2014 and 2013</w:t>
            </w: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15</w:t>
              </w:r>
            </w:hyperlink>
          </w:p>
        </w:tc>
      </w:tr>
      <w:tr>
        <w:trPr>
          <w:trHeight w:val="372"/>
        </w:trPr>
        <w:tc>
          <w:tcPr>
            <w:tcW w:w="3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Disclosures About Market Risk</w:t>
              </w:r>
            </w:hyperlink>
          </w:p>
        </w:tc>
        <w:tc>
          <w:tcPr>
            <w:tcW w:w="544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372"/>
        </w:trPr>
        <w:tc>
          <w:tcPr>
            <w:tcW w:w="3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76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8040" w:type="dxa"/>
            <w:vAlign w:val="bottom"/>
            <w:gridSpan w:val="9"/>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890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372"/>
        </w:trPr>
        <w:tc>
          <w:tcPr>
            <w:tcW w:w="3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372"/>
        </w:trPr>
        <w:tc>
          <w:tcPr>
            <w:tcW w:w="3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546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24</w:t>
              </w:r>
            </w:hyperlink>
          </w:p>
        </w:tc>
      </w:tr>
      <w:tr>
        <w:trPr>
          <w:trHeight w:val="372"/>
        </w:trPr>
        <w:tc>
          <w:tcPr>
            <w:tcW w:w="340" w:type="dxa"/>
            <w:vAlign w:val="bottom"/>
          </w:tcPr>
          <w:p>
            <w:pPr>
              <w:spacing w:after="0"/>
              <w:rPr>
                <w:sz w:val="24"/>
                <w:szCs w:val="24"/>
                <w:color w:val="auto"/>
              </w:rPr>
            </w:pPr>
          </w:p>
        </w:tc>
        <w:tc>
          <w:tcPr>
            <w:tcW w:w="104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w:t>
              </w:r>
            </w:hyperlink>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25</w:t>
              </w:r>
            </w:hyperlink>
          </w:p>
        </w:tc>
      </w:tr>
      <w:tr>
        <w:trPr>
          <w:trHeight w:val="507"/>
        </w:trPr>
        <w:tc>
          <w:tcPr>
            <w:tcW w:w="3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340" w:type="dxa"/>
            <w:vAlign w:val="bottom"/>
            <w:gridSpan w:val="6"/>
          </w:tcPr>
          <w:p>
            <w:pPr>
              <w:ind w:left="4240"/>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279"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CONDENSED CONSOLIDATED BALANCE SHEETS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4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(unaudited)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486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w w:val="91"/>
              </w:rPr>
              <w:t>ASSETS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4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214,367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231,156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Receivables, net</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168,734</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47,629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49,326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from affiliates, net</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27,218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28,422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477,638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3,003,534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3,032,884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Deferred financing costs, net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34,297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 and other assets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25,502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4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3,515,731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3,576,648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center"/>
              <w:ind w:right="530"/>
              <w:spacing w:after="0"/>
              <w:rPr>
                <w:sz w:val="20"/>
                <w:szCs w:val="20"/>
                <w:color w:val="auto"/>
              </w:rPr>
            </w:pPr>
            <w:r>
              <w:rPr>
                <w:rFonts w:ascii="Arial" w:cs="Arial" w:eastAsia="Arial" w:hAnsi="Arial"/>
                <w:sz w:val="18"/>
                <w:szCs w:val="18"/>
                <w:b w:val="1"/>
                <w:bCs w:val="1"/>
                <w:color w:val="auto"/>
              </w:rPr>
              <w:t>LIABILITIES AND MEMBER’S DEFICIT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tcPr>
          <w:p>
            <w:pPr>
              <w:spacing w:after="0"/>
              <w:rPr>
                <w:sz w:val="17"/>
                <w:szCs w:val="17"/>
                <w:color w:val="auto"/>
              </w:rPr>
            </w:pPr>
          </w:p>
        </w:tc>
        <w:tc>
          <w:tcPr>
            <w:tcW w:w="4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4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39,159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39,188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Customer deposits</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77,481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98,915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Gaming taxes payable</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15,505</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Accrued compensation and benefits</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50,537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48,706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interest</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59,316</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21,523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21,308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to affiliates, net</w:t>
            </w:r>
          </w:p>
        </w:tc>
        <w:tc>
          <w:tcPr>
            <w:tcW w:w="46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10,155</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4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240,454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294,143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3,119,334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3,131,626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Due to affiliates, net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175,785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170,066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6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4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3,539,171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3,599,449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8)</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Member’s deficit: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Contributed capital</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1,198,532</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(1,222,998)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(1,221,333)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member’s deficit</w:t>
            </w:r>
          </w:p>
        </w:tc>
        <w:tc>
          <w:tcPr>
            <w:tcW w:w="46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(22,801)</w:t>
            </w:r>
          </w:p>
        </w:tc>
        <w:tc>
          <w:tcPr>
            <w:tcW w:w="0" w:type="dxa"/>
            <w:vAlign w:val="bottom"/>
          </w:tcPr>
          <w:p>
            <w:pPr>
              <w:spacing w:after="0"/>
              <w:rPr>
                <w:sz w:val="1"/>
                <w:szCs w:val="1"/>
                <w:color w:val="auto"/>
              </w:rPr>
            </w:pPr>
          </w:p>
        </w:tc>
      </w:tr>
      <w:tr>
        <w:trPr>
          <w:trHeight w:val="223"/>
        </w:trPr>
        <w:tc>
          <w:tcPr>
            <w:tcW w:w="3700" w:type="dxa"/>
            <w:vAlign w:val="bottom"/>
          </w:tcPr>
          <w:p>
            <w:pPr>
              <w:ind w:left="720"/>
              <w:spacing w:after="0"/>
              <w:rPr>
                <w:sz w:val="20"/>
                <w:szCs w:val="20"/>
                <w:color w:val="auto"/>
              </w:rPr>
            </w:pPr>
            <w:r>
              <w:rPr>
                <w:rFonts w:ascii="Arial" w:cs="Arial" w:eastAsia="Arial" w:hAnsi="Arial"/>
                <w:sz w:val="18"/>
                <w:szCs w:val="18"/>
                <w:color w:val="auto"/>
              </w:rPr>
              <w:t>Total liabilities and member’s deficit</w:t>
            </w:r>
          </w:p>
        </w:tc>
        <w:tc>
          <w:tcPr>
            <w:tcW w:w="4640" w:type="dxa"/>
            <w:vAlign w:val="bottom"/>
            <w:vMerge w:val="restart"/>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3,515,731</w:t>
            </w:r>
          </w:p>
        </w:tc>
        <w:tc>
          <w:tcPr>
            <w:tcW w:w="100" w:type="dxa"/>
            <w:vAlign w:val="bottom"/>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3,576,648</w:t>
            </w:r>
          </w:p>
        </w:tc>
        <w:tc>
          <w:tcPr>
            <w:tcW w:w="0" w:type="dxa"/>
            <w:vAlign w:val="bottom"/>
          </w:tcPr>
          <w:p>
            <w:pPr>
              <w:spacing w:after="0"/>
              <w:rPr>
                <w:sz w:val="1"/>
                <w:szCs w:val="1"/>
                <w:color w:val="auto"/>
              </w:rPr>
            </w:pPr>
          </w:p>
        </w:tc>
      </w:tr>
      <w:tr>
        <w:trPr>
          <w:trHeight w:val="351"/>
        </w:trPr>
        <w:tc>
          <w:tcPr>
            <w:tcW w:w="37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27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9"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58"/>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155,279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176,251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91,545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115,015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115,449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54,282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49,693</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427,648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432,938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(46,519)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(46,099)</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381,129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386,839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80,488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83,768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32,219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70,560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69,874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28,111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59,287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59,057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Management fees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5,795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61,610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2,754</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329,615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346,420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51,514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40,419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Interest income and 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(56,757)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(53,179)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(56,780)</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(16,361)</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9"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(16,361)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43,990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61,610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and write-off of deferred financing costs and 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2,175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3,232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cash from changes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21,668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 and prepaid expenses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(40,075)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Due (to) from affiliates,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10,127</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25,658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23,057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expenditures, net of construction payables and retention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(8,946)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Deposits and purchase of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Due (to) from affiliates,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10,268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(28,716)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Principal payments on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first mortgage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of financing costs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22,040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Balance,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231,156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148,415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214,367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170,455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9"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CONDENSED CONSOLIDATED FINANCIAL STATEMENTS (Unaudited)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Wynn Las Vegas, LLC, a Nevada limited liability company, was organized primarily to construct and operate Wynn Las Vegas | Encore (“Wynn Las Vegas”), a fully integrated destination casino resort on the “Strip” in Las Vegas, Nevada.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w:t>
      </w:r>
    </w:p>
    <w:p>
      <w:pPr>
        <w:spacing w:after="0" w:line="17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Wynn Las Vegas Capital Corp. (“Wynn Capital”) is a wholly owned subsidiary of the Company organized solely for the purpose of obtaining financing for Wynn Las Vegas. Wynn Capital is authorized to issue 2,000 shares of common stock, par value $0.01. At March 31, 2014, the Company owned the one share that was issued and outstanding. Wynn Capital has neither any significant net assets nor has had any operating activity. Its sole function is to serve as the co-issuer of the mortgage notes. Wynn Las Vegas, LLC and Wynn Capital together are hereinafter referred to as the “Issuers”.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40" w:firstLine="43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2014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Cash equivalents are carried at cost, which approximates fair value.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jc w:val="both"/>
        <w:ind w:right="52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2014 and December 31, 2013, approximately 78% and 82%,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5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revenues; consequently, the Company’s casino revenues are reduced by discounts and points earned in the player’s club loyalty program.</w:t>
      </w:r>
    </w:p>
    <w:p>
      <w:pPr>
        <w:spacing w:after="0" w:line="170" w:lineRule="exact"/>
        <w:rPr>
          <w:sz w:val="20"/>
          <w:szCs w:val="20"/>
          <w:color w:val="auto"/>
        </w:rPr>
      </w:pPr>
    </w:p>
    <w:p>
      <w:pPr>
        <w:ind w:right="60" w:firstLine="473"/>
        <w:spacing w:after="0" w:line="264"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(in thousands):</w:t>
      </w:r>
    </w:p>
    <w:p>
      <w:pPr>
        <w:spacing w:after="0" w:line="119"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9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17,058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15,436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3,051</w:t>
            </w:r>
          </w:p>
        </w:tc>
      </w:tr>
      <w:tr>
        <w:trPr>
          <w:trHeight w:val="237"/>
        </w:trPr>
        <w:tc>
          <w:tcPr>
            <w:tcW w:w="834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87"/>
              </w:rPr>
              <w:t>28,282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27,914</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casino expense in the accompanying Condensed Consolidated Statements of Operations and Comprehensive Loss. These taxes totaled $11.1 million and $12.5 million for the three months ended March 31, 2014 and 2013, respectively.</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accounts for stock-based compensation related to equity shares of Wynn Resorts granted to its employees by recognizing the costs of the employee services received in exchange for the equity award instrument based on the grant date fair value of the awards over the service period. For the three months ended March 31, 2014 and 2013, the Company recorded $1.0 million and $2.2 million, respectively, in share-based compensation with a corresponding credit to contributed capital.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Receivables,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Receivables, net consisted of the following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190,199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Hotel</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leases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16,089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191,395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221,588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(52,854)</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144,914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168,734</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4 - Property and Equipment, net</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624,005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623,744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2,632,796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2,633,106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1,370,883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1,368,014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4,677,826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4,673,847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(1,674,292)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(1,640,963)</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3,003,534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3,032,884</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5 - Long-Term Debt</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Long-term debt consisted of the following (in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15"/>
        </w:trPr>
        <w:tc>
          <w:tcPr>
            <w:tcW w:w="8340" w:type="dxa"/>
            <w:vAlign w:val="bottom"/>
          </w:tcPr>
          <w:p>
            <w:pPr>
              <w:ind w:left="40"/>
              <w:spacing w:after="0"/>
              <w:rPr>
                <w:sz w:val="20"/>
                <w:szCs w:val="20"/>
                <w:color w:val="auto"/>
              </w:rPr>
            </w:pPr>
            <w:r>
              <w:rPr>
                <w:rFonts w:ascii="Arial" w:cs="Arial" w:eastAsia="Arial" w:hAnsi="Arial"/>
                <w:sz w:val="18"/>
                <w:szCs w:val="18"/>
                <w:color w:val="auto"/>
                <w:w w:val="94"/>
              </w:rPr>
              <w:t>7 7/8% First Mortgage Notes, due May 1, 2020, net of original issue discount of $1,826 at March 31, 2014 and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$1,884 at December 31, 2013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350,184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350,126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 3/4% First Mortgage Notes, due August 15, 2020</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1,308,000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 3/8% First Mortgage Notes, due March 15, 2022</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 1/4% Senior Notes, due May 30, 2023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32,200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32,550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to Affiliate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3,120,384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3,132,676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3,119,334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3,131,626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7 3/4% Wynn Las Vegas First Mortgage Notes due 2020</w:t>
      </w:r>
    </w:p>
    <w:p>
      <w:pPr>
        <w:spacing w:after="0" w:line="225"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During the first quarter of 2014, the Company repurchased and canceled $12.0 million in principal plus interest of its 7 3/4% first mortgage notes due 2020 through the open market. The Company incurred $1.5 million in expenses associated primarily with the premium paid in repurchase and unamortized deferred financing costs included in loss on extinguishment of debt in the accompanying Condensed Consolidated Statements of Operations and Comprehensive Loss.</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2014, management believes the Company was in compliance with all debt covenants.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Long Term Debt</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estimated fair value of the Company's long-term debt as of March 31, 2014 and December 31, 2013 was approximately $3.3 billion and $3.3 billion, respectively compared to its carrying value of $3.1 billion and $3.1 billion, respectively. The estimated fair value of the Company's long-term debt is based on recent trades, if available, and indicative pricing from market information (level 2 inputs).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Amounts Due to Affiliates, net</w:t>
      </w:r>
    </w:p>
    <w:p>
      <w:pPr>
        <w:spacing w:after="0" w:line="22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As of March 31, 2014, the Company’s current due from affiliates, net of $10.4 million was comprised of $11.7 million including corporate allocations discussed below offset by $1.3 million of construction related payables. The long-term due to affiliates, net is management fees of $175.8 million (equal to 1.5% of net revenues and payable upon meeting certain leverage ratios as specified in the documents governing the Company’s first mortgage notes indentures).</w:t>
      </w:r>
    </w:p>
    <w:p>
      <w:pPr>
        <w:spacing w:after="0" w:line="187"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As of December 31, 2013, the Company’s current due to affiliates, net of $10.2 million was comprised of $6.7 million including corporate allocations discussed below and $3.4 million of construction related payables. The long-term due to affiliates, net was management fees of $170.1 million.</w:t>
      </w:r>
    </w:p>
    <w:p>
      <w:pPr>
        <w:spacing w:after="0" w:line="124"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Company periodically settles amounts due affiliates with cash receipts and payments, except for the management fee, which is payable upon meeting certain leverage ratios specified in the documents governing the first mortgage notes indentures.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Allocations</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accompanying Condensed Consolidated Statements of Operations and Comprehensive Loss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 “Amounts Due to Affiliates, net” above. For the three months ended March 31, 2014 and 2013, $5.6 million and $6.2 million, respectively, were charged to the Company for such corporate allocations.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Villa Lease</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Mr. Wynn currently leases from the Company a villa which serves as Mr. Wynn’s personal residence. The restated lease agreement and amendments (“SW Lease”) were approved by the Audit Committee of the Board of Directors of Wynn Resorts. Pursuant to the SW Lease, Mr. Wynn pays the Company annual rent for the villa of $525,000, which amount was determined to be the fair market value of the accommodations based on a third-party appraisal. In addition, pursuant to the SW Lease, the Company pays for all capital improvements to the villa. The rental value for the villa will be re-determined every two years during the term of the SW Lease by the Audit Committee, with the current rent rate effective through February 28, 2015. Certain services for, and maintenance of, the villa are included in the annual rent.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The “Wynn” Surname Rights Agreement</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its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Golf Course Lease</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On September 18, 2012, the Company distributed to Wynn Resorts, Limited, the Wynn Las Vegas golf course land and the related water rights. Commencing September 18, 2012, the Company leases approximately 140 acres (upon which the golf course is located) and water rights from Wynn Resorts. The term of this lease is on a month-to-month basis provided, however, that either party may terminate this lease by providing written notice of such termination to the other party no later than 30 days prior to the expiration of any monthly period. The combined rental value for both the golf course land and the water rights is $598,000 per month.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Charges and Other</w:t>
      </w:r>
    </w:p>
    <w:p>
      <w:pPr>
        <w:spacing w:after="0" w:line="229"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Property charges and other resulted in a gain of $0.2 million primarily from the sale of assets for the three months ended March 31, 2014 compared to $2.8 million in property charges for the three months ended March 31, 2013 from miscellaneous renovations and abandonments at our resort.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The Company and its affiliates are involved in litigation in addition to the actions noted below arising in the normal course of business. In the opinion of management, such litigation and claims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On February 18, 2012, Wynn Resorts’ Gaming Compliance Committee received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received concerning these policies.</w:t>
      </w:r>
    </w:p>
    <w:p>
      <w:pPr>
        <w:spacing w:after="0" w:line="17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Based on the Freeh Report, the Board of Directors of Wynn Resorts determined that the Okada Parties are “unsuitable persons” under Article VII of Wynn Resorts’ articles of incorporation. The Board of Directors was unanimous (other than Mr. Okada) in its determination. After authorizing the redemption of the Aruze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Capital.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Wynn Resorts has retained the structure of the Executive Committee, the Board has resumed its past role in managing the business and affairs of Wynn Resorts.</w:t>
      </w:r>
    </w:p>
    <w:p>
      <w:pPr>
        <w:spacing w:after="0" w:line="18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 USA, Inc.’s 24,549,222 shares of Wynn Resorts’ common stock. Following a finding of “unsuitability,” Article VII of Wynn Resorts’ articles of incorporation authorizes redemption at “fair value” of the shares held by unsuitable persons. Wynn Resorts engaged an independent financial adviser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its articles of incorporation, Wynn Resorts issued the Redemption Note to Aruze USA, Inc. in redemption of the shares. The Redemption Note has a principal amount of $1.94 billion, matures on February 18, 2022, and bears interest at the rate of 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69"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Wynn Resorts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canceling the shares of Aruze USA, Inc.</w:t>
      </w:r>
    </w:p>
    <w:p>
      <w:pPr>
        <w:spacing w:after="0" w:line="171"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the Wynn Resorts’ Board of Directors (other than Mr. Okada) and Wynn Resorts’ General Counsel (the “Wynn Parties”). The Counterclaim alleges, among other things: (1) that the shares of Wynn Resorts common stock owned by Aruze USA, Inc. were exempt from the redemption-for-unsuitability provisions in the Wynn Resorts articles of incorporation (the “Articles”) pursuant to certain agreements executed in 2002; (2) that the Wynn Resorts directors who authorized the redemption of Aruze USA, Inc.’s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USA, Inc. fair value for the redeemed shares; and (4) that the terms of the Redemption Note that Aruze USA, Inc. received in exchange for the redeemed shares, including the Redemption Note’s principal amount, duration, interest rate, and subordinated status, were unconscionable. Among other relief, the Counterclaim seeks a declaration that the redemption of Aruze USA, Inc.’s shares was void, an injunction restoring Aruze USA, Inc.’s share ownership, damages in an unspecified amount and rescission of the Amended and Restated Stockholders Agreement, dated as of January 6, 2010, by and among Aruze USA, Inc., Stephen A. Wynn, and Elaine Wynn (the “Stockholders Agreement”).</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1" w:right="2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On June 19, 2012, Elaine Wynn asserted a cross claim against Stephen A. Wynn and Aruze USA, Inc. seeking a declaration that (1) 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indentures for Wynn Las Vegas, LLC's 7 7/8% first mortgage notes due 2020, 7 3/4% first mortgage notes due 2020 (together, the "2020 Indentures") and the indenture for Wynn Las Vegas, LLC's 4 1/4% Senior Notes due 2023 (the "2023 Indenture," and, together with the 2020 Indentures, the "Indentures") provide that if Stephen A. Wynn, together with certain related parties, in the aggregate beneficially owns a lesser percentage of the outstanding common stock of Wynn Resorts than are beneficially owned by any other person, a change of control will have occurred. The indentures for Wynn Las Vegas, LLC's 5 3/8% first mortgage notes due 2022 (the "2022 Indenture") provides that if any event constitutes a "change of control" under the 2020 Indentures, it will constitute a change of control under the 2022 Indenture. If Elaine Wynn prevails in her cross claim, Stephen A. Wynn would not beneficially own or control Elaine Wynn’s shares and a change in control may result under the Company’s debt documents. Under the 2020 Indentures and the 2022 Indenture, the occurrence of a change of control requires that Wynn Resorts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Under the 2023 Indenture, if a change of control occurs and within 60 days after that occurrence the 4 1/4% Senior Notes due 2023 are rated below investment grade by both rating agencies that rate such notes, Wynn Resorts is required to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7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 November 26, 2013, the Okada Parties filed their fourth amended Counterclaim, and Wynn Resorts filed an answer to that pleading on December 16, 2013.</w:t>
      </w:r>
    </w:p>
    <w:p>
      <w:pPr>
        <w:spacing w:after="0" w:line="17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each of February 14, 2013, and February 13, 2014, Wynn Resorts issued a check to Aruze USA, Inc. in the amount of $38.7 million, representing the interest payments due on the Redemption Note at those times. However, those checks were not cashed. The parties engaged in discussions regarding the terms of an escrow agreement, in accordance with a prior court order. However,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Wynn Resorts for reissue in the same amounts, payable to the Clerk of the Court for deposit into the Clerk's Trust Account. Pursuant to the stipulation, on March 20, 2014, Wynn Resorts delivered to the Clerk of the Court the reissued checks for deposit into the Clerk's Trust Account and filed a Notice with the Court with respect to the same.</w:t>
      </w:r>
    </w:p>
    <w:p>
      <w:pPr>
        <w:spacing w:after="0" w:line="14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On April 8, 2013, the United States Attorney’s Office and the U.S. Department of Justice filed a Motion to Intervene and for Temporary and Partial Stay of Discovery in the Redemption Action. The parties have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8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Wynn Resorts will continue to vigorously pursue its claims against the Okada Parties, and Wynn Resorts and the Wynn Parties will continue to vigorously defend against the counterclaims asserted against them. Wynn Resorts’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On August 28, 2012, Mr. Okada, Universal Entertainment Corporation and Okada Holdings (“Okada Japan Parties”) filed a complaint in Tokyo District Court against Wynn Resorts, all members of the Board of Directors (other than Mr. Okada) and Wynn Resorts’ General Counsel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April 24, 2014, a hearing took place, with a decision on the appeal expected in June 2014.</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On March 20, 2013, Mr. Okada filed a complaint against Wynn Resorts in Nevada state court for indemnification under Wynn Resorts' Articles, bylaws and agreements with its directors. The complaint sought advancement of Mr. Okada’s costs and expenses (including attorney’s fees) incurred pursuant to the various legal proceedings and related regulatory investigations described above. Wynn Resorts’ answer and counterclaim was filed on April 15, 2013. The counterclaim named each of the Okada Parties as defendants and sought indemnification under Wynn Resorts’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Wynn Resorts; (2) reserved Mr. Okada’s right to assert, in the future, any claims for indemnity following the resolution of the Redemption Action; and (3) stayed the claims asserted by Wynn Resorts against Mr. Okada pending the resolution of the Redemption Action.</w:t>
      </w:r>
    </w:p>
    <w:p>
      <w:pPr>
        <w:spacing w:after="0" w:line="16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this action or the range of reasonably possible loss, if any.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donation to the University of Macau discussed above. Wynn Resorts has not received any target letter or subpoena in connection with such an investigation. Wynn Resorts intends to cooperate fully with the government in response to any inquiry related to the donation to the University of Macau.</w:t>
      </w:r>
    </w:p>
    <w:p>
      <w:pPr>
        <w:spacing w:after="0" w:line="17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1"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suggesting improprieties in connection with Wynn Resorts’ donation to the University of Macau. While Wynn Resorts believes that it is in full compliance with all applicable laws, any such investigations could result in actions by regulators against Wynn Resorts. Prior investigations by the Nevada Gaming Control Board and SEC were closed with no actions taken.</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right="20" w:firstLine="8"/>
        <w:spacing w:after="0" w:line="267"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injunctive relief; and (4) unjust enrichment. The claims were against Wynn Resorts and all of Wynn Resorts’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and (c) redeeming Aruze USA, Inc.’s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Wynn Resorts and the directors filed their motion to dismiss the amended complaint on May 23, 2013. On March 13, 2014, the federal court granted the motion to dismiss and entered judgment in favor of Wynn Resorts and directors and against the Federal Plaintiffs without prejudice. On April 10, 2014, the Federal plaintiff's filed a notice of appeal to the United States Court of Appeals for the Ninth Circuit.</w:t>
      </w:r>
    </w:p>
    <w:p>
      <w:pPr>
        <w:spacing w:after="0" w:line="184"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have also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w:t>
      </w:r>
    </w:p>
    <w:p>
      <w:pPr>
        <w:ind w:right="60" w:firstLine="8"/>
        <w:spacing w:after="0" w:line="285"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gross mismanagement; and (4) unjust enrichment. The claims are against Wynn Resorts and all of Wynn Resorts’ directors, including Mr. Okada, as well as Wynn Resorts’ Chief Financial Officer, who signs financial disclosures filed with the SEC.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 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February 5, 2014, the court entered a new stipulation between the parties that provides for a further stay of the state derivative action and directs the parties, within 30 days of the conclusion of the Stay in the Redemption Action, to discuss how the state derivative action should proceed and to file a joint report with the court.</w:t>
      </w:r>
    </w:p>
    <w:p>
      <w:pPr>
        <w:spacing w:after="0" w:line="168"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2013. Unless the context otherwise requires, all references herein to the “Company,” “we,” “us” or “our,” or similar terms, refer to Wynn Las Vegas, LLC, a Nevada limited liability company and its consolidated subsidiaries. This discussion and analysis contains forward-looking statements. Please refer to the section below entitled “Special Note Regarding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 Encore (“Wynn Las Vegas”), a fully integrated destination casino resort in Las Vegas, Nevada. Wynn Las Vegas, located at the intersection of the Las Vegas Strip and Sands Avenue, occupies approximately 215 acres of land (of which approximately 140 acres comprise the Wynn Las Vegas golf course) fronting the Las Vegas Strip and utilizes approximately 18 additional acres across Sands Avenue, a portion of which is improved with an employee parking garage and approximately 5 acres adjacent to the golf course on which an office building is located. We lease 140 acres where the golf course is located, along with related water rights, from Wynn Resorts.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Las Vegas resort complex features:</w:t>
      </w:r>
    </w:p>
    <w:p>
      <w:pPr>
        <w:spacing w:after="0" w:line="279" w:lineRule="exact"/>
        <w:rPr>
          <w:sz w:val="20"/>
          <w:szCs w:val="20"/>
          <w:color w:val="auto"/>
        </w:rPr>
      </w:pPr>
    </w:p>
    <w:p>
      <w:pPr>
        <w:ind w:left="900" w:right="2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luxury hotel towers with a total of 4,748 spacious guest rooms, suites and villas;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34 food and beverage outlets featuring signature chefs;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284,000 square feet of meeting and convention space;</w:t>
      </w:r>
    </w:p>
    <w:p>
      <w:pPr>
        <w:spacing w:after="0" w:line="117" w:lineRule="exact"/>
        <w:rPr>
          <w:rFonts w:ascii="Arial" w:cs="Arial" w:eastAsia="Arial" w:hAnsi="Arial"/>
          <w:sz w:val="18"/>
          <w:szCs w:val="18"/>
          <w:color w:val="auto"/>
        </w:rPr>
      </w:pPr>
    </w:p>
    <w:p>
      <w:pPr>
        <w:jc w:val="both"/>
        <w:ind w:left="900" w:right="4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99,000 square feet of high-end, brand-name retail shopping, including stores and boutiques by Alexander McQueen, Brioni, Cartier, Chanel, Chloé, Chopard, Dior, Givenchy, Graff, Hermes, IWC Schaffhausen, Jaeger LeCoultre, Loro Piana, Louis Vuitton, Manolo Blahnik, Nicholas Kirkwood, Oscar de la Renta, Piaget, Rolex, Vertu and others;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Recreation and leisure facilities, including an 18-hole golf course, swimming pools, private cabanas and two full service spas and salons;</w:t>
      </w:r>
    </w:p>
    <w:p>
      <w:pPr>
        <w:spacing w:after="0" w:line="128"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Construction and Future Development</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 response to our evaluation of our property and the reactions of our guests, we have made and expect to continue to remodel and make enhancements and refinements to our resort complex.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Certain key operating statistics specific to the gaming industry are included in our discussions of the Company’s operational performance for the</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periods in which a Condensed Consolidated Statement of Operations and Comprehensive Loss is presented. Below are definitions of the statistics discussed:</w:t>
      </w:r>
    </w:p>
    <w:p>
      <w:pPr>
        <w:spacing w:after="0" w:line="31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promotional allowances (less service charges, if any) by total rooms occupied including complimentary rooms.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9" w:right="2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4" w:lineRule="exact"/>
        <w:rPr>
          <w:sz w:val="20"/>
          <w:szCs w:val="20"/>
          <w:color w:val="auto"/>
        </w:rPr>
      </w:pPr>
    </w:p>
    <w:p>
      <w:pPr>
        <w:ind w:left="900" w:right="1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promotional allowances (less service charges, if any) by total rooms available.</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First quarter 2014 results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9"/>
                <w:szCs w:val="19"/>
                <w:color w:val="auto"/>
              </w:rPr>
            </w:pPr>
          </w:p>
        </w:tc>
        <w:tc>
          <w:tcPr>
            <w:tcW w:w="1140" w:type="dxa"/>
            <w:vAlign w:val="bottom"/>
          </w:tcPr>
          <w:p>
            <w:pPr>
              <w:jc w:val="right"/>
              <w:ind w:right="53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514"/>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9"/>
                <w:szCs w:val="19"/>
                <w:color w:val="auto"/>
              </w:rPr>
            </w:pPr>
          </w:p>
        </w:tc>
        <w:tc>
          <w:tcPr>
            <w:tcW w:w="148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381,129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386,839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(16,361)</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89.8</w:t>
            </w: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110,288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120,357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the three months ended March 31, 2014 our net loss decreased 89.8% to $1.7 million compared to a net loss of $16.4 million for the same period of 2013. Despite the slight decline in net revenues driven primarily from our table games win percentage, operating margin increased and enabled a reduction in our net loss for the quarter. Our operating margin was mainly impacted from a depreciation and amortization expense reduction of 28.6%, or $17.6 million.</w:t>
      </w:r>
    </w:p>
    <w:p>
      <w:pPr>
        <w:spacing w:after="0" w:line="14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Adjusted Property EBITDA decreased 8.4%, from $120.4 million for the three months ended March 31, 2013 to $110.3 million for the same period of 2014, mainly from the impact of a 6.0 percentage points decline in table games win percentage on our net revenues.</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our resort. We currently rely solely upon the operations of Wynn Las Vegas for our operating cash flow. Concentration of our cash flows to Wynn Las Vegas exposes us to certain risks that competitors, whose operations are more diversified, may be better able to control. In addition to the concentration of operations in a single resort complex, many of our customers are premium gaming customers who wager on credit, thus exposing us to increased credit risk. High-end gaming also increases the potential for variability in our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2014 compared to the three months ended March 31, 2013.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 presents net revenues from our casino revenues and non-casino revenues (in thousands). Non-casino revenues consist of operating revenues from rooms, food and beverage, entertainment, retail and other, less promotional allowances.</w:t>
      </w:r>
    </w:p>
    <w:p>
      <w:pPr>
        <w:spacing w:after="0" w:line="108"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13335</wp:posOffset>
            </wp:positionV>
            <wp:extent cx="1964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155,279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176,251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225,850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210,588</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7.2</w:t>
            </w: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381,129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386,839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percentage of our net revenues from non-casino revenues increased to 59.3% for the three months ended March 31, 2014 compared to 54.4% for the same period of 2013. Casino revenues were 40.7% of total net revenues for the three months ended March 31, 2014 compared to 45.6% of total net revenues for the same period of 2013.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9"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Casino revenues decreased 11.9% to $155.3 million for the three months ended March 31, 2014, down from $176.3 million in the same period of 2013 primarily due to decline of 6.0 percentage points in table games win percentage and a reduction in table games volume with drop decreasing 3.2% year-over-year. An increase in slots revenues partially offset the table games reduction as our slot machine win per unit per day increased 26.0% from $215 to $271.</w:t>
      </w:r>
    </w:p>
    <w:p>
      <w:pPr>
        <w:spacing w:after="0" w:line="14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(in thousands except for win per unit per day and average number of table games and slots).</w:t>
      </w:r>
    </w:p>
    <w:p>
      <w:pPr>
        <w:spacing w:after="0" w:line="108" w:lineRule="exact"/>
        <w:rPr>
          <w:sz w:val="20"/>
          <w:szCs w:val="20"/>
          <w:color w:val="auto"/>
        </w:rPr>
      </w:pPr>
    </w:p>
    <w:p>
      <w:pPr>
        <w:ind w:left="60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Increase/(Decrease)</w:t>
            </w:r>
          </w:p>
        </w:tc>
        <w:tc>
          <w:tcPr>
            <w:tcW w:w="1480" w:type="dxa"/>
            <w:vAlign w:val="bottom"/>
          </w:tcPr>
          <w:p>
            <w:pPr>
              <w:jc w:val="right"/>
              <w:ind w:right="413"/>
              <w:spacing w:after="0" w:line="13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155,279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176,251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647,436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668,920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133,734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178,790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(45,056)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8,519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slots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743,798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696,594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45,501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42,283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Non-casino revenues increased 7.2%, or $15.3 million, to $225.9 million for the three months ended March 31, 2014, up from $210.6 million for the same period of 2013 primarily from a 12.6% increase in room revenue and a 9.2% increase in entertainment, retail and other revenues.</w:t>
      </w:r>
    </w:p>
    <w:p>
      <w:pPr>
        <w:spacing w:after="0" w:line="14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Room revenues increased 12.6%, or $11.5 million, to $103.1 million for the three months ended March 31, 2014, up from $91.5 million for the same period of 2013 driven by a 6.2% increase in ADR and an occupancy increase of 5 percentage points from 82.8% to 87.8%.</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2"/>
        </w:trPr>
        <w:tc>
          <w:tcPr>
            <w:tcW w:w="6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0"/>
        </w:trPr>
        <w:tc>
          <w:tcPr>
            <w:tcW w:w="68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(a)</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103,072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91,545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8"/>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02"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Food and beverage revenues were relatively flat with $115.0 million for the three months ended March 31, 2014 compared to $115.4 million for the same period of 2013 mainly due to a reduction in revenues from our nightclubs offset by an increase in revenues at our restaurants.</w:t>
      </w:r>
    </w:p>
    <w:p>
      <w:pPr>
        <w:spacing w:after="0" w:line="14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Entertainment, retail and other revenues increased 9.2%, or $4.6 million to $54.3 million for the three months ended March 31, 2014 compared to $49.7 million for the same period of 2013 as a result of increased business at our retail shops, spa and other event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9"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Operating costs and expenses decreased 4.9%, or $16.8 million to $329.6 million for the three months ended March 31, 2014, down from $346.4 million for the same period of 2013. The reduction in our operating costs were mainly driven by a 28.6% year-over-year decline in depreciation and amortization expense partially offset by a 19.1% increase in entertainment, retail and other expenses.</w:t>
      </w:r>
    </w:p>
    <w:p>
      <w:pPr>
        <w:spacing w:after="0" w:line="18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Casino expenses decreased 3.9%, or $3.3 million to $80.5 million for the three months ended March 31, 2014, down from $83.8 million for the same period of 2013, primarily due to a reduction in gaming tax and other expenses associated with the revenue decrease.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Food and beverage expense of $70.6 million for the three months ended March 31, 2014 was effectively flat to the same period of 2013.</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Room expense increased 6.1%, or $2.0 million to $34.2 million for the three months ended March 31, 2014 from $32.2 million for the same period of 2013. The increase in room expense was driven primarily by the increase in occupancy over the prior year.</w:t>
      </w:r>
    </w:p>
    <w:p>
      <w:pPr>
        <w:spacing w:after="0" w:line="17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Entertainment, retail and other expenses increased 19.1%, or $5.4 million to $33.5 million for the three months ended March 31, 2014 from $28.1 million in the prior period of 2013. The increase was primarily a result of higher entertainment and other event costs as well as repairs made to the pool and cabana areas.</w:t>
      </w:r>
    </w:p>
    <w:p>
      <w:pPr>
        <w:spacing w:after="0" w:line="181"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Depreciation and amortization decreased 28.6%, or $17.6 million to $44.0 million for the three months ended March 31, 2014 from $61.6 million for the same period of 2013. This significant decrease was primarily due to certain Encore assets with a five year useful life becoming fully depreciated.</w:t>
      </w:r>
    </w:p>
    <w:p>
      <w:pPr>
        <w:spacing w:after="0" w:line="124"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Property charges and other resulted in a gain of $0.2 million from the sale of assets for the three months ended March 31, 2014 compared to $2.8 million in property charges for the same period of 2013 from miscellaneous renovations and abandonments at our resort.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costs and expenses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Interest expense decreased $5.0 million, or 8.8% to $51.8 million for the three months ended March 31, 2014, compared to $56.8 million for the three months ended March 31, 2013. During 2013, we completed a principal repayment of $500 million 7 7/8% first mortgage notes through a cash tender offer and redemption of untendered notes and issued $500 million 4 1/4% senior notes. These financing activities resulted in a lower weighted average interest rate for the three months ended March 31, 2014 compared to same period of 2013.</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9"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We use Adjusted Property EBITDA to manage the operating results of our resort. Adjusted Property EBITDA is earnings before interest, taxes, depreciation, amortization, pre-opening costs, property charges and other, corporate expenses and other, intercompany golf course and water rights leases, stock-based compensation, and other non-operating income and expenses and includes equity in income (loss)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resort and comparison with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(loss),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or calculation of Adjusted Property EBITDA may be different from the calculation methods used by other companies, therefore, comparability may be limited.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reconciliation of Adjusted Property EBITDA to net loss (in thousands):</w:t>
      </w:r>
    </w:p>
    <w:p>
      <w:pPr>
        <w:spacing w:after="0" w:line="379"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49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4920" w:type="dxa"/>
            <w:vAlign w:val="bottom"/>
            <w:tcBorders>
              <w:bottom w:val="single" w:sz="8" w:color="CCEEFF"/>
            </w:tcBorders>
          </w:tcPr>
          <w:p>
            <w:pPr>
              <w:spacing w:after="0"/>
              <w:rPr>
                <w:sz w:val="22"/>
                <w:szCs w:val="22"/>
                <w:color w:val="auto"/>
              </w:rPr>
            </w:pPr>
          </w:p>
        </w:tc>
        <w:tc>
          <w:tcPr>
            <w:tcW w:w="3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3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110,288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120,357</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Other operating costs and expenses</w:t>
            </w:r>
          </w:p>
        </w:tc>
        <w:tc>
          <w:tcPr>
            <w:tcW w:w="3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9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61,610</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3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13,347</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Total</w:t>
            </w:r>
          </w:p>
        </w:tc>
        <w:tc>
          <w:tcPr>
            <w:tcW w:w="3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58,774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79,938</w:t>
            </w:r>
          </w:p>
        </w:tc>
        <w:tc>
          <w:tcPr>
            <w:tcW w:w="0" w:type="dxa"/>
            <w:vAlign w:val="bottom"/>
          </w:tcPr>
          <w:p>
            <w:pPr>
              <w:spacing w:after="0"/>
              <w:rPr>
                <w:sz w:val="1"/>
                <w:szCs w:val="1"/>
                <w:color w:val="auto"/>
              </w:rPr>
            </w:pP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51,514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40,419</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costs and expenses</w:t>
            </w:r>
          </w:p>
        </w:tc>
        <w:tc>
          <w:tcPr>
            <w:tcW w:w="3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(56,757)</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33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4920" w:type="dxa"/>
            <w:vAlign w:val="bottom"/>
          </w:tcPr>
          <w:p>
            <w:pPr>
              <w:ind w:left="700"/>
              <w:spacing w:after="0"/>
              <w:rPr>
                <w:sz w:val="20"/>
                <w:szCs w:val="20"/>
                <w:color w:val="auto"/>
              </w:rPr>
            </w:pPr>
            <w:r>
              <w:rPr>
                <w:rFonts w:ascii="Arial" w:cs="Arial" w:eastAsia="Arial" w:hAnsi="Arial"/>
                <w:sz w:val="18"/>
                <w:szCs w:val="18"/>
                <w:b w:val="1"/>
                <w:bCs w:val="1"/>
                <w:color w:val="auto"/>
              </w:rPr>
              <w:t>Total</w:t>
            </w:r>
          </w:p>
        </w:tc>
        <w:tc>
          <w:tcPr>
            <w:tcW w:w="3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(53,179)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(56,780)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19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9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9" w:right="27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operating cash flows primarily consist of our operating income generated by our resort (excluding depreciation and amortization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6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Net cash provided by operations for the three months ended March 31, 2014, was $25.7 million compared to $23.1 million for the three months ended March 31, 2013. During the three months ended March 31, 2014, our cash provided by operations was primarily from the non-cash impact to our net loss from depreciation and amortization partially offset by changes in ordinary working capital accounts. During the three months ended March 31, 2013, the non-cash impact to our net loss from depreciation and amortization was a primary factor to our cash provided by operating activities, partially offset by change in accounts payables and accrued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Net cash used in investing activities for the three months ended March 31, 2014 was $28.7 million compared to $0.7 million used in investing activities for the same period in 2013. The increase was driven by the cash settlement timing of amounts with affiliates which resulted in cash used of $12.5 million for the current year period compared to cash provided by affiliates of $10.3 million for three months ended March 31, 2013. Cash used for capital expenditures in both years primarily related to general property maintenance.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340" w:firstLine="432"/>
        <w:spacing w:after="0" w:line="302" w:lineRule="auto"/>
        <w:rPr>
          <w:sz w:val="20"/>
          <w:szCs w:val="20"/>
          <w:color w:val="auto"/>
        </w:rPr>
      </w:pPr>
      <w:r>
        <w:rPr>
          <w:rFonts w:ascii="Arial" w:cs="Arial" w:eastAsia="Arial" w:hAnsi="Arial"/>
          <w:sz w:val="16"/>
          <w:szCs w:val="16"/>
          <w:color w:val="auto"/>
        </w:rPr>
        <w:t>Net cash used in financing activities was $13.7 million for the three months ended March 31, 2014 primarily attributable to the repurchase of $12.0 million in principal plus interest, of our 7 3/4% first mortgage notes due 2020 through an open market transaction. The Company paid a premium of $1.4 million associated with the repurchase which is included in loss on extinguishment of debt in the accompanying Condensed Consolidated Statements of Operations and Comprehensive Loss. We had minimal uses and sources of cash from financing activities for the three months ended March 31,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At March 31, 2014, we had $214.4 million of cash and cash equivalents available for use without restriction, including for operations, debt service and extinguishment, new development activities, enhancements to our property and general corporate purposes. We require a certain amount of cash on hand for operations. We anticipate such funds, together with any additional borrowings and cash generated from operations will satisfy our liquidity needs during the remainder of 2014.</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March 31, 2014 we had unsecured outstanding letters of credit totaling $16.7 million. There have been no other material changes outside the ordinary course of our business during the quarter to our contractual obligations or off-balance sheet arrangements as disclosed in our Annual Report on Form 10-K for the year ended December 31, 2013, except as discussed above under “Financing Activities.”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We are restricted under the indentures governing the first mortgage notes and senior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9"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w:t>
      </w:r>
    </w:p>
    <w:p>
      <w:pPr>
        <w:spacing w:after="0" w:line="147"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1 - "Financial Statements", Note 8 "Commitments and Contingencies".</w:t>
      </w:r>
    </w:p>
    <w:p>
      <w:pPr>
        <w:spacing w:after="0" w:line="18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 Any repurchases might be made using a variety of methods, which may include open market purchases, privately negotiated transactions, or by any combination of those methods, in compliance with applicable securities laws and regulations.</w:t>
      </w:r>
    </w:p>
    <w:p>
      <w:pPr>
        <w:spacing w:after="0" w:line="15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the United States. There can be no assurances regarding the business prospects with respect to any other opportunity. Any other development would require us to obtain additional financing.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2013. There has been no material change to these policies for the three months ended March 31, 2014.</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and other factors we describe from time to time in our periodic filings with the SEC, such as:</w:t>
      </w:r>
    </w:p>
    <w:p>
      <w:pPr>
        <w:spacing w:after="0" w:line="262"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Wynn Resorts, Limited;</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end enforce gaming debts;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9"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4"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environmental regulation;</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 and</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225"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2014 our long-term debt was essentially based on fixed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firstLine="413"/>
        <w:spacing w:after="0" w:line="340" w:lineRule="auto"/>
        <w:tabs>
          <w:tab w:leader="none" w:pos="84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principal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71" w:lineRule="exact"/>
        <w:rPr>
          <w:rFonts w:ascii="Arial" w:cs="Arial" w:eastAsia="Arial" w:hAnsi="Arial"/>
          <w:sz w:val="16"/>
          <w:szCs w:val="16"/>
          <w:color w:val="auto"/>
        </w:rPr>
      </w:pPr>
    </w:p>
    <w:p>
      <w:pPr>
        <w:jc w:val="both"/>
        <w:ind w:right="240" w:firstLine="413"/>
        <w:spacing w:after="0" w:line="311" w:lineRule="auto"/>
        <w:tabs>
          <w:tab w:leader="none" w:pos="858"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quarter to which this report relates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9" w:right="27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2013. There were no material changes to those risk factors during the three months ended March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279" w:right="4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114"/>
              <w:spacing w:after="0"/>
              <w:rPr>
                <w:sz w:val="20"/>
                <w:szCs w:val="20"/>
                <w:color w:val="auto"/>
              </w:rPr>
            </w:pPr>
            <w:r>
              <w:rPr>
                <w:rFonts w:ascii="Arial" w:cs="Arial" w:eastAsia="Arial" w:hAnsi="Arial"/>
                <w:sz w:val="18"/>
                <w:szCs w:val="18"/>
                <w:color w:val="auto"/>
              </w:rPr>
              <w:t>(a)</w:t>
            </w:r>
          </w:p>
        </w:tc>
        <w:tc>
          <w:tcPr>
            <w:tcW w:w="10160" w:type="dxa"/>
            <w:vAlign w:val="bottom"/>
            <w:gridSpan w:val="3"/>
          </w:tcPr>
          <w:p>
            <w:pPr>
              <w:ind w:left="4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540" w:type="dxa"/>
            <w:vAlign w:val="bottom"/>
            <w:gridSpan w:val="2"/>
          </w:tcPr>
          <w:p>
            <w:pPr>
              <w:ind w:left="5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12"/>
        </w:trPr>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rPr>
              <w:t>Exhibit</w:t>
            </w:r>
          </w:p>
        </w:tc>
        <w:tc>
          <w:tcPr>
            <w:tcW w:w="3620" w:type="dxa"/>
            <w:vAlign w:val="bottom"/>
          </w:tcPr>
          <w:p>
            <w:pPr>
              <w:spacing w:after="0"/>
              <w:rPr>
                <w:sz w:val="24"/>
                <w:szCs w:val="24"/>
                <w:color w:val="auto"/>
              </w:rPr>
            </w:pPr>
          </w:p>
        </w:tc>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20" w:type="dxa"/>
            <w:vAlign w:val="bottom"/>
          </w:tcPr>
          <w:p>
            <w:pPr>
              <w:jc w:val="right"/>
              <w:ind w:right="214"/>
              <w:spacing w:after="0" w:line="158" w:lineRule="exact"/>
              <w:rPr>
                <w:sz w:val="20"/>
                <w:szCs w:val="20"/>
                <w:color w:val="auto"/>
              </w:rPr>
            </w:pPr>
            <w:r>
              <w:rPr>
                <w:rFonts w:ascii="Arial" w:cs="Arial" w:eastAsia="Arial" w:hAnsi="Arial"/>
                <w:sz w:val="14"/>
                <w:szCs w:val="14"/>
                <w:b w:val="1"/>
                <w:bCs w:val="1"/>
                <w:color w:val="auto"/>
              </w:rPr>
              <w:t>No.</w:t>
            </w:r>
          </w:p>
        </w:tc>
        <w:tc>
          <w:tcPr>
            <w:tcW w:w="3620" w:type="dxa"/>
            <w:vAlign w:val="bottom"/>
          </w:tcPr>
          <w:p>
            <w:pPr>
              <w:spacing w:after="0"/>
              <w:rPr>
                <w:sz w:val="13"/>
                <w:szCs w:val="13"/>
                <w:color w:val="auto"/>
              </w:rPr>
            </w:pPr>
          </w:p>
        </w:tc>
        <w:tc>
          <w:tcPr>
            <w:tcW w:w="6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0160" w:type="dxa"/>
            <w:vAlign w:val="bottom"/>
            <w:gridSpan w:val="3"/>
          </w:tcPr>
          <w:p>
            <w:pPr>
              <w:ind w:left="940"/>
              <w:spacing w:after="0"/>
              <w:rPr>
                <w:sz w:val="20"/>
                <w:szCs w:val="20"/>
                <w:color w:val="auto"/>
              </w:rPr>
            </w:pPr>
            <w:r>
              <w:rPr>
                <w:rFonts w:ascii="Arial" w:cs="Arial" w:eastAsia="Arial" w:hAnsi="Arial"/>
                <w:sz w:val="18"/>
                <w:szCs w:val="18"/>
                <w:color w:val="auto"/>
              </w:rPr>
              <w:t>Second Amended and Restated Articles of Organization of Wynn Las Vegas, LLC. (1)</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160" w:type="dxa"/>
            <w:vAlign w:val="bottom"/>
            <w:gridSpan w:val="3"/>
          </w:tcPr>
          <w:p>
            <w:pPr>
              <w:ind w:left="940"/>
              <w:spacing w:after="0"/>
              <w:rPr>
                <w:sz w:val="20"/>
                <w:szCs w:val="20"/>
                <w:color w:val="auto"/>
              </w:rPr>
            </w:pPr>
            <w:r>
              <w:rPr>
                <w:rFonts w:ascii="Arial" w:cs="Arial" w:eastAsia="Arial" w:hAnsi="Arial"/>
                <w:sz w:val="18"/>
                <w:szCs w:val="18"/>
                <w:color w:val="auto"/>
              </w:rPr>
              <w:t>Second Amended and Restated Operating Agreement of Wynn Las Vegas, LLC. (1)</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1016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Executive Officer of Periodic Report Pursuant to Rule 13a – 14(a) and Rule 15d – 14(a).</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1016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Financial Officer of Periodic Report Pursuant to Rule 13a – 14(a) and Rule 15d – 14(a).</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160" w:type="dxa"/>
            <w:vAlign w:val="bottom"/>
            <w:gridSpan w:val="3"/>
          </w:tcPr>
          <w:p>
            <w:pPr>
              <w:ind w:left="940"/>
              <w:spacing w:after="0"/>
              <w:rPr>
                <w:sz w:val="20"/>
                <w:szCs w:val="20"/>
                <w:color w:val="auto"/>
              </w:rPr>
            </w:pPr>
            <w:r>
              <w:rPr>
                <w:rFonts w:ascii="Arial" w:cs="Arial" w:eastAsia="Arial" w:hAnsi="Arial"/>
                <w:sz w:val="18"/>
                <w:szCs w:val="18"/>
                <w:color w:val="auto"/>
              </w:rPr>
              <w:t>Certification of CEO and CFO Pursuant to 18 U.S.C. Section 1350.</w:t>
            </w:r>
          </w:p>
        </w:tc>
        <w:tc>
          <w:tcPr>
            <w:tcW w:w="0" w:type="dxa"/>
            <w:vAlign w:val="bottom"/>
          </w:tcPr>
          <w:p>
            <w:pPr>
              <w:spacing w:after="0"/>
              <w:rPr>
                <w:sz w:val="1"/>
                <w:szCs w:val="1"/>
                <w:color w:val="auto"/>
              </w:rPr>
            </w:pPr>
          </w:p>
        </w:tc>
      </w:tr>
      <w:tr>
        <w:trPr>
          <w:trHeight w:val="377"/>
        </w:trPr>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0160" w:type="dxa"/>
            <w:vAlign w:val="bottom"/>
            <w:gridSpan w:val="3"/>
          </w:tcPr>
          <w:p>
            <w:pPr>
              <w:ind w:left="940"/>
              <w:spacing w:after="0"/>
              <w:rPr>
                <w:sz w:val="20"/>
                <w:szCs w:val="20"/>
                <w:color w:val="auto"/>
              </w:rPr>
            </w:pPr>
            <w:r>
              <w:rPr>
                <w:rFonts w:ascii="Arial" w:cs="Arial" w:eastAsia="Arial" w:hAnsi="Arial"/>
                <w:sz w:val="18"/>
                <w:szCs w:val="18"/>
                <w:color w:val="auto"/>
                <w:w w:val="92"/>
              </w:rPr>
              <w:t>The following financial information from the Company’s Quarterly Report on Form 10-Q for the three months ended March 31,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160" w:type="dxa"/>
            <w:vAlign w:val="bottom"/>
            <w:gridSpan w:val="3"/>
          </w:tcPr>
          <w:p>
            <w:pPr>
              <w:ind w:left="940"/>
              <w:spacing w:after="0"/>
              <w:rPr>
                <w:sz w:val="20"/>
                <w:szCs w:val="20"/>
                <w:color w:val="auto"/>
              </w:rPr>
            </w:pPr>
            <w:r>
              <w:rPr>
                <w:rFonts w:ascii="Arial" w:cs="Arial" w:eastAsia="Arial" w:hAnsi="Arial"/>
                <w:sz w:val="18"/>
                <w:szCs w:val="18"/>
                <w:color w:val="auto"/>
                <w:w w:val="94"/>
              </w:rPr>
              <w:t>2014, filed with the SEC on May 9, 2014 formatted in Extensible Business Reporting Language (XBRL): (i) the Condensed</w:t>
            </w:r>
          </w:p>
        </w:tc>
        <w:tc>
          <w:tcPr>
            <w:tcW w:w="0" w:type="dxa"/>
            <w:vAlign w:val="bottom"/>
          </w:tcPr>
          <w:p>
            <w:pPr>
              <w:spacing w:after="0"/>
              <w:rPr>
                <w:sz w:val="1"/>
                <w:szCs w:val="1"/>
                <w:color w:val="auto"/>
              </w:rPr>
            </w:pPr>
          </w:p>
        </w:tc>
      </w:tr>
    </w:tbl>
    <w:p>
      <w:pPr>
        <w:ind w:left="1760"/>
        <w:spacing w:after="0" w:line="302" w:lineRule="auto"/>
        <w:rPr>
          <w:sz w:val="20"/>
          <w:szCs w:val="20"/>
          <w:color w:val="auto"/>
        </w:rPr>
      </w:pPr>
      <w:r>
        <w:rPr>
          <w:rFonts w:ascii="Arial" w:cs="Arial" w:eastAsia="Arial" w:hAnsi="Arial"/>
          <w:sz w:val="16"/>
          <w:szCs w:val="16"/>
          <w:color w:val="auto"/>
        </w:rPr>
        <w:t>Consolidated Statements of Operations and Comprehensive Loss for the three months ended March 31, 2014 and 2013, (ii) the Condensed Consolidated Balance Sheets at March 31, 2014 and December 31, 2013, (iii) the Condensed Consolidated Statements of Cash Flows for the three months ended March 31, 2014 and 2013,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54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320" w:hanging="652"/>
        <w:spacing w:after="0" w:line="27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279" w:right="3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WYNN LAS VEGAS, LLC</w:t>
      </w:r>
    </w:p>
    <w:p>
      <w:pPr>
        <w:spacing w:after="0" w:line="391" w:lineRule="exact"/>
        <w:rPr>
          <w:sz w:val="20"/>
          <w:szCs w:val="20"/>
          <w:color w:val="auto"/>
        </w:rPr>
      </w:pPr>
    </w:p>
    <w:p>
      <w:pPr>
        <w:ind w:left="40"/>
        <w:spacing w:after="0"/>
        <w:tabs>
          <w:tab w:leader="none" w:pos="6080" w:val="left"/>
          <w:tab w:leader="none" w:pos="6640" w:val="left"/>
        </w:tabs>
        <w:rPr>
          <w:sz w:val="20"/>
          <w:szCs w:val="20"/>
          <w:color w:val="auto"/>
        </w:rPr>
      </w:pPr>
      <w:r>
        <w:rPr>
          <w:rFonts w:ascii="Arial" w:cs="Arial" w:eastAsia="Arial" w:hAnsi="Arial"/>
          <w:sz w:val="18"/>
          <w:szCs w:val="18"/>
          <w:color w:val="auto"/>
        </w:rPr>
        <w:t>Dated: May 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Scott Peterson</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80"/>
          </w:cols>
          <w:pgMar w:left="240" w:top="279" w:right="87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Maurice Wooden, certify that:</w:t>
      </w:r>
    </w:p>
    <w:p>
      <w:pPr>
        <w:spacing w:after="0" w:line="17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9, 2014</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Maurice Wooden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Scott Peterson, certify that:</w:t>
      </w:r>
    </w:p>
    <w:p>
      <w:pPr>
        <w:spacing w:after="0" w:line="17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9, 2014</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Scott Peterson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March 31, 2014 as filed with the Securities and Exchange Commission on the date hereof (the “Report”), Maurice Wooden, as President of the Company and Scott Peterson,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841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5380" w:type="dxa"/>
            <w:vAlign w:val="bottom"/>
          </w:tcPr>
          <w:p>
            <w:pPr>
              <w:ind w:left="160"/>
              <w:spacing w:after="0"/>
              <w:rPr>
                <w:sz w:val="20"/>
                <w:szCs w:val="20"/>
                <w:color w:val="auto"/>
              </w:rPr>
            </w:pPr>
            <w:r>
              <w:rPr>
                <w:rFonts w:ascii="Arial" w:cs="Arial" w:eastAsia="Arial" w:hAnsi="Arial"/>
                <w:sz w:val="18"/>
                <w:szCs w:val="18"/>
                <w:color w:val="auto"/>
              </w:rPr>
              <w:t>Maurice Wooden</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5380" w:type="dxa"/>
            <w:vAlign w:val="bottom"/>
          </w:tcPr>
          <w:p>
            <w:pPr>
              <w:ind w:left="160"/>
              <w:spacing w:after="0"/>
              <w:rPr>
                <w:sz w:val="20"/>
                <w:szCs w:val="20"/>
                <w:color w:val="auto"/>
              </w:rPr>
            </w:pPr>
            <w:r>
              <w:rPr>
                <w:rFonts w:ascii="Arial" w:cs="Arial" w:eastAsia="Arial" w:hAnsi="Arial"/>
                <w:sz w:val="18"/>
                <w:szCs w:val="18"/>
                <w:color w:val="auto"/>
              </w:rPr>
              <w:t>President</w:t>
            </w:r>
          </w:p>
        </w:tc>
      </w:tr>
      <w:tr>
        <w:trPr>
          <w:trHeight w:val="270"/>
        </w:trPr>
        <w:tc>
          <w:tcPr>
            <w:tcW w:w="680" w:type="dxa"/>
            <w:vAlign w:val="bottom"/>
          </w:tcPr>
          <w:p>
            <w:pPr>
              <w:spacing w:after="0"/>
              <w:rPr>
                <w:sz w:val="23"/>
                <w:szCs w:val="23"/>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Date:</w:t>
            </w:r>
          </w:p>
        </w:tc>
        <w:tc>
          <w:tcPr>
            <w:tcW w:w="5380" w:type="dxa"/>
            <w:vAlign w:val="bottom"/>
          </w:tcPr>
          <w:p>
            <w:pPr>
              <w:ind w:left="160"/>
              <w:spacing w:after="0"/>
              <w:rPr>
                <w:sz w:val="20"/>
                <w:szCs w:val="20"/>
                <w:color w:val="auto"/>
              </w:rPr>
            </w:pPr>
            <w:r>
              <w:rPr>
                <w:rFonts w:ascii="Arial" w:cs="Arial" w:eastAsia="Arial" w:hAnsi="Arial"/>
                <w:sz w:val="18"/>
                <w:szCs w:val="18"/>
                <w:color w:val="auto"/>
              </w:rPr>
              <w:t>May 9, 2014</w:t>
            </w:r>
          </w:p>
        </w:tc>
      </w:tr>
      <w:tr>
        <w:trPr>
          <w:trHeight w:val="405"/>
        </w:trPr>
        <w:tc>
          <w:tcPr>
            <w:tcW w:w="6060" w:type="dxa"/>
            <w:vAlign w:val="bottom"/>
            <w:gridSpan w:val="2"/>
          </w:tcPr>
          <w:p>
            <w:pPr>
              <w:ind w:left="500"/>
              <w:spacing w:after="0"/>
              <w:rPr>
                <w:sz w:val="20"/>
                <w:szCs w:val="20"/>
                <w:color w:val="auto"/>
              </w:rPr>
            </w:pPr>
            <w:r>
              <w:rPr>
                <w:rFonts w:ascii="Arial" w:cs="Arial" w:eastAsia="Arial" w:hAnsi="Arial"/>
                <w:sz w:val="18"/>
                <w:szCs w:val="18"/>
                <w:color w:val="auto"/>
              </w:rPr>
              <w:t>/s/ Scott Peterson</w:t>
            </w:r>
          </w:p>
        </w:tc>
      </w:tr>
      <w:tr>
        <w:trPr>
          <w:trHeight w:val="27"/>
        </w:trPr>
        <w:tc>
          <w:tcPr>
            <w:tcW w:w="68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5380" w:type="dxa"/>
            <w:vAlign w:val="bottom"/>
          </w:tcPr>
          <w:p>
            <w:pPr>
              <w:ind w:left="160"/>
              <w:spacing w:after="0"/>
              <w:rPr>
                <w:sz w:val="20"/>
                <w:szCs w:val="20"/>
                <w:color w:val="auto"/>
              </w:rPr>
            </w:pPr>
            <w:r>
              <w:rPr>
                <w:rFonts w:ascii="Arial" w:cs="Arial" w:eastAsia="Arial" w:hAnsi="Arial"/>
                <w:sz w:val="18"/>
                <w:szCs w:val="18"/>
                <w:color w:val="auto"/>
              </w:rPr>
              <w:t>Scott Peterson</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538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680" w:type="dxa"/>
            <w:vAlign w:val="bottom"/>
          </w:tcPr>
          <w:p>
            <w:pPr>
              <w:spacing w:after="0"/>
              <w:rPr>
                <w:sz w:val="23"/>
                <w:szCs w:val="23"/>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Date:</w:t>
            </w:r>
          </w:p>
        </w:tc>
        <w:tc>
          <w:tcPr>
            <w:tcW w:w="5380" w:type="dxa"/>
            <w:vAlign w:val="bottom"/>
          </w:tcPr>
          <w:p>
            <w:pPr>
              <w:ind w:left="160"/>
              <w:spacing w:after="0"/>
              <w:rPr>
                <w:sz w:val="20"/>
                <w:szCs w:val="20"/>
                <w:color w:val="auto"/>
              </w:rPr>
            </w:pPr>
            <w:r>
              <w:rPr>
                <w:rFonts w:ascii="Arial" w:cs="Arial" w:eastAsia="Arial" w:hAnsi="Arial"/>
                <w:sz w:val="18"/>
                <w:szCs w:val="18"/>
                <w:color w:val="auto"/>
              </w:rPr>
              <w:t>May 9, 2014</w:t>
            </w:r>
          </w:p>
        </w:tc>
      </w:tr>
    </w:tbl>
    <w:p>
      <w:pPr>
        <w:spacing w:after="0" w:line="17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2019-12-07T04:17:51Z</dcterms:created>
  <dcterms:modified xsi:type="dcterms:W3CDTF">2019-12-07T04:17:51Z</dcterms:modified>
</cp:coreProperties>
</file>