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381635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247015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ind w:left="2860"/>
        <w:spacing w:after="0"/>
        <w:rPr>
          <w:sz w:val="20"/>
          <w:szCs w:val="20"/>
          <w:color w:val="auto"/>
        </w:rPr>
      </w:pPr>
      <w:r>
        <w:rPr>
          <w:rFonts w:ascii="Arial" w:cs="Arial" w:eastAsia="Arial" w:hAnsi="Arial"/>
          <w:sz w:val="22"/>
          <w:szCs w:val="22"/>
          <w:b w:val="1"/>
          <w:bCs w:val="1"/>
          <w:color w:val="auto"/>
        </w:rPr>
        <w:t>Date of Report (Date of earliest event reported): July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259715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34"/>
        </w:trPr>
        <w:tc>
          <w:tcPr>
            <w:tcW w:w="2940" w:type="dxa"/>
            <w:vAlign w:val="bottom"/>
          </w:tcPr>
          <w:p>
            <w:pPr>
              <w:jc w:val="center"/>
              <w:ind w:right="1242"/>
              <w:spacing w:after="0"/>
              <w:rPr>
                <w:sz w:val="20"/>
                <w:szCs w:val="20"/>
                <w:color w:val="auto"/>
              </w:rPr>
            </w:pPr>
            <w:r>
              <w:rPr>
                <w:rFonts w:ascii="Arial" w:cs="Arial" w:eastAsia="Arial" w:hAnsi="Arial"/>
                <w:sz w:val="18"/>
                <w:szCs w:val="18"/>
                <w:b w:val="1"/>
                <w:bCs w:val="1"/>
                <w:color w:val="auto"/>
                <w:w w:val="90"/>
              </w:rPr>
              <w:t>Nevada</w:t>
            </w:r>
          </w:p>
        </w:tc>
        <w:tc>
          <w:tcPr>
            <w:tcW w:w="3500" w:type="dxa"/>
            <w:vAlign w:val="bottom"/>
          </w:tcPr>
          <w:p>
            <w:pPr>
              <w:ind w:left="1320"/>
              <w:spacing w:after="0"/>
              <w:rPr>
                <w:sz w:val="20"/>
                <w:szCs w:val="20"/>
                <w:color w:val="auto"/>
              </w:rPr>
            </w:pPr>
            <w:r>
              <w:rPr>
                <w:rFonts w:ascii="Arial" w:cs="Arial" w:eastAsia="Arial" w:hAnsi="Arial"/>
                <w:sz w:val="18"/>
                <w:szCs w:val="18"/>
                <w:b w:val="1"/>
                <w:bCs w:val="1"/>
                <w:color w:val="auto"/>
              </w:rPr>
              <w:t>000-50028</w:t>
            </w:r>
          </w:p>
        </w:tc>
        <w:tc>
          <w:tcPr>
            <w:tcW w:w="2520" w:type="dxa"/>
            <w:vAlign w:val="bottom"/>
          </w:tcPr>
          <w:p>
            <w:pPr>
              <w:jc w:val="center"/>
              <w:ind w:left="1322"/>
              <w:spacing w:after="0"/>
              <w:rPr>
                <w:sz w:val="20"/>
                <w:szCs w:val="20"/>
                <w:color w:val="auto"/>
              </w:rPr>
            </w:pPr>
            <w:r>
              <w:rPr>
                <w:rFonts w:ascii="Arial" w:cs="Arial" w:eastAsia="Arial" w:hAnsi="Arial"/>
                <w:sz w:val="18"/>
                <w:szCs w:val="18"/>
                <w:b w:val="1"/>
                <w:bCs w:val="1"/>
                <w:color w:val="auto"/>
                <w:w w:val="91"/>
              </w:rPr>
              <w:t>46-0484987</w:t>
            </w:r>
          </w:p>
        </w:tc>
      </w:tr>
      <w:tr>
        <w:trPr>
          <w:trHeight w:val="180"/>
        </w:trPr>
        <w:tc>
          <w:tcPr>
            <w:tcW w:w="2940" w:type="dxa"/>
            <w:vAlign w:val="bottom"/>
          </w:tcPr>
          <w:p>
            <w:pPr>
              <w:jc w:val="center"/>
              <w:ind w:right="1222"/>
              <w:spacing w:after="0"/>
              <w:rPr>
                <w:sz w:val="20"/>
                <w:szCs w:val="20"/>
                <w:color w:val="auto"/>
              </w:rPr>
            </w:pPr>
            <w:r>
              <w:rPr>
                <w:rFonts w:ascii="Arial" w:cs="Arial" w:eastAsia="Arial" w:hAnsi="Arial"/>
                <w:sz w:val="14"/>
                <w:szCs w:val="14"/>
                <w:b w:val="1"/>
                <w:bCs w:val="1"/>
                <w:color w:val="auto"/>
                <w:w w:val="93"/>
              </w:rPr>
              <w:t>(State or other jurisdiction</w:t>
            </w:r>
          </w:p>
        </w:tc>
        <w:tc>
          <w:tcPr>
            <w:tcW w:w="3500" w:type="dxa"/>
            <w:vAlign w:val="bottom"/>
          </w:tcPr>
          <w:p>
            <w:pPr>
              <w:ind w:left="1300"/>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40" w:type="dxa"/>
            <w:vAlign w:val="bottom"/>
          </w:tcPr>
          <w:p>
            <w:pPr>
              <w:jc w:val="center"/>
              <w:ind w:right="1242"/>
              <w:spacing w:after="0"/>
              <w:rPr>
                <w:sz w:val="20"/>
                <w:szCs w:val="20"/>
                <w:color w:val="auto"/>
              </w:rPr>
            </w:pPr>
            <w:r>
              <w:rPr>
                <w:rFonts w:ascii="Arial" w:cs="Arial" w:eastAsia="Arial" w:hAnsi="Arial"/>
                <w:sz w:val="14"/>
                <w:szCs w:val="14"/>
                <w:b w:val="1"/>
                <w:bCs w:val="1"/>
                <w:color w:val="auto"/>
                <w:w w:val="94"/>
              </w:rPr>
              <w:t>of incorporation)</w:t>
            </w:r>
          </w:p>
        </w:tc>
        <w:tc>
          <w:tcPr>
            <w:tcW w:w="3500" w:type="dxa"/>
            <w:vAlign w:val="bottom"/>
          </w:tcPr>
          <w:p>
            <w:pPr>
              <w:ind w:left="12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8"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304800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460" w:type="dxa"/>
            <w:vAlign w:val="bottom"/>
          </w:tcPr>
          <w:p>
            <w:pPr>
              <w:jc w:val="center"/>
              <w:ind w:right="440"/>
              <w:spacing w:after="0"/>
              <w:rPr>
                <w:sz w:val="20"/>
                <w:szCs w:val="20"/>
                <w:color w:val="auto"/>
              </w:rPr>
            </w:pPr>
            <w:r>
              <w:rPr>
                <w:rFonts w:ascii="Arial" w:cs="Arial" w:eastAsia="Arial" w:hAnsi="Arial"/>
                <w:sz w:val="18"/>
                <w:szCs w:val="18"/>
                <w:b w:val="1"/>
                <w:bCs w:val="1"/>
                <w:color w:val="auto"/>
                <w:w w:val="89"/>
              </w:rPr>
              <w:t>333-100768</w:t>
            </w:r>
          </w:p>
        </w:tc>
        <w:tc>
          <w:tcPr>
            <w:tcW w:w="1700" w:type="dxa"/>
            <w:vAlign w:val="bottom"/>
          </w:tcPr>
          <w:p>
            <w:pPr>
              <w:jc w:val="right"/>
              <w:ind w:right="61"/>
              <w:spacing w:after="0"/>
              <w:rPr>
                <w:sz w:val="20"/>
                <w:szCs w:val="20"/>
                <w:color w:val="auto"/>
              </w:rPr>
            </w:pPr>
            <w:r>
              <w:rPr>
                <w:rFonts w:ascii="Arial" w:cs="Arial" w:eastAsia="Arial" w:hAnsi="Arial"/>
                <w:sz w:val="18"/>
                <w:szCs w:val="18"/>
                <w:b w:val="1"/>
                <w:bCs w:val="1"/>
                <w:color w:val="auto"/>
              </w:rPr>
              <w:t>88-0494875</w:t>
            </w:r>
          </w:p>
        </w:tc>
      </w:tr>
      <w:tr>
        <w:trPr>
          <w:trHeight w:val="180"/>
        </w:trPr>
        <w:tc>
          <w:tcPr>
            <w:tcW w:w="358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(State or other jurisdiction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2"/>
              </w:rPr>
              <w:t>(Commission</w:t>
            </w:r>
          </w:p>
        </w:tc>
        <w:tc>
          <w:tcPr>
            <w:tcW w:w="1700" w:type="dxa"/>
            <w:vAlign w:val="bottom"/>
          </w:tcPr>
          <w:p>
            <w:pPr>
              <w:jc w:val="center"/>
              <w:ind w:left="5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4"/>
              </w:rPr>
              <w:t>of incorporation)</w:t>
            </w:r>
          </w:p>
        </w:tc>
        <w:tc>
          <w:tcPr>
            <w:tcW w:w="4460" w:type="dxa"/>
            <w:vAlign w:val="bottom"/>
          </w:tcPr>
          <w:p>
            <w:pPr>
              <w:jc w:val="center"/>
              <w:ind w:right="440"/>
              <w:spacing w:after="0"/>
              <w:rPr>
                <w:sz w:val="20"/>
                <w:szCs w:val="20"/>
                <w:color w:val="auto"/>
              </w:rPr>
            </w:pPr>
            <w:r>
              <w:rPr>
                <w:rFonts w:ascii="Arial" w:cs="Arial" w:eastAsia="Arial" w:hAnsi="Arial"/>
                <w:sz w:val="14"/>
                <w:szCs w:val="14"/>
                <w:b w:val="1"/>
                <w:bCs w:val="1"/>
                <w:color w:val="auto"/>
                <w:w w:val="95"/>
              </w:rPr>
              <w:t>File Number)</w:t>
            </w: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6"/>
              </w:rPr>
              <w:t>Identification No.)</w:t>
            </w:r>
          </w:p>
        </w:tc>
      </w:tr>
      <w:tr>
        <w:trPr>
          <w:trHeight w:val="358"/>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3131 Las Vegas Boulevard South</w:t>
            </w:r>
          </w:p>
        </w:tc>
        <w:tc>
          <w:tcPr>
            <w:tcW w:w="44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4"/>
        </w:trPr>
        <w:tc>
          <w:tcPr>
            <w:tcW w:w="3580" w:type="dxa"/>
            <w:vAlign w:val="bottom"/>
          </w:tcPr>
          <w:p>
            <w:pPr>
              <w:jc w:val="center"/>
              <w:ind w:right="19"/>
              <w:spacing w:after="0"/>
              <w:rPr>
                <w:sz w:val="20"/>
                <w:szCs w:val="20"/>
                <w:color w:val="auto"/>
              </w:rPr>
            </w:pPr>
            <w:r>
              <w:rPr>
                <w:rFonts w:ascii="Arial" w:cs="Arial" w:eastAsia="Arial" w:hAnsi="Arial"/>
                <w:sz w:val="18"/>
                <w:szCs w:val="18"/>
                <w:b w:val="1"/>
                <w:bCs w:val="1"/>
                <w:color w:val="auto"/>
                <w:w w:val="88"/>
              </w:rPr>
              <w:t>Las Vegas, Nevada</w:t>
            </w:r>
          </w:p>
        </w:tc>
        <w:tc>
          <w:tcPr>
            <w:tcW w:w="4460" w:type="dxa"/>
            <w:vAlign w:val="bottom"/>
          </w:tcPr>
          <w:p>
            <w:pPr>
              <w:spacing w:after="0"/>
              <w:rPr>
                <w:sz w:val="20"/>
                <w:szCs w:val="20"/>
                <w:color w:val="auto"/>
              </w:rPr>
            </w:pPr>
          </w:p>
        </w:tc>
        <w:tc>
          <w:tcPr>
            <w:tcW w:w="17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 of each registrant)</w:t>
            </w:r>
          </w:p>
        </w:tc>
        <w:tc>
          <w:tcPr>
            <w:tcW w:w="4460" w:type="dxa"/>
            <w:vAlign w:val="bottom"/>
          </w:tcPr>
          <w:p>
            <w:pPr>
              <w:spacing w:after="0"/>
              <w:rPr>
                <w:sz w:val="18"/>
                <w:szCs w:val="18"/>
                <w:color w:val="auto"/>
              </w:rPr>
            </w:pPr>
          </w:p>
        </w:tc>
        <w:tc>
          <w:tcPr>
            <w:tcW w:w="1700" w:type="dxa"/>
            <w:vAlign w:val="bottom"/>
          </w:tcPr>
          <w:p>
            <w:pPr>
              <w:jc w:val="center"/>
              <w:ind w:left="481"/>
              <w:spacing w:after="0"/>
              <w:rPr>
                <w:sz w:val="20"/>
                <w:szCs w:val="20"/>
                <w:color w:val="auto"/>
              </w:rPr>
            </w:pPr>
            <w:r>
              <w:rPr>
                <w:rFonts w:ascii="Arial" w:cs="Arial" w:eastAsia="Arial" w:hAnsi="Arial"/>
                <w:sz w:val="14"/>
                <w:szCs w:val="14"/>
                <w:b w:val="1"/>
                <w:bCs w:val="1"/>
                <w:color w:val="auto"/>
                <w:w w:val="95"/>
              </w:rPr>
              <w:t>(Zip Code)</w:t>
            </w:r>
          </w:p>
        </w:tc>
      </w:tr>
      <w:tr>
        <w:trPr>
          <w:trHeight w:val="489"/>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0"/>
              </w:rPr>
              <w:t>(702) 770-7555</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408"/>
        </w:trPr>
        <w:tc>
          <w:tcPr>
            <w:tcW w:w="3580" w:type="dxa"/>
            <w:vAlign w:val="bottom"/>
          </w:tcPr>
          <w:p>
            <w:pPr>
              <w:spacing w:after="0"/>
              <w:rPr>
                <w:sz w:val="24"/>
                <w:szCs w:val="24"/>
                <w:color w:val="auto"/>
              </w:rPr>
            </w:pPr>
          </w:p>
        </w:tc>
        <w:tc>
          <w:tcPr>
            <w:tcW w:w="4460" w:type="dxa"/>
            <w:vAlign w:val="bottom"/>
          </w:tcPr>
          <w:p>
            <w:pPr>
              <w:jc w:val="center"/>
              <w:ind w:right="380"/>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3580" w:type="dxa"/>
            <w:vAlign w:val="bottom"/>
          </w:tcPr>
          <w:p>
            <w:pPr>
              <w:spacing w:after="0"/>
              <w:rPr>
                <w:sz w:val="16"/>
                <w:szCs w:val="16"/>
                <w:color w:val="auto"/>
              </w:rPr>
            </w:pPr>
          </w:p>
        </w:tc>
        <w:tc>
          <w:tcPr>
            <w:tcW w:w="4460" w:type="dxa"/>
            <w:vAlign w:val="bottom"/>
          </w:tcPr>
          <w:p>
            <w:pPr>
              <w:jc w:val="center"/>
              <w:ind w:right="3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00" w:type="dxa"/>
            <w:vAlign w:val="bottom"/>
          </w:tcPr>
          <w:p>
            <w:pPr>
              <w:spacing w:after="0"/>
              <w:rPr>
                <w:sz w:val="16"/>
                <w:szCs w:val="16"/>
                <w:color w:val="auto"/>
              </w:rPr>
            </w:pPr>
          </w:p>
        </w:tc>
      </w:tr>
    </w:tbl>
    <w:p>
      <w:pPr>
        <w:spacing w:after="0" w:line="2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3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ectPr>
          <w:pgSz w:w="11900" w:h="16838" w:orient="portrait"/>
          <w:cols w:equalWidth="0" w:num="1">
            <w:col w:w="10860"/>
          </w:cols>
          <w:pgMar w:left="240" w:top="747" w:right="799" w:bottom="1440" w:gutter="0" w:footer="0" w:header="0"/>
        </w:sectPr>
      </w:pPr>
    </w:p>
    <w:bookmarkStart w:id="1" w:name="page2"/>
    <w:bookmarkEnd w:id="1"/>
    <w:p>
      <w:pPr>
        <w:ind w:left="40"/>
        <w:spacing w:after="0"/>
        <w:tabs>
          <w:tab w:leader="none" w:pos="14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48"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On July 28, 2016, Wynn Resorts, Limited issued a press release announcing its results of operations for the second quarter ended June 30, 2016. The press release is furnished herewith as Exhibit 99.1. The information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0" w:lineRule="exact"/>
        <w:rPr>
          <w:sz w:val="20"/>
          <w:szCs w:val="20"/>
          <w:color w:val="auto"/>
        </w:rPr>
      </w:pPr>
    </w:p>
    <w:p>
      <w:pPr>
        <w:spacing w:after="0" w:line="274"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2.02 of this report is incorporated herein by reference.</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July 28, 2016, the Company announced a cash dividend of $0.50 per share, payable on August 23, 2016 to stockholders of record as of August 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365"/>
        </w:trPr>
        <w:tc>
          <w:tcPr>
            <w:tcW w:w="1380" w:type="dxa"/>
            <w:vAlign w:val="bottom"/>
            <w:gridSpan w:val="2"/>
          </w:tcPr>
          <w:p>
            <w:pPr>
              <w:ind w:left="180"/>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89"/>
              </w:rPr>
              <w:t>Press release, dated July 28, 2016, of Wynn Resorts, Limited.</w:t>
            </w:r>
          </w:p>
        </w:tc>
      </w:tr>
    </w:tbl>
    <w:p>
      <w:pPr>
        <w:sectPr>
          <w:pgSz w:w="11900" w:h="16838" w:orient="portrait"/>
          <w:cols w:equalWidth="0" w:num="1">
            <w:col w:w="11360"/>
          </w:cols>
          <w:pgMar w:left="240" w:top="958" w:right="29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1"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July 28,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796" w:right="87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Arial" w:cs="Arial" w:eastAsia="Arial" w:hAnsi="Arial"/>
                <w:sz w:val="18"/>
                <w:szCs w:val="18"/>
                <w:b w:val="1"/>
                <w:bCs w:val="1"/>
                <w:color w:val="auto"/>
              </w:rPr>
              <w:t>WYNN LAS VEGAS, LLC</w:t>
            </w:r>
          </w:p>
        </w:tc>
      </w:tr>
      <w:tr>
        <w:trPr>
          <w:trHeight w:val="392"/>
        </w:trPr>
        <w:tc>
          <w:tcPr>
            <w:tcW w:w="4140" w:type="dxa"/>
            <w:vAlign w:val="bottom"/>
          </w:tcPr>
          <w:p>
            <w:pPr>
              <w:spacing w:after="0"/>
              <w:rPr>
                <w:sz w:val="20"/>
                <w:szCs w:val="20"/>
                <w:color w:val="auto"/>
              </w:rPr>
            </w:pPr>
            <w:r>
              <w:rPr>
                <w:rFonts w:ascii="Arial" w:cs="Arial" w:eastAsia="Arial" w:hAnsi="Arial"/>
                <w:sz w:val="18"/>
                <w:szCs w:val="18"/>
                <w:color w:val="auto"/>
              </w:rPr>
              <w:t>Dated: July 28, 2016</w:t>
            </w:r>
          </w:p>
        </w:tc>
        <w:tc>
          <w:tcPr>
            <w:tcW w:w="3140" w:type="dxa"/>
            <w:vAlign w:val="bottom"/>
          </w:tcPr>
          <w:p>
            <w:pPr>
              <w:ind w:left="264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w w:val="92"/>
              </w:rPr>
              <w:t>Wynn Las Vegas Holdings, LLC, its sole member</w:t>
            </w:r>
          </w:p>
        </w:tc>
      </w:tr>
      <w:tr>
        <w:trPr>
          <w:trHeight w:val="567"/>
        </w:trPr>
        <w:tc>
          <w:tcPr>
            <w:tcW w:w="4140" w:type="dxa"/>
            <w:vAlign w:val="bottom"/>
          </w:tcPr>
          <w:p>
            <w:pPr>
              <w:spacing w:after="0"/>
              <w:rPr>
                <w:sz w:val="24"/>
                <w:szCs w:val="24"/>
                <w:color w:val="auto"/>
              </w:rPr>
            </w:pPr>
          </w:p>
        </w:tc>
        <w:tc>
          <w:tcPr>
            <w:tcW w:w="3140" w:type="dxa"/>
            <w:vAlign w:val="bottom"/>
          </w:tcPr>
          <w:p>
            <w:pPr>
              <w:ind w:left="264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America, LLC, its sole member</w:t>
            </w:r>
          </w:p>
        </w:tc>
      </w:tr>
      <w:tr>
        <w:trPr>
          <w:trHeight w:val="553"/>
        </w:trPr>
        <w:tc>
          <w:tcPr>
            <w:tcW w:w="4140" w:type="dxa"/>
            <w:vAlign w:val="bottom"/>
          </w:tcPr>
          <w:p>
            <w:pPr>
              <w:spacing w:after="0"/>
              <w:rPr>
                <w:sz w:val="24"/>
                <w:szCs w:val="24"/>
                <w:color w:val="auto"/>
              </w:rPr>
            </w:pPr>
          </w:p>
        </w:tc>
        <w:tc>
          <w:tcPr>
            <w:tcW w:w="3140" w:type="dxa"/>
            <w:vAlign w:val="bottom"/>
          </w:tcPr>
          <w:p>
            <w:pPr>
              <w:ind w:left="264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Holdings, LLC, its</w:t>
            </w:r>
          </w:p>
        </w:tc>
      </w:tr>
      <w:tr>
        <w:trPr>
          <w:trHeight w:val="230"/>
        </w:trPr>
        <w:tc>
          <w:tcPr>
            <w:tcW w:w="4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sole member</w:t>
            </w:r>
          </w:p>
        </w:tc>
      </w:tr>
      <w:tr>
        <w:trPr>
          <w:trHeight w:val="526"/>
        </w:trPr>
        <w:tc>
          <w:tcPr>
            <w:tcW w:w="4140" w:type="dxa"/>
            <w:vAlign w:val="bottom"/>
          </w:tcPr>
          <w:p>
            <w:pPr>
              <w:spacing w:after="0"/>
              <w:rPr>
                <w:sz w:val="24"/>
                <w:szCs w:val="24"/>
                <w:color w:val="auto"/>
              </w:rPr>
            </w:pPr>
          </w:p>
        </w:tc>
        <w:tc>
          <w:tcPr>
            <w:tcW w:w="3140" w:type="dxa"/>
            <w:vAlign w:val="bottom"/>
          </w:tcPr>
          <w:p>
            <w:pPr>
              <w:ind w:left="2640"/>
              <w:spacing w:after="0"/>
              <w:rPr>
                <w:sz w:val="20"/>
                <w:szCs w:val="20"/>
                <w:color w:val="auto"/>
              </w:rPr>
            </w:pPr>
            <w:r>
              <w:rPr>
                <w:rFonts w:ascii="Arial" w:cs="Arial" w:eastAsia="Arial" w:hAnsi="Arial"/>
                <w:sz w:val="18"/>
                <w:szCs w:val="18"/>
                <w:color w:val="auto"/>
              </w:rPr>
              <w:t>By:</w:t>
            </w:r>
          </w:p>
        </w:tc>
        <w:tc>
          <w:tcPr>
            <w:tcW w:w="3760" w:type="dxa"/>
            <w:vAlign w:val="bottom"/>
          </w:tcPr>
          <w:p>
            <w:pPr>
              <w:ind w:left="120"/>
              <w:spacing w:after="0"/>
              <w:rPr>
                <w:sz w:val="20"/>
                <w:szCs w:val="20"/>
                <w:color w:val="auto"/>
              </w:rPr>
            </w:pPr>
            <w:r>
              <w:rPr>
                <w:rFonts w:ascii="Arial" w:cs="Arial" w:eastAsia="Arial" w:hAnsi="Arial"/>
                <w:sz w:val="18"/>
                <w:szCs w:val="18"/>
                <w:color w:val="auto"/>
              </w:rPr>
              <w:t>Wynn Resorts, Limited, its sole</w:t>
            </w:r>
          </w:p>
        </w:tc>
      </w:tr>
      <w:tr>
        <w:trPr>
          <w:trHeight w:val="230"/>
        </w:trPr>
        <w:tc>
          <w:tcPr>
            <w:tcW w:w="41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member</w:t>
            </w:r>
          </w:p>
        </w:tc>
      </w:tr>
      <w:tr>
        <w:trPr>
          <w:trHeight w:val="567"/>
        </w:trPr>
        <w:tc>
          <w:tcPr>
            <w:tcW w:w="4140" w:type="dxa"/>
            <w:vAlign w:val="bottom"/>
          </w:tcPr>
          <w:p>
            <w:pPr>
              <w:spacing w:after="0"/>
              <w:rPr>
                <w:sz w:val="24"/>
                <w:szCs w:val="24"/>
                <w:color w:val="auto"/>
              </w:rPr>
            </w:pPr>
          </w:p>
        </w:tc>
        <w:tc>
          <w:tcPr>
            <w:tcW w:w="3140" w:type="dxa"/>
            <w:vAlign w:val="bottom"/>
          </w:tcPr>
          <w:p>
            <w:pPr>
              <w:ind w:left="2640"/>
              <w:spacing w:after="0"/>
              <w:rPr>
                <w:sz w:val="20"/>
                <w:szCs w:val="20"/>
                <w:color w:val="auto"/>
              </w:rPr>
            </w:pPr>
            <w:r>
              <w:rPr>
                <w:rFonts w:ascii="Arial" w:cs="Arial" w:eastAsia="Arial" w:hAnsi="Arial"/>
                <w:sz w:val="18"/>
                <w:szCs w:val="18"/>
                <w:color w:val="auto"/>
              </w:rPr>
              <w:t>By:</w:t>
            </w:r>
          </w:p>
        </w:tc>
        <w:tc>
          <w:tcPr>
            <w:tcW w:w="3760" w:type="dxa"/>
            <w:vAlign w:val="bottom"/>
          </w:tcPr>
          <w:p>
            <w:pPr>
              <w:ind w:left="180"/>
              <w:spacing w:after="0"/>
              <w:rPr>
                <w:sz w:val="20"/>
                <w:szCs w:val="20"/>
                <w:color w:val="auto"/>
              </w:rPr>
            </w:pPr>
            <w:r>
              <w:rPr>
                <w:rFonts w:ascii="Arial" w:cs="Arial" w:eastAsia="Arial" w:hAnsi="Arial"/>
                <w:sz w:val="18"/>
                <w:szCs w:val="18"/>
                <w:color w:val="auto"/>
              </w:rPr>
              <w:t>/s/ Stephen Cootey</w:t>
            </w:r>
          </w:p>
        </w:tc>
      </w:tr>
      <w:tr>
        <w:trPr>
          <w:trHeight w:val="27"/>
        </w:trPr>
        <w:tc>
          <w:tcPr>
            <w:tcW w:w="4140" w:type="dxa"/>
            <w:vAlign w:val="bottom"/>
          </w:tcPr>
          <w:p>
            <w:pPr>
              <w:spacing w:after="0"/>
              <w:rPr>
                <w:sz w:val="2"/>
                <w:szCs w:val="2"/>
                <w:color w:val="auto"/>
              </w:rPr>
            </w:pPr>
          </w:p>
        </w:tc>
        <w:tc>
          <w:tcPr>
            <w:tcW w:w="6900" w:type="dxa"/>
            <w:vAlign w:val="bottom"/>
            <w:gridSpan w:val="2"/>
          </w:tcPr>
          <w:p>
            <w:pPr>
              <w:spacing w:after="0"/>
              <w:rPr>
                <w:sz w:val="2"/>
                <w:szCs w:val="2"/>
                <w:color w:val="auto"/>
              </w:rPr>
            </w:pPr>
          </w:p>
        </w:tc>
      </w:tr>
      <w:tr>
        <w:trPr>
          <w:trHeight w:val="224"/>
        </w:trPr>
        <w:tc>
          <w:tcPr>
            <w:tcW w:w="4140" w:type="dxa"/>
            <w:vAlign w:val="bottom"/>
          </w:tcPr>
          <w:p>
            <w:pPr>
              <w:spacing w:after="0"/>
              <w:rPr>
                <w:sz w:val="19"/>
                <w:szCs w:val="19"/>
                <w:color w:val="auto"/>
              </w:rPr>
            </w:pPr>
          </w:p>
        </w:tc>
        <w:tc>
          <w:tcPr>
            <w:tcW w:w="3140" w:type="dxa"/>
            <w:vAlign w:val="bottom"/>
          </w:tcPr>
          <w:p>
            <w:pPr>
              <w:ind w:left="2640"/>
              <w:spacing w:after="0"/>
              <w:rPr>
                <w:sz w:val="20"/>
                <w:szCs w:val="20"/>
                <w:color w:val="auto"/>
              </w:rPr>
            </w:pPr>
            <w:r>
              <w:rPr>
                <w:rFonts w:ascii="Arial" w:cs="Arial" w:eastAsia="Arial" w:hAnsi="Arial"/>
                <w:sz w:val="18"/>
                <w:szCs w:val="18"/>
                <w:color w:val="auto"/>
                <w:w w:val="71"/>
              </w:rPr>
              <w:t>Stephen</w:t>
            </w:r>
          </w:p>
        </w:tc>
        <w:tc>
          <w:tcPr>
            <w:tcW w:w="376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Cootey</w:t>
            </w:r>
          </w:p>
        </w:tc>
      </w:tr>
    </w:tbl>
    <w:p>
      <w:pPr>
        <w:spacing w:after="0" w:line="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80"/>
          </w:cols>
          <w:pgMar w:left="240" w:top="796" w:right="5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300" w:type="dxa"/>
            <w:vAlign w:val="bottom"/>
          </w:tcPr>
          <w:p>
            <w:pPr>
              <w:ind w:left="290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700" w:type="dxa"/>
            <w:vAlign w:val="bottom"/>
          </w:tcPr>
          <w:p>
            <w:pPr>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85"/>
        </w:trPr>
        <w:tc>
          <w:tcPr>
            <w:tcW w:w="700" w:type="dxa"/>
            <w:vAlign w:val="bottom"/>
          </w:tcPr>
          <w:p>
            <w:pPr>
              <w:spacing w:after="0"/>
              <w:rPr>
                <w:sz w:val="20"/>
                <w:szCs w:val="20"/>
                <w:color w:val="auto"/>
              </w:rPr>
            </w:pPr>
            <w:r>
              <w:rPr>
                <w:rFonts w:ascii="Arial" w:cs="Arial" w:eastAsia="Arial" w:hAnsi="Arial"/>
                <w:sz w:val="18"/>
                <w:szCs w:val="18"/>
                <w:color w:val="auto"/>
              </w:rPr>
              <w:t>99.1</w:t>
            </w:r>
          </w:p>
        </w:tc>
        <w:tc>
          <w:tcPr>
            <w:tcW w:w="68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Press release, dated July 28, 2016, of Wynn Resorts, Limited.</w:t>
            </w:r>
          </w:p>
        </w:tc>
      </w:tr>
    </w:tbl>
    <w:p>
      <w:pPr>
        <w:sectPr>
          <w:pgSz w:w="11900" w:h="16838" w:orient="portrait"/>
          <w:cols w:equalWidth="0" w:num="1">
            <w:col w:w="10179"/>
          </w:cols>
          <w:pgMar w:left="280" w:top="79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Reports Second Quarter 2016 Results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LAS VEGAS, July 28, 2016 — Wynn Resorts, Limited (Nasdaq: WYNN) today reported financial results for the second quarter ended June 30, 2016.</w:t>
      </w:r>
    </w:p>
    <w:p>
      <w:pPr>
        <w:spacing w:after="0" w:line="2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revenues were $1.06 billion for the second quarter of 2016, compared to $1.04 billion in the same period of 2015. The increase was the result of a 3.6% increase from our Macau Operations, partially offset by a 1.1% decrease from our Las Vegas Operations.</w:t>
      </w:r>
    </w:p>
    <w:p>
      <w:pPr>
        <w:spacing w:after="0" w:line="170" w:lineRule="exact"/>
        <w:rPr>
          <w:sz w:val="20"/>
          <w:szCs w:val="20"/>
          <w:color w:val="auto"/>
        </w:rPr>
      </w:pPr>
    </w:p>
    <w:p>
      <w:pPr>
        <w:ind w:right="120"/>
        <w:spacing w:after="0" w:line="320" w:lineRule="auto"/>
        <w:rPr>
          <w:sz w:val="20"/>
          <w:szCs w:val="20"/>
          <w:color w:val="auto"/>
        </w:rPr>
      </w:pPr>
      <w:r>
        <w:rPr>
          <w:rFonts w:ascii="Arial" w:cs="Arial" w:eastAsia="Arial" w:hAnsi="Arial"/>
          <w:sz w:val="16"/>
          <w:szCs w:val="16"/>
          <w:color w:val="auto"/>
        </w:rPr>
        <w:t xml:space="preserve">On a U.S. GAAP basis, net income attributable to Wynn Resorts, Limited was $70.4 million, or $0.69 per diluted share, for the second quarter of 2016, compared to $56.5 million, or $0.56 per diluted share, in the same period of 2015. Adjusted net income attributable to Wynn Resorts, Limited </w:t>
      </w:r>
      <w:r>
        <w:rPr>
          <w:rFonts w:ascii="Arial" w:cs="Arial" w:eastAsia="Arial" w:hAnsi="Arial"/>
          <w:sz w:val="13"/>
          <w:szCs w:val="13"/>
          <w:color w:val="auto"/>
        </w:rPr>
        <w:t>(1)</w:t>
      </w:r>
      <w:r>
        <w:rPr>
          <w:rFonts w:ascii="Arial" w:cs="Arial" w:eastAsia="Arial" w:hAnsi="Arial"/>
          <w:sz w:val="16"/>
          <w:szCs w:val="16"/>
          <w:color w:val="auto"/>
        </w:rPr>
        <w:t xml:space="preserve"> was $108.7 million, or $1.07 per diluted share, for the second quarter of 2016, compared to $75.0 million, or $0.74 per diluted share, in the same period of 2015.</w:t>
      </w:r>
    </w:p>
    <w:p>
      <w:pPr>
        <w:spacing w:after="0" w:line="142" w:lineRule="exact"/>
        <w:rPr>
          <w:sz w:val="20"/>
          <w:szCs w:val="20"/>
          <w:color w:val="auto"/>
        </w:rPr>
      </w:pPr>
    </w:p>
    <w:p>
      <w:pPr>
        <w:ind w:right="480"/>
        <w:spacing w:after="0" w:line="324" w:lineRule="auto"/>
        <w:rPr>
          <w:sz w:val="20"/>
          <w:szCs w:val="20"/>
          <w:color w:val="auto"/>
        </w:rPr>
      </w:pPr>
      <w:r>
        <w:rPr>
          <w:rFonts w:ascii="Arial" w:cs="Arial" w:eastAsia="Arial" w:hAnsi="Arial"/>
          <w:sz w:val="17"/>
          <w:szCs w:val="17"/>
          <w:color w:val="auto"/>
        </w:rPr>
        <w:t xml:space="preserve">Adjusted Property EBITDA </w:t>
      </w:r>
      <w:r>
        <w:rPr>
          <w:rFonts w:ascii="Arial" w:cs="Arial" w:eastAsia="Arial" w:hAnsi="Arial"/>
          <w:sz w:val="13"/>
          <w:szCs w:val="13"/>
          <w:color w:val="auto"/>
        </w:rPr>
        <w:t>(2)</w:t>
      </w:r>
      <w:r>
        <w:rPr>
          <w:rFonts w:ascii="Arial" w:cs="Arial" w:eastAsia="Arial" w:hAnsi="Arial"/>
          <w:sz w:val="17"/>
          <w:szCs w:val="17"/>
          <w:color w:val="auto"/>
        </w:rPr>
        <w:t xml:space="preserve"> was $312.7 million for the second quarter of 2016, a 5.8% increase from $295.4 million in the same period of 2015. The increase was the result of a 9.8% increase from our Macau Operations and a 0.2% increase from our Las Vegas Operations.</w:t>
      </w:r>
    </w:p>
    <w:p>
      <w:pPr>
        <w:spacing w:after="0" w:line="13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Wynn Resorts, Limited also announced today that the Company has approved a cash dividend of $0.50 per share, payable on August 23, 2016 to stockholders of record as of August 11,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Operations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revenues from our Macau Operations were $639.3 million for the second quarter of 2016, a 3.6% increase from $617.0 million in the same period of 2015. Adjusted Property EBITDA from our Macau Operations was $190.4 million for the second quarter of 2016, a 9.8% increase from $173.4 million in the same period of 2015.</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Casino revenues from our Macau Operations were $609.8 million for the second quarter of 2016, a 5.2% increase from $579.5 million in the same period of 2015. Table games turnover in the VIP segment was $11.84 billion, a 23.8% decrease from $15.54 billion in the second quarter of 2015. VIP table games win as a percentage of turnover (calculated before commissions) was 3.98%, above the expected range of 2.7% to 3.0% and the 2.92% we experienced in the second quarter of 2015. The average number of VIP tables decreased to 183 for the second quarter of 2016, compared to 247 in the same period of 2015. Table drop in the mass market segment was $1.17 billion, a 1.7% decrease from $1.19 billion in the second quarter of 2015. Table games win in the mass market segment was $235.2 million, a 12.7% increase from $208.6 million in the second quarter of 2015. Table games win percentage in the mass market segment was 20.0%, above the 17.5% experienced in the second quarter of 2015. Slot machine handle was $806.5 million, a 21.5% decrease from $1.03 billion in the second quarter of 2015, which drove a decline in slot win of 34.8% to $33.3 million.</w:t>
      </w:r>
    </w:p>
    <w:p>
      <w:pPr>
        <w:spacing w:after="0" w:line="1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Non-casino revenues before promotional allowances from our Macau Operations were $68.1 million for the second quarter of 2016, a 12.7% decrease from the $78.1 million in the same period of 2015. Room revenues decreased 5.8%, to $29.3 million for the second quarter of 2016, compared to $31.1 million in the same period of 2015. Our average daily rate ("ADR") remained flat at $321, compared to the same period of 2015. Occupancy decreased to 91.5% for the second quarter of 2016, compared to 96.4% in the same period of 2015. Revenue per available room ("REVPAR") was $294, a 5.2% decrease from $310 in the second quarter of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Operations</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Net revenues from our Las Vegas Operations were $419.0 million for the second quarter of 2016, a 1.1% decrease from $423.5 million in the same period of 2015. Adjusted Property EBITDA from our Las Vegas Operations was $122.3 million, a 0.2% increase from $122.0 million in the second quarter of 2015.</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Casino revenues from our Las Vegas Operations were $132.9 million for the second quarter of 2016, a 1.3% decrease from $134.7 million in the same period of 2015. Table games drop was $427.4 million, a 16.1% decrease from $509.3 million in the second quarter of 2015. Table games win was $96.1 million, a 3.2% decrease from $99.3 million in the second quarter of 2015. Table games win percentage was 22.5%, within the property’s expected range of 21% to 25% and above the 19.5% experienced in the second quarter of 2015. Slot machine handle was $750.4 million, a 5.4% increase from $712.1 million in the second quarter of 2015, and slot win decreased 4.4% to $48.7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6" w:name="page7"/>
    <w:bookmarkEnd w:id="6"/>
    <w:p>
      <w:pPr>
        <w:ind w:right="100"/>
        <w:spacing w:after="0" w:line="273" w:lineRule="auto"/>
        <w:rPr>
          <w:sz w:val="20"/>
          <w:szCs w:val="20"/>
          <w:color w:val="auto"/>
        </w:rPr>
      </w:pPr>
      <w:r>
        <w:rPr>
          <w:rFonts w:ascii="Arial" w:cs="Arial" w:eastAsia="Arial" w:hAnsi="Arial"/>
          <w:sz w:val="17"/>
          <w:szCs w:val="17"/>
          <w:color w:val="auto"/>
        </w:rPr>
        <w:t>Non-casino revenues before promotional allowances from our Las Vegas Operations were $327.4 million for the second quarter of 2016, a 0.9% decrease from $330.3 million in the same period of 2015. Room revenues increased 4.4%, to $113.6 million for the second quarter of 2016, compared to $108.8 million in the same period of 2015. ADR was $308, a 6.6% increase from $289 in the second quarter of 2015. Occupancy decreased to 85.3% for the second quarter of 2016, compared to 88.4% in the same period of 2015. REVPAR was $263, a 3.1% increase from $255 in the second quarter of 2015. Food and beverage revenues decreased 5.0%, to $153.9 million for the second quarter of 2016, compared to the same period of 2015. Entertainment, retail and other revenues increased 0.9%, to $59.9 million for the second quarter of 2016, compared to the same period of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Palace Project in Macau</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is currently constructing Wynn Palace, an integrated resort containing a 1,700-room hotel, a performance lake, and a wide range of amenities, including meeting, retail, food and beverage, and casino spaces, in the Cotai area of Macau. We have a $2.7 billion guaranteed maximum price ("GMP") contract for the project’s construction costs. The total project budget, including construction costs, capitalized interest, pre-opening expenses, land costs and financing fees, is approximately $4.2 billion. Wynn Palace is scheduled to open on August 22, 2016.</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second quarter of 2016, we invested approximately $151.2 million in Wynn Palace, taking the total investment to $3.87 billion through June 30, 2016.</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we will receive an allocation of approximately 100 table games for Wynn Palace, with additional table games allocated to us post-opening. While we have not yet received formal notification of our table games allocation, if we receive an allocation of 100 new table games, we expect to move approximately 250 table games from Wynn Macau to Wynn Palace resulting in approximately 350 table games at Wynn Palace and 270 table games at Wynn Macau.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Boston Harbor Project in Massachusetts</w:t>
      </w:r>
    </w:p>
    <w:p>
      <w:pPr>
        <w:spacing w:after="0" w:line="229"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In November 2014, the Company was awarded a gaming license to develop and construct Wynn Boston Harbor, an integrated resort in Everett, Massachusetts, adjacent to Boston. Wynn Boston Harbor will be located on a 33-acre site along the Mystic River and will contain a hotel, a waterfront boardwalk, meeting space, casino space, a spa, retail offerings and food and beverage outlets. The total project budget, including construction costs, capitalized interest, pre-opening costs and land costs, is estimated to be between $1.9 billion and $2.1 billion. We remain engaged in site remediation, site preparation and pre-construction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and investment securities at June 30, 2016 were $2.21 billion.</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debt outstanding at the end of the quarter was $9.46 billion, including $4.20 billion of Macau debt, $3.17 billion of Wynn Las Vegas debt and $2.09 billion at the parent company and other.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will hold a conference call to discuss its results on July 28, 2016 at 1:30 p.m. PT (4:30 p.m. ET). Interested parties are invited to join the call by accessing a live audio webcast at http://www.wynnresorts.com.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our dependence on existing management, results of regulatory or enforcement actions and probity investigations, pending or future legal proceedings, uncertainties over the development and success of new gaming and resort properties, adverse tourism trends, general global macroeconomic conditions, changes in gaming laws or regulations, volatility and weakness in world-wide credit and financial markets, and our substantial indebtedness and leverage. Additional information concerning potential factors that could affect the Company’s financial results is included in the Company’s Annual Report on Form 10-K for the year ended December 31, 2015 and the Company’s other periodic reports filed with the Securities and Exchange Commission. The Company is under no obligation to</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017" w:right="27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(and expressly disclaims any such obligation to) update or revise its forward-looking statements as a result of new information, future events or otherwise.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8"/>
        <w:spacing w:after="0" w:line="272" w:lineRule="auto"/>
        <w:tabs>
          <w:tab w:leader="none" w:pos="213" w:val="left"/>
        </w:tabs>
        <w:numPr>
          <w:ilvl w:val="0"/>
          <w:numId w:val="2"/>
        </w:numPr>
        <w:rPr>
          <w:rFonts w:ascii="Arial" w:cs="Arial" w:eastAsia="Arial" w:hAnsi="Arial"/>
          <w:sz w:val="14"/>
          <w:szCs w:val="14"/>
          <w:color w:val="auto"/>
        </w:rPr>
      </w:pPr>
      <w:r>
        <w:rPr>
          <w:rFonts w:ascii="Arial" w:cs="Arial" w:eastAsia="Arial" w:hAnsi="Arial"/>
          <w:sz w:val="17"/>
          <w:szCs w:val="17"/>
          <w:color w:val="auto"/>
        </w:rPr>
        <w:t>“Adjusted net income attributable to Wynn Resorts, Limited” is net income before pre-opening costs, property charges and other, change in interest rate swap fair value, change in Redemption Note fair value, loss on extinguishment of debt, net of noncontrolling interest and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U.S. generally accepted principles ("GAAP") because management believes that these non-GAAP financial measures are widely used to measure the performance, and as a principal basis for valuation, of gaming companies. These measures are used by management and/or evaluated by some investors, in addition to income and earnings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126" w:lineRule="exact"/>
        <w:rPr>
          <w:rFonts w:ascii="Arial" w:cs="Arial" w:eastAsia="Arial" w:hAnsi="Arial"/>
          <w:sz w:val="14"/>
          <w:szCs w:val="14"/>
          <w:color w:val="auto"/>
        </w:rPr>
      </w:pPr>
    </w:p>
    <w:p>
      <w:pPr>
        <w:ind w:right="20" w:firstLine="8"/>
        <w:spacing w:after="0" w:line="269" w:lineRule="auto"/>
        <w:tabs>
          <w:tab w:leader="none" w:pos="213" w:val="left"/>
        </w:tabs>
        <w:numPr>
          <w:ilvl w:val="0"/>
          <w:numId w:val="2"/>
        </w:numPr>
        <w:rPr>
          <w:rFonts w:ascii="Arial" w:cs="Arial" w:eastAsia="Arial" w:hAnsi="Arial"/>
          <w:sz w:val="14"/>
          <w:szCs w:val="14"/>
          <w:color w:val="auto"/>
        </w:rPr>
      </w:pPr>
      <w:r>
        <w:rPr>
          <w:rFonts w:ascii="Arial" w:cs="Arial" w:eastAsia="Arial" w:hAnsi="Arial"/>
          <w:sz w:val="17"/>
          <w:szCs w:val="17"/>
          <w:color w:val="auto"/>
        </w:rPr>
        <w:t>“Adjusted Property EBITDA” is net income before interest, taxes, depreciation and amortization, pre-opening costs, property charges and other, management and license fees, corporate expenses and other (including intercompany golf course and water rights leases), stock-based compensation, loss on extinguishment of debt, change in interest rate swap fair value, change in Redemption Note fair value and other non-operating income and expenses, and includes equity in income (loss)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Wynn Resorts, Limited,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attributable to Wynn Resorts, Limited to adjusted net income attributable to Wynn Resorts, Limited, (ii) operating income to Adjusted Property EBITDA, and (iii) Adjusted Property EBITDA to net income attributable to Wynn Resorts, Limited.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Casino</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742,659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714,208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1,475,389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1,540,307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142,847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139,912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278,439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271,967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170,631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181,016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301,075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317,029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82,031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87,459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177,835</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Gross revenues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1,138,168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1,122,595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2,218,929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2,307,138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(79,804)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(174,442)</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Net revenues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1,058,364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1,040,458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2,056,042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2,132,696</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Casino</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470,372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466,535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922,912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990,588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74,270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105,727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110,952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185,147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187,358</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75,973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79,291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119,505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113,707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236,950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235,907</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10,381</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45,949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16,875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79,718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32,966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164,779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11,331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12,852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2,976</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910,825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871,337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1,750,205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1,778,516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147,539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169,121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305,837</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354,180</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6,262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3,190</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(153,219)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(5,723)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(120,033)</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1,331</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(274,384)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86,549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90,501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196,259</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79,796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89,442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77,203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195,234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63,301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70,391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56,460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145,612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11,859</w:t>
            </w:r>
          </w:p>
        </w:tc>
      </w:tr>
      <w:tr>
        <w:trPr>
          <w:trHeight w:val="67"/>
        </w:trPr>
        <w:tc>
          <w:tcPr>
            <w:tcW w:w="56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and diluted income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0.12</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101,438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101,157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101,415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101,146</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101,881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101,792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101,795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Dividends declared per common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2.00</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line="261" w:lineRule="auto"/>
        <w:rPr>
          <w:sz w:val="20"/>
          <w:szCs w:val="20"/>
          <w:color w:val="auto"/>
        </w:rPr>
      </w:pPr>
      <w:r>
        <w:rPr>
          <w:rFonts w:ascii="Arial" w:cs="Arial" w:eastAsia="Arial" w:hAnsi="Arial"/>
          <w:sz w:val="18"/>
          <w:szCs w:val="18"/>
          <w:b w:val="1"/>
          <w:bCs w:val="1"/>
          <w:color w:val="auto"/>
        </w:rPr>
        <w:t>WYNN RESORTS, LIMITED AND SUBSIDIARIES RECONCILIATION OF NET INCOME ATTRIBUTABLE TO WYNN RESORTS, LIMITED TO ADJUSTED NET INCOME ATTRIBUTABLE TO WYNN RESORTS, LIMITED (in thousands, except per share data)</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145,612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45,949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16,875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79,718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32,966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120,033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impact 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Noncontrolling interest impact on adjustments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(11,585)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(7,778)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attributable to Wynn Resorts, Limited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108,671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74,972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218,203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165,779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2"/>
              </w:rPr>
              <w:t>Adjusted net income attributable to Wynn Resorts, Limited per diluted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6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101,881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101,710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101,792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101,795</w:t>
            </w:r>
          </w:p>
        </w:tc>
        <w:tc>
          <w:tcPr>
            <w:tcW w:w="0" w:type="dxa"/>
            <w:vAlign w:val="bottom"/>
          </w:tcPr>
          <w:p>
            <w:pPr>
              <w:spacing w:after="0"/>
              <w:rPr>
                <w:sz w:val="1"/>
                <w:szCs w:val="1"/>
                <w:color w:val="auto"/>
              </w:rPr>
            </w:pPr>
          </w:p>
        </w:tc>
      </w:tr>
      <w:tr>
        <w:trPr>
          <w:trHeight w:val="702"/>
        </w:trPr>
        <w:tc>
          <w:tcPr>
            <w:tcW w:w="562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PROPERTY EBITDA AND ADJUSTED PROPERTY EBITDA TO NET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June 30, 2016</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Macau</w:t>
            </w:r>
          </w:p>
        </w:tc>
        <w:tc>
          <w:tcPr>
            <w:tcW w:w="220" w:type="dxa"/>
            <w:vAlign w:val="bottom"/>
          </w:tcPr>
          <w:p>
            <w:pPr>
              <w:spacing w:after="0"/>
              <w:rPr>
                <w:sz w:val="13"/>
                <w:szCs w:val="13"/>
                <w:color w:val="auto"/>
              </w:rPr>
            </w:pPr>
          </w:p>
        </w:tc>
        <w:tc>
          <w:tcPr>
            <w:tcW w:w="12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Las Vegas</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Operations</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Operations</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and Other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84,963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46,361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147,539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39,338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5,182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45,949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45,752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79,749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10,070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24,373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5,523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4,852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7,439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17,814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10,297</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Adjusted Property EBITDA</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190,389</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122,290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312,679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June 30, 2015</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Macau</w:t>
            </w:r>
          </w:p>
        </w:tc>
        <w:tc>
          <w:tcPr>
            <w:tcW w:w="220" w:type="dxa"/>
            <w:vAlign w:val="bottom"/>
          </w:tcPr>
          <w:p>
            <w:pPr>
              <w:spacing w:after="0"/>
              <w:rPr>
                <w:sz w:val="13"/>
                <w:szCs w:val="13"/>
                <w:color w:val="auto"/>
              </w:rPr>
            </w:pPr>
          </w:p>
        </w:tc>
        <w:tc>
          <w:tcPr>
            <w:tcW w:w="12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Las Vegas</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Operations</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Operations</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and Other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93,347</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58,502</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17,272</w:t>
            </w:r>
          </w:p>
        </w:tc>
        <w:tc>
          <w:tcPr>
            <w:tcW w:w="12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169,121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16,875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34,357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45,249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81,913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Management and license fees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23,876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13,323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(37,199)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16,838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4,018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5,510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10,336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loss from unconsolidated affiliates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Adjusted Property EBITDA</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173,391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122,037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295,428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Adjusted Property EBITDA</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312,679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295,428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(79,749)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(81,913)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(16,838)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(75,236)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(13,298)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89,442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77,203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(19,051)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(20,743)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70,391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56,460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OPERATING INCOME TO ADJUSTED PROPERTY EBITDA AND ADJUSTED PROPERTY EBITDA TO NET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ATTRIBUTABLE TO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 2016</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Macau</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Las Vegas</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Operations</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Operations</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and Other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185,516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305,837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65,597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2,135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11,986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79,718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60,922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90,946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157,720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2,627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12,852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25,522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(72,658)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11,923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9,690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14,384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35,997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20,808</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381,634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231,314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612,948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 2015</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6"/>
              </w:rPr>
              <w:t>Macau</w:t>
            </w: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Las Vegas</w:t>
            </w:r>
          </w:p>
        </w:tc>
        <w:tc>
          <w:tcPr>
            <w:tcW w:w="240" w:type="dxa"/>
            <w:vAlign w:val="bottom"/>
          </w:tcPr>
          <w:p>
            <w:pPr>
              <w:spacing w:after="0"/>
              <w:rPr>
                <w:sz w:val="13"/>
                <w:szCs w:val="13"/>
                <w:color w:val="auto"/>
              </w:rPr>
            </w:pPr>
          </w:p>
        </w:tc>
        <w:tc>
          <w:tcPr>
            <w:tcW w:w="12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Corporate</w:t>
            </w:r>
          </w:p>
        </w:tc>
        <w:tc>
          <w:tcPr>
            <w:tcW w:w="320" w:type="dxa"/>
            <w:vAlign w:val="bottom"/>
          </w:tcPr>
          <w:p>
            <w:pPr>
              <w:spacing w:after="0"/>
              <w:rPr>
                <w:sz w:val="13"/>
                <w:szCs w:val="13"/>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Operations</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Operations</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and Other</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224,293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106,102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354,180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20,540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12,426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32,966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164,779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1,695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Management and license fees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Corporate expense and other</w:t>
            </w:r>
          </w:p>
        </w:tc>
        <w:tc>
          <w:tcPr>
            <w:tcW w:w="2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11,279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11,098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20,103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42,480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20,996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Equity in income (loss) from unconsolidated affiliates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385,733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232,714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618,447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Property EBITDA</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612,948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618,447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(79,718)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(157,720)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(164,779)</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(42,480)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(20,996)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(114,029)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(153,219)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interest rate swap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Decrease in Redemption Note fair value</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(120,033)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195,234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63,301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income attributable to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(51,442)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145,612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11,859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96" w:right="2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DATA SCHEDULE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for win per unit per day, ADR and REVPAR)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70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3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b w:val="1"/>
                <w:bCs w:val="1"/>
                <w:color w:val="auto"/>
              </w:rPr>
              <w:t>VIP</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11,841,200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15,537,003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25,311,139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32,664,669</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470,976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453,203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849,628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933,568</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VIP table games win as a % of turnover</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28,239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20,665</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b w:val="1"/>
                <w:bCs w:val="1"/>
                <w:color w:val="auto"/>
              </w:rPr>
              <w:t>Mass market</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218</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1,173,234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1,193,916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2,383,334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2,474,260</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235,197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208,620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482,697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488,180</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10,274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12,339</w:t>
            </w:r>
          </w:p>
        </w:tc>
      </w:tr>
      <w:tr>
        <w:trPr>
          <w:trHeight w:val="297"/>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678</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806,453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1,027,557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1,902,790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2,067,172</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33,330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83,771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98,916</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806</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5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b w:val="1"/>
                <w:bCs w:val="1"/>
                <w:color w:val="auto"/>
              </w:rPr>
              <w:t>Room statistics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Occupancy</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326</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316</w:t>
            </w:r>
          </w:p>
        </w:tc>
      </w:tr>
      <w:tr>
        <w:trPr>
          <w:trHeight w:val="297"/>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236</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Table drop </w:t>
            </w:r>
            <w:r>
              <w:rPr>
                <w:rFonts w:ascii="Arial" w:cs="Arial" w:eastAsia="Arial" w:hAnsi="Arial"/>
                <w:sz w:val="14"/>
                <w:szCs w:val="14"/>
                <w:color w:val="auto"/>
              </w:rPr>
              <w:t>(2)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427,418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509,309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902,580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1,082,921</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96,138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99,313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221,184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234,992</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Table games win per unit per day </w:t>
            </w:r>
            <w:r>
              <w:rPr>
                <w:rFonts w:ascii="Arial" w:cs="Arial" w:eastAsia="Arial" w:hAnsi="Arial"/>
                <w:sz w:val="14"/>
                <w:szCs w:val="14"/>
                <w:color w:val="auto"/>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5,121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5,501</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97"/>
        </w:trPr>
        <w:tc>
          <w:tcPr>
            <w:tcW w:w="53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1,861</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750,380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712,147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1,467,840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1,474,331</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48,742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51,010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98,327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99,427</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Slot machine win per unit per day </w:t>
            </w:r>
            <w:r>
              <w:rPr>
                <w:rFonts w:ascii="Arial" w:cs="Arial" w:eastAsia="Arial" w:hAnsi="Arial"/>
                <w:sz w:val="14"/>
                <w:szCs w:val="14"/>
                <w:color w:val="auto"/>
              </w:rPr>
              <w:t>(3)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295</w:t>
            </w:r>
          </w:p>
        </w:tc>
      </w:tr>
      <w:tr>
        <w:trPr>
          <w:trHeight w:val="297"/>
        </w:trPr>
        <w:tc>
          <w:tcPr>
            <w:tcW w:w="5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Room statistics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27"/>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xml:space="preserve">ADR </w:t>
            </w:r>
            <w:r>
              <w:rPr>
                <w:rFonts w:ascii="Arial" w:cs="Arial" w:eastAsia="Arial" w:hAnsi="Arial"/>
                <w:sz w:val="14"/>
                <w:szCs w:val="14"/>
                <w:color w:val="auto"/>
              </w:rPr>
              <w:t>(4)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286</w:t>
            </w:r>
          </w:p>
        </w:tc>
      </w:tr>
      <w:tr>
        <w:trPr>
          <w:trHeight w:val="243"/>
        </w:trPr>
        <w:tc>
          <w:tcPr>
            <w:tcW w:w="5360" w:type="dxa"/>
            <w:vAlign w:val="bottom"/>
          </w:tcPr>
          <w:p>
            <w:pPr>
              <w:ind w:left="600"/>
              <w:spacing w:after="0"/>
              <w:rPr>
                <w:sz w:val="20"/>
                <w:szCs w:val="20"/>
                <w:color w:val="auto"/>
              </w:rPr>
            </w:pPr>
            <w:r>
              <w:rPr>
                <w:rFonts w:ascii="Arial" w:cs="Arial" w:eastAsia="Arial" w:hAnsi="Arial"/>
                <w:sz w:val="18"/>
                <w:szCs w:val="18"/>
                <w:color w:val="auto"/>
              </w:rPr>
              <w:t xml:space="preserve">REVPAR </w:t>
            </w:r>
            <w:r>
              <w:rPr>
                <w:rFonts w:ascii="Arial" w:cs="Arial" w:eastAsia="Arial" w:hAnsi="Arial"/>
                <w:sz w:val="14"/>
                <w:szCs w:val="14"/>
                <w:color w:val="auto"/>
              </w:rPr>
              <w:t>(5)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245</w:t>
            </w:r>
          </w:p>
        </w:tc>
      </w:tr>
    </w:tbl>
    <w:p>
      <w:pPr>
        <w:spacing w:after="0" w:line="269" w:lineRule="exact"/>
        <w:rPr>
          <w:sz w:val="20"/>
          <w:szCs w:val="20"/>
          <w:color w:val="auto"/>
        </w:rPr>
      </w:pPr>
    </w:p>
    <w:p>
      <w:pPr>
        <w:ind w:left="260" w:hanging="198"/>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8"/>
          <w:szCs w:val="18"/>
          <w:color w:val="auto"/>
        </w:rPr>
        <w:t>Table games win per unit per day is shown before discounts and commissions, as applicable.</w:t>
      </w:r>
    </w:p>
    <w:p>
      <w:pPr>
        <w:spacing w:after="0" w:line="23" w:lineRule="exact"/>
        <w:rPr>
          <w:rFonts w:ascii="Arial" w:cs="Arial" w:eastAsia="Arial" w:hAnsi="Arial"/>
          <w:sz w:val="14"/>
          <w:szCs w:val="14"/>
          <w:color w:val="auto"/>
        </w:rPr>
      </w:pPr>
    </w:p>
    <w:p>
      <w:pPr>
        <w:ind w:left="60" w:right="60" w:firstLine="2"/>
        <w:spacing w:after="0" w:line="292" w:lineRule="auto"/>
        <w:tabs>
          <w:tab w:leader="none" w:pos="273" w:val="left"/>
        </w:tabs>
        <w:numPr>
          <w:ilvl w:val="0"/>
          <w:numId w:val="3"/>
        </w:numPr>
        <w:rPr>
          <w:rFonts w:ascii="Arial" w:cs="Arial" w:eastAsia="Arial" w:hAnsi="Arial"/>
          <w:sz w:val="14"/>
          <w:szCs w:val="14"/>
          <w:color w:val="auto"/>
        </w:rPr>
      </w:pPr>
      <w:r>
        <w:rPr>
          <w:rFonts w:ascii="Arial" w:cs="Arial" w:eastAsia="Arial" w:hAnsi="Arial"/>
          <w:sz w:val="18"/>
          <w:szCs w:val="18"/>
          <w:color w:val="auto"/>
        </w:rPr>
        <w:t>In Macau, table drop is the amount of cash that is deposited in a gaming table’s drop box plus cash chips purchased at the casino cage. In Las Vegas, table drop is the amount of cash and net markers issued that are deposited in a gaming table’s drop box.</w:t>
      </w:r>
    </w:p>
    <w:p>
      <w:pPr>
        <w:sectPr>
          <w:pgSz w:w="11900" w:h="16838" w:orient="portrait"/>
          <w:cols w:equalWidth="0" w:num="1">
            <w:col w:w="11420"/>
          </w:cols>
          <w:pgMar w:left="240" w:top="796" w:right="239"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96" w:right="239" w:bottom="1440" w:gutter="0" w:footer="0" w:header="0"/>
          <w:type w:val="continuous"/>
        </w:sectPr>
      </w:pPr>
    </w:p>
    <w:bookmarkStart w:id="13" w:name="page14"/>
    <w:bookmarkEnd w:id="13"/>
    <w:p>
      <w:pPr>
        <w:ind w:left="260" w:hanging="198"/>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8"/>
          <w:szCs w:val="18"/>
          <w:color w:val="auto"/>
        </w:rPr>
        <w:t>Slot machine win per unit per day is calculated as gross slot win minus progressive accruals and free play.</w:t>
      </w:r>
    </w:p>
    <w:p>
      <w:pPr>
        <w:spacing w:after="0" w:line="23" w:lineRule="exact"/>
        <w:rPr>
          <w:rFonts w:ascii="Arial" w:cs="Arial" w:eastAsia="Arial" w:hAnsi="Arial"/>
          <w:sz w:val="14"/>
          <w:szCs w:val="14"/>
          <w:color w:val="auto"/>
        </w:rPr>
      </w:pPr>
    </w:p>
    <w:p>
      <w:pPr>
        <w:ind w:left="60" w:firstLine="2"/>
        <w:spacing w:after="0" w:line="266" w:lineRule="auto"/>
        <w:tabs>
          <w:tab w:leader="none" w:pos="273" w:val="left"/>
        </w:tabs>
        <w:numPr>
          <w:ilvl w:val="0"/>
          <w:numId w:val="4"/>
        </w:numPr>
        <w:rPr>
          <w:rFonts w:ascii="Arial" w:cs="Arial" w:eastAsia="Arial" w:hAnsi="Arial"/>
          <w:sz w:val="14"/>
          <w:szCs w:val="14"/>
          <w:color w:val="auto"/>
        </w:rPr>
      </w:pPr>
      <w:r>
        <w:rPr>
          <w:rFonts w:ascii="Arial" w:cs="Arial" w:eastAsia="Arial" w:hAnsi="Arial"/>
          <w:sz w:val="18"/>
          <w:szCs w:val="18"/>
          <w:color w:val="auto"/>
        </w:rPr>
        <w:t>ADR is average daily rate and is calculated by dividing total room revenues including the retail value of promotional allowances (less service charges, if any) by total rooms occupied including complimentary rooms.</w:t>
      </w:r>
    </w:p>
    <w:p>
      <w:pPr>
        <w:ind w:left="60" w:right="360" w:firstLine="2"/>
        <w:spacing w:after="0" w:line="276" w:lineRule="auto"/>
        <w:tabs>
          <w:tab w:leader="none" w:pos="264" w:val="left"/>
        </w:tabs>
        <w:numPr>
          <w:ilvl w:val="0"/>
          <w:numId w:val="4"/>
        </w:numPr>
        <w:rPr>
          <w:rFonts w:ascii="Arial" w:cs="Arial" w:eastAsia="Arial" w:hAnsi="Arial"/>
          <w:sz w:val="14"/>
          <w:szCs w:val="14"/>
          <w:color w:val="auto"/>
        </w:rPr>
      </w:pPr>
      <w:r>
        <w:rPr>
          <w:rFonts w:ascii="Arial" w:cs="Arial" w:eastAsia="Arial" w:hAnsi="Arial"/>
          <w:sz w:val="18"/>
          <w:szCs w:val="18"/>
          <w:color w:val="auto"/>
        </w:rPr>
        <w:t>REVPAR is revenue per available room and is calculated by dividing total room revenues including the retail value of promotional allowances (less service charges, if any) by total rooms available.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Strawn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sectPr>
      <w:pgSz w:w="11900" w:h="16838" w:orient="portrait"/>
      <w:cols w:equalWidth="0" w:num="1">
        <w:col w:w="11260"/>
      </w:cols>
      <w:pgMar w:left="240" w:top="58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2019-12-07T17:26:08Z</dcterms:created>
  <dcterms:modified xsi:type="dcterms:W3CDTF">2019-12-07T17:26:08Z</dcterms:modified>
</cp:coreProperties>
</file>