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ind w:left="2680"/>
        <w:spacing w:after="0"/>
        <w:rPr>
          <w:sz w:val="20"/>
          <w:szCs w:val="20"/>
          <w:color w:val="auto"/>
        </w:rPr>
      </w:pPr>
      <w:r>
        <w:rPr>
          <w:rFonts w:ascii="Arial" w:cs="Arial" w:eastAsia="Arial" w:hAnsi="Arial"/>
          <w:sz w:val="22"/>
          <w:szCs w:val="22"/>
          <w:b w:val="1"/>
          <w:bCs w:val="1"/>
          <w:color w:val="auto"/>
        </w:rPr>
        <w:t>Date of Report (Date of earliest event reported): January 15,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2940" w:type="dxa"/>
            <w:vAlign w:val="bottom"/>
          </w:tcPr>
          <w:p>
            <w:pPr>
              <w:jc w:val="center"/>
              <w:ind w:right="1242"/>
              <w:spacing w:after="0"/>
              <w:rPr>
                <w:sz w:val="20"/>
                <w:szCs w:val="20"/>
                <w:color w:val="auto"/>
              </w:rPr>
            </w:pPr>
            <w:r>
              <w:rPr>
                <w:rFonts w:ascii="Arial" w:cs="Arial" w:eastAsia="Arial" w:hAnsi="Arial"/>
                <w:sz w:val="18"/>
                <w:szCs w:val="18"/>
                <w:b w:val="1"/>
                <w:bCs w:val="1"/>
                <w:color w:val="auto"/>
                <w:w w:val="90"/>
              </w:rPr>
              <w:t>Nevada</w:t>
            </w:r>
          </w:p>
        </w:tc>
        <w:tc>
          <w:tcPr>
            <w:tcW w:w="3500" w:type="dxa"/>
            <w:vAlign w:val="bottom"/>
          </w:tcPr>
          <w:p>
            <w:pPr>
              <w:ind w:left="1320"/>
              <w:spacing w:after="0"/>
              <w:rPr>
                <w:sz w:val="20"/>
                <w:szCs w:val="20"/>
                <w:color w:val="auto"/>
              </w:rPr>
            </w:pPr>
            <w:r>
              <w:rPr>
                <w:rFonts w:ascii="Arial" w:cs="Arial" w:eastAsia="Arial" w:hAnsi="Arial"/>
                <w:sz w:val="18"/>
                <w:szCs w:val="18"/>
                <w:b w:val="1"/>
                <w:bCs w:val="1"/>
                <w:color w:val="auto"/>
              </w:rPr>
              <w:t>000-50028</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46-0484987</w:t>
            </w:r>
          </w:p>
        </w:tc>
      </w:tr>
      <w:tr>
        <w:trPr>
          <w:trHeight w:val="180"/>
        </w:trPr>
        <w:tc>
          <w:tcPr>
            <w:tcW w:w="2940" w:type="dxa"/>
            <w:vAlign w:val="bottom"/>
          </w:tcPr>
          <w:p>
            <w:pPr>
              <w:jc w:val="center"/>
              <w:ind w:right="1222"/>
              <w:spacing w:after="0"/>
              <w:rPr>
                <w:sz w:val="20"/>
                <w:szCs w:val="20"/>
                <w:color w:val="auto"/>
              </w:rPr>
            </w:pPr>
            <w:r>
              <w:rPr>
                <w:rFonts w:ascii="Arial" w:cs="Arial" w:eastAsia="Arial" w:hAnsi="Arial"/>
                <w:sz w:val="14"/>
                <w:szCs w:val="14"/>
                <w:b w:val="1"/>
                <w:bCs w:val="1"/>
                <w:color w:val="auto"/>
                <w:w w:val="93"/>
              </w:rPr>
              <w:t>(State or other jurisdiction</w:t>
            </w:r>
          </w:p>
        </w:tc>
        <w:tc>
          <w:tcPr>
            <w:tcW w:w="3500" w:type="dxa"/>
            <w:vAlign w:val="bottom"/>
          </w:tcPr>
          <w:p>
            <w:pPr>
              <w:ind w:left="1300"/>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00" w:type="dxa"/>
            <w:vAlign w:val="bottom"/>
          </w:tcPr>
          <w:p>
            <w:pPr>
              <w:ind w:left="128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00" w:lineRule="exact"/>
        <w:rPr>
          <w:sz w:val="24"/>
          <w:szCs w:val="24"/>
          <w:color w:val="auto"/>
        </w:rPr>
      </w:pPr>
    </w:p>
    <w:p>
      <w:pPr>
        <w:spacing w:after="0" w:line="214"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167640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362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Nevada</w:t>
            </w:r>
          </w:p>
        </w:tc>
        <w:tc>
          <w:tcPr>
            <w:tcW w:w="4180" w:type="dxa"/>
            <w:vAlign w:val="bottom"/>
          </w:tcPr>
          <w:p>
            <w:pPr>
              <w:jc w:val="center"/>
              <w:ind w:right="241"/>
              <w:spacing w:after="0"/>
              <w:rPr>
                <w:sz w:val="20"/>
                <w:szCs w:val="20"/>
                <w:color w:val="auto"/>
              </w:rPr>
            </w:pPr>
            <w:r>
              <w:rPr>
                <w:rFonts w:ascii="Arial" w:cs="Arial" w:eastAsia="Arial" w:hAnsi="Arial"/>
                <w:sz w:val="18"/>
                <w:szCs w:val="18"/>
                <w:b w:val="1"/>
                <w:bCs w:val="1"/>
                <w:color w:val="auto"/>
                <w:w w:val="89"/>
              </w:rPr>
              <w:t>333-100768</w:t>
            </w:r>
          </w:p>
        </w:tc>
        <w:tc>
          <w:tcPr>
            <w:tcW w:w="1940" w:type="dxa"/>
            <w:vAlign w:val="bottom"/>
          </w:tcPr>
          <w:p>
            <w:pPr>
              <w:jc w:val="right"/>
              <w:ind w:right="41"/>
              <w:spacing w:after="0"/>
              <w:rPr>
                <w:sz w:val="20"/>
                <w:szCs w:val="20"/>
                <w:color w:val="auto"/>
              </w:rPr>
            </w:pPr>
            <w:r>
              <w:rPr>
                <w:rFonts w:ascii="Arial" w:cs="Arial" w:eastAsia="Arial" w:hAnsi="Arial"/>
                <w:sz w:val="18"/>
                <w:szCs w:val="18"/>
                <w:b w:val="1"/>
                <w:bCs w:val="1"/>
                <w:color w:val="auto"/>
              </w:rPr>
              <w:t>88-0494875</w:t>
            </w:r>
          </w:p>
        </w:tc>
      </w:tr>
      <w:tr>
        <w:trPr>
          <w:trHeight w:val="180"/>
        </w:trPr>
        <w:tc>
          <w:tcPr>
            <w:tcW w:w="362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(State or other jurisdiction</w:t>
            </w:r>
          </w:p>
        </w:tc>
        <w:tc>
          <w:tcPr>
            <w:tcW w:w="4180" w:type="dxa"/>
            <w:vAlign w:val="bottom"/>
          </w:tcPr>
          <w:p>
            <w:pPr>
              <w:jc w:val="center"/>
              <w:ind w:right="241"/>
              <w:spacing w:after="0"/>
              <w:rPr>
                <w:sz w:val="20"/>
                <w:szCs w:val="20"/>
                <w:color w:val="auto"/>
              </w:rPr>
            </w:pPr>
            <w:r>
              <w:rPr>
                <w:rFonts w:ascii="Arial" w:cs="Arial" w:eastAsia="Arial" w:hAnsi="Arial"/>
                <w:sz w:val="14"/>
                <w:szCs w:val="14"/>
                <w:b w:val="1"/>
                <w:bCs w:val="1"/>
                <w:color w:val="auto"/>
                <w:w w:val="92"/>
              </w:rPr>
              <w:t>(Commission</w:t>
            </w:r>
          </w:p>
        </w:tc>
        <w:tc>
          <w:tcPr>
            <w:tcW w:w="1940" w:type="dxa"/>
            <w:vAlign w:val="bottom"/>
          </w:tcPr>
          <w:p>
            <w:pPr>
              <w:jc w:val="center"/>
              <w:ind w:left="7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62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of incorporation)</w:t>
            </w:r>
          </w:p>
        </w:tc>
        <w:tc>
          <w:tcPr>
            <w:tcW w:w="4180" w:type="dxa"/>
            <w:vAlign w:val="bottom"/>
          </w:tcPr>
          <w:p>
            <w:pPr>
              <w:jc w:val="center"/>
              <w:ind w:right="241"/>
              <w:spacing w:after="0"/>
              <w:rPr>
                <w:sz w:val="20"/>
                <w:szCs w:val="20"/>
                <w:color w:val="auto"/>
              </w:rPr>
            </w:pPr>
            <w:r>
              <w:rPr>
                <w:rFonts w:ascii="Arial" w:cs="Arial" w:eastAsia="Arial" w:hAnsi="Arial"/>
                <w:sz w:val="14"/>
                <w:szCs w:val="14"/>
                <w:b w:val="1"/>
                <w:bCs w:val="1"/>
                <w:color w:val="auto"/>
                <w:w w:val="95"/>
              </w:rPr>
              <w:t>File Number)</w:t>
            </w:r>
          </w:p>
        </w:tc>
        <w:tc>
          <w:tcPr>
            <w:tcW w:w="1940" w:type="dxa"/>
            <w:vAlign w:val="bottom"/>
          </w:tcPr>
          <w:p>
            <w:pPr>
              <w:jc w:val="center"/>
              <w:ind w:left="741"/>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3620" w:type="dxa"/>
            <w:vAlign w:val="bottom"/>
          </w:tcPr>
          <w:p>
            <w:pPr>
              <w:jc w:val="center"/>
              <w:ind w:right="39"/>
              <w:spacing w:after="0"/>
              <w:rPr>
                <w:sz w:val="20"/>
                <w:szCs w:val="20"/>
                <w:color w:val="auto"/>
              </w:rPr>
            </w:pPr>
            <w:r>
              <w:rPr>
                <w:rFonts w:ascii="Arial" w:cs="Arial" w:eastAsia="Arial" w:hAnsi="Arial"/>
                <w:sz w:val="18"/>
                <w:szCs w:val="18"/>
                <w:b w:val="1"/>
                <w:bCs w:val="1"/>
                <w:color w:val="auto"/>
                <w:w w:val="88"/>
              </w:rPr>
              <w:t>3131 Las Vegas Boulevard South</w:t>
            </w:r>
          </w:p>
        </w:tc>
        <w:tc>
          <w:tcPr>
            <w:tcW w:w="41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34"/>
        </w:trPr>
        <w:tc>
          <w:tcPr>
            <w:tcW w:w="3620" w:type="dxa"/>
            <w:vAlign w:val="bottom"/>
          </w:tcPr>
          <w:p>
            <w:pPr>
              <w:jc w:val="center"/>
              <w:ind w:right="59"/>
              <w:spacing w:after="0"/>
              <w:rPr>
                <w:sz w:val="20"/>
                <w:szCs w:val="20"/>
                <w:color w:val="auto"/>
              </w:rPr>
            </w:pPr>
            <w:r>
              <w:rPr>
                <w:rFonts w:ascii="Arial" w:cs="Arial" w:eastAsia="Arial" w:hAnsi="Arial"/>
                <w:sz w:val="18"/>
                <w:szCs w:val="18"/>
                <w:b w:val="1"/>
                <w:bCs w:val="1"/>
                <w:color w:val="auto"/>
                <w:w w:val="88"/>
              </w:rPr>
              <w:t>Las Vegas, Nevada</w:t>
            </w:r>
          </w:p>
        </w:tc>
        <w:tc>
          <w:tcPr>
            <w:tcW w:w="4180" w:type="dxa"/>
            <w:vAlign w:val="bottom"/>
          </w:tcPr>
          <w:p>
            <w:pPr>
              <w:spacing w:after="0"/>
              <w:rPr>
                <w:sz w:val="20"/>
                <w:szCs w:val="20"/>
                <w:color w:val="auto"/>
              </w:rPr>
            </w:pPr>
          </w:p>
        </w:tc>
        <w:tc>
          <w:tcPr>
            <w:tcW w:w="194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362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(Address of principal executive offices of each registrant)</w:t>
            </w:r>
          </w:p>
        </w:tc>
        <w:tc>
          <w:tcPr>
            <w:tcW w:w="4180" w:type="dxa"/>
            <w:vAlign w:val="bottom"/>
          </w:tcPr>
          <w:p>
            <w:pPr>
              <w:spacing w:after="0"/>
              <w:rPr>
                <w:sz w:val="18"/>
                <w:szCs w:val="18"/>
                <w:color w:val="auto"/>
              </w:rPr>
            </w:pPr>
          </w:p>
        </w:tc>
        <w:tc>
          <w:tcPr>
            <w:tcW w:w="1940" w:type="dxa"/>
            <w:vAlign w:val="bottom"/>
          </w:tcPr>
          <w:p>
            <w:pPr>
              <w:jc w:val="center"/>
              <w:ind w:left="721"/>
              <w:spacing w:after="0"/>
              <w:rPr>
                <w:sz w:val="20"/>
                <w:szCs w:val="20"/>
                <w:color w:val="auto"/>
              </w:rPr>
            </w:pPr>
            <w:r>
              <w:rPr>
                <w:rFonts w:ascii="Arial" w:cs="Arial" w:eastAsia="Arial" w:hAnsi="Arial"/>
                <w:sz w:val="14"/>
                <w:szCs w:val="14"/>
                <w:b w:val="1"/>
                <w:bCs w:val="1"/>
                <w:color w:val="auto"/>
                <w:w w:val="95"/>
              </w:rPr>
              <w:t>(Zip Code)</w:t>
            </w:r>
          </w:p>
        </w:tc>
      </w:tr>
      <w:tr>
        <w:trPr>
          <w:trHeight w:val="489"/>
        </w:trPr>
        <w:tc>
          <w:tcPr>
            <w:tcW w:w="3620" w:type="dxa"/>
            <w:vAlign w:val="bottom"/>
          </w:tcPr>
          <w:p>
            <w:pPr>
              <w:spacing w:after="0"/>
              <w:rPr>
                <w:sz w:val="24"/>
                <w:szCs w:val="24"/>
                <w:color w:val="auto"/>
              </w:rPr>
            </w:pPr>
          </w:p>
        </w:tc>
        <w:tc>
          <w:tcPr>
            <w:tcW w:w="4180" w:type="dxa"/>
            <w:vAlign w:val="bottom"/>
          </w:tcPr>
          <w:p>
            <w:pPr>
              <w:jc w:val="right"/>
              <w:ind w:right="1781"/>
              <w:spacing w:after="0"/>
              <w:rPr>
                <w:sz w:val="20"/>
                <w:szCs w:val="20"/>
                <w:color w:val="auto"/>
              </w:rPr>
            </w:pPr>
            <w:r>
              <w:rPr>
                <w:rFonts w:ascii="Arial" w:cs="Arial" w:eastAsia="Arial" w:hAnsi="Arial"/>
                <w:sz w:val="18"/>
                <w:szCs w:val="18"/>
                <w:b w:val="1"/>
                <w:bCs w:val="1"/>
                <w:color w:val="auto"/>
              </w:rPr>
              <w:t>(702) 770-7555</w:t>
            </w:r>
          </w:p>
        </w:tc>
        <w:tc>
          <w:tcPr>
            <w:tcW w:w="1940" w:type="dxa"/>
            <w:vAlign w:val="bottom"/>
          </w:tcPr>
          <w:p>
            <w:pPr>
              <w:spacing w:after="0"/>
              <w:rPr>
                <w:sz w:val="24"/>
                <w:szCs w:val="24"/>
                <w:color w:val="auto"/>
              </w:rPr>
            </w:pPr>
          </w:p>
        </w:tc>
      </w:tr>
      <w:tr>
        <w:trPr>
          <w:trHeight w:val="186"/>
        </w:trPr>
        <w:tc>
          <w:tcPr>
            <w:tcW w:w="3620" w:type="dxa"/>
            <w:vAlign w:val="bottom"/>
          </w:tcPr>
          <w:p>
            <w:pPr>
              <w:spacing w:after="0"/>
              <w:rPr>
                <w:sz w:val="16"/>
                <w:szCs w:val="16"/>
                <w:color w:val="auto"/>
              </w:rPr>
            </w:pPr>
          </w:p>
        </w:tc>
        <w:tc>
          <w:tcPr>
            <w:tcW w:w="4180" w:type="dxa"/>
            <w:vAlign w:val="bottom"/>
          </w:tcPr>
          <w:p>
            <w:pPr>
              <w:jc w:val="center"/>
              <w:ind w:right="601"/>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940" w:type="dxa"/>
            <w:vAlign w:val="bottom"/>
          </w:tcPr>
          <w:p>
            <w:pPr>
              <w:spacing w:after="0"/>
              <w:rPr>
                <w:sz w:val="16"/>
                <w:szCs w:val="16"/>
                <w:color w:val="auto"/>
              </w:rPr>
            </w:pPr>
          </w:p>
        </w:tc>
      </w:tr>
    </w:tbl>
    <w:p>
      <w:pPr>
        <w:spacing w:after="0" w:line="196"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1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3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ectPr>
          <w:pgSz w:w="11900" w:h="16838" w:orient="portrait"/>
          <w:cols w:equalWidth="0" w:num="1">
            <w:col w:w="10860"/>
          </w:cols>
          <w:pgMar w:left="240" w:top="747" w:right="799" w:bottom="1440" w:gutter="0" w:footer="0" w:header="0"/>
        </w:sectPr>
      </w:pPr>
    </w:p>
    <w:bookmarkStart w:id="1" w:name="page2"/>
    <w:bookmarkEnd w:id="1"/>
    <w:p>
      <w:pPr>
        <w:ind w:left="40"/>
        <w:spacing w:after="0"/>
        <w:tabs>
          <w:tab w:leader="none" w:pos="10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January 15, 2016, Wynn Resorts, Limited (the “Company”) issued a press release announcing preliminary expectations of its results of operations for the fourth quarter and year ended December 31, 2015. The results in the release are preliminary and subject to the completion of the final financial statements, including the review of those financial statements by the Company’s internal accounting professionals and the Company’s audit committee and the audit by the Company's independent registered public accounting firm. The press release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34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38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38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534"/>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89"/>
              </w:rPr>
              <w:t>Press release, dated January 15, 2016, of Wynn Resorts, Limited.</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9" w:lineRule="exact"/>
        <w:rPr>
          <w:sz w:val="20"/>
          <w:szCs w:val="20"/>
          <w:color w:val="auto"/>
        </w:rPr>
      </w:pPr>
    </w:p>
    <w:p>
      <w:pPr>
        <w:ind w:firstLine="7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January 15, 2016</w:t>
      </w:r>
    </w:p>
    <w:p>
      <w:pPr>
        <w:spacing w:after="0" w:line="200" w:lineRule="exact"/>
        <w:rPr>
          <w:sz w:val="20"/>
          <w:szCs w:val="20"/>
          <w:color w:val="auto"/>
        </w:rPr>
      </w:pPr>
    </w:p>
    <w:p>
      <w:pPr>
        <w:spacing w:after="0" w:line="207"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WYNN RESORTS, LIMITED</w:t>
      </w:r>
    </w:p>
    <w:p>
      <w:pPr>
        <w:spacing w:after="0" w:line="200" w:lineRule="exact"/>
        <w:rPr>
          <w:sz w:val="20"/>
          <w:szCs w:val="20"/>
          <w:color w:val="auto"/>
        </w:rPr>
      </w:pPr>
    </w:p>
    <w:p>
      <w:pPr>
        <w:spacing w:after="0" w:line="389" w:lineRule="exact"/>
        <w:rPr>
          <w:sz w:val="20"/>
          <w:szCs w:val="20"/>
          <w:color w:val="auto"/>
        </w:rPr>
      </w:pPr>
    </w:p>
    <w:p>
      <w:pPr>
        <w:ind w:left="5740"/>
        <w:spacing w:after="0"/>
        <w:tabs>
          <w:tab w:leader="none" w:pos="6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 xml:space="preserve">/s/ </w:t>
      </w:r>
      <w:r>
        <w:rPr>
          <w:rFonts w:ascii="Arial" w:cs="Arial" w:eastAsia="Arial" w:hAnsi="Arial"/>
          <w:sz w:val="18"/>
          <w:szCs w:val="18"/>
          <w:color w:val="auto"/>
        </w:rPr>
        <w:t>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27305</wp:posOffset>
            </wp:positionV>
            <wp:extent cx="32499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Stephen Cootey</w:t>
      </w:r>
    </w:p>
    <w:p>
      <w:pPr>
        <w:spacing w:after="0" w:line="61" w:lineRule="exact"/>
        <w:rPr>
          <w:sz w:val="20"/>
          <w:szCs w:val="20"/>
          <w:color w:val="auto"/>
        </w:rPr>
      </w:pPr>
    </w:p>
    <w:p>
      <w:pPr>
        <w:ind w:left="6320"/>
        <w:spacing w:after="0"/>
        <w:rPr>
          <w:sz w:val="20"/>
          <w:szCs w:val="20"/>
          <w:color w:val="auto"/>
        </w:rPr>
      </w:pPr>
      <w:r>
        <w:rPr>
          <w:rFonts w:ascii="Arial" w:cs="Arial" w:eastAsia="Arial" w:hAnsi="Arial"/>
          <w:sz w:val="20"/>
          <w:szCs w:val="20"/>
          <w:color w:val="auto"/>
        </w:rPr>
        <w:t>Chief Financial Officer and Treasurer</w:t>
      </w:r>
    </w:p>
    <w:p>
      <w:pPr>
        <w:spacing w:after="0" w:line="5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84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19" w:lineRule="exact"/>
        <w:rPr>
          <w:sz w:val="20"/>
          <w:szCs w:val="20"/>
          <w:color w:val="auto"/>
        </w:rPr>
      </w:pPr>
    </w:p>
    <w:p>
      <w:pPr>
        <w:ind w:firstLine="7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January 15, 2016</w:t>
      </w:r>
    </w:p>
    <w:p>
      <w:pPr>
        <w:spacing w:after="0" w:line="200" w:lineRule="exact"/>
        <w:rPr>
          <w:sz w:val="20"/>
          <w:szCs w:val="20"/>
          <w:color w:val="auto"/>
        </w:rPr>
      </w:pPr>
    </w:p>
    <w:p>
      <w:pPr>
        <w:spacing w:after="0" w:line="207"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WYNN LAS VEGAS, LLC</w:t>
      </w:r>
    </w:p>
    <w:p>
      <w:pPr>
        <w:spacing w:after="0" w:line="265" w:lineRule="exact"/>
        <w:rPr>
          <w:sz w:val="20"/>
          <w:szCs w:val="20"/>
          <w:color w:val="auto"/>
        </w:rPr>
      </w:pPr>
    </w:p>
    <w:tbl>
      <w:tblPr>
        <w:tblLayout w:type="fixed"/>
        <w:tblInd w:w="5640" w:type="dxa"/>
        <w:tblCellMar>
          <w:top w:w="0" w:type="dxa"/>
          <w:left w:w="0" w:type="dxa"/>
          <w:bottom w:w="0" w:type="dxa"/>
          <w:right w:w="0" w:type="dxa"/>
        </w:tblCellMar>
      </w:tblP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5120" w:type="dxa"/>
            <w:vAlign w:val="bottom"/>
          </w:tcPr>
          <w:p>
            <w:pPr>
              <w:ind w:left="120"/>
              <w:spacing w:after="0"/>
              <w:rPr>
                <w:sz w:val="20"/>
                <w:szCs w:val="20"/>
                <w:color w:val="auto"/>
              </w:rPr>
            </w:pPr>
            <w:r>
              <w:rPr>
                <w:rFonts w:ascii="Arial" w:cs="Arial" w:eastAsia="Arial" w:hAnsi="Arial"/>
                <w:sz w:val="20"/>
                <w:szCs w:val="20"/>
                <w:color w:val="auto"/>
              </w:rPr>
              <w:t>Wynn Las Vegas Holdings, LLC, its sole member</w:t>
            </w:r>
          </w:p>
        </w:tc>
      </w:tr>
      <w:tr>
        <w:trPr>
          <w:trHeight w:val="581"/>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5120" w:type="dxa"/>
            <w:vAlign w:val="bottom"/>
          </w:tcPr>
          <w:p>
            <w:pPr>
              <w:ind w:left="120"/>
              <w:spacing w:after="0"/>
              <w:rPr>
                <w:sz w:val="20"/>
                <w:szCs w:val="20"/>
                <w:color w:val="auto"/>
              </w:rPr>
            </w:pPr>
            <w:r>
              <w:rPr>
                <w:rFonts w:ascii="Arial" w:cs="Arial" w:eastAsia="Arial" w:hAnsi="Arial"/>
                <w:sz w:val="20"/>
                <w:szCs w:val="20"/>
                <w:color w:val="auto"/>
              </w:rPr>
              <w:t>Wynn America, LLC, its sole member</w:t>
            </w:r>
          </w:p>
        </w:tc>
      </w:tr>
      <w:tr>
        <w:trPr>
          <w:trHeight w:val="56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5120" w:type="dxa"/>
            <w:vAlign w:val="bottom"/>
          </w:tcPr>
          <w:p>
            <w:pPr>
              <w:ind w:left="120"/>
              <w:spacing w:after="0"/>
              <w:rPr>
                <w:sz w:val="20"/>
                <w:szCs w:val="20"/>
                <w:color w:val="auto"/>
              </w:rPr>
            </w:pPr>
            <w:r>
              <w:rPr>
                <w:rFonts w:ascii="Arial" w:cs="Arial" w:eastAsia="Arial" w:hAnsi="Arial"/>
                <w:sz w:val="20"/>
                <w:szCs w:val="20"/>
                <w:color w:val="auto"/>
              </w:rPr>
              <w:t>Wynn Resorts Holdings, LLC, its</w:t>
            </w:r>
          </w:p>
        </w:tc>
      </w:tr>
      <w:tr>
        <w:trPr>
          <w:trHeight w:val="250"/>
        </w:trPr>
        <w:tc>
          <w:tcPr>
            <w:tcW w:w="660" w:type="dxa"/>
            <w:vAlign w:val="bottom"/>
          </w:tcPr>
          <w:p>
            <w:pPr>
              <w:spacing w:after="0"/>
              <w:rPr>
                <w:sz w:val="21"/>
                <w:szCs w:val="21"/>
                <w:color w:val="auto"/>
              </w:rPr>
            </w:pPr>
          </w:p>
        </w:tc>
        <w:tc>
          <w:tcPr>
            <w:tcW w:w="5120" w:type="dxa"/>
            <w:vAlign w:val="bottom"/>
          </w:tcPr>
          <w:p>
            <w:pPr>
              <w:ind w:left="420"/>
              <w:spacing w:after="0"/>
              <w:rPr>
                <w:sz w:val="20"/>
                <w:szCs w:val="20"/>
                <w:color w:val="auto"/>
              </w:rPr>
            </w:pPr>
            <w:r>
              <w:rPr>
                <w:rFonts w:ascii="Arial" w:cs="Arial" w:eastAsia="Arial" w:hAnsi="Arial"/>
                <w:sz w:val="20"/>
                <w:szCs w:val="20"/>
                <w:color w:val="auto"/>
              </w:rPr>
              <w:t>sole member</w:t>
            </w:r>
          </w:p>
        </w:tc>
      </w:tr>
      <w:tr>
        <w:trPr>
          <w:trHeight w:val="533"/>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5120" w:type="dxa"/>
            <w:vAlign w:val="bottom"/>
          </w:tcPr>
          <w:p>
            <w:pPr>
              <w:ind w:left="120"/>
              <w:spacing w:after="0"/>
              <w:rPr>
                <w:sz w:val="20"/>
                <w:szCs w:val="20"/>
                <w:color w:val="auto"/>
              </w:rPr>
            </w:pPr>
            <w:r>
              <w:rPr>
                <w:rFonts w:ascii="Arial" w:cs="Arial" w:eastAsia="Arial" w:hAnsi="Arial"/>
                <w:sz w:val="20"/>
                <w:szCs w:val="20"/>
                <w:color w:val="auto"/>
              </w:rPr>
              <w:t>Wynn Resorts, Limited, its sole</w:t>
            </w:r>
          </w:p>
        </w:tc>
      </w:tr>
      <w:tr>
        <w:trPr>
          <w:trHeight w:val="250"/>
        </w:trPr>
        <w:tc>
          <w:tcPr>
            <w:tcW w:w="660" w:type="dxa"/>
            <w:vAlign w:val="bottom"/>
          </w:tcPr>
          <w:p>
            <w:pPr>
              <w:spacing w:after="0"/>
              <w:rPr>
                <w:sz w:val="21"/>
                <w:szCs w:val="21"/>
                <w:color w:val="auto"/>
              </w:rPr>
            </w:pPr>
          </w:p>
        </w:tc>
        <w:tc>
          <w:tcPr>
            <w:tcW w:w="5120" w:type="dxa"/>
            <w:vAlign w:val="bottom"/>
          </w:tcPr>
          <w:p>
            <w:pPr>
              <w:ind w:left="420"/>
              <w:spacing w:after="0"/>
              <w:rPr>
                <w:sz w:val="20"/>
                <w:szCs w:val="20"/>
                <w:color w:val="auto"/>
              </w:rPr>
            </w:pPr>
            <w:r>
              <w:rPr>
                <w:rFonts w:ascii="Arial" w:cs="Arial" w:eastAsia="Arial" w:hAnsi="Arial"/>
                <w:sz w:val="20"/>
                <w:szCs w:val="20"/>
                <w:color w:val="auto"/>
              </w:rPr>
              <w:t>member</w:t>
            </w:r>
          </w:p>
        </w:tc>
      </w:tr>
      <w:tr>
        <w:trPr>
          <w:trHeight w:val="554"/>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5120" w:type="dxa"/>
            <w:vAlign w:val="bottom"/>
          </w:tcPr>
          <w:p>
            <w:pPr>
              <w:ind w:left="80"/>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18"/>
                <w:szCs w:val="18"/>
                <w:color w:val="auto"/>
              </w:rPr>
              <w:t>Stephen Cootey</w:t>
            </w:r>
          </w:p>
        </w:tc>
      </w:tr>
      <w:tr>
        <w:trPr>
          <w:trHeight w:val="23"/>
        </w:trPr>
        <w:tc>
          <w:tcPr>
            <w:tcW w:w="66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Stephen Cootey</w:t>
            </w:r>
          </w:p>
        </w:tc>
      </w:tr>
      <w:tr>
        <w:trPr>
          <w:trHeight w:val="288"/>
        </w:trPr>
        <w:tc>
          <w:tcPr>
            <w:tcW w:w="66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20"/>
                <w:szCs w:val="20"/>
                <w:color w:val="auto"/>
              </w:rPr>
              <w:t>Chief Financial Officer and Treasurer</w:t>
            </w:r>
          </w:p>
        </w:tc>
      </w:tr>
      <w:tr>
        <w:trPr>
          <w:trHeight w:val="266"/>
        </w:trPr>
        <w:tc>
          <w:tcPr>
            <w:tcW w:w="66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585"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300" w:type="dxa"/>
            <w:vAlign w:val="bottom"/>
          </w:tcPr>
          <w:p>
            <w:pPr>
              <w:ind w:left="290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94"/>
              </w:rPr>
              <w:t>Press release, dated January 15, 2016, of Wynn Resorts, Limited.</w:t>
            </w:r>
          </w:p>
        </w:tc>
      </w:tr>
    </w:tbl>
    <w:p>
      <w:pPr>
        <w:sectPr>
          <w:pgSz w:w="11900" w:h="16838" w:orient="portrait"/>
          <w:cols w:equalWidth="0" w:num="1">
            <w:col w:w="10179"/>
          </w:cols>
          <w:pgMar w:left="280" w:top="796"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Announces Preliminary Fourth Quarter and Year End 2015 Results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LAS VEGAS, January 15, 2016 (BUSINESS WIRE) — Wynn Resorts, Limited (Nasdaq: WYNN) announced preliminary expectations of its financial results for the fourth quarter and year ended December 31, 2015. The results in this release are preliminary and subject to the completion of the final financial statements, including the review of those financial statements by the Company’s internal accounting professionals and the Company's audit committee and the audit by the Company's independent registered public accounting firm.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Operations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fourth quarter of 2015, net revenues are expected to be in the range of $552 million to $560 million, compared to $761.2 million generated in the fourth quarter of 2014. On a GAAP basis, operating income for the fourth quarter of 2015 is expected to be in the range of $75 million to $83 million, compared to $157.6 million for the fourth quarter of 2014. Adjusted property EBITDA (1) is expected to be in the range of $156 million to $164 million in the fourth quarter of 2015, compared to $241.2 million for the fourth quarter of 2014.</w:t>
      </w:r>
    </w:p>
    <w:p>
      <w:pPr>
        <w:spacing w:after="0" w:line="187"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For the full year, net revenues are expected to be in the range of $2,459 million to $2,467 million, compared to $3,796.8 million generated in 2014. On a GAAP basis, operating income for 2015 is expected to be in the range of $382 million to $390 million, compared to $895.2 million in 2014. For 2015, adjusted property EBITDA is expected to be in the range of $705 million to $713 million, compared to $1,258.1 million for 2014.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fourth quarter of 2015, net revenues are expected to be in the range of $387 million to $395 million, compared to $376.8 million generated in the fourth quarter of 2014. On a GAAP basis, operating income for the fourth quarter of 2015 is expected to be in the range of $56 million to $64 million, compared to $51.6 million for the fourth quarter of 2014. Adjusted property EBITDA is expected to be between $123 million and $131 million for the fourth quarter of 2015, compared to $111.2 million for the fourth quarter of 2014.</w:t>
      </w:r>
    </w:p>
    <w:p>
      <w:pPr>
        <w:spacing w:after="0" w:line="187"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For the full year, net revenues are expected to be in the range of $1,609 million to $1,617 million, compared to $1,636.9 million generated in 2014. On a GAAP basis, operating income for 2015 is expected to be in the range of $215 million to $223 million, compared to $270.5 million in 2014. For 2015, adjusted property EBITDA is expected to be in the range of $473 million to $481 million, compared to $515.2 million for 2014.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Forward-looking </w:t>
      </w:r>
      <w:r>
        <w:rPr>
          <w:rFonts w:ascii="Arial" w:cs="Arial" w:eastAsia="Arial" w:hAnsi="Arial"/>
          <w:sz w:val="16"/>
          <w:szCs w:val="16"/>
          <w:b w:val="1"/>
          <w:bCs w:val="1"/>
          <w:color w:val="auto"/>
        </w:rPr>
        <w:t>Statements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This release contains forward-looking statements regarding operating trends and our expected results of operations. Such forward-looking statements are subject to a number of risks and uncertainties that could cause actual results to differ materially from those we express in these forward-looking statements, including, but not limited to, our dependence on existing management, results of regulatory or enforcement actions and probity investigations, pending or future legal proceedings, uncertainties over the development and success of new gaming and resort properties, adverse tourism trends, general global macroeconomic conditions, changes in gaming laws or regulations, volatility and weakness in world-wide credit and financial markets, and our substantial indebtedness and leverage. Additional information concerning potential factors that could affect the Company’s financial results is included in the Company’s Annual Report on Form 10-K for the year ended December 31, 2014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firstLine="8"/>
        <w:spacing w:after="0" w:line="285"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property EBITDA” is net income before interest, taxes, depreciation and amortization, pre-opening costs, property charges and other, management and license fees, corporate expenses and other, intercompany golf course and water rights leases, stock-based compensation, loss on extinguishment of debt, change in interest rate swap fair value, change in Redemption Note fair value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ectPr>
          <w:pgSz w:w="11900" w:h="16838" w:orient="portrait"/>
          <w:cols w:equalWidth="0" w:num="1">
            <w:col w:w="11380"/>
          </w:cols>
          <w:pgMar w:left="240" w:top="580" w:right="27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DATA SCHEDULE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(dollars in thousands, except for win per unit per day, ADR and REVPAR)</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6"/>
                <w:szCs w:val="16"/>
                <w:color w:val="auto"/>
              </w:rPr>
            </w:pPr>
          </w:p>
        </w:tc>
        <w:tc>
          <w:tcPr>
            <w:tcW w:w="290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9"/>
              </w:rPr>
              <w:t>Twelve Months Ended December 31,</w:t>
            </w:r>
          </w:p>
        </w:tc>
      </w:tr>
      <w:tr>
        <w:trPr>
          <w:trHeight w:val="264"/>
        </w:trPr>
        <w:tc>
          <w:tcPr>
            <w:tcW w:w="49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2014</w:t>
            </w: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380"/>
              <w:spacing w:after="0"/>
              <w:rPr>
                <w:sz w:val="20"/>
                <w:szCs w:val="20"/>
                <w:color w:val="auto"/>
              </w:rPr>
            </w:pPr>
            <w:r>
              <w:rPr>
                <w:rFonts w:ascii="Arial" w:cs="Arial" w:eastAsia="Arial" w:hAnsi="Arial"/>
                <w:sz w:val="18"/>
                <w:szCs w:val="18"/>
                <w:b w:val="1"/>
                <w:bCs w:val="1"/>
                <w:color w:val="auto"/>
              </w:rPr>
              <w:t>VIP</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Average number of table games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259</w:t>
            </w:r>
          </w:p>
        </w:tc>
      </w:tr>
      <w:tr>
        <w:trPr>
          <w:trHeight w:val="243"/>
        </w:trPr>
        <w:tc>
          <w:tcPr>
            <w:tcW w:w="4980" w:type="dxa"/>
            <w:vAlign w:val="bottom"/>
          </w:tcPr>
          <w:p>
            <w:pPr>
              <w:ind w:left="580"/>
              <w:spacing w:after="0"/>
              <w:rPr>
                <w:sz w:val="20"/>
                <w:szCs w:val="20"/>
                <w:color w:val="auto"/>
              </w:rPr>
            </w:pPr>
            <w:r>
              <w:rPr>
                <w:rFonts w:ascii="Arial" w:cs="Arial" w:eastAsia="Arial" w:hAnsi="Arial"/>
                <w:sz w:val="18"/>
                <w:szCs w:val="18"/>
                <w:color w:val="auto"/>
              </w:rPr>
              <w:t>VIP turnover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13,033,946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20,653,190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57,917,060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108,077,342</w:t>
            </w:r>
          </w:p>
        </w:tc>
      </w:tr>
      <w:tr>
        <w:trPr>
          <w:trHeight w:val="27"/>
        </w:trPr>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Table games win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339,033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578,898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1,659,683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3,051,046</w:t>
            </w:r>
          </w:p>
        </w:tc>
      </w:tr>
      <w:tr>
        <w:trPr>
          <w:trHeight w:val="243"/>
        </w:trPr>
        <w:tc>
          <w:tcPr>
            <w:tcW w:w="4980" w:type="dxa"/>
            <w:vAlign w:val="bottom"/>
          </w:tcPr>
          <w:p>
            <w:pPr>
              <w:ind w:left="580"/>
              <w:spacing w:after="0"/>
              <w:rPr>
                <w:sz w:val="20"/>
                <w:szCs w:val="20"/>
                <w:color w:val="auto"/>
              </w:rPr>
            </w:pPr>
            <w:r>
              <w:rPr>
                <w:rFonts w:ascii="Arial" w:cs="Arial" w:eastAsia="Arial" w:hAnsi="Arial"/>
                <w:sz w:val="18"/>
                <w:szCs w:val="18"/>
                <w:color w:val="auto"/>
              </w:rPr>
              <w:t>VIP win as a % of turnover</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7"/>
        </w:trPr>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Table games win per unit per day (a)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19,159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25,807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19,785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32,258</w:t>
            </w:r>
          </w:p>
        </w:tc>
      </w:tr>
      <w:tr>
        <w:trPr>
          <w:trHeight w:val="243"/>
        </w:trPr>
        <w:tc>
          <w:tcPr>
            <w:tcW w:w="4980" w:type="dxa"/>
            <w:vAlign w:val="bottom"/>
          </w:tcPr>
          <w:p>
            <w:pPr>
              <w:ind w:left="380"/>
              <w:spacing w:after="0"/>
              <w:rPr>
                <w:sz w:val="20"/>
                <w:szCs w:val="20"/>
                <w:color w:val="auto"/>
              </w:rPr>
            </w:pPr>
            <w:r>
              <w:rPr>
                <w:rFonts w:ascii="Arial" w:cs="Arial" w:eastAsia="Arial" w:hAnsi="Arial"/>
                <w:sz w:val="18"/>
                <w:szCs w:val="18"/>
                <w:b w:val="1"/>
                <w:bCs w:val="1"/>
                <w:color w:val="auto"/>
              </w:rPr>
              <w:t>Mass market</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Average number of table games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202</w:t>
            </w:r>
          </w:p>
        </w:tc>
      </w:tr>
      <w:tr>
        <w:trPr>
          <w:trHeight w:val="243"/>
        </w:trPr>
        <w:tc>
          <w:tcPr>
            <w:tcW w:w="4980" w:type="dxa"/>
            <w:vAlign w:val="bottom"/>
          </w:tcPr>
          <w:p>
            <w:pPr>
              <w:ind w:left="580"/>
              <w:spacing w:after="0"/>
              <w:rPr>
                <w:sz w:val="20"/>
                <w:szCs w:val="20"/>
                <w:color w:val="auto"/>
              </w:rPr>
            </w:pPr>
            <w:r>
              <w:rPr>
                <w:rFonts w:ascii="Arial" w:cs="Arial" w:eastAsia="Arial" w:hAnsi="Arial"/>
                <w:sz w:val="18"/>
                <w:szCs w:val="18"/>
                <w:color w:val="auto"/>
              </w:rPr>
              <w:t>Table drop (b)</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1,185,535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1,330,694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4,857,804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5,517,382</w:t>
            </w:r>
          </w:p>
        </w:tc>
      </w:tr>
      <w:tr>
        <w:trPr>
          <w:trHeight w:val="27"/>
        </w:trPr>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Table games win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228,581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249,021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951,458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1,187,997</w:t>
            </w:r>
          </w:p>
        </w:tc>
      </w:tr>
      <w:tr>
        <w:trPr>
          <w:trHeight w:val="243"/>
        </w:trPr>
        <w:tc>
          <w:tcPr>
            <w:tcW w:w="4980" w:type="dxa"/>
            <w:vAlign w:val="bottom"/>
          </w:tcPr>
          <w:p>
            <w:pPr>
              <w:ind w:left="580"/>
              <w:spacing w:after="0"/>
              <w:rPr>
                <w:sz w:val="20"/>
                <w:szCs w:val="20"/>
                <w:color w:val="auto"/>
              </w:rPr>
            </w:pPr>
            <w:r>
              <w:rPr>
                <w:rFonts w:ascii="Arial" w:cs="Arial" w:eastAsia="Arial" w:hAnsi="Arial"/>
                <w:sz w:val="18"/>
                <w:szCs w:val="18"/>
                <w:color w:val="auto"/>
              </w:rPr>
              <w:t>Table games win %</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7"/>
        </w:trPr>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Table games win per unit per day (a)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9,965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13,434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11,431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16,154</w:t>
            </w:r>
          </w:p>
        </w:tc>
      </w:tr>
      <w:tr>
        <w:trPr>
          <w:trHeight w:val="297"/>
        </w:trPr>
        <w:tc>
          <w:tcPr>
            <w:tcW w:w="4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4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Average number of slot machines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679</w:t>
            </w:r>
          </w:p>
        </w:tc>
      </w:tr>
      <w:tr>
        <w:trPr>
          <w:trHeight w:val="243"/>
        </w:trPr>
        <w:tc>
          <w:tcPr>
            <w:tcW w:w="4980" w:type="dxa"/>
            <w:vAlign w:val="bottom"/>
          </w:tcPr>
          <w:p>
            <w:pPr>
              <w:ind w:left="580"/>
              <w:spacing w:after="0"/>
              <w:rPr>
                <w:sz w:val="20"/>
                <w:szCs w:val="20"/>
                <w:color w:val="auto"/>
              </w:rPr>
            </w:pPr>
            <w:r>
              <w:rPr>
                <w:rFonts w:ascii="Arial" w:cs="Arial" w:eastAsia="Arial" w:hAnsi="Arial"/>
                <w:sz w:val="18"/>
                <w:szCs w:val="18"/>
                <w:color w:val="auto"/>
              </w:rPr>
              <w:t>Slot machine handle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1,069,297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1,122,510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3,961,115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5,415,127</w:t>
            </w:r>
          </w:p>
        </w:tc>
      </w:tr>
      <w:tr>
        <w:trPr>
          <w:trHeight w:val="27"/>
        </w:trPr>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Slot machine win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50,373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55,860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191,164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264,763</w:t>
            </w:r>
          </w:p>
        </w:tc>
      </w:tr>
      <w:tr>
        <w:trPr>
          <w:trHeight w:val="243"/>
        </w:trPr>
        <w:tc>
          <w:tcPr>
            <w:tcW w:w="4980" w:type="dxa"/>
            <w:vAlign w:val="bottom"/>
          </w:tcPr>
          <w:p>
            <w:pPr>
              <w:ind w:left="580"/>
              <w:spacing w:after="0"/>
              <w:rPr>
                <w:sz w:val="20"/>
                <w:szCs w:val="20"/>
                <w:color w:val="auto"/>
              </w:rPr>
            </w:pPr>
            <w:r>
              <w:rPr>
                <w:rFonts w:ascii="Arial" w:cs="Arial" w:eastAsia="Arial" w:hAnsi="Arial"/>
                <w:sz w:val="18"/>
                <w:szCs w:val="18"/>
                <w:color w:val="auto"/>
              </w:rPr>
              <w:t>Slot machine win per unit per day (c)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1,068</w:t>
            </w:r>
          </w:p>
        </w:tc>
      </w:tr>
      <w:tr>
        <w:trPr>
          <w:trHeight w:val="27"/>
        </w:trPr>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49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4980" w:type="dxa"/>
            <w:vAlign w:val="bottom"/>
          </w:tcPr>
          <w:p>
            <w:pPr>
              <w:ind w:left="380"/>
              <w:spacing w:after="0"/>
              <w:rPr>
                <w:sz w:val="20"/>
                <w:szCs w:val="20"/>
                <w:color w:val="auto"/>
              </w:rPr>
            </w:pPr>
            <w:r>
              <w:rPr>
                <w:rFonts w:ascii="Arial" w:cs="Arial" w:eastAsia="Arial" w:hAnsi="Arial"/>
                <w:sz w:val="18"/>
                <w:szCs w:val="18"/>
                <w:b w:val="1"/>
                <w:bCs w:val="1"/>
                <w:color w:val="auto"/>
              </w:rPr>
              <w:t>Room statistics</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Occupancy</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w:t>
            </w:r>
          </w:p>
        </w:tc>
      </w:tr>
      <w:tr>
        <w:trPr>
          <w:trHeight w:val="243"/>
        </w:trPr>
        <w:tc>
          <w:tcPr>
            <w:tcW w:w="4980" w:type="dxa"/>
            <w:vAlign w:val="bottom"/>
          </w:tcPr>
          <w:p>
            <w:pPr>
              <w:ind w:left="580"/>
              <w:spacing w:after="0"/>
              <w:rPr>
                <w:sz w:val="20"/>
                <w:szCs w:val="20"/>
                <w:color w:val="auto"/>
              </w:rPr>
            </w:pPr>
            <w:r>
              <w:rPr>
                <w:rFonts w:ascii="Arial" w:cs="Arial" w:eastAsia="Arial" w:hAnsi="Arial"/>
                <w:sz w:val="18"/>
                <w:szCs w:val="18"/>
                <w:color w:val="auto"/>
              </w:rPr>
              <w:t>ADR (d)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333</w:t>
            </w:r>
          </w:p>
        </w:tc>
      </w:tr>
      <w:tr>
        <w:trPr>
          <w:trHeight w:val="27"/>
        </w:trPr>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REVPAR (e)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327</w:t>
            </w:r>
          </w:p>
        </w:tc>
      </w:tr>
      <w:tr>
        <w:trPr>
          <w:trHeight w:val="297"/>
        </w:trPr>
        <w:tc>
          <w:tcPr>
            <w:tcW w:w="4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580"/>
              <w:spacing w:after="0"/>
              <w:rPr>
                <w:sz w:val="20"/>
                <w:szCs w:val="20"/>
                <w:color w:val="auto"/>
              </w:rPr>
            </w:pPr>
            <w:r>
              <w:rPr>
                <w:rFonts w:ascii="Arial" w:cs="Arial" w:eastAsia="Arial" w:hAnsi="Arial"/>
                <w:sz w:val="18"/>
                <w:szCs w:val="18"/>
                <w:color w:val="auto"/>
              </w:rPr>
              <w:t>Average number of table games</w:t>
            </w:r>
          </w:p>
        </w:tc>
        <w:tc>
          <w:tcPr>
            <w:tcW w:w="28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232</w:t>
            </w:r>
          </w:p>
        </w:tc>
      </w:tr>
      <w:tr>
        <w:trPr>
          <w:trHeight w:val="27"/>
        </w:trPr>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Table drop (b)</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485,652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639,028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2,060,189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2,556,452</w:t>
            </w:r>
          </w:p>
        </w:tc>
      </w:tr>
      <w:tr>
        <w:trPr>
          <w:trHeight w:val="243"/>
        </w:trPr>
        <w:tc>
          <w:tcPr>
            <w:tcW w:w="4980" w:type="dxa"/>
            <w:vAlign w:val="bottom"/>
          </w:tcPr>
          <w:p>
            <w:pPr>
              <w:ind w:left="580"/>
              <w:spacing w:after="0"/>
              <w:rPr>
                <w:sz w:val="20"/>
                <w:szCs w:val="20"/>
                <w:color w:val="auto"/>
              </w:rPr>
            </w:pPr>
            <w:r>
              <w:rPr>
                <w:rFonts w:ascii="Arial" w:cs="Arial" w:eastAsia="Arial" w:hAnsi="Arial"/>
                <w:sz w:val="18"/>
                <w:szCs w:val="18"/>
                <w:color w:val="auto"/>
              </w:rPr>
              <w:t>Table games win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139,273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153,247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490,920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623,968</w:t>
            </w:r>
          </w:p>
        </w:tc>
      </w:tr>
      <w:tr>
        <w:trPr>
          <w:trHeight w:val="27"/>
        </w:trPr>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Table games win %</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43"/>
        </w:trPr>
        <w:tc>
          <w:tcPr>
            <w:tcW w:w="4980" w:type="dxa"/>
            <w:vAlign w:val="bottom"/>
          </w:tcPr>
          <w:p>
            <w:pPr>
              <w:ind w:left="580"/>
              <w:spacing w:after="0"/>
              <w:rPr>
                <w:sz w:val="20"/>
                <w:szCs w:val="20"/>
                <w:color w:val="auto"/>
              </w:rPr>
            </w:pPr>
            <w:r>
              <w:rPr>
                <w:rFonts w:ascii="Arial" w:cs="Arial" w:eastAsia="Arial" w:hAnsi="Arial"/>
                <w:sz w:val="18"/>
                <w:szCs w:val="18"/>
                <w:color w:val="auto"/>
              </w:rPr>
              <w:t>Table games win per unit per day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6,651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7,226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5,786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7,354</w:t>
            </w:r>
          </w:p>
        </w:tc>
      </w:tr>
      <w:tr>
        <w:trPr>
          <w:trHeight w:val="27"/>
        </w:trPr>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49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4980" w:type="dxa"/>
            <w:vAlign w:val="bottom"/>
          </w:tcPr>
          <w:p>
            <w:pPr>
              <w:ind w:left="580"/>
              <w:spacing w:after="0"/>
              <w:rPr>
                <w:sz w:val="20"/>
                <w:szCs w:val="20"/>
                <w:color w:val="auto"/>
              </w:rPr>
            </w:pPr>
            <w:r>
              <w:rPr>
                <w:rFonts w:ascii="Arial" w:cs="Arial" w:eastAsia="Arial" w:hAnsi="Arial"/>
                <w:sz w:val="18"/>
                <w:szCs w:val="18"/>
                <w:color w:val="auto"/>
              </w:rPr>
              <w:t>Average number of slot machines</w:t>
            </w:r>
          </w:p>
        </w:tc>
        <w:tc>
          <w:tcPr>
            <w:tcW w:w="28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1,864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1,866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1,858</w:t>
            </w:r>
          </w:p>
        </w:tc>
      </w:tr>
      <w:tr>
        <w:trPr>
          <w:trHeight w:val="27"/>
        </w:trPr>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Slot machine handle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730,733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769,765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2,969,327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3,008,563</w:t>
            </w:r>
          </w:p>
        </w:tc>
      </w:tr>
      <w:tr>
        <w:trPr>
          <w:trHeight w:val="243"/>
        </w:trPr>
        <w:tc>
          <w:tcPr>
            <w:tcW w:w="4980" w:type="dxa"/>
            <w:vAlign w:val="bottom"/>
          </w:tcPr>
          <w:p>
            <w:pPr>
              <w:ind w:left="580"/>
              <w:spacing w:after="0"/>
              <w:rPr>
                <w:sz w:val="20"/>
                <w:szCs w:val="20"/>
                <w:color w:val="auto"/>
              </w:rPr>
            </w:pPr>
            <w:r>
              <w:rPr>
                <w:rFonts w:ascii="Arial" w:cs="Arial" w:eastAsia="Arial" w:hAnsi="Arial"/>
                <w:sz w:val="18"/>
                <w:szCs w:val="18"/>
                <w:color w:val="auto"/>
              </w:rPr>
              <w:t>Slot machine win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52,585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47,380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206,626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186,458</w:t>
            </w:r>
          </w:p>
        </w:tc>
      </w:tr>
      <w:tr>
        <w:trPr>
          <w:trHeight w:val="27"/>
        </w:trPr>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Slot machine win per unit per day (c)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275</w:t>
            </w:r>
          </w:p>
        </w:tc>
      </w:tr>
      <w:tr>
        <w:trPr>
          <w:trHeight w:val="297"/>
        </w:trPr>
        <w:tc>
          <w:tcPr>
            <w:tcW w:w="4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4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Room statistics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580"/>
              <w:spacing w:after="0"/>
              <w:rPr>
                <w:sz w:val="20"/>
                <w:szCs w:val="20"/>
                <w:color w:val="auto"/>
              </w:rPr>
            </w:pPr>
            <w:r>
              <w:rPr>
                <w:rFonts w:ascii="Arial" w:cs="Arial" w:eastAsia="Arial" w:hAnsi="Arial"/>
                <w:sz w:val="18"/>
                <w:szCs w:val="18"/>
                <w:color w:val="auto"/>
              </w:rPr>
              <w:t>Occupancy</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86.9%</w:t>
            </w:r>
          </w:p>
        </w:tc>
      </w:tr>
      <w:tr>
        <w:trPr>
          <w:trHeight w:val="27"/>
        </w:trPr>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ADR (d)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274</w:t>
            </w:r>
          </w:p>
        </w:tc>
      </w:tr>
      <w:tr>
        <w:trPr>
          <w:trHeight w:val="243"/>
        </w:trPr>
        <w:tc>
          <w:tcPr>
            <w:tcW w:w="4980" w:type="dxa"/>
            <w:vAlign w:val="bottom"/>
          </w:tcPr>
          <w:p>
            <w:pPr>
              <w:ind w:left="580"/>
              <w:spacing w:after="0"/>
              <w:rPr>
                <w:sz w:val="20"/>
                <w:szCs w:val="20"/>
                <w:color w:val="auto"/>
              </w:rPr>
            </w:pPr>
            <w:r>
              <w:rPr>
                <w:rFonts w:ascii="Arial" w:cs="Arial" w:eastAsia="Arial" w:hAnsi="Arial"/>
                <w:sz w:val="18"/>
                <w:szCs w:val="18"/>
                <w:color w:val="auto"/>
              </w:rPr>
              <w:t>REVPAR (e)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238</w:t>
            </w:r>
          </w:p>
        </w:tc>
      </w:tr>
    </w:tbl>
    <w:p>
      <w:pPr>
        <w:spacing w:after="0" w:line="1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 as applicable.</w:t>
      </w:r>
    </w:p>
    <w:p>
      <w:pPr>
        <w:spacing w:after="0" w:line="23" w:lineRule="exact"/>
        <w:rPr>
          <w:rFonts w:ascii="Arial" w:cs="Arial" w:eastAsia="Arial" w:hAnsi="Arial"/>
          <w:sz w:val="18"/>
          <w:szCs w:val="18"/>
          <w:color w:val="auto"/>
        </w:rPr>
      </w:pPr>
    </w:p>
    <w:p>
      <w:pPr>
        <w:ind w:left="340" w:right="60" w:hanging="332"/>
        <w:spacing w:after="0" w:line="265"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Commencing in the second quarter of 2015, the Company determined that in Macau it will include the amount of cash that is deposited in a gaming table's drop box plus cash chips purchased at the casino cage in the calculation of table drop in accordance with standard Macau industry practice. In Las Vegas, table drop is the amount of cash and net markers issued that are deposited in a gaming table’s drop box.</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Slot machine win per unit per day is calculated as gross slot win minus progressive accruals and free play.</w:t>
      </w:r>
    </w:p>
    <w:p>
      <w:pPr>
        <w:sectPr>
          <w:pgSz w:w="11900" w:h="16838" w:orient="portrait"/>
          <w:cols w:equalWidth="0" w:num="1">
            <w:col w:w="11400"/>
          </w:cols>
          <w:pgMar w:left="240" w:top="580" w:right="259" w:bottom="1440" w:gutter="0" w:footer="0" w:header="0"/>
        </w:sectPr>
      </w:pPr>
    </w:p>
    <w:bookmarkStart w:id="8" w:name="page9"/>
    <w:bookmarkEnd w:id="8"/>
    <w:p>
      <w:pPr>
        <w:ind w:left="340" w:hanging="332"/>
        <w:spacing w:after="0" w:line="25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including the retail value of promotional allowances (less service charges, if any) by total rooms occupied including complimentary rooms.</w:t>
      </w:r>
    </w:p>
    <w:p>
      <w:pPr>
        <w:spacing w:after="0" w:line="1" w:lineRule="exact"/>
        <w:rPr>
          <w:rFonts w:ascii="Arial" w:cs="Arial" w:eastAsia="Arial" w:hAnsi="Arial"/>
          <w:sz w:val="18"/>
          <w:szCs w:val="18"/>
          <w:color w:val="auto"/>
        </w:rPr>
      </w:pPr>
    </w:p>
    <w:p>
      <w:pPr>
        <w:ind w:left="340" w:right="34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including the retail value of promotional allowances (less service charges, if any) by total rooms available.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Strawn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sectPr>
      <w:pgSz w:w="11900" w:h="16838" w:orient="portrait"/>
      <w:cols w:equalWidth="0" w:num="1">
        <w:col w:w="11240"/>
      </w:cols>
      <w:pgMar w:left="240" w:top="58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2019-12-07T17:28:22Z</dcterms:created>
  <dcterms:modified xsi:type="dcterms:W3CDTF">2019-12-07T17:28:22Z</dcterms:modified>
</cp:coreProperties>
</file>