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February 12, 2008</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194" w:lineRule="exact"/>
        <w:rPr>
          <w:sz w:val="24"/>
          <w:szCs w:val="24"/>
          <w:color w:val="auto"/>
        </w:rPr>
      </w:pPr>
    </w:p>
    <w:tbl>
      <w:tblPr>
        <w:tblLayout w:type="fixed"/>
        <w:tblInd w:w="920" w:type="dxa"/>
        <w:tblCellMar>
          <w:top w:w="0" w:type="dxa"/>
          <w:left w:w="0" w:type="dxa"/>
          <w:bottom w:w="0" w:type="dxa"/>
          <w:right w:w="0" w:type="dxa"/>
        </w:tblCellMar>
      </w:tblPr>
      <w:tr>
        <w:trPr>
          <w:trHeight w:val="236"/>
        </w:trPr>
        <w:tc>
          <w:tcPr>
            <w:tcW w:w="2140" w:type="dxa"/>
            <w:vAlign w:val="bottom"/>
          </w:tcPr>
          <w:p>
            <w:pPr>
              <w:jc w:val="center"/>
              <w:spacing w:after="0"/>
              <w:rPr>
                <w:sz w:val="20"/>
                <w:szCs w:val="20"/>
                <w:color w:val="auto"/>
              </w:rPr>
            </w:pPr>
            <w:r>
              <w:rPr>
                <w:rFonts w:ascii="Arial" w:cs="Arial" w:eastAsia="Arial" w:hAnsi="Arial"/>
                <w:sz w:val="20"/>
                <w:szCs w:val="20"/>
                <w:b w:val="1"/>
                <w:bCs w:val="1"/>
                <w:color w:val="auto"/>
                <w:w w:val="89"/>
              </w:rPr>
              <w:t>Nevada</w:t>
            </w:r>
          </w:p>
        </w:tc>
        <w:tc>
          <w:tcPr>
            <w:tcW w:w="5280" w:type="dxa"/>
            <w:vAlign w:val="bottom"/>
          </w:tcPr>
          <w:p>
            <w:pPr>
              <w:jc w:val="center"/>
              <w:ind w:left="201"/>
              <w:spacing w:after="0"/>
              <w:rPr>
                <w:sz w:val="20"/>
                <w:szCs w:val="20"/>
                <w:color w:val="auto"/>
              </w:rPr>
            </w:pPr>
            <w:r>
              <w:rPr>
                <w:rFonts w:ascii="Arial" w:cs="Arial" w:eastAsia="Arial" w:hAnsi="Arial"/>
                <w:sz w:val="20"/>
                <w:szCs w:val="20"/>
                <w:b w:val="1"/>
                <w:bCs w:val="1"/>
                <w:color w:val="auto"/>
                <w:w w:val="89"/>
              </w:rPr>
              <w:t>000-50028</w:t>
            </w:r>
          </w:p>
        </w:tc>
        <w:tc>
          <w:tcPr>
            <w:tcW w:w="2000" w:type="dxa"/>
            <w:vAlign w:val="bottom"/>
          </w:tcPr>
          <w:p>
            <w:pPr>
              <w:jc w:val="center"/>
              <w:ind w:left="441"/>
              <w:spacing w:after="0"/>
              <w:rPr>
                <w:sz w:val="20"/>
                <w:szCs w:val="20"/>
                <w:color w:val="auto"/>
              </w:rPr>
            </w:pPr>
            <w:r>
              <w:rPr>
                <w:rFonts w:ascii="Arial" w:cs="Arial" w:eastAsia="Arial" w:hAnsi="Arial"/>
                <w:sz w:val="20"/>
                <w:szCs w:val="20"/>
                <w:b w:val="1"/>
                <w:bCs w:val="1"/>
                <w:color w:val="auto"/>
                <w:w w:val="88"/>
              </w:rPr>
              <w:t>46-0484987</w:t>
            </w:r>
          </w:p>
        </w:tc>
      </w:tr>
      <w:tr>
        <w:trPr>
          <w:trHeight w:val="230"/>
        </w:trPr>
        <w:tc>
          <w:tcPr>
            <w:tcW w:w="2140" w:type="dxa"/>
            <w:vAlign w:val="bottom"/>
          </w:tcPr>
          <w:p>
            <w:pPr>
              <w:jc w:val="center"/>
              <w:spacing w:after="0"/>
              <w:rPr>
                <w:sz w:val="20"/>
                <w:szCs w:val="20"/>
                <w:color w:val="auto"/>
              </w:rPr>
            </w:pPr>
            <w:r>
              <w:rPr>
                <w:rFonts w:ascii="Arial" w:cs="Arial" w:eastAsia="Arial" w:hAnsi="Arial"/>
                <w:sz w:val="20"/>
                <w:szCs w:val="20"/>
                <w:color w:val="auto"/>
                <w:w w:val="91"/>
              </w:rPr>
              <w:t>(State or other jurisdiction</w:t>
            </w:r>
          </w:p>
        </w:tc>
        <w:tc>
          <w:tcPr>
            <w:tcW w:w="5280" w:type="dxa"/>
            <w:vAlign w:val="bottom"/>
          </w:tcPr>
          <w:p>
            <w:pPr>
              <w:jc w:val="center"/>
              <w:ind w:left="201"/>
              <w:spacing w:after="0"/>
              <w:rPr>
                <w:sz w:val="20"/>
                <w:szCs w:val="20"/>
                <w:color w:val="auto"/>
              </w:rPr>
            </w:pPr>
            <w:r>
              <w:rPr>
                <w:rFonts w:ascii="Arial" w:cs="Arial" w:eastAsia="Arial" w:hAnsi="Arial"/>
                <w:sz w:val="20"/>
                <w:szCs w:val="20"/>
                <w:color w:val="auto"/>
                <w:w w:val="91"/>
              </w:rPr>
              <w:t>(Commission File Number)</w:t>
            </w:r>
          </w:p>
        </w:tc>
        <w:tc>
          <w:tcPr>
            <w:tcW w:w="2000" w:type="dxa"/>
            <w:vAlign w:val="bottom"/>
          </w:tcPr>
          <w:p>
            <w:pPr>
              <w:jc w:val="center"/>
              <w:ind w:left="441"/>
              <w:spacing w:after="0"/>
              <w:rPr>
                <w:sz w:val="20"/>
                <w:szCs w:val="20"/>
                <w:color w:val="auto"/>
              </w:rPr>
            </w:pPr>
            <w:r>
              <w:rPr>
                <w:rFonts w:ascii="Arial" w:cs="Arial" w:eastAsia="Arial" w:hAnsi="Arial"/>
                <w:sz w:val="20"/>
                <w:szCs w:val="20"/>
                <w:color w:val="auto"/>
                <w:w w:val="91"/>
              </w:rPr>
              <w:t>(I.R.S. Employer</w:t>
            </w:r>
          </w:p>
        </w:tc>
      </w:tr>
      <w:tr>
        <w:trPr>
          <w:trHeight w:val="250"/>
        </w:trPr>
        <w:tc>
          <w:tcPr>
            <w:tcW w:w="2140" w:type="dxa"/>
            <w:vAlign w:val="bottom"/>
          </w:tcPr>
          <w:p>
            <w:pPr>
              <w:jc w:val="center"/>
              <w:spacing w:after="0"/>
              <w:rPr>
                <w:sz w:val="20"/>
                <w:szCs w:val="20"/>
                <w:color w:val="auto"/>
              </w:rPr>
            </w:pPr>
            <w:r>
              <w:rPr>
                <w:rFonts w:ascii="Arial" w:cs="Arial" w:eastAsia="Arial" w:hAnsi="Arial"/>
                <w:sz w:val="20"/>
                <w:szCs w:val="20"/>
                <w:color w:val="auto"/>
                <w:w w:val="92"/>
              </w:rPr>
              <w:t>of incorporation)</w:t>
            </w:r>
          </w:p>
        </w:tc>
        <w:tc>
          <w:tcPr>
            <w:tcW w:w="5280" w:type="dxa"/>
            <w:vAlign w:val="bottom"/>
          </w:tcPr>
          <w:p>
            <w:pPr>
              <w:spacing w:after="0"/>
              <w:rPr>
                <w:sz w:val="21"/>
                <w:szCs w:val="21"/>
                <w:color w:val="auto"/>
              </w:rPr>
            </w:pPr>
          </w:p>
        </w:tc>
        <w:tc>
          <w:tcPr>
            <w:tcW w:w="2000" w:type="dxa"/>
            <w:vAlign w:val="bottom"/>
          </w:tcPr>
          <w:p>
            <w:pPr>
              <w:jc w:val="center"/>
              <w:ind w:left="441"/>
              <w:spacing w:after="0"/>
              <w:rPr>
                <w:sz w:val="20"/>
                <w:szCs w:val="20"/>
                <w:color w:val="auto"/>
              </w:rPr>
            </w:pPr>
            <w:r>
              <w:rPr>
                <w:rFonts w:ascii="Arial" w:cs="Arial" w:eastAsia="Arial" w:hAnsi="Arial"/>
                <w:sz w:val="20"/>
                <w:szCs w:val="20"/>
                <w:color w:val="auto"/>
                <w:w w:val="93"/>
              </w:rPr>
              <w:t>Identification No.)</w:t>
            </w:r>
          </w:p>
        </w:tc>
      </w:tr>
      <w:tr>
        <w:trPr>
          <w:trHeight w:val="425"/>
        </w:trPr>
        <w:tc>
          <w:tcPr>
            <w:tcW w:w="214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Arial" w:cs="Arial" w:eastAsia="Arial" w:hAnsi="Arial"/>
                <w:sz w:val="20"/>
                <w:szCs w:val="20"/>
                <w:b w:val="1"/>
                <w:bCs w:val="1"/>
                <w:color w:val="auto"/>
                <w:w w:val="99"/>
              </w:rPr>
              <w:t>WYNN LAS VEGAS, LLC</w:t>
            </w:r>
          </w:p>
        </w:tc>
        <w:tc>
          <w:tcPr>
            <w:tcW w:w="2000" w:type="dxa"/>
            <w:vAlign w:val="bottom"/>
          </w:tcPr>
          <w:p>
            <w:pPr>
              <w:spacing w:after="0"/>
              <w:rPr>
                <w:sz w:val="24"/>
                <w:szCs w:val="24"/>
                <w:color w:val="auto"/>
              </w:rPr>
            </w:pPr>
          </w:p>
        </w:tc>
      </w:tr>
      <w:tr>
        <w:trPr>
          <w:trHeight w:val="250"/>
        </w:trPr>
        <w:tc>
          <w:tcPr>
            <w:tcW w:w="2140" w:type="dxa"/>
            <w:vAlign w:val="bottom"/>
          </w:tcPr>
          <w:p>
            <w:pPr>
              <w:spacing w:after="0"/>
              <w:rPr>
                <w:sz w:val="21"/>
                <w:szCs w:val="21"/>
                <w:color w:val="auto"/>
              </w:rPr>
            </w:pPr>
          </w:p>
        </w:tc>
        <w:tc>
          <w:tcPr>
            <w:tcW w:w="5280" w:type="dxa"/>
            <w:vAlign w:val="bottom"/>
          </w:tcPr>
          <w:p>
            <w:pPr>
              <w:jc w:val="center"/>
              <w:spacing w:after="0"/>
              <w:rPr>
                <w:sz w:val="20"/>
                <w:szCs w:val="20"/>
                <w:color w:val="auto"/>
              </w:rPr>
            </w:pPr>
            <w:r>
              <w:rPr>
                <w:rFonts w:ascii="Arial" w:cs="Arial" w:eastAsia="Arial" w:hAnsi="Arial"/>
                <w:sz w:val="20"/>
                <w:szCs w:val="20"/>
                <w:color w:val="auto"/>
                <w:w w:val="89"/>
              </w:rPr>
              <w:t>(Exact name of registrant as specified in its charter)</w:t>
            </w:r>
          </w:p>
        </w:tc>
        <w:tc>
          <w:tcPr>
            <w:tcW w:w="2000" w:type="dxa"/>
            <w:vAlign w:val="bottom"/>
          </w:tcPr>
          <w:p>
            <w:pPr>
              <w:spacing w:after="0"/>
              <w:rPr>
                <w:sz w:val="21"/>
                <w:szCs w:val="21"/>
                <w:color w:val="auto"/>
              </w:rPr>
            </w:pPr>
          </w:p>
        </w:tc>
      </w:tr>
      <w:tr>
        <w:trPr>
          <w:trHeight w:val="425"/>
        </w:trPr>
        <w:tc>
          <w:tcPr>
            <w:tcW w:w="2140" w:type="dxa"/>
            <w:vAlign w:val="bottom"/>
          </w:tcPr>
          <w:p>
            <w:pPr>
              <w:jc w:val="center"/>
              <w:spacing w:after="0"/>
              <w:rPr>
                <w:sz w:val="20"/>
                <w:szCs w:val="20"/>
                <w:color w:val="auto"/>
              </w:rPr>
            </w:pPr>
            <w:r>
              <w:rPr>
                <w:rFonts w:ascii="Arial" w:cs="Arial" w:eastAsia="Arial" w:hAnsi="Arial"/>
                <w:sz w:val="20"/>
                <w:szCs w:val="20"/>
                <w:b w:val="1"/>
                <w:bCs w:val="1"/>
                <w:color w:val="auto"/>
                <w:w w:val="89"/>
              </w:rPr>
              <w:t>Nevada</w:t>
            </w:r>
          </w:p>
        </w:tc>
        <w:tc>
          <w:tcPr>
            <w:tcW w:w="5280" w:type="dxa"/>
            <w:vAlign w:val="bottom"/>
          </w:tcPr>
          <w:p>
            <w:pPr>
              <w:jc w:val="right"/>
              <w:ind w:right="1921"/>
              <w:spacing w:after="0"/>
              <w:rPr>
                <w:sz w:val="20"/>
                <w:szCs w:val="20"/>
                <w:color w:val="auto"/>
              </w:rPr>
            </w:pPr>
            <w:r>
              <w:rPr>
                <w:rFonts w:ascii="Arial" w:cs="Arial" w:eastAsia="Arial" w:hAnsi="Arial"/>
                <w:sz w:val="20"/>
                <w:szCs w:val="20"/>
                <w:b w:val="1"/>
                <w:bCs w:val="1"/>
                <w:color w:val="auto"/>
              </w:rPr>
              <w:t>333-100768</w:t>
            </w:r>
          </w:p>
        </w:tc>
        <w:tc>
          <w:tcPr>
            <w:tcW w:w="2000" w:type="dxa"/>
            <w:vAlign w:val="bottom"/>
          </w:tcPr>
          <w:p>
            <w:pPr>
              <w:jc w:val="center"/>
              <w:ind w:left="441"/>
              <w:spacing w:after="0"/>
              <w:rPr>
                <w:sz w:val="20"/>
                <w:szCs w:val="20"/>
                <w:color w:val="auto"/>
              </w:rPr>
            </w:pPr>
            <w:r>
              <w:rPr>
                <w:rFonts w:ascii="Arial" w:cs="Arial" w:eastAsia="Arial" w:hAnsi="Arial"/>
                <w:sz w:val="20"/>
                <w:szCs w:val="20"/>
                <w:b w:val="1"/>
                <w:bCs w:val="1"/>
                <w:color w:val="auto"/>
                <w:w w:val="88"/>
              </w:rPr>
              <w:t>333-100768</w:t>
            </w:r>
          </w:p>
        </w:tc>
      </w:tr>
      <w:tr>
        <w:trPr>
          <w:trHeight w:val="230"/>
        </w:trPr>
        <w:tc>
          <w:tcPr>
            <w:tcW w:w="2140" w:type="dxa"/>
            <w:vAlign w:val="bottom"/>
          </w:tcPr>
          <w:p>
            <w:pPr>
              <w:jc w:val="center"/>
              <w:spacing w:after="0"/>
              <w:rPr>
                <w:sz w:val="20"/>
                <w:szCs w:val="20"/>
                <w:color w:val="auto"/>
              </w:rPr>
            </w:pPr>
            <w:r>
              <w:rPr>
                <w:rFonts w:ascii="Arial" w:cs="Arial" w:eastAsia="Arial" w:hAnsi="Arial"/>
                <w:sz w:val="20"/>
                <w:szCs w:val="20"/>
                <w:color w:val="auto"/>
                <w:w w:val="91"/>
              </w:rPr>
              <w:t>(State or other jurisdiction</w:t>
            </w:r>
          </w:p>
        </w:tc>
        <w:tc>
          <w:tcPr>
            <w:tcW w:w="5280" w:type="dxa"/>
            <w:vAlign w:val="bottom"/>
          </w:tcPr>
          <w:p>
            <w:pPr>
              <w:jc w:val="center"/>
              <w:ind w:left="201"/>
              <w:spacing w:after="0"/>
              <w:rPr>
                <w:sz w:val="20"/>
                <w:szCs w:val="20"/>
                <w:color w:val="auto"/>
              </w:rPr>
            </w:pPr>
            <w:r>
              <w:rPr>
                <w:rFonts w:ascii="Arial" w:cs="Arial" w:eastAsia="Arial" w:hAnsi="Arial"/>
                <w:sz w:val="20"/>
                <w:szCs w:val="20"/>
                <w:color w:val="auto"/>
                <w:w w:val="91"/>
              </w:rPr>
              <w:t>(Commission File Number)</w:t>
            </w:r>
          </w:p>
        </w:tc>
        <w:tc>
          <w:tcPr>
            <w:tcW w:w="2000" w:type="dxa"/>
            <w:vAlign w:val="bottom"/>
          </w:tcPr>
          <w:p>
            <w:pPr>
              <w:jc w:val="center"/>
              <w:ind w:left="441"/>
              <w:spacing w:after="0"/>
              <w:rPr>
                <w:sz w:val="20"/>
                <w:szCs w:val="20"/>
                <w:color w:val="auto"/>
              </w:rPr>
            </w:pPr>
            <w:r>
              <w:rPr>
                <w:rFonts w:ascii="Arial" w:cs="Arial" w:eastAsia="Arial" w:hAnsi="Arial"/>
                <w:sz w:val="20"/>
                <w:szCs w:val="20"/>
                <w:color w:val="auto"/>
                <w:w w:val="91"/>
              </w:rPr>
              <w:t>(I.R.S. Employer</w:t>
            </w:r>
          </w:p>
        </w:tc>
      </w:tr>
      <w:tr>
        <w:trPr>
          <w:trHeight w:val="250"/>
        </w:trPr>
        <w:tc>
          <w:tcPr>
            <w:tcW w:w="2140" w:type="dxa"/>
            <w:vAlign w:val="bottom"/>
          </w:tcPr>
          <w:p>
            <w:pPr>
              <w:jc w:val="center"/>
              <w:spacing w:after="0"/>
              <w:rPr>
                <w:sz w:val="20"/>
                <w:szCs w:val="20"/>
                <w:color w:val="auto"/>
              </w:rPr>
            </w:pPr>
            <w:r>
              <w:rPr>
                <w:rFonts w:ascii="Arial" w:cs="Arial" w:eastAsia="Arial" w:hAnsi="Arial"/>
                <w:sz w:val="20"/>
                <w:szCs w:val="20"/>
                <w:color w:val="auto"/>
                <w:w w:val="92"/>
              </w:rPr>
              <w:t>of incorporation)</w:t>
            </w:r>
          </w:p>
        </w:tc>
        <w:tc>
          <w:tcPr>
            <w:tcW w:w="5280" w:type="dxa"/>
            <w:vAlign w:val="bottom"/>
          </w:tcPr>
          <w:p>
            <w:pPr>
              <w:spacing w:after="0"/>
              <w:rPr>
                <w:sz w:val="21"/>
                <w:szCs w:val="21"/>
                <w:color w:val="auto"/>
              </w:rPr>
            </w:pPr>
          </w:p>
        </w:tc>
        <w:tc>
          <w:tcPr>
            <w:tcW w:w="2000" w:type="dxa"/>
            <w:vAlign w:val="bottom"/>
          </w:tcPr>
          <w:p>
            <w:pPr>
              <w:jc w:val="center"/>
              <w:ind w:left="441"/>
              <w:spacing w:after="0"/>
              <w:rPr>
                <w:sz w:val="20"/>
                <w:szCs w:val="20"/>
                <w:color w:val="auto"/>
              </w:rPr>
            </w:pPr>
            <w:r>
              <w:rPr>
                <w:rFonts w:ascii="Arial" w:cs="Arial" w:eastAsia="Arial" w:hAnsi="Arial"/>
                <w:sz w:val="20"/>
                <w:szCs w:val="20"/>
                <w:color w:val="auto"/>
                <w:w w:val="93"/>
              </w:rPr>
              <w:t>Identification No.)</w:t>
            </w:r>
          </w:p>
        </w:tc>
      </w:tr>
      <w:tr>
        <w:trPr>
          <w:trHeight w:val="419"/>
        </w:trPr>
        <w:tc>
          <w:tcPr>
            <w:tcW w:w="7420" w:type="dxa"/>
            <w:vAlign w:val="bottom"/>
            <w:gridSpan w:val="2"/>
          </w:tcPr>
          <w:p>
            <w:pPr>
              <w:jc w:val="center"/>
              <w:ind w:right="1361"/>
              <w:spacing w:after="0"/>
              <w:rPr>
                <w:sz w:val="20"/>
                <w:szCs w:val="20"/>
                <w:color w:val="auto"/>
              </w:rPr>
            </w:pPr>
            <w:r>
              <w:rPr>
                <w:rFonts w:ascii="Arial" w:cs="Arial" w:eastAsia="Arial" w:hAnsi="Arial"/>
                <w:sz w:val="20"/>
                <w:szCs w:val="20"/>
                <w:b w:val="1"/>
                <w:bCs w:val="1"/>
                <w:color w:val="auto"/>
                <w:w w:val="87"/>
              </w:rPr>
              <w:t>3131 Las Vegas Boulevard South</w:t>
            </w:r>
          </w:p>
        </w:tc>
        <w:tc>
          <w:tcPr>
            <w:tcW w:w="2000" w:type="dxa"/>
            <w:vAlign w:val="bottom"/>
          </w:tcPr>
          <w:p>
            <w:pPr>
              <w:spacing w:after="0"/>
              <w:rPr>
                <w:sz w:val="24"/>
                <w:szCs w:val="24"/>
                <w:color w:val="auto"/>
              </w:rPr>
            </w:pPr>
          </w:p>
        </w:tc>
      </w:tr>
      <w:tr>
        <w:trPr>
          <w:trHeight w:val="236"/>
        </w:trPr>
        <w:tc>
          <w:tcPr>
            <w:tcW w:w="2140" w:type="dxa"/>
            <w:vAlign w:val="bottom"/>
          </w:tcPr>
          <w:p>
            <w:pPr>
              <w:spacing w:after="0"/>
              <w:rPr>
                <w:sz w:val="20"/>
                <w:szCs w:val="20"/>
                <w:color w:val="auto"/>
              </w:rPr>
            </w:pPr>
          </w:p>
        </w:tc>
        <w:tc>
          <w:tcPr>
            <w:tcW w:w="5280" w:type="dxa"/>
            <w:vAlign w:val="bottom"/>
          </w:tcPr>
          <w:p>
            <w:pPr>
              <w:jc w:val="center"/>
              <w:ind w:right="3481"/>
              <w:spacing w:after="0"/>
              <w:rPr>
                <w:sz w:val="20"/>
                <w:szCs w:val="20"/>
                <w:color w:val="auto"/>
              </w:rPr>
            </w:pPr>
            <w:r>
              <w:rPr>
                <w:rFonts w:ascii="Arial" w:cs="Arial" w:eastAsia="Arial" w:hAnsi="Arial"/>
                <w:sz w:val="20"/>
                <w:szCs w:val="20"/>
                <w:b w:val="1"/>
                <w:bCs w:val="1"/>
                <w:color w:val="auto"/>
                <w:w w:val="87"/>
              </w:rPr>
              <w:t>Las Vegas, Nevada</w:t>
            </w:r>
          </w:p>
        </w:tc>
        <w:tc>
          <w:tcPr>
            <w:tcW w:w="2000" w:type="dxa"/>
            <w:vAlign w:val="bottom"/>
          </w:tcPr>
          <w:p>
            <w:pPr>
              <w:jc w:val="center"/>
              <w:ind w:left="441"/>
              <w:spacing w:after="0"/>
              <w:rPr>
                <w:sz w:val="20"/>
                <w:szCs w:val="20"/>
                <w:color w:val="auto"/>
              </w:rPr>
            </w:pPr>
            <w:r>
              <w:rPr>
                <w:rFonts w:ascii="Arial" w:cs="Arial" w:eastAsia="Arial" w:hAnsi="Arial"/>
                <w:sz w:val="20"/>
                <w:szCs w:val="20"/>
                <w:b w:val="1"/>
                <w:bCs w:val="1"/>
                <w:color w:val="auto"/>
                <w:w w:val="89"/>
              </w:rPr>
              <w:t>89109</w:t>
            </w:r>
          </w:p>
        </w:tc>
      </w:tr>
      <w:tr>
        <w:trPr>
          <w:trHeight w:val="250"/>
        </w:trPr>
        <w:tc>
          <w:tcPr>
            <w:tcW w:w="7420" w:type="dxa"/>
            <w:vAlign w:val="bottom"/>
            <w:gridSpan w:val="2"/>
          </w:tcPr>
          <w:p>
            <w:pPr>
              <w:jc w:val="center"/>
              <w:ind w:right="1361"/>
              <w:spacing w:after="0"/>
              <w:rPr>
                <w:sz w:val="20"/>
                <w:szCs w:val="20"/>
                <w:color w:val="auto"/>
              </w:rPr>
            </w:pPr>
            <w:r>
              <w:rPr>
                <w:rFonts w:ascii="Arial" w:cs="Arial" w:eastAsia="Arial" w:hAnsi="Arial"/>
                <w:sz w:val="20"/>
                <w:szCs w:val="20"/>
                <w:color w:val="auto"/>
                <w:w w:val="90"/>
              </w:rPr>
              <w:t>(Address of principal executive offices of each registrant)</w:t>
            </w:r>
          </w:p>
        </w:tc>
        <w:tc>
          <w:tcPr>
            <w:tcW w:w="2000" w:type="dxa"/>
            <w:vAlign w:val="bottom"/>
          </w:tcPr>
          <w:p>
            <w:pPr>
              <w:jc w:val="center"/>
              <w:ind w:left="441"/>
              <w:spacing w:after="0"/>
              <w:rPr>
                <w:sz w:val="20"/>
                <w:szCs w:val="20"/>
                <w:color w:val="auto"/>
              </w:rPr>
            </w:pPr>
            <w:r>
              <w:rPr>
                <w:rFonts w:ascii="Arial" w:cs="Arial" w:eastAsia="Arial" w:hAnsi="Arial"/>
                <w:sz w:val="20"/>
                <w:szCs w:val="20"/>
                <w:color w:val="auto"/>
                <w:w w:val="90"/>
              </w:rPr>
              <w:t>(Zip Code)</w:t>
            </w:r>
          </w:p>
        </w:tc>
      </w:tr>
      <w:tr>
        <w:trPr>
          <w:trHeight w:val="452"/>
        </w:trPr>
        <w:tc>
          <w:tcPr>
            <w:tcW w:w="2140" w:type="dxa"/>
            <w:vAlign w:val="bottom"/>
          </w:tcPr>
          <w:p>
            <w:pPr>
              <w:spacing w:after="0"/>
              <w:rPr>
                <w:sz w:val="24"/>
                <w:szCs w:val="24"/>
                <w:color w:val="auto"/>
              </w:rPr>
            </w:pPr>
          </w:p>
        </w:tc>
        <w:tc>
          <w:tcPr>
            <w:tcW w:w="5280" w:type="dxa"/>
            <w:vAlign w:val="bottom"/>
          </w:tcPr>
          <w:p>
            <w:pPr>
              <w:jc w:val="right"/>
              <w:ind w:right="1901"/>
              <w:spacing w:after="0"/>
              <w:rPr>
                <w:sz w:val="20"/>
                <w:szCs w:val="20"/>
                <w:color w:val="auto"/>
              </w:rPr>
            </w:pPr>
            <w:r>
              <w:rPr>
                <w:rFonts w:ascii="Arial" w:cs="Arial" w:eastAsia="Arial" w:hAnsi="Arial"/>
                <w:sz w:val="20"/>
                <w:szCs w:val="20"/>
                <w:b w:val="1"/>
                <w:bCs w:val="1"/>
                <w:color w:val="auto"/>
              </w:rPr>
              <w:t>(702) 770-7555</w:t>
            </w:r>
          </w:p>
        </w:tc>
        <w:tc>
          <w:tcPr>
            <w:tcW w:w="2000" w:type="dxa"/>
            <w:vAlign w:val="bottom"/>
          </w:tcPr>
          <w:p>
            <w:pPr>
              <w:spacing w:after="0"/>
              <w:rPr>
                <w:sz w:val="24"/>
                <w:szCs w:val="24"/>
                <w:color w:val="auto"/>
              </w:rPr>
            </w:pPr>
          </w:p>
        </w:tc>
      </w:tr>
      <w:tr>
        <w:trPr>
          <w:trHeight w:val="250"/>
        </w:trPr>
        <w:tc>
          <w:tcPr>
            <w:tcW w:w="2140" w:type="dxa"/>
            <w:vAlign w:val="bottom"/>
          </w:tcPr>
          <w:p>
            <w:pPr>
              <w:spacing w:after="0"/>
              <w:rPr>
                <w:sz w:val="21"/>
                <w:szCs w:val="21"/>
                <w:color w:val="auto"/>
              </w:rPr>
            </w:pPr>
          </w:p>
        </w:tc>
        <w:tc>
          <w:tcPr>
            <w:tcW w:w="5280" w:type="dxa"/>
            <w:vAlign w:val="bottom"/>
          </w:tcPr>
          <w:p>
            <w:pPr>
              <w:jc w:val="center"/>
              <w:spacing w:after="0"/>
              <w:rPr>
                <w:sz w:val="20"/>
                <w:szCs w:val="20"/>
                <w:color w:val="auto"/>
              </w:rPr>
            </w:pPr>
            <w:r>
              <w:rPr>
                <w:rFonts w:ascii="Arial" w:cs="Arial" w:eastAsia="Arial" w:hAnsi="Arial"/>
                <w:sz w:val="20"/>
                <w:szCs w:val="20"/>
                <w:color w:val="auto"/>
                <w:w w:val="88"/>
              </w:rPr>
              <w:t>(Registrant’s telephone number, including area code)</w:t>
            </w:r>
          </w:p>
        </w:tc>
        <w:tc>
          <w:tcPr>
            <w:tcW w:w="2000" w:type="dxa"/>
            <w:vAlign w:val="bottom"/>
          </w:tcPr>
          <w:p>
            <w:pPr>
              <w:spacing w:after="0"/>
              <w:rPr>
                <w:sz w:val="21"/>
                <w:szCs w:val="21"/>
                <w:color w:val="auto"/>
              </w:rPr>
            </w:pPr>
          </w:p>
        </w:tc>
      </w:tr>
    </w:tbl>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260" w:hanging="252"/>
        <w:spacing w:after="0"/>
        <w:tabs>
          <w:tab w:leader="none" w:pos="26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42" w:lineRule="exact"/>
        <w:rPr>
          <w:rFonts w:ascii="Arial" w:cs="Arial" w:eastAsia="Arial" w:hAnsi="Arial"/>
          <w:sz w:val="20"/>
          <w:szCs w:val="20"/>
          <w:color w:val="auto"/>
        </w:rPr>
      </w:pPr>
    </w:p>
    <w:p>
      <w:pPr>
        <w:ind w:left="260" w:hanging="252"/>
        <w:spacing w:after="0"/>
        <w:tabs>
          <w:tab w:leader="none" w:pos="26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38" w:lineRule="exact"/>
        <w:rPr>
          <w:rFonts w:ascii="Arial" w:cs="Arial" w:eastAsia="Arial" w:hAnsi="Arial"/>
          <w:sz w:val="20"/>
          <w:szCs w:val="20"/>
          <w:color w:val="auto"/>
        </w:rPr>
      </w:pPr>
    </w:p>
    <w:p>
      <w:pPr>
        <w:ind w:left="280" w:hanging="272"/>
        <w:spacing w:after="0"/>
        <w:tabs>
          <w:tab w:leader="none" w:pos="2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33" w:lineRule="exact"/>
        <w:rPr>
          <w:rFonts w:ascii="Arial" w:cs="Arial" w:eastAsia="Arial" w:hAnsi="Arial"/>
          <w:sz w:val="22"/>
          <w:szCs w:val="22"/>
          <w:color w:val="auto"/>
        </w:rPr>
      </w:pPr>
    </w:p>
    <w:p>
      <w:pPr>
        <w:ind w:left="280" w:hanging="272"/>
        <w:spacing w:after="0"/>
        <w:tabs>
          <w:tab w:leader="none" w:pos="2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20"/>
          <w:szCs w:val="20"/>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On February 12, 2008, Wynn Resorts, Limited issued a press release announcing its results of operations for the fourth quarter and year ended December 31, 2007. The press release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259" w:lineRule="exact"/>
        <w:rPr>
          <w:sz w:val="20"/>
          <w:szCs w:val="20"/>
          <w:color w:val="auto"/>
        </w:rPr>
      </w:pPr>
    </w:p>
    <w:p>
      <w:pPr>
        <w:spacing w:after="0"/>
        <w:tabs>
          <w:tab w:leader="none" w:pos="134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information set forth under Item 2.02 of this report is incorporated herein by reference.</w:t>
      </w:r>
    </w:p>
    <w:p>
      <w:pPr>
        <w:spacing w:after="0" w:line="200" w:lineRule="exact"/>
        <w:rPr>
          <w:sz w:val="20"/>
          <w:szCs w:val="20"/>
          <w:color w:val="auto"/>
        </w:rPr>
      </w:pPr>
    </w:p>
    <w:p>
      <w:pPr>
        <w:spacing w:after="0" w:line="280" w:lineRule="exact"/>
        <w:rPr>
          <w:sz w:val="20"/>
          <w:szCs w:val="20"/>
          <w:color w:val="auto"/>
        </w:rPr>
      </w:pPr>
    </w:p>
    <w:p>
      <w:pPr>
        <w:spacing w:after="0"/>
        <w:tabs>
          <w:tab w:leader="none" w:pos="134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 xml:space="preserve">Financial Statements and Exhibits. </w:t>
      </w:r>
      <w:r>
        <w:rPr>
          <w:rFonts w:ascii="Arial" w:cs="Arial" w:eastAsia="Arial" w:hAnsi="Arial"/>
          <w:sz w:val="16"/>
          <w:szCs w:val="16"/>
          <w:color w:val="auto"/>
        </w:rPr>
        <w:t>:</w:t>
      </w:r>
    </w:p>
    <w:p>
      <w:pPr>
        <w:spacing w:after="0" w:line="200" w:lineRule="exact"/>
        <w:rPr>
          <w:sz w:val="20"/>
          <w:szCs w:val="20"/>
          <w:color w:val="auto"/>
        </w:rPr>
      </w:pPr>
    </w:p>
    <w:p>
      <w:pPr>
        <w:spacing w:after="0" w:line="292" w:lineRule="exact"/>
        <w:rPr>
          <w:sz w:val="20"/>
          <w:szCs w:val="20"/>
          <w:color w:val="auto"/>
        </w:rPr>
      </w:pPr>
    </w:p>
    <w:p>
      <w:pPr>
        <w:ind w:left="1760" w:hanging="984"/>
        <w:spacing w:after="0"/>
        <w:tabs>
          <w:tab w:leader="none" w:pos="1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Exhibits</w:t>
      </w:r>
    </w:p>
    <w:p>
      <w:pPr>
        <w:spacing w:after="0" w:line="215" w:lineRule="exact"/>
        <w:rPr>
          <w:rFonts w:ascii="Arial" w:cs="Arial" w:eastAsia="Arial" w:hAnsi="Arial"/>
          <w:sz w:val="20"/>
          <w:szCs w:val="20"/>
          <w:color w:val="auto"/>
        </w:rPr>
      </w:pPr>
    </w:p>
    <w:p>
      <w:pPr>
        <w:ind w:left="1760"/>
        <w:spacing w:after="0"/>
        <w:rPr>
          <w:rFonts w:ascii="Arial" w:cs="Arial" w:eastAsia="Arial" w:hAnsi="Arial"/>
          <w:sz w:val="20"/>
          <w:szCs w:val="20"/>
          <w:color w:val="auto"/>
        </w:rPr>
      </w:pPr>
      <w:r>
        <w:rPr>
          <w:rFonts w:ascii="Arial" w:cs="Arial" w:eastAsia="Arial" w:hAnsi="Arial"/>
          <w:sz w:val="20"/>
          <w:szCs w:val="20"/>
          <w:color w:val="auto"/>
        </w:rPr>
        <w:t>Exhibit</w:t>
      </w:r>
    </w:p>
    <w:p>
      <w:pPr>
        <w:spacing w:after="0" w:line="15" w:lineRule="exact"/>
        <w:rPr>
          <w:rFonts w:ascii="Arial" w:cs="Arial" w:eastAsia="Arial" w:hAnsi="Arial"/>
          <w:sz w:val="20"/>
          <w:szCs w:val="20"/>
          <w:color w:val="auto"/>
        </w:rPr>
      </w:pPr>
    </w:p>
    <w:p>
      <w:pPr>
        <w:ind w:left="1760"/>
        <w:spacing w:after="0"/>
        <w:rPr>
          <w:rFonts w:ascii="Arial" w:cs="Arial" w:eastAsia="Arial" w:hAnsi="Arial"/>
          <w:sz w:val="20"/>
          <w:szCs w:val="20"/>
          <w:color w:val="auto"/>
        </w:rPr>
      </w:pPr>
      <w:r>
        <w:rPr>
          <w:rFonts w:ascii="Arial" w:cs="Arial" w:eastAsia="Arial" w:hAnsi="Arial"/>
          <w:sz w:val="20"/>
          <w:szCs w:val="20"/>
          <w:u w:val="single" w:color="auto"/>
          <w:color w:val="auto"/>
        </w:rPr>
        <w:t>Number</w:t>
      </w:r>
      <w:r>
        <w:rPr>
          <w:rFonts w:ascii="Arial" w:cs="Arial" w:eastAsia="Arial" w:hAnsi="Arial"/>
          <w:sz w:val="18"/>
          <w:szCs w:val="18"/>
          <w:u w:val="single" w:color="auto"/>
          <w:color w:val="auto"/>
        </w:rPr>
        <w:t>Description</w:t>
      </w:r>
    </w:p>
    <w:p>
      <w:pPr>
        <w:spacing w:after="0" w:line="213" w:lineRule="exact"/>
        <w:rPr>
          <w:sz w:val="20"/>
          <w:szCs w:val="20"/>
          <w:color w:val="auto"/>
        </w:rPr>
      </w:pPr>
    </w:p>
    <w:p>
      <w:pPr>
        <w:ind w:left="1760"/>
        <w:spacing w:after="0"/>
        <w:tabs>
          <w:tab w:leader="none" w:pos="310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6"/>
          <w:szCs w:val="16"/>
          <w:color w:val="auto"/>
        </w:rPr>
        <w:t>Press release, dated February 12, 2008,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694690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9"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49" w:lineRule="exact"/>
        <w:rPr>
          <w:sz w:val="20"/>
          <w:szCs w:val="20"/>
          <w:color w:val="auto"/>
        </w:rPr>
      </w:pPr>
    </w:p>
    <w:p>
      <w:pPr>
        <w:ind w:firstLine="7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Date:February 12, 2008</w:t>
      </w:r>
    </w:p>
    <w:p>
      <w:pPr>
        <w:spacing w:after="0" w:line="243"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100" w:type="dxa"/>
            <w:vAlign w:val="bottom"/>
          </w:tcPr>
          <w:p>
            <w:pPr>
              <w:ind w:left="6320"/>
              <w:spacing w:after="0"/>
              <w:rPr>
                <w:sz w:val="20"/>
                <w:szCs w:val="20"/>
                <w:color w:val="auto"/>
              </w:rPr>
            </w:pPr>
            <w:r>
              <w:rPr>
                <w:rFonts w:ascii="Arial" w:cs="Arial" w:eastAsia="Arial" w:hAnsi="Arial"/>
                <w:sz w:val="20"/>
                <w:szCs w:val="20"/>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John Strzemp</w:t>
            </w:r>
          </w:p>
        </w:tc>
      </w:tr>
      <w:tr>
        <w:trPr>
          <w:trHeight w:val="206"/>
        </w:trPr>
        <w:tc>
          <w:tcPr>
            <w:tcW w:w="7100" w:type="dxa"/>
            <w:vAlign w:val="bottom"/>
          </w:tcPr>
          <w:p>
            <w:pPr>
              <w:spacing w:after="0"/>
              <w:rPr>
                <w:sz w:val="17"/>
                <w:szCs w:val="17"/>
                <w:color w:val="auto"/>
              </w:rPr>
            </w:pPr>
          </w:p>
        </w:tc>
        <w:tc>
          <w:tcPr>
            <w:tcW w:w="4320" w:type="dxa"/>
            <w:vAlign w:val="bottom"/>
          </w:tcPr>
          <w:p>
            <w:pPr>
              <w:spacing w:after="0" w:line="207" w:lineRule="exact"/>
              <w:rPr>
                <w:sz w:val="20"/>
                <w:szCs w:val="20"/>
                <w:color w:val="auto"/>
              </w:rPr>
            </w:pPr>
            <w:r>
              <w:rPr>
                <w:rFonts w:ascii="Arial" w:cs="Arial" w:eastAsia="Arial" w:hAnsi="Arial"/>
                <w:sz w:val="20"/>
                <w:szCs w:val="20"/>
                <w:color w:val="auto"/>
              </w:rPr>
              <w:t>John Strzemp</w:t>
            </w:r>
          </w:p>
        </w:tc>
      </w:tr>
      <w:tr>
        <w:trPr>
          <w:trHeight w:val="250"/>
        </w:trPr>
        <w:tc>
          <w:tcPr>
            <w:tcW w:w="7100" w:type="dxa"/>
            <w:vAlign w:val="bottom"/>
          </w:tcPr>
          <w:p>
            <w:pPr>
              <w:spacing w:after="0"/>
              <w:rPr>
                <w:sz w:val="21"/>
                <w:szCs w:val="21"/>
                <w:color w:val="auto"/>
              </w:rPr>
            </w:pPr>
          </w:p>
        </w:tc>
        <w:tc>
          <w:tcPr>
            <w:tcW w:w="4320" w:type="dxa"/>
            <w:vAlign w:val="bottom"/>
          </w:tcPr>
          <w:p>
            <w:pPr>
              <w:spacing w:after="0"/>
              <w:rPr>
                <w:sz w:val="20"/>
                <w:szCs w:val="20"/>
                <w:color w:val="auto"/>
              </w:rPr>
            </w:pPr>
            <w:r>
              <w:rPr>
                <w:rFonts w:ascii="Arial" w:cs="Arial" w:eastAsia="Arial" w:hAnsi="Arial"/>
                <w:sz w:val="20"/>
                <w:szCs w:val="20"/>
                <w:color w:val="auto"/>
              </w:rPr>
              <w:t>Chief Financial Officer</w:t>
            </w:r>
          </w:p>
        </w:tc>
      </w:tr>
      <w:tr>
        <w:trPr>
          <w:trHeight w:val="1087"/>
        </w:trPr>
        <w:tc>
          <w:tcPr>
            <w:tcW w:w="710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SIGNATURES</w:t>
      </w:r>
    </w:p>
    <w:p>
      <w:pPr>
        <w:spacing w:after="0" w:line="249" w:lineRule="exact"/>
        <w:rPr>
          <w:sz w:val="20"/>
          <w:szCs w:val="20"/>
          <w:color w:val="auto"/>
        </w:rPr>
      </w:pPr>
    </w:p>
    <w:p>
      <w:pPr>
        <w:ind w:firstLine="7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Date:February 12, 2008</w:t>
      </w:r>
    </w:p>
    <w:p>
      <w:pPr>
        <w:spacing w:after="0" w:line="200" w:lineRule="exact"/>
        <w:rPr>
          <w:sz w:val="20"/>
          <w:szCs w:val="20"/>
          <w:color w:val="auto"/>
        </w:rPr>
      </w:pPr>
    </w:p>
    <w:p>
      <w:pPr>
        <w:spacing w:after="0" w:line="286"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WYNN LAS VEGAS, LLC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60" w:type="dxa"/>
            <w:vAlign w:val="bottom"/>
          </w:tcPr>
          <w:p>
            <w:pPr>
              <w:ind w:left="5340"/>
              <w:spacing w:after="0"/>
              <w:rPr>
                <w:sz w:val="20"/>
                <w:szCs w:val="20"/>
                <w:color w:val="auto"/>
              </w:rPr>
            </w:pPr>
            <w:r>
              <w:rPr>
                <w:rFonts w:ascii="Arial" w:cs="Arial" w:eastAsia="Arial" w:hAnsi="Arial"/>
                <w:sz w:val="20"/>
                <w:szCs w:val="20"/>
                <w:color w:val="auto"/>
              </w:rPr>
              <w:t>By:</w:t>
            </w:r>
          </w:p>
        </w:tc>
        <w:tc>
          <w:tcPr>
            <w:tcW w:w="5360" w:type="dxa"/>
            <w:vAlign w:val="bottom"/>
          </w:tcPr>
          <w:p>
            <w:pPr>
              <w:spacing w:after="0"/>
              <w:rPr>
                <w:sz w:val="20"/>
                <w:szCs w:val="20"/>
                <w:color w:val="auto"/>
              </w:rPr>
            </w:pPr>
            <w:r>
              <w:rPr>
                <w:rFonts w:ascii="Arial" w:cs="Arial" w:eastAsia="Arial" w:hAnsi="Arial"/>
                <w:sz w:val="20"/>
                <w:szCs w:val="20"/>
                <w:color w:val="auto"/>
              </w:rPr>
              <w:t>Wynn Resorts Holdings, LLC, its sole member</w:t>
            </w:r>
          </w:p>
        </w:tc>
      </w:tr>
      <w:tr>
        <w:trPr>
          <w:trHeight w:val="446"/>
        </w:trPr>
        <w:tc>
          <w:tcPr>
            <w:tcW w:w="6060" w:type="dxa"/>
            <w:vAlign w:val="bottom"/>
          </w:tcPr>
          <w:p>
            <w:pPr>
              <w:ind w:left="5340"/>
              <w:spacing w:after="0"/>
              <w:rPr>
                <w:sz w:val="20"/>
                <w:szCs w:val="20"/>
                <w:color w:val="auto"/>
              </w:rPr>
            </w:pPr>
            <w:r>
              <w:rPr>
                <w:rFonts w:ascii="Arial" w:cs="Arial" w:eastAsia="Arial" w:hAnsi="Arial"/>
                <w:sz w:val="20"/>
                <w:szCs w:val="20"/>
                <w:color w:val="auto"/>
              </w:rPr>
              <w:t>By:</w:t>
            </w:r>
          </w:p>
        </w:tc>
        <w:tc>
          <w:tcPr>
            <w:tcW w:w="5360" w:type="dxa"/>
            <w:vAlign w:val="bottom"/>
          </w:tcPr>
          <w:p>
            <w:pPr>
              <w:spacing w:after="0"/>
              <w:rPr>
                <w:sz w:val="20"/>
                <w:szCs w:val="20"/>
                <w:color w:val="auto"/>
              </w:rPr>
            </w:pPr>
            <w:r>
              <w:rPr>
                <w:rFonts w:ascii="Arial" w:cs="Arial" w:eastAsia="Arial" w:hAnsi="Arial"/>
                <w:sz w:val="20"/>
                <w:szCs w:val="20"/>
                <w:color w:val="auto"/>
              </w:rPr>
              <w:t>Wynn Resorts, Limited, its sole member</w:t>
            </w:r>
          </w:p>
        </w:tc>
      </w:tr>
      <w:tr>
        <w:trPr>
          <w:trHeight w:val="442"/>
        </w:trPr>
        <w:tc>
          <w:tcPr>
            <w:tcW w:w="6060" w:type="dxa"/>
            <w:vAlign w:val="bottom"/>
          </w:tcPr>
          <w:p>
            <w:pPr>
              <w:ind w:left="5340"/>
              <w:spacing w:after="0"/>
              <w:rPr>
                <w:sz w:val="20"/>
                <w:szCs w:val="20"/>
                <w:color w:val="auto"/>
              </w:rPr>
            </w:pPr>
            <w:r>
              <w:rPr>
                <w:rFonts w:ascii="Arial" w:cs="Arial" w:eastAsia="Arial" w:hAnsi="Arial"/>
                <w:sz w:val="20"/>
                <w:szCs w:val="20"/>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John Strzemp</w:t>
            </w:r>
          </w:p>
        </w:tc>
      </w:tr>
      <w:tr>
        <w:trPr>
          <w:trHeight w:val="206"/>
        </w:trPr>
        <w:tc>
          <w:tcPr>
            <w:tcW w:w="6060" w:type="dxa"/>
            <w:vAlign w:val="bottom"/>
          </w:tcPr>
          <w:p>
            <w:pPr>
              <w:spacing w:after="0"/>
              <w:rPr>
                <w:sz w:val="17"/>
                <w:szCs w:val="17"/>
                <w:color w:val="auto"/>
              </w:rPr>
            </w:pPr>
          </w:p>
        </w:tc>
        <w:tc>
          <w:tcPr>
            <w:tcW w:w="5360" w:type="dxa"/>
            <w:vAlign w:val="bottom"/>
          </w:tcPr>
          <w:p>
            <w:pPr>
              <w:spacing w:after="0" w:line="207" w:lineRule="exact"/>
              <w:rPr>
                <w:sz w:val="20"/>
                <w:szCs w:val="20"/>
                <w:color w:val="auto"/>
              </w:rPr>
            </w:pPr>
            <w:r>
              <w:rPr>
                <w:rFonts w:ascii="Arial" w:cs="Arial" w:eastAsia="Arial" w:hAnsi="Arial"/>
                <w:sz w:val="20"/>
                <w:szCs w:val="20"/>
                <w:color w:val="auto"/>
              </w:rPr>
              <w:t>John Strzemp</w:t>
            </w:r>
          </w:p>
        </w:tc>
      </w:tr>
      <w:tr>
        <w:trPr>
          <w:trHeight w:val="250"/>
        </w:trPr>
        <w:tc>
          <w:tcPr>
            <w:tcW w:w="6060" w:type="dxa"/>
            <w:vAlign w:val="bottom"/>
          </w:tcPr>
          <w:p>
            <w:pPr>
              <w:spacing w:after="0"/>
              <w:rPr>
                <w:sz w:val="21"/>
                <w:szCs w:val="21"/>
                <w:color w:val="auto"/>
              </w:rPr>
            </w:pPr>
          </w:p>
        </w:tc>
        <w:tc>
          <w:tcPr>
            <w:tcW w:w="5360" w:type="dxa"/>
            <w:vAlign w:val="bottom"/>
          </w:tcPr>
          <w:p>
            <w:pPr>
              <w:spacing w:after="0"/>
              <w:rPr>
                <w:sz w:val="20"/>
                <w:szCs w:val="20"/>
                <w:color w:val="auto"/>
              </w:rPr>
            </w:pPr>
            <w:r>
              <w:rPr>
                <w:rFonts w:ascii="Arial" w:cs="Arial" w:eastAsia="Arial" w:hAnsi="Arial"/>
                <w:sz w:val="20"/>
                <w:szCs w:val="20"/>
                <w:color w:val="auto"/>
              </w:rPr>
              <w:t>Chief Financial Officer</w:t>
            </w:r>
          </w:p>
        </w:tc>
      </w:tr>
      <w:tr>
        <w:trPr>
          <w:trHeight w:val="1330"/>
        </w:trPr>
        <w:tc>
          <w:tcPr>
            <w:tcW w:w="6060" w:type="dxa"/>
            <w:vAlign w:val="bottom"/>
            <w:tcBorders>
              <w:bottom w:val="single" w:sz="8" w:color="808080"/>
            </w:tcBorders>
          </w:tcPr>
          <w:p>
            <w:pPr>
              <w:spacing w:after="0"/>
              <w:rPr>
                <w:sz w:val="24"/>
                <w:szCs w:val="24"/>
                <w:color w:val="auto"/>
              </w:rPr>
            </w:pPr>
          </w:p>
        </w:tc>
        <w:tc>
          <w:tcPr>
            <w:tcW w:w="5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3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1"/>
        </w:trPr>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00" w:type="dxa"/>
            <w:vAlign w:val="bottom"/>
          </w:tcPr>
          <w:p>
            <w:pPr>
              <w:ind w:left="2760"/>
              <w:spacing w:after="0"/>
              <w:rPr>
                <w:sz w:val="20"/>
                <w:szCs w:val="20"/>
                <w:color w:val="auto"/>
              </w:rPr>
            </w:pPr>
            <w:r>
              <w:rPr>
                <w:rFonts w:ascii="Arial" w:cs="Arial" w:eastAsia="Arial" w:hAnsi="Arial"/>
                <w:sz w:val="22"/>
                <w:szCs w:val="22"/>
                <w:b w:val="1"/>
                <w:bCs w:val="1"/>
                <w:color w:val="auto"/>
              </w:rPr>
              <w:t>EXHIBIT INDEX</w:t>
            </w:r>
          </w:p>
        </w:tc>
      </w:tr>
      <w:tr>
        <w:trPr>
          <w:trHeight w:val="397"/>
        </w:trPr>
        <w:tc>
          <w:tcPr>
            <w:tcW w:w="190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24"/>
                <w:szCs w:val="24"/>
                <w:color w:val="auto"/>
              </w:rPr>
            </w:pPr>
          </w:p>
        </w:tc>
        <w:tc>
          <w:tcPr>
            <w:tcW w:w="9300" w:type="dxa"/>
            <w:vAlign w:val="bottom"/>
          </w:tcPr>
          <w:p>
            <w:pPr>
              <w:ind w:left="4300"/>
              <w:spacing w:after="0"/>
              <w:rPr>
                <w:sz w:val="20"/>
                <w:szCs w:val="20"/>
                <w:color w:val="auto"/>
              </w:rPr>
            </w:pPr>
            <w:r>
              <w:rPr>
                <w:rFonts w:ascii="Arial" w:cs="Arial" w:eastAsia="Arial" w:hAnsi="Arial"/>
                <w:sz w:val="14"/>
                <w:szCs w:val="14"/>
                <w:b w:val="1"/>
                <w:bCs w:val="1"/>
                <w:color w:val="auto"/>
              </w:rPr>
              <w:t>Description</w:t>
            </w:r>
          </w:p>
        </w:tc>
      </w:tr>
      <w:tr>
        <w:trPr>
          <w:trHeight w:val="39"/>
        </w:trPr>
        <w:tc>
          <w:tcPr>
            <w:tcW w:w="1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9300" w:type="dxa"/>
            <w:vAlign w:val="bottom"/>
            <w:tcBorders>
              <w:bottom w:val="single" w:sz="8" w:color="auto"/>
            </w:tcBorders>
          </w:tcPr>
          <w:p>
            <w:pPr>
              <w:spacing w:after="0"/>
              <w:rPr>
                <w:sz w:val="3"/>
                <w:szCs w:val="3"/>
                <w:color w:val="auto"/>
              </w:rPr>
            </w:pPr>
          </w:p>
        </w:tc>
      </w:tr>
      <w:tr>
        <w:trPr>
          <w:trHeight w:val="443"/>
        </w:trPr>
        <w:tc>
          <w:tcPr>
            <w:tcW w:w="1900" w:type="dxa"/>
            <w:vAlign w:val="bottom"/>
          </w:tcPr>
          <w:p>
            <w:pPr>
              <w:spacing w:after="0"/>
              <w:rPr>
                <w:sz w:val="20"/>
                <w:szCs w:val="20"/>
                <w:color w:val="auto"/>
              </w:rPr>
            </w:pPr>
            <w:r>
              <w:rPr>
                <w:rFonts w:ascii="Arial" w:cs="Arial" w:eastAsia="Arial" w:hAnsi="Arial"/>
                <w:sz w:val="20"/>
                <w:szCs w:val="20"/>
                <w:color w:val="auto"/>
              </w:rPr>
              <w:t>99.1</w:t>
            </w:r>
          </w:p>
        </w:tc>
        <w:tc>
          <w:tcPr>
            <w:tcW w:w="22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Arial" w:cs="Arial" w:eastAsia="Arial" w:hAnsi="Arial"/>
                <w:sz w:val="20"/>
                <w:szCs w:val="20"/>
                <w:color w:val="auto"/>
              </w:rPr>
              <w:t>Press release, dated February 12, 2008, of Wynn Resorts, Limited.</w:t>
            </w:r>
          </w:p>
        </w:tc>
      </w:tr>
    </w:tbl>
    <w:p>
      <w:pPr>
        <w:sectPr>
          <w:pgSz w:w="11900" w:h="16838" w:orient="portrait"/>
          <w:cols w:equalWidth="0" w:num="1">
            <w:col w:w="11420"/>
          </w:cols>
          <w:pgMar w:left="240" w:top="35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Resorts, Limited Reports Fourth Quarter Results</w:t>
      </w:r>
    </w:p>
    <w:p>
      <w:pPr>
        <w:spacing w:after="0" w:line="243" w:lineRule="exact"/>
        <w:rPr>
          <w:sz w:val="20"/>
          <w:szCs w:val="20"/>
          <w:color w:val="auto"/>
        </w:rPr>
      </w:pPr>
    </w:p>
    <w:p>
      <w:pPr>
        <w:jc w:val="right"/>
        <w:ind w:left="2720" w:right="2760"/>
        <w:spacing w:after="0" w:line="302" w:lineRule="auto"/>
        <w:rPr>
          <w:sz w:val="20"/>
          <w:szCs w:val="20"/>
          <w:color w:val="auto"/>
        </w:rPr>
      </w:pPr>
      <w:r>
        <w:rPr>
          <w:rFonts w:ascii="Arial" w:cs="Arial" w:eastAsia="Arial" w:hAnsi="Arial"/>
          <w:sz w:val="17"/>
          <w:szCs w:val="17"/>
          <w:b w:val="1"/>
          <w:bCs w:val="1"/>
          <w:color w:val="auto"/>
        </w:rPr>
        <w:t>Wynn Las Vegas generates adjusted property EBITDA of $97.3 million in the fourth quarter and $417.0 million in the fiscal year ended 2007</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Macau generates adjusted property EBITDA of $99.6 million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fourth quarter and $364.1 million in the fiscal year ended 2007</w:t>
      </w:r>
    </w:p>
    <w:p>
      <w:pPr>
        <w:spacing w:after="0" w:line="23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LAS VEGAS, February 12, 2008 (BUSINESS WIRE) -- Wynn Resorts, Limited (Nasdaq: WYNN) today reported financial results for the fourth quarter and year ended December 31, 2007.</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from 2007</w:t>
      </w:r>
    </w:p>
    <w:p>
      <w:pPr>
        <w:spacing w:after="0" w:line="18" w:lineRule="exact"/>
        <w:rPr>
          <w:sz w:val="20"/>
          <w:szCs w:val="20"/>
          <w:color w:val="auto"/>
        </w:rPr>
      </w:pPr>
    </w:p>
    <w:p>
      <w:pPr>
        <w:ind w:left="720" w:hanging="146"/>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Tower Suites at Wynn Las Vegas is the only casino resort in the world to receive both the Mobil Five Star and the AAA Five Diamond award for two consecutive years</w:t>
      </w:r>
    </w:p>
    <w:p>
      <w:pPr>
        <w:spacing w:after="0" w:line="1" w:lineRule="exact"/>
        <w:rPr>
          <w:rFonts w:ascii="Arial" w:cs="Arial" w:eastAsia="Arial" w:hAnsi="Arial"/>
          <w:sz w:val="18"/>
          <w:szCs w:val="18"/>
          <w:color w:val="auto"/>
        </w:rPr>
      </w:pPr>
    </w:p>
    <w:p>
      <w:pPr>
        <w:ind w:left="720" w:hanging="146"/>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Wynn Las Vegas was also honored with the prestigious Michelin Guide’s Five Red Pavilion award. Wynn Las Vegas is the only resort in Las Vegas to achieve this distinction and one of only nine resorts in North America</w:t>
      </w:r>
    </w:p>
    <w:p>
      <w:pPr>
        <w:spacing w:after="0" w:line="1" w:lineRule="exact"/>
        <w:rPr>
          <w:rFonts w:ascii="Arial" w:cs="Arial" w:eastAsia="Arial" w:hAnsi="Arial"/>
          <w:sz w:val="18"/>
          <w:szCs w:val="18"/>
          <w:color w:val="auto"/>
        </w:rPr>
      </w:pPr>
    </w:p>
    <w:p>
      <w:pPr>
        <w:ind w:left="720" w:hanging="14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Successfully opened the Wynn Macau expansion on December 24, 2007</w:t>
      </w:r>
    </w:p>
    <w:p>
      <w:pPr>
        <w:spacing w:after="0" w:line="9" w:lineRule="exact"/>
        <w:rPr>
          <w:rFonts w:ascii="Arial" w:cs="Arial" w:eastAsia="Arial" w:hAnsi="Arial"/>
          <w:sz w:val="18"/>
          <w:szCs w:val="18"/>
          <w:color w:val="auto"/>
        </w:rPr>
      </w:pPr>
    </w:p>
    <w:p>
      <w:pPr>
        <w:ind w:left="720" w:hanging="14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Broke ground on Wynn Diamond Suites in Macau</w:t>
      </w:r>
    </w:p>
    <w:p>
      <w:pPr>
        <w:spacing w:after="0" w:line="9" w:lineRule="exact"/>
        <w:rPr>
          <w:rFonts w:ascii="Arial" w:cs="Arial" w:eastAsia="Arial" w:hAnsi="Arial"/>
          <w:sz w:val="18"/>
          <w:szCs w:val="18"/>
          <w:color w:val="auto"/>
        </w:rPr>
      </w:pPr>
    </w:p>
    <w:p>
      <w:pPr>
        <w:ind w:left="720" w:hanging="14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Paid a $6.00 per share cash distribution to holders of our common stock on December 10, 2007</w:t>
      </w:r>
    </w:p>
    <w:p>
      <w:pPr>
        <w:spacing w:after="0" w:line="252"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Net revenues for the fourth quarter of 2007 were $711.3 million, compared to $563.6 million in the fourth quarter of 2006. Net revenues for 2007 were $2.7 billion, an 87.6% increase over 2006. The revenue increase was driven primarily by the ramp up in our operations in Macau and strong performance in Las Vegas.</w:t>
      </w:r>
    </w:p>
    <w:p>
      <w:pPr>
        <w:spacing w:after="0" w:line="230"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Consolidated adjusted property EBITDA (1) was $196.9 million for the fourth quarter of 2007 compared to $159.7 million in the fourth quarter of 2006. Adjusted property EBITDA for 2007 was $781.1 million, a 98.5% increase compared to 2006.</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a US GAAP (Generally Accepted Accounting Principles) basis, net income for the year was $258.1 million, or $2.34 per diluted share, compared to $628.7 million, or $6.24 per diluted share in 2006. Net income for 2006 was positively influenced by approximately $741.9 million due to the completion of the sale of a subconcession in Macau, a non-recurring item. Adjusted net income for 2007 was $329.4 million, or $2.97 per diluted share (adjusted EPS)(2) compared to an adjusted net income of $49.4 million, or $0.53 per diluted share in 2006.</w:t>
      </w:r>
    </w:p>
    <w:p>
      <w:pPr>
        <w:spacing w:after="0" w:line="2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a US GAAP basis, net income for the fourth quarter of 2007 was $65.5 million, or $0.57 per diluted share, compared to a net loss of $55.4 million, or ($0.55) per diluted share in the fourth quarter of 2006. Adjusted net income in the fourth quarter of 2007 was $ 82.6 million, or $0.72 per diluted share (adjusted EPS)(2) compared to an adjusted net income of $57.1 million, or $0.53 per diluted share in the fourth quarter of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Fourth Quarter Results</w:t>
      </w:r>
    </w:p>
    <w:p>
      <w:pPr>
        <w:spacing w:after="0" w:line="26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the quarter ended December 31, 2007, Wynn Las Vegas generated adjusted property EBITDA of $97.3 million, compared to $101.2 million in the fourth quarter of 2006, with a 30.0% EBITDA margin on net revenue.</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Net casino revenues in the fourth quarter of 2007 were $160.0 million, compared to $163.7 million for the fourth quarter of 2006. Table games drop was $ 624.6 million, with win per table per day (before discounts) of $ 11,293, compared to drop of $515.5 million and win per table per day of $10,803 in the fourth quarter of 2006. Table games win percentage of 23.5% was within the property’s expected range of 21% to 24% but was lower than the 26.3% for the fourth quarter of 2006. Slot machine handle of $1.1 billion was flat with the comparable period of 2006 and win per unit per day was $241, compared to a win per unit per day of $256 in the fourth quarter of 2006.</w:t>
      </w:r>
    </w:p>
    <w:p>
      <w:pPr>
        <w:spacing w:after="0" w:line="23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Gross non-casino revenues for the quarter were $206.7 million, an 8.1% increase from the fourth quarter of 2006. Hotel revenues were up 5.7% to $70.3 million during the quarter, versus $ 66.5 million in the fourth quarter of 2006. Wynn Las Vegas achieved an Average Daily Rate (ADR) of $298 for the quarter, compared to $291 in the fourth quarter of 2006. The property’s occupancy was 94.3% compared to 91.6% during the prior year period, generating revenue per available room (REVPAR) of $281 in the 2007 period (5.6% higher than in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Food and beverage revenues increased 7.0% to $78.8 million in the quarter, compared to $73.6 million in the fourth quarter of 2006, primarily</w:t>
      </w:r>
    </w:p>
    <w:p>
      <w:pPr>
        <w:spacing w:after="0" w:line="234" w:lineRule="auto"/>
        <w:rPr>
          <w:sz w:val="20"/>
          <w:szCs w:val="20"/>
          <w:color w:val="auto"/>
        </w:rPr>
      </w:pPr>
      <w:r>
        <w:rPr>
          <w:rFonts w:ascii="Arial" w:cs="Arial" w:eastAsia="Arial" w:hAnsi="Arial"/>
          <w:sz w:val="18"/>
          <w:szCs w:val="18"/>
          <w:color w:val="auto"/>
        </w:rPr>
        <w:t>from increased revenues from Wynn Las Vegas’ Tryst and Blush nightclubs. Retail revenues were $26.7 million in the quarter, compared to</w:t>
      </w:r>
    </w:p>
    <w:p>
      <w:pPr>
        <w:spacing w:after="0" w:line="235" w:lineRule="auto"/>
        <w:rPr>
          <w:sz w:val="20"/>
          <w:szCs w:val="20"/>
          <w:color w:val="auto"/>
        </w:rPr>
      </w:pPr>
      <w:r>
        <w:rPr>
          <w:rFonts w:ascii="Arial" w:cs="Arial" w:eastAsia="Arial" w:hAnsi="Arial"/>
          <w:sz w:val="18"/>
          <w:szCs w:val="18"/>
          <w:color w:val="auto"/>
        </w:rPr>
        <w:t>$23.7 million in the fourth quarter of 2006, an increase of 12.9%. Entertainment revenues were approximately $17.8 million, compared to $14.7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2006, an increase of 21.1% from 2006.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Wynn Las Vegas Full Year 2007 Operating Results</w:t>
      </w:r>
    </w:p>
    <w:p>
      <w:pPr>
        <w:spacing w:after="0" w:line="261" w:lineRule="exact"/>
        <w:rPr>
          <w:sz w:val="20"/>
          <w:szCs w:val="20"/>
          <w:color w:val="auto"/>
        </w:rPr>
      </w:pPr>
    </w:p>
    <w:p>
      <w:pPr>
        <w:jc w:val="both"/>
        <w:ind w:right="280"/>
        <w:spacing w:after="0" w:line="246" w:lineRule="auto"/>
        <w:rPr>
          <w:sz w:val="20"/>
          <w:szCs w:val="20"/>
          <w:color w:val="auto"/>
        </w:rPr>
      </w:pPr>
      <w:r>
        <w:rPr>
          <w:rFonts w:ascii="Arial" w:cs="Arial" w:eastAsia="Arial" w:hAnsi="Arial"/>
          <w:sz w:val="18"/>
          <w:szCs w:val="18"/>
          <w:color w:val="auto"/>
        </w:rPr>
        <w:t>For the full year 2007, Wynn Las Vegas generated adjusted property EBITDA of $417.0 million, representing a 32.2% margin on net revenues and a 25.3% increase from 2006.</w:t>
      </w:r>
    </w:p>
    <w:p>
      <w:pPr>
        <w:spacing w:after="0" w:line="224" w:lineRule="exact"/>
        <w:rPr>
          <w:sz w:val="20"/>
          <w:szCs w:val="20"/>
          <w:color w:val="auto"/>
        </w:rPr>
      </w:pPr>
    </w:p>
    <w:p>
      <w:pPr>
        <w:jc w:val="both"/>
        <w:ind w:right="280"/>
        <w:spacing w:after="0" w:line="237" w:lineRule="auto"/>
        <w:rPr>
          <w:sz w:val="20"/>
          <w:szCs w:val="20"/>
          <w:color w:val="auto"/>
        </w:rPr>
      </w:pPr>
      <w:r>
        <w:rPr>
          <w:rFonts w:ascii="Arial" w:cs="Arial" w:eastAsia="Arial" w:hAnsi="Arial"/>
          <w:sz w:val="18"/>
          <w:szCs w:val="18"/>
          <w:color w:val="auto"/>
        </w:rPr>
        <w:t>Net casino revenues for the year were $642.3 million, a 19.9% increase from 2006. The increase in casino revenues is primarily driven by Wynn Las Vegas’ success in the high-end gaming market. For the year ended December 31, 2007, we experienced a 14.6% increase in drop and our average table games win percentage (before discounts) of 25.3% was above the expected range of 21% to 24%. During the year ended December 31, 2006, our average table game win percentage (before discounts) was 22.1%. Slot handle at Wynn Las Vegas increased slightly during the year ended December 31, 2007 as compared to 2006, and our slot win percentage for the years ended December 31, 2007 and 2006 was within the expected range of 4.5% and 5.5%.</w:t>
      </w:r>
    </w:p>
    <w:p>
      <w:pPr>
        <w:spacing w:after="0" w:line="23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Gross non-casino revenues for 2007 were $806.2 million, a 6.4% increase from 2006. Hotel revenues were up 6.5% to $285.7 million, versus $268.2 million in 2006. Wynn Las Vegas achieved an Average Daily Rate (ADR) of $ 300 for the year, compared to $287 in 2006. The property’s occupancy was 96.0% compared to 94.4% during the prior year, generating revenue per available room (REVPAR) of $288 in the 2007 (6.3% higher than in 2006).</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Food and beverage revenues increased 5.4% to $311.0 million in 2007, compared to $295.2 million in 2006. Retail revenues were $94.8 million, compared to $79.3 million in 2006, an increase of 18.3% and Entertainment revenues were approximately $64.5 million, compared to $66.3 million in 2006.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Las Vegas</w:t>
      </w:r>
    </w:p>
    <w:p>
      <w:pPr>
        <w:spacing w:after="0" w:line="2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constructing Encore on approximately 20 acres on the Las Vegas Strip, immediately adjacent to Wynn Las Vegas. Encore’s current plans include a 2,034 all-suite hotel tower fully integrated with Wynn Las Vegas, an approximately 72,000 square foot casino, additional convention and meeting space, as well as restaurants, a nightclub, swimming pools, a spa and salon and retail outlets. Encore is expected to open in early 2009. Our project budget is approximately $2.2 billion, consisting of approximately $2.1 billion for Encore and approximately $ 100 million for an employee parking garage on our Koval property, an associated pedestrian bridge and costs incurred in connection with the theater remodeling and production of “Monty Python’s Spamalot” at Wynn Las Vegas, which opened in March 2007.</w:t>
      </w:r>
    </w:p>
    <w:p>
      <w:pPr>
        <w:spacing w:after="0" w:line="23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As of December 31, 2007, we had incurred approximately $998.7 million of project costs related to the development and construction of Encore and related capital improvements.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Fourth Quarter Results</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the fourth quarter of 2007, Wynn Macau generated adjusted property EBITDA of $99.6 million (with a 25.7% EBITDA margin on net revenue) compared to $58.5 million in the fourth quarter of 2006.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in Macau are segregated into two distinct reporting categories, the VIP segment and the mass market segment.</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Table games turnover in the VIP segment was $11.2 billion for the period, compared to $ 6.6 billion for the fourth quarter of 2006. VIP table games win as a percentage of turnover (calculated before discounts and commissions) was 3.0%, at the top end of the expected range of 2.7% to 3.0% and higher than the 2.6% in the comparable period of 2006.</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Table games drop in the mass market category was approximately $507.6 million during the period, a slight decrease from $513.8 million in the fourth quarter of 2006. Mass market table games win percentage (calculated before discounts) of 19.1% was at the upper end of 17% to 19% and was higher than the 17.5% in the fourth quarter of 2006. Slot machine win per unit per day was $456 compared to $418 in the fourth quarter of 2006, despite the 93% increase in the number of slot machines.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Wynn Macau achieved an Average Daily Rate (ADR) of $256 for the quarter, compared to $248 in the fourth quarter of 2006. The property’s occupancy was 92.4%, compared to 81.9% during the prior year period, generating revenue per available room (REVPAR) of $237 in the 2007 period (16.6% higher than in 2006).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Wynn Macau Full Year 2007 Operating Results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2007, Wynn Macau generated adjusted property EBITDA of $364.1 million, representing a 26.2% margin on net revenues.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Table games turnover in the VIP segment was $37.6 billion for the period and VIP table games win as a percentage of turnover (calculated before discounts and commissions) was 3.1%, at the top end of the expected range of 2.7% to 3.0%.</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Table games drop in the mass market category was approximately $2.0 billion, and mass market table games win percentage (calculated before discounts) of 19.0% was within the expected range of 17% to 19%. Slot machine win per unit per day was $470 on handle of $1.7 billion for the year.</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Wynn Macau generated an Average Daily Rate (ADR) of $251, with occupancy averaging 88.8%. Net non-casino revenues, consisting of rooms, food and beverage, retail and other, were $84.6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Expansion</w:t>
      </w:r>
    </w:p>
    <w:p>
      <w:pPr>
        <w:spacing w:after="0" w:line="2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Wynn Macau currently features approximately 600 hotel rooms and suites, approximately 380 table games and approximately 1,270 slot machines in approximately 205,000 square feet of casino gaming space, five restaurants, a spa and salon, lounges, meeting facilities and approximately 46,000 square feet of retail space featuring boutiques from Bvlgari, Chanel, Dior, Dunhill, Fendi, Giorgio Armani, Ferrari, Hermes, Hugo Boss, Louis Vuitton, Piaget, Prada, Rolex, Tiffany, Van Cleef &amp; Arpels, Versace, Vertu and Zegna.</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2007, we completed the expansion of Wynn Macau, adding approximately 75,000 square feet of gaming space and 20,000 square feet of retail space including 11 new boutiques. In addition, on December 24, 2007 we unveiled our dramatic front feature attraction in the rotunda area featuring a gold “prosperity tree” emerging from the floor in conjunction with a Chinese zodiac-inspired ceiling show.</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Wynn Macau and the recently opened expansion were completed at a cost of approximately $1.1 billion. We commenced construction of Wynn Diamond Suites in 2007 and expect the property to open in the first half of 2010.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Development Opportunities</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submitted an application to the government of Macau for a concession of land in Cotai. We have reconfigured our site plan for 52 acres and are awaiting final approval. We are actively engaged in the design of our Cotai project. We continually seek out new opportunities for additional gaming or related businesses, in Las Vegas, other markets in the United States, and worldwide.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Affecting Earnings</w:t>
      </w:r>
    </w:p>
    <w:p>
      <w:pPr>
        <w:spacing w:after="0" w:line="2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Interest expense, net of $15.5 million in capitalized interest, was $35.9 million for the fourth quarter of 2007. For the full year 2007, interest expense, net of capitalized interest of $ 44.6 million, was $ 143.8 million compared to $148 million, net of capitalized interest of $29.5 million, for the year ended December 31, 2006. Depreciation and amortization expenses were $60.5 million during the quarter. For the full year, depreciation and amortization expenses were $219.9 million and pre-opening expenses were $ 7.1 million. Corporate expense and other was $15.3 million in the fourth quarter, and $63.9 million for the full year 2007, including $4.0 million and $18.5 million, respectively, in stock based compensation.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Capital Expenditures</w:t>
      </w:r>
    </w:p>
    <w:p>
      <w:pPr>
        <w:spacing w:after="0" w:line="2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total cash balances at the end of the quarter were $1.8 billion, including unrestricted cash balances of $1.3 billion and restricted cash balances of $531 million. Total debt outstanding at the end of the quarter was $3.5 billion, including approximately $2.0 billion of Wynn Las Vegas debt, and $550 million of Wynn Macau-related debt. Capital expenditures during the fourth quarter of 2007, net of changes in construction payables and retention, totaled approximately $303.3 million, primarily attributable to Encore.</w:t>
      </w:r>
    </w:p>
    <w:p>
      <w:pPr>
        <w:spacing w:after="0" w:line="22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On October 3, 2007, the Company completed a secondary common stock offering of 4,312,500 shares with net proceeds of $154 per share or a total of $664.1 million.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 w:name="page9"/>
    <w:bookmarkEnd w:id="8"/>
    <w:p>
      <w:pPr>
        <w:jc w:val="both"/>
        <w:spacing w:after="0"/>
        <w:rPr>
          <w:sz w:val="20"/>
          <w:szCs w:val="20"/>
          <w:color w:val="auto"/>
        </w:rPr>
      </w:pPr>
      <w:r>
        <w:rPr>
          <w:rFonts w:ascii="Arial" w:cs="Arial" w:eastAsia="Arial" w:hAnsi="Arial"/>
          <w:sz w:val="18"/>
          <w:szCs w:val="18"/>
          <w:color w:val="auto"/>
        </w:rPr>
        <w:t>On November 6, 2007, the Company issued, in a private offering, $400 million aggregate principal amount of 6 5/8% First Mortgage Notes due 2014 at a price of 97.25% of the principal amount. These notes were issued under the same indenture as the First Mortgage Notes issued on December 14, 2004.</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On November 20, 2007 our Board of Directors declared a cash distribution of $6.00 per common share which was paid on December 10, 2007.</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56"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The Company will hold a conference call to discuss its results on Tuesday, February 12</w:t>
      </w:r>
      <w:r>
        <w:rPr>
          <w:rFonts w:ascii="Arial" w:cs="Arial" w:eastAsia="Arial" w:hAnsi="Arial"/>
          <w:sz w:val="25"/>
          <w:szCs w:val="25"/>
          <w:color w:val="auto"/>
          <w:vertAlign w:val="superscript"/>
        </w:rPr>
        <w:t>th</w:t>
      </w:r>
      <w:r>
        <w:rPr>
          <w:rFonts w:ascii="Arial" w:cs="Arial" w:eastAsia="Arial" w:hAnsi="Arial"/>
          <w:sz w:val="18"/>
          <w:szCs w:val="18"/>
          <w:color w:val="auto"/>
        </w:rPr>
        <w:t>, 2008 at 1:30 p.m. PT (4:30 p.m. ET). Interested parties are invited to join the call by accessing a live audio webcast at http://www.wynnresorts.com (Investor Relations).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brief operating history, the Company’s dependence on existing management, levels of travel, leisure and casino spending, general domestic or international economic conditions, and changes in gaming laws or regulations. Additional information concerning potential factors that could affect the Company's financial results is included in the Company's Annual Report on Form 10-K for the year ended December 31, 2006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61" w:lineRule="exact"/>
        <w:rPr>
          <w:sz w:val="20"/>
          <w:szCs w:val="20"/>
          <w:color w:val="auto"/>
        </w:rPr>
      </w:pPr>
    </w:p>
    <w:p>
      <w:pPr>
        <w:jc w:val="both"/>
        <w:ind w:firstLine="8"/>
        <w:spacing w:after="0"/>
        <w:tabs>
          <w:tab w:leader="none" w:pos="286"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stock-based compensation, contract termination fee,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and corporate expenses,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compensates for these limitations by using adjusted property EBITDA as only one of several comparative tools, together with GAAP measurements, to assist in the evaluation of operating performance. Such GAAP measurements include operating income (loss), net income (loss), cash flows from operations and cash flow data.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36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to adjusted net income (loss), and (ii) operating income (loss) to adjusted property EBITDA and adjusted property EBITDA to net income.</w:t>
      </w:r>
    </w:p>
    <w:p>
      <w:pPr>
        <w:spacing w:after="0" w:line="224" w:lineRule="exact"/>
        <w:rPr>
          <w:sz w:val="20"/>
          <w:szCs w:val="20"/>
          <w:color w:val="auto"/>
        </w:rPr>
      </w:pPr>
    </w:p>
    <w:p>
      <w:pPr>
        <w:jc w:val="both"/>
        <w:ind w:firstLine="8"/>
        <w:spacing w:after="0" w:line="237" w:lineRule="auto"/>
        <w:tabs>
          <w:tab w:leader="none" w:pos="277"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net income is net income before pre-opening costs, property charges and other, and other non-cash non-operating income and expenses. Adjusted net income and adjusted net income per share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and adjusted net income per share may be different from the calculation methods used by other companies and, therefore, comparability may be limited.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CONSOLIDATED STATEMENTS OF OPERATIONS</w:t>
      </w:r>
    </w:p>
    <w:p>
      <w:pPr>
        <w:jc w:val="center"/>
        <w:ind w:right="-59"/>
        <w:spacing w:after="0" w:line="234" w:lineRule="auto"/>
        <w:rPr>
          <w:sz w:val="20"/>
          <w:szCs w:val="20"/>
          <w:color w:val="auto"/>
        </w:rPr>
      </w:pPr>
      <w:r>
        <w:rPr>
          <w:rFonts w:ascii="Arial" w:cs="Arial" w:eastAsia="Arial" w:hAnsi="Arial"/>
          <w:sz w:val="18"/>
          <w:szCs w:val="18"/>
          <w:color w:val="auto"/>
        </w:rPr>
        <w:t>(amounts in thousands, except per share data)</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4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25"/>
        </w:trPr>
        <w:tc>
          <w:tcPr>
            <w:tcW w:w="5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9"/>
                <w:szCs w:val="19"/>
                <w:color w:val="auto"/>
              </w:rPr>
            </w:pPr>
          </w:p>
        </w:tc>
        <w:tc>
          <w:tcPr>
            <w:tcW w:w="234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080" w:type="dxa"/>
            <w:vAlign w:val="bottom"/>
          </w:tcPr>
          <w:p>
            <w:pPr>
              <w:spacing w:after="0"/>
              <w:rPr>
                <w:sz w:val="20"/>
                <w:szCs w:val="20"/>
                <w:color w:val="auto"/>
              </w:rPr>
            </w:pPr>
            <w:r>
              <w:rPr>
                <w:rFonts w:ascii="Arial" w:cs="Arial" w:eastAsia="Arial" w:hAnsi="Arial"/>
                <w:sz w:val="18"/>
                <w:szCs w:val="18"/>
                <w:color w:val="auto"/>
              </w:rPr>
              <w:t>Operating revenues: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40"/>
              <w:spacing w:after="0" w:line="202" w:lineRule="exact"/>
              <w:rPr>
                <w:sz w:val="20"/>
                <w:szCs w:val="20"/>
                <w:color w:val="auto"/>
              </w:rPr>
            </w:pPr>
            <w:r>
              <w:rPr>
                <w:rFonts w:ascii="Arial" w:cs="Arial" w:eastAsia="Arial" w:hAnsi="Arial"/>
                <w:sz w:val="18"/>
                <w:szCs w:val="18"/>
                <w:color w:val="auto"/>
              </w:rPr>
              <w:t>Casino</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524,068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388,531</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1,949,870</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800,591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40"/>
              <w:spacing w:after="0" w:line="202" w:lineRule="exact"/>
              <w:rPr>
                <w:sz w:val="20"/>
                <w:szCs w:val="20"/>
                <w:color w:val="auto"/>
              </w:rPr>
            </w:pPr>
            <w:r>
              <w:rPr>
                <w:rFonts w:ascii="Arial" w:cs="Arial" w:eastAsia="Arial" w:hAnsi="Arial"/>
                <w:sz w:val="18"/>
                <w:szCs w:val="18"/>
                <w:color w:val="auto"/>
              </w:rPr>
              <w:t>Rooms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84,672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78,848</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339,391</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283,084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40"/>
              <w:spacing w:after="0" w:line="202" w:lineRule="exact"/>
              <w:rPr>
                <w:sz w:val="20"/>
                <w:szCs w:val="20"/>
                <w:color w:val="auto"/>
              </w:rPr>
            </w:pPr>
            <w:r>
              <w:rPr>
                <w:rFonts w:ascii="Arial" w:cs="Arial" w:eastAsia="Arial" w:hAnsi="Arial"/>
                <w:sz w:val="18"/>
                <w:szCs w:val="18"/>
                <w:color w:val="auto"/>
              </w:rPr>
              <w:t>Food and beverage</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91,423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85,360</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353,983</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309,771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40"/>
              <w:spacing w:after="0" w:line="203" w:lineRule="exact"/>
              <w:rPr>
                <w:sz w:val="20"/>
                <w:szCs w:val="20"/>
                <w:color w:val="auto"/>
              </w:rPr>
            </w:pPr>
            <w:r>
              <w:rPr>
                <w:rFonts w:ascii="Arial" w:cs="Arial" w:eastAsia="Arial" w:hAnsi="Arial"/>
                <w:sz w:val="18"/>
                <w:szCs w:val="18"/>
                <w:color w:val="auto"/>
              </w:rPr>
              <w:t>Entertainment, retail and other</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69,098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60,567</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245,201</w:t>
            </w:r>
          </w:p>
        </w:tc>
        <w:tc>
          <w:tcPr>
            <w:tcW w:w="2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205,213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80" w:type="dxa"/>
            <w:vAlign w:val="bottom"/>
          </w:tcPr>
          <w:p>
            <w:pPr>
              <w:ind w:left="240"/>
              <w:spacing w:after="0" w:line="195" w:lineRule="exact"/>
              <w:rPr>
                <w:sz w:val="20"/>
                <w:szCs w:val="20"/>
                <w:color w:val="auto"/>
              </w:rPr>
            </w:pPr>
            <w:r>
              <w:rPr>
                <w:rFonts w:ascii="Arial" w:cs="Arial" w:eastAsia="Arial" w:hAnsi="Arial"/>
                <w:sz w:val="18"/>
                <w:szCs w:val="18"/>
                <w:color w:val="auto"/>
              </w:rPr>
              <w:t>Gross revenues</w:t>
            </w:r>
          </w:p>
        </w:tc>
        <w:tc>
          <w:tcPr>
            <w:tcW w:w="10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769,261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613,306</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2,888,445</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1,598,659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40"/>
              <w:spacing w:after="0" w:line="203" w:lineRule="exact"/>
              <w:rPr>
                <w:sz w:val="20"/>
                <w:szCs w:val="20"/>
                <w:color w:val="auto"/>
              </w:rPr>
            </w:pPr>
            <w:r>
              <w:rPr>
                <w:rFonts w:ascii="Arial" w:cs="Arial" w:eastAsia="Arial" w:hAnsi="Arial"/>
                <w:sz w:val="18"/>
                <w:szCs w:val="18"/>
                <w:color w:val="auto"/>
              </w:rPr>
              <w:t>Less: promotional allowances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right"/>
              <w:ind w:right="160"/>
              <w:spacing w:after="0" w:line="203" w:lineRule="exact"/>
              <w:rPr>
                <w:sz w:val="20"/>
                <w:szCs w:val="20"/>
                <w:color w:val="auto"/>
              </w:rPr>
            </w:pPr>
            <w:r>
              <w:rPr>
                <w:rFonts w:ascii="Arial" w:cs="Arial" w:eastAsia="Arial" w:hAnsi="Arial"/>
                <w:sz w:val="18"/>
                <w:szCs w:val="18"/>
                <w:color w:val="auto"/>
              </w:rPr>
              <w:t>(57,986)</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(49,736)</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(200,926)</w:t>
            </w:r>
          </w:p>
        </w:tc>
        <w:tc>
          <w:tcPr>
            <w:tcW w:w="220" w:type="dxa"/>
            <w:vAlign w:val="bottom"/>
          </w:tcPr>
          <w:p>
            <w:pPr>
              <w:spacing w:after="0"/>
              <w:rPr>
                <w:sz w:val="17"/>
                <w:szCs w:val="17"/>
                <w:color w:val="auto"/>
              </w:rPr>
            </w:pPr>
          </w:p>
        </w:tc>
        <w:tc>
          <w:tcPr>
            <w:tcW w:w="9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(166,402)</w:t>
            </w:r>
          </w:p>
        </w:tc>
        <w:tc>
          <w:tcPr>
            <w:tcW w:w="0" w:type="dxa"/>
            <w:vAlign w:val="bottom"/>
          </w:tcPr>
          <w:p>
            <w:pPr>
              <w:spacing w:after="0"/>
              <w:rPr>
                <w:sz w:val="1"/>
                <w:szCs w:val="1"/>
                <w:color w:val="auto"/>
              </w:rPr>
            </w:pPr>
          </w:p>
        </w:tc>
      </w:tr>
      <w:tr>
        <w:trPr>
          <w:trHeight w:val="196"/>
        </w:trPr>
        <w:tc>
          <w:tcPr>
            <w:tcW w:w="5080" w:type="dxa"/>
            <w:vAlign w:val="bottom"/>
          </w:tcPr>
          <w:p>
            <w:pPr>
              <w:ind w:left="240"/>
              <w:spacing w:after="0" w:line="196" w:lineRule="exact"/>
              <w:rPr>
                <w:sz w:val="20"/>
                <w:szCs w:val="20"/>
                <w:color w:val="auto"/>
              </w:rPr>
            </w:pPr>
            <w:r>
              <w:rPr>
                <w:rFonts w:ascii="Arial" w:cs="Arial" w:eastAsia="Arial" w:hAnsi="Arial"/>
                <w:sz w:val="18"/>
                <w:szCs w:val="18"/>
                <w:color w:val="auto"/>
              </w:rPr>
              <w:t>Net revenues</w:t>
            </w:r>
          </w:p>
        </w:tc>
        <w:tc>
          <w:tcPr>
            <w:tcW w:w="10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711,275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563,570</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2,687,519</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1,432,257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50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40"/>
              <w:spacing w:after="0" w:line="202" w:lineRule="exact"/>
              <w:rPr>
                <w:sz w:val="20"/>
                <w:szCs w:val="20"/>
                <w:color w:val="auto"/>
              </w:rPr>
            </w:pPr>
            <w:r>
              <w:rPr>
                <w:rFonts w:ascii="Arial" w:cs="Arial" w:eastAsia="Arial" w:hAnsi="Arial"/>
                <w:sz w:val="18"/>
                <w:szCs w:val="18"/>
                <w:color w:val="auto"/>
              </w:rPr>
              <w:t>Casino</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327,292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225,266</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1,168,119</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439,902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40"/>
              <w:spacing w:after="0" w:line="202" w:lineRule="exact"/>
              <w:rPr>
                <w:sz w:val="20"/>
                <w:szCs w:val="20"/>
                <w:color w:val="auto"/>
              </w:rPr>
            </w:pPr>
            <w:r>
              <w:rPr>
                <w:rFonts w:ascii="Arial" w:cs="Arial" w:eastAsia="Arial" w:hAnsi="Arial"/>
                <w:sz w:val="18"/>
                <w:szCs w:val="18"/>
                <w:color w:val="auto"/>
              </w:rPr>
              <w:t>Rooms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19,556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20,494</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83,237</w:t>
            </w:r>
          </w:p>
        </w:tc>
        <w:tc>
          <w:tcPr>
            <w:tcW w:w="22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73,878</w:t>
            </w:r>
          </w:p>
        </w:tc>
        <w:tc>
          <w:tcPr>
            <w:tcW w:w="0" w:type="dxa"/>
            <w:vAlign w:val="bottom"/>
          </w:tcPr>
          <w:p>
            <w:pPr>
              <w:spacing w:after="0"/>
              <w:rPr>
                <w:sz w:val="1"/>
                <w:szCs w:val="1"/>
                <w:color w:val="auto"/>
              </w:rPr>
            </w:pPr>
          </w:p>
        </w:tc>
      </w:tr>
      <w:tr>
        <w:trPr>
          <w:trHeight w:val="203"/>
        </w:trPr>
        <w:tc>
          <w:tcPr>
            <w:tcW w:w="5080" w:type="dxa"/>
            <w:vAlign w:val="bottom"/>
          </w:tcPr>
          <w:p>
            <w:pPr>
              <w:ind w:left="240"/>
              <w:spacing w:after="0" w:line="202" w:lineRule="exact"/>
              <w:rPr>
                <w:sz w:val="20"/>
                <w:szCs w:val="20"/>
                <w:color w:val="auto"/>
              </w:rPr>
            </w:pPr>
            <w:r>
              <w:rPr>
                <w:rFonts w:ascii="Arial" w:cs="Arial" w:eastAsia="Arial" w:hAnsi="Arial"/>
                <w:sz w:val="18"/>
                <w:szCs w:val="18"/>
                <w:color w:val="auto"/>
              </w:rPr>
              <w:t>Food and beverage</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51,951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52,449</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212,622</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194,403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40"/>
              <w:spacing w:after="0" w:line="202" w:lineRule="exact"/>
              <w:rPr>
                <w:sz w:val="20"/>
                <w:szCs w:val="20"/>
                <w:color w:val="auto"/>
              </w:rPr>
            </w:pPr>
            <w:r>
              <w:rPr>
                <w:rFonts w:ascii="Arial" w:cs="Arial" w:eastAsia="Arial" w:hAnsi="Arial"/>
                <w:sz w:val="18"/>
                <w:szCs w:val="18"/>
                <w:color w:val="auto"/>
              </w:rPr>
              <w:t>Entertainment, retail and other</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42,456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36,226</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161,087</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134,530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40"/>
              <w:spacing w:after="0" w:line="202" w:lineRule="exact"/>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80,456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79,345</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310,820</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231,515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40"/>
              <w:spacing w:after="0" w:line="202" w:lineRule="exact"/>
              <w:rPr>
                <w:sz w:val="20"/>
                <w:szCs w:val="20"/>
                <w:color w:val="auto"/>
              </w:rPr>
            </w:pPr>
            <w:r>
              <w:rPr>
                <w:rFonts w:ascii="Arial" w:cs="Arial" w:eastAsia="Arial" w:hAnsi="Arial"/>
                <w:sz w:val="18"/>
                <w:szCs w:val="18"/>
                <w:color w:val="auto"/>
              </w:rPr>
              <w:t>Provision for doubtful accounts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8,265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9,711</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36,109</w:t>
            </w:r>
          </w:p>
        </w:tc>
        <w:tc>
          <w:tcPr>
            <w:tcW w:w="22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21,163</w:t>
            </w:r>
          </w:p>
        </w:tc>
        <w:tc>
          <w:tcPr>
            <w:tcW w:w="0" w:type="dxa"/>
            <w:vAlign w:val="bottom"/>
          </w:tcPr>
          <w:p>
            <w:pPr>
              <w:spacing w:after="0"/>
              <w:rPr>
                <w:sz w:val="1"/>
                <w:szCs w:val="1"/>
                <w:color w:val="auto"/>
              </w:rPr>
            </w:pPr>
          </w:p>
        </w:tc>
      </w:tr>
      <w:tr>
        <w:trPr>
          <w:trHeight w:val="203"/>
        </w:trPr>
        <w:tc>
          <w:tcPr>
            <w:tcW w:w="5080" w:type="dxa"/>
            <w:vAlign w:val="bottom"/>
          </w:tcPr>
          <w:p>
            <w:pPr>
              <w:ind w:left="240"/>
              <w:spacing w:after="0" w:line="202" w:lineRule="exact"/>
              <w:rPr>
                <w:sz w:val="20"/>
                <w:szCs w:val="20"/>
                <w:color w:val="auto"/>
              </w:rPr>
            </w:pPr>
            <w:r>
              <w:rPr>
                <w:rFonts w:ascii="Arial" w:cs="Arial" w:eastAsia="Arial" w:hAnsi="Arial"/>
                <w:sz w:val="18"/>
                <w:szCs w:val="18"/>
                <w:color w:val="auto"/>
              </w:rPr>
              <w:t>Pre-opening costs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2,883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(68)</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7,063</w:t>
            </w:r>
          </w:p>
        </w:tc>
        <w:tc>
          <w:tcPr>
            <w:tcW w:w="22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62,726</w:t>
            </w:r>
          </w:p>
        </w:tc>
        <w:tc>
          <w:tcPr>
            <w:tcW w:w="0" w:type="dxa"/>
            <w:vAlign w:val="bottom"/>
          </w:tcPr>
          <w:p>
            <w:pPr>
              <w:spacing w:after="0"/>
              <w:rPr>
                <w:sz w:val="1"/>
                <w:szCs w:val="1"/>
                <w:color w:val="auto"/>
              </w:rPr>
            </w:pPr>
          </w:p>
        </w:tc>
      </w:tr>
      <w:tr>
        <w:trPr>
          <w:trHeight w:val="203"/>
        </w:trPr>
        <w:tc>
          <w:tcPr>
            <w:tcW w:w="5080" w:type="dxa"/>
            <w:vAlign w:val="bottom"/>
          </w:tcPr>
          <w:p>
            <w:pPr>
              <w:ind w:left="240"/>
              <w:spacing w:after="0" w:line="202" w:lineRule="exact"/>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60,496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50,667</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219,923</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175,464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40"/>
              <w:spacing w:after="0" w:line="202" w:lineRule="exact"/>
              <w:rPr>
                <w:sz w:val="20"/>
                <w:szCs w:val="20"/>
                <w:color w:val="auto"/>
              </w:rPr>
            </w:pPr>
            <w:r>
              <w:rPr>
                <w:rFonts w:ascii="Arial" w:cs="Arial" w:eastAsia="Arial" w:hAnsi="Arial"/>
                <w:sz w:val="18"/>
                <w:szCs w:val="18"/>
                <w:color w:val="auto"/>
              </w:rPr>
              <w:t>Contract termination fee</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3"/>
        </w:trPr>
        <w:tc>
          <w:tcPr>
            <w:tcW w:w="5080" w:type="dxa"/>
            <w:vAlign w:val="bottom"/>
          </w:tcPr>
          <w:p>
            <w:pPr>
              <w:ind w:left="240"/>
              <w:spacing w:after="0" w:line="203" w:lineRule="exact"/>
              <w:rPr>
                <w:sz w:val="20"/>
                <w:szCs w:val="20"/>
                <w:color w:val="auto"/>
              </w:rPr>
            </w:pPr>
            <w:r>
              <w:rPr>
                <w:rFonts w:ascii="Arial" w:cs="Arial" w:eastAsia="Arial" w:hAnsi="Arial"/>
                <w:sz w:val="18"/>
                <w:szCs w:val="18"/>
                <w:color w:val="auto"/>
              </w:rPr>
              <w:t>Property charges and other</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9,471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11,996</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60,857</w:t>
            </w:r>
          </w:p>
        </w:tc>
        <w:tc>
          <w:tcPr>
            <w:tcW w:w="220" w:type="dxa"/>
            <w:vAlign w:val="bottom"/>
          </w:tcPr>
          <w:p>
            <w:pPr>
              <w:spacing w:after="0"/>
              <w:rPr>
                <w:sz w:val="17"/>
                <w:szCs w:val="17"/>
                <w:color w:val="auto"/>
              </w:rPr>
            </w:pPr>
          </w:p>
        </w:tc>
        <w:tc>
          <w:tcPr>
            <w:tcW w:w="9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25,060</w:t>
            </w:r>
          </w:p>
        </w:tc>
        <w:tc>
          <w:tcPr>
            <w:tcW w:w="0" w:type="dxa"/>
            <w:vAlign w:val="bottom"/>
          </w:tcPr>
          <w:p>
            <w:pPr>
              <w:spacing w:after="0"/>
              <w:rPr>
                <w:sz w:val="1"/>
                <w:szCs w:val="1"/>
                <w:color w:val="auto"/>
              </w:rPr>
            </w:pPr>
          </w:p>
        </w:tc>
      </w:tr>
      <w:tr>
        <w:trPr>
          <w:trHeight w:val="210"/>
        </w:trPr>
        <w:tc>
          <w:tcPr>
            <w:tcW w:w="5080" w:type="dxa"/>
            <w:vAlign w:val="bottom"/>
          </w:tcPr>
          <w:p>
            <w:pPr>
              <w:ind w:left="480"/>
              <w:spacing w:after="0"/>
              <w:rPr>
                <w:sz w:val="20"/>
                <w:szCs w:val="20"/>
                <w:color w:val="auto"/>
              </w:rPr>
            </w:pPr>
            <w:r>
              <w:rPr>
                <w:rFonts w:ascii="Arial" w:cs="Arial" w:eastAsia="Arial" w:hAnsi="Arial"/>
                <w:sz w:val="18"/>
                <w:szCs w:val="18"/>
                <w:color w:val="auto"/>
              </w:rPr>
              <w:t>Total operating costs and expenses</w:t>
            </w:r>
          </w:p>
        </w:tc>
        <w:tc>
          <w:tcPr>
            <w:tcW w:w="10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602,826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486,086</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2,259,837</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1,363,641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5080" w:type="dxa"/>
            <w:vAlign w:val="bottom"/>
          </w:tcPr>
          <w:p>
            <w:pPr>
              <w:spacing w:after="0"/>
              <w:rPr>
                <w:sz w:val="20"/>
                <w:szCs w:val="20"/>
                <w:color w:val="auto"/>
              </w:rPr>
            </w:pPr>
            <w:r>
              <w:rPr>
                <w:rFonts w:ascii="Arial" w:cs="Arial" w:eastAsia="Arial" w:hAnsi="Arial"/>
                <w:sz w:val="18"/>
                <w:szCs w:val="18"/>
                <w:color w:val="auto"/>
              </w:rPr>
              <w:t>Equity in income from unconsolidated affiliates</w:t>
            </w:r>
          </w:p>
        </w:tc>
        <w:tc>
          <w:tcPr>
            <w:tcW w:w="1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80" w:type="dxa"/>
            <w:vAlign w:val="bottom"/>
          </w:tcPr>
          <w:p>
            <w:pPr>
              <w:ind w:left="2260"/>
              <w:spacing w:after="0"/>
              <w:rPr>
                <w:sz w:val="20"/>
                <w:szCs w:val="20"/>
                <w:color w:val="auto"/>
              </w:rPr>
            </w:pPr>
            <w:r>
              <w:rPr>
                <w:rFonts w:ascii="Arial" w:cs="Arial" w:eastAsia="Arial" w:hAnsi="Arial"/>
                <w:sz w:val="18"/>
                <w:szCs w:val="18"/>
                <w:color w:val="auto"/>
              </w:rPr>
              <w:t>Operating income</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108,775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78,193</w:t>
            </w:r>
          </w:p>
        </w:tc>
        <w:tc>
          <w:tcPr>
            <w:tcW w:w="2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429,403</w:t>
            </w: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70,899</w:t>
            </w:r>
          </w:p>
        </w:tc>
        <w:tc>
          <w:tcPr>
            <w:tcW w:w="0" w:type="dxa"/>
            <w:vAlign w:val="bottom"/>
          </w:tcPr>
          <w:p>
            <w:pPr>
              <w:spacing w:after="0"/>
              <w:rPr>
                <w:sz w:val="1"/>
                <w:szCs w:val="1"/>
                <w:color w:val="auto"/>
              </w:rPr>
            </w:pPr>
          </w:p>
        </w:tc>
      </w:tr>
      <w:tr>
        <w:trPr>
          <w:trHeight w:val="425"/>
        </w:trPr>
        <w:tc>
          <w:tcPr>
            <w:tcW w:w="50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40"/>
              <w:spacing w:after="0" w:line="202" w:lineRule="exact"/>
              <w:rPr>
                <w:sz w:val="20"/>
                <w:szCs w:val="20"/>
                <w:color w:val="auto"/>
              </w:rPr>
            </w:pPr>
            <w:r>
              <w:rPr>
                <w:rFonts w:ascii="Arial" w:cs="Arial" w:eastAsia="Arial" w:hAnsi="Arial"/>
                <w:sz w:val="18"/>
                <w:szCs w:val="18"/>
                <w:color w:val="auto"/>
              </w:rPr>
              <w:t>Interest and other income</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18,480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16,868</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47,765</w:t>
            </w:r>
          </w:p>
        </w:tc>
        <w:tc>
          <w:tcPr>
            <w:tcW w:w="22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46,752</w:t>
            </w:r>
          </w:p>
        </w:tc>
        <w:tc>
          <w:tcPr>
            <w:tcW w:w="0" w:type="dxa"/>
            <w:vAlign w:val="bottom"/>
          </w:tcPr>
          <w:p>
            <w:pPr>
              <w:spacing w:after="0"/>
              <w:rPr>
                <w:sz w:val="1"/>
                <w:szCs w:val="1"/>
                <w:color w:val="auto"/>
              </w:rPr>
            </w:pPr>
          </w:p>
        </w:tc>
      </w:tr>
      <w:tr>
        <w:trPr>
          <w:trHeight w:val="203"/>
        </w:trPr>
        <w:tc>
          <w:tcPr>
            <w:tcW w:w="5080" w:type="dxa"/>
            <w:vAlign w:val="bottom"/>
          </w:tcPr>
          <w:p>
            <w:pPr>
              <w:ind w:left="24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(35,901)</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(39,799)</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(143,777)</w:t>
            </w:r>
          </w:p>
        </w:tc>
        <w:tc>
          <w:tcPr>
            <w:tcW w:w="22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(148,017)</w:t>
            </w:r>
          </w:p>
        </w:tc>
        <w:tc>
          <w:tcPr>
            <w:tcW w:w="0" w:type="dxa"/>
            <w:vAlign w:val="bottom"/>
          </w:tcPr>
          <w:p>
            <w:pPr>
              <w:spacing w:after="0"/>
              <w:rPr>
                <w:sz w:val="1"/>
                <w:szCs w:val="1"/>
                <w:color w:val="auto"/>
              </w:rPr>
            </w:pPr>
          </w:p>
        </w:tc>
      </w:tr>
      <w:tr>
        <w:trPr>
          <w:trHeight w:val="203"/>
        </w:trPr>
        <w:tc>
          <w:tcPr>
            <w:tcW w:w="5080" w:type="dxa"/>
            <w:vAlign w:val="bottom"/>
          </w:tcPr>
          <w:p>
            <w:pPr>
              <w:ind w:left="240"/>
              <w:spacing w:after="0" w:line="202" w:lineRule="exact"/>
              <w:rPr>
                <w:sz w:val="20"/>
                <w:szCs w:val="20"/>
                <w:color w:val="auto"/>
              </w:rPr>
            </w:pPr>
            <w:r>
              <w:rPr>
                <w:rFonts w:ascii="Arial" w:cs="Arial" w:eastAsia="Arial" w:hAnsi="Arial"/>
                <w:sz w:val="18"/>
                <w:szCs w:val="18"/>
                <w:color w:val="auto"/>
              </w:rPr>
              <w:t>Distribution to convertible debenture holders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(58,477)</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(58,477)</w:t>
            </w:r>
          </w:p>
        </w:tc>
        <w:tc>
          <w:tcPr>
            <w:tcW w:w="0" w:type="dxa"/>
            <w:vAlign w:val="bottom"/>
          </w:tcPr>
          <w:p>
            <w:pPr>
              <w:spacing w:after="0"/>
              <w:rPr>
                <w:sz w:val="1"/>
                <w:szCs w:val="1"/>
                <w:color w:val="auto"/>
              </w:rPr>
            </w:pPr>
          </w:p>
        </w:tc>
      </w:tr>
      <w:tr>
        <w:trPr>
          <w:trHeight w:val="203"/>
        </w:trPr>
        <w:tc>
          <w:tcPr>
            <w:tcW w:w="5080" w:type="dxa"/>
            <w:vAlign w:val="bottom"/>
          </w:tcPr>
          <w:p>
            <w:pPr>
              <w:ind w:left="240"/>
              <w:spacing w:after="0" w:line="202" w:lineRule="exact"/>
              <w:rPr>
                <w:sz w:val="20"/>
                <w:szCs w:val="20"/>
                <w:color w:val="auto"/>
              </w:rPr>
            </w:pPr>
            <w:r>
              <w:rPr>
                <w:rFonts w:ascii="Arial" w:cs="Arial" w:eastAsia="Arial" w:hAnsi="Arial"/>
                <w:sz w:val="18"/>
                <w:szCs w:val="18"/>
                <w:color w:val="auto"/>
              </w:rPr>
              <w:t>(Decrease) increase in swap fair value</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(3,653)</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(639)</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(6,001)</w:t>
            </w:r>
          </w:p>
        </w:tc>
        <w:tc>
          <w:tcPr>
            <w:tcW w:w="22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03"/>
        </w:trPr>
        <w:tc>
          <w:tcPr>
            <w:tcW w:w="5080" w:type="dxa"/>
            <w:vAlign w:val="bottom"/>
          </w:tcPr>
          <w:p>
            <w:pPr>
              <w:ind w:left="240"/>
              <w:spacing w:after="0" w:line="202" w:lineRule="exact"/>
              <w:rPr>
                <w:sz w:val="20"/>
                <w:szCs w:val="20"/>
                <w:color w:val="auto"/>
              </w:rPr>
            </w:pPr>
            <w:r>
              <w:rPr>
                <w:rFonts w:ascii="Arial" w:cs="Arial" w:eastAsia="Arial" w:hAnsi="Arial"/>
                <w:sz w:val="18"/>
                <w:szCs w:val="18"/>
                <w:color w:val="auto"/>
              </w:rPr>
              <w:t>Gain on sale of subconcession right, net</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899,409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40"/>
              <w:spacing w:after="0" w:line="203" w:lineRule="exact"/>
              <w:rPr>
                <w:sz w:val="20"/>
                <w:szCs w:val="20"/>
                <w:color w:val="auto"/>
              </w:rPr>
            </w:pPr>
            <w:r>
              <w:rPr>
                <w:rFonts w:ascii="Arial" w:cs="Arial" w:eastAsia="Arial" w:hAnsi="Arial"/>
                <w:sz w:val="18"/>
                <w:szCs w:val="18"/>
                <w:color w:val="auto"/>
              </w:rPr>
              <w:t>Loss from extinguishment of debt</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(1,775)</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(157)</w:t>
            </w:r>
          </w:p>
        </w:tc>
        <w:tc>
          <w:tcPr>
            <w:tcW w:w="220" w:type="dxa"/>
            <w:vAlign w:val="bottom"/>
          </w:tcPr>
          <w:p>
            <w:pPr>
              <w:spacing w:after="0"/>
              <w:rPr>
                <w:sz w:val="17"/>
                <w:szCs w:val="17"/>
                <w:color w:val="auto"/>
              </w:rPr>
            </w:pPr>
          </w:p>
        </w:tc>
        <w:tc>
          <w:tcPr>
            <w:tcW w:w="9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(12,533)</w:t>
            </w:r>
          </w:p>
        </w:tc>
        <w:tc>
          <w:tcPr>
            <w:tcW w:w="0" w:type="dxa"/>
            <w:vAlign w:val="bottom"/>
          </w:tcPr>
          <w:p>
            <w:pPr>
              <w:spacing w:after="0"/>
              <w:rPr>
                <w:sz w:val="1"/>
                <w:szCs w:val="1"/>
                <w:color w:val="auto"/>
              </w:rPr>
            </w:pPr>
          </w:p>
        </w:tc>
      </w:tr>
      <w:tr>
        <w:trPr>
          <w:trHeight w:val="196"/>
        </w:trPr>
        <w:tc>
          <w:tcPr>
            <w:tcW w:w="5080" w:type="dxa"/>
            <w:vAlign w:val="bottom"/>
          </w:tcPr>
          <w:p>
            <w:pPr>
              <w:ind w:left="480"/>
              <w:spacing w:after="0" w:line="196" w:lineRule="exact"/>
              <w:rPr>
                <w:sz w:val="20"/>
                <w:szCs w:val="20"/>
                <w:color w:val="auto"/>
              </w:rPr>
            </w:pPr>
            <w:r>
              <w:rPr>
                <w:rFonts w:ascii="Arial" w:cs="Arial" w:eastAsia="Arial" w:hAnsi="Arial"/>
                <w:sz w:val="18"/>
                <w:szCs w:val="18"/>
                <w:color w:val="auto"/>
              </w:rPr>
              <w:t>Other income (expense), net</w:t>
            </w:r>
          </w:p>
        </w:tc>
        <w:tc>
          <w:tcPr>
            <w:tcW w:w="10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(21,074)</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(83,822)</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(102,170)</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728,330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50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87,701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(5,629)</w:t>
            </w:r>
          </w:p>
        </w:tc>
        <w:tc>
          <w:tcPr>
            <w:tcW w:w="2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327,233</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799,229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080" w:type="dxa"/>
            <w:vAlign w:val="bottom"/>
          </w:tcPr>
          <w:p>
            <w:pPr>
              <w:ind w:left="240"/>
              <w:spacing w:after="0"/>
              <w:rPr>
                <w:sz w:val="20"/>
                <w:szCs w:val="20"/>
                <w:color w:val="auto"/>
              </w:rPr>
            </w:pPr>
            <w:r>
              <w:rPr>
                <w:rFonts w:ascii="Arial" w:cs="Arial" w:eastAsia="Arial" w:hAnsi="Arial"/>
                <w:sz w:val="18"/>
                <w:szCs w:val="18"/>
                <w:color w:val="auto"/>
              </w:rPr>
              <w:t>Provision for income taxes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(22,</w:t>
            </w:r>
            <w:r>
              <w:rPr>
                <w:rFonts w:ascii="Arial" w:cs="Arial" w:eastAsia="Arial" w:hAnsi="Arial"/>
                <w:sz w:val="21"/>
                <w:szCs w:val="21"/>
                <w:color w:val="auto"/>
              </w:rPr>
              <w:t>248</w:t>
            </w: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(49,795)</w:t>
            </w:r>
          </w:p>
        </w:tc>
        <w:tc>
          <w:tcPr>
            <w:tcW w:w="2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(69,085)</w:t>
            </w:r>
          </w:p>
        </w:tc>
        <w:tc>
          <w:tcPr>
            <w:tcW w:w="2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(170,501)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80" w:type="dxa"/>
            <w:vAlign w:val="bottom"/>
          </w:tcPr>
          <w:p>
            <w:pPr>
              <w:spacing w:after="0"/>
              <w:rPr>
                <w:sz w:val="20"/>
                <w:szCs w:val="20"/>
                <w:color w:val="auto"/>
              </w:rPr>
            </w:pPr>
            <w:r>
              <w:rPr>
                <w:rFonts w:ascii="Arial" w:cs="Arial" w:eastAsia="Arial" w:hAnsi="Arial"/>
                <w:sz w:val="18"/>
                <w:szCs w:val="18"/>
                <w:color w:val="auto"/>
              </w:rPr>
              <w:t>Net income (loss)</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65,453</w:t>
            </w:r>
          </w:p>
        </w:tc>
        <w:tc>
          <w:tcPr>
            <w:tcW w:w="2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(55,424)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258,148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628,728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080" w:type="dxa"/>
            <w:vAlign w:val="bottom"/>
            <w:vMerge w:val="restart"/>
          </w:tcPr>
          <w:p>
            <w:pPr>
              <w:spacing w:after="0"/>
              <w:rPr>
                <w:sz w:val="20"/>
                <w:szCs w:val="20"/>
                <w:color w:val="auto"/>
              </w:rPr>
            </w:pPr>
            <w:r>
              <w:rPr>
                <w:rFonts w:ascii="Arial" w:cs="Arial" w:eastAsia="Arial" w:hAnsi="Arial"/>
                <w:sz w:val="18"/>
                <w:szCs w:val="18"/>
                <w:color w:val="auto"/>
              </w:rPr>
              <w:t>Basic and diluted income (loss) per common share:</w:t>
            </w:r>
          </w:p>
        </w:tc>
        <w:tc>
          <w:tcPr>
            <w:tcW w:w="1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4"/>
        </w:trPr>
        <w:tc>
          <w:tcPr>
            <w:tcW w:w="50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40"/>
              <w:spacing w:after="0" w:line="202" w:lineRule="exact"/>
              <w:rPr>
                <w:sz w:val="20"/>
                <w:szCs w:val="20"/>
                <w:color w:val="auto"/>
              </w:rPr>
            </w:pPr>
            <w:r>
              <w:rPr>
                <w:rFonts w:ascii="Arial" w:cs="Arial" w:eastAsia="Arial" w:hAnsi="Arial"/>
                <w:sz w:val="18"/>
                <w:szCs w:val="18"/>
                <w:color w:val="auto"/>
              </w:rPr>
              <w:t>Net income (loss):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440"/>
              <w:spacing w:after="0" w:line="202" w:lineRule="exact"/>
              <w:rPr>
                <w:sz w:val="20"/>
                <w:szCs w:val="20"/>
                <w:color w:val="auto"/>
              </w:rPr>
            </w:pPr>
            <w:r>
              <w:rPr>
                <w:rFonts w:ascii="Arial" w:cs="Arial" w:eastAsia="Arial" w:hAnsi="Arial"/>
                <w:sz w:val="18"/>
                <w:szCs w:val="18"/>
                <w:color w:val="auto"/>
              </w:rPr>
              <w:t>Basic</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0.58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(0.55)</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2.43</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Diluted*</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(0.55)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440"/>
              <w:spacing w:after="0" w:line="202" w:lineRule="exact"/>
              <w:rPr>
                <w:sz w:val="20"/>
                <w:szCs w:val="20"/>
                <w:color w:val="auto"/>
              </w:rPr>
            </w:pPr>
            <w:r>
              <w:rPr>
                <w:rFonts w:ascii="Arial" w:cs="Arial" w:eastAsia="Arial" w:hAnsi="Arial"/>
                <w:sz w:val="18"/>
                <w:szCs w:val="18"/>
                <w:color w:val="auto"/>
              </w:rPr>
              <w:t>Basic</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113,720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100,918</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106,030</w:t>
            </w:r>
          </w:p>
        </w:tc>
        <w:tc>
          <w:tcPr>
            <w:tcW w:w="22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99,998</w:t>
            </w:r>
          </w:p>
        </w:tc>
        <w:tc>
          <w:tcPr>
            <w:tcW w:w="0" w:type="dxa"/>
            <w:vAlign w:val="bottom"/>
          </w:tcPr>
          <w:p>
            <w:pPr>
              <w:spacing w:after="0"/>
              <w:rPr>
                <w:sz w:val="1"/>
                <w:szCs w:val="1"/>
                <w:color w:val="auto"/>
              </w:rPr>
            </w:pPr>
          </w:p>
        </w:tc>
      </w:tr>
      <w:tr>
        <w:trPr>
          <w:trHeight w:val="217"/>
        </w:trPr>
        <w:tc>
          <w:tcPr>
            <w:tcW w:w="508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115,257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100,918</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112,685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111,627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Note: * Diluted earnings per share for the years ended December 31, 2007 and 2006 include the assumption that the convertible subordinated debentures were converted into</w:t>
      </w:r>
    </w:p>
    <w:p>
      <w:pPr>
        <w:spacing w:after="0" w:line="28"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color w:val="auto"/>
        </w:rPr>
        <w:t>shares of common stock. Accordingly, net income used in the computation of diluted earnings per share is increased by approximately $5.1 million and $9.4 million, of net interest attributable to these debentures for the years ended December 31, 2007 and 2006 and the cash distribution of $58.5 million for the year ended December 31, 2006.</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50" w:right="29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RECONCILIATION OF NET INCOME (LOSS)</w:t>
      </w:r>
    </w:p>
    <w:p>
      <w:pPr>
        <w:jc w:val="center"/>
        <w:ind w:right="-39"/>
        <w:spacing w:after="0" w:line="234" w:lineRule="auto"/>
        <w:rPr>
          <w:sz w:val="20"/>
          <w:szCs w:val="20"/>
          <w:color w:val="auto"/>
        </w:rPr>
      </w:pPr>
      <w:r>
        <w:rPr>
          <w:rFonts w:ascii="Arial" w:cs="Arial" w:eastAsia="Arial" w:hAnsi="Arial"/>
          <w:sz w:val="18"/>
          <w:szCs w:val="18"/>
          <w:color w:val="auto"/>
        </w:rPr>
        <w:t>TO ADJUSTED NET INCOME</w:t>
      </w:r>
    </w:p>
    <w:p>
      <w:pPr>
        <w:jc w:val="center"/>
        <w:ind w:right="-39"/>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25"/>
        </w:trPr>
        <w:tc>
          <w:tcPr>
            <w:tcW w:w="6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9"/>
                <w:szCs w:val="19"/>
                <w:color w:val="auto"/>
              </w:rPr>
            </w:pPr>
          </w:p>
        </w:tc>
        <w:tc>
          <w:tcPr>
            <w:tcW w:w="23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2007</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8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65,453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(55,424)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258,148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628,728</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line="202" w:lineRule="exact"/>
              <w:rPr>
                <w:sz w:val="20"/>
                <w:szCs w:val="20"/>
                <w:color w:val="auto"/>
              </w:rPr>
            </w:pPr>
            <w:r>
              <w:rPr>
                <w:rFonts w:ascii="Arial" w:cs="Arial" w:eastAsia="Arial" w:hAnsi="Arial"/>
                <w:sz w:val="18"/>
                <w:szCs w:val="18"/>
                <w:color w:val="auto"/>
              </w:rPr>
              <w:t>Gain on sale of subconcession right, net........</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(899,409)</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line="202" w:lineRule="exact"/>
              <w:rPr>
                <w:sz w:val="20"/>
                <w:szCs w:val="20"/>
                <w:color w:val="auto"/>
              </w:rPr>
            </w:pPr>
            <w:r>
              <w:rPr>
                <w:rFonts w:ascii="Arial" w:cs="Arial" w:eastAsia="Arial" w:hAnsi="Arial"/>
                <w:sz w:val="18"/>
                <w:szCs w:val="18"/>
                <w:color w:val="auto"/>
              </w:rPr>
              <w:t>Interest income on subconcession proceeds..</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(9,946)</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(12,489)</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line="202" w:lineRule="exact"/>
              <w:rPr>
                <w:sz w:val="20"/>
                <w:szCs w:val="20"/>
                <w:color w:val="auto"/>
              </w:rPr>
            </w:pPr>
            <w:r>
              <w:rPr>
                <w:rFonts w:ascii="Arial" w:cs="Arial" w:eastAsia="Arial" w:hAnsi="Arial"/>
                <w:sz w:val="18"/>
                <w:szCs w:val="18"/>
                <w:color w:val="auto"/>
              </w:rPr>
              <w:t>Pre-opening costs</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2,883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(68)</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7,063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62,726</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line="202" w:lineRule="exact"/>
              <w:rPr>
                <w:sz w:val="20"/>
                <w:szCs w:val="20"/>
                <w:color w:val="auto"/>
              </w:rPr>
            </w:pPr>
            <w:r>
              <w:rPr>
                <w:rFonts w:ascii="Arial" w:cs="Arial" w:eastAsia="Arial" w:hAnsi="Arial"/>
                <w:sz w:val="18"/>
                <w:szCs w:val="18"/>
                <w:color w:val="auto"/>
              </w:rPr>
              <w:t>Loss from the extinguishment of debt</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1,775</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12,533</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line="202" w:lineRule="exact"/>
              <w:rPr>
                <w:sz w:val="20"/>
                <w:szCs w:val="20"/>
                <w:color w:val="auto"/>
              </w:rPr>
            </w:pPr>
            <w:r>
              <w:rPr>
                <w:rFonts w:ascii="Arial" w:cs="Arial" w:eastAsia="Arial" w:hAnsi="Arial"/>
                <w:sz w:val="18"/>
                <w:szCs w:val="18"/>
                <w:color w:val="auto"/>
              </w:rPr>
              <w:t>Decrease (increase) in swap fair value</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639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6,001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line="202" w:lineRule="exact"/>
              <w:rPr>
                <w:sz w:val="20"/>
                <w:szCs w:val="20"/>
                <w:color w:val="auto"/>
              </w:rPr>
            </w:pPr>
            <w:r>
              <w:rPr>
                <w:rFonts w:ascii="Arial" w:cs="Arial" w:eastAsia="Arial" w:hAnsi="Arial"/>
                <w:sz w:val="18"/>
                <w:szCs w:val="18"/>
                <w:color w:val="auto"/>
              </w:rPr>
              <w:t>Property charges and other</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9,471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11,996</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60,857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25,060</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line="202" w:lineRule="exact"/>
              <w:rPr>
                <w:sz w:val="20"/>
                <w:szCs w:val="20"/>
                <w:color w:val="auto"/>
              </w:rPr>
            </w:pPr>
            <w:r>
              <w:rPr>
                <w:rFonts w:ascii="Arial" w:cs="Arial" w:eastAsia="Arial" w:hAnsi="Arial"/>
                <w:sz w:val="18"/>
                <w:szCs w:val="18"/>
                <w:color w:val="auto"/>
              </w:rPr>
              <w:t>Distribution to convertible debenture holders</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58,477</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58,477</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line="202" w:lineRule="exact"/>
              <w:rPr>
                <w:sz w:val="20"/>
                <w:szCs w:val="20"/>
                <w:color w:val="auto"/>
              </w:rPr>
            </w:pPr>
            <w:r>
              <w:rPr>
                <w:rFonts w:ascii="Arial" w:cs="Arial" w:eastAsia="Arial" w:hAnsi="Arial"/>
                <w:sz w:val="18"/>
                <w:szCs w:val="18"/>
                <w:color w:val="auto"/>
              </w:rPr>
              <w:t>Avenue Q contract termination fee</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line="203" w:lineRule="exact"/>
              <w:rPr>
                <w:sz w:val="20"/>
                <w:szCs w:val="20"/>
                <w:color w:val="auto"/>
              </w:rPr>
            </w:pPr>
            <w:r>
              <w:rPr>
                <w:rFonts w:ascii="Arial" w:cs="Arial" w:eastAsia="Arial" w:hAnsi="Arial"/>
                <w:sz w:val="18"/>
                <w:szCs w:val="18"/>
                <w:color w:val="auto"/>
              </w:rPr>
              <w:t>Adjustment for income taxes</w:t>
            </w:r>
          </w:p>
        </w:tc>
        <w:tc>
          <w:tcPr>
            <w:tcW w:w="2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1,096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49,651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(2,868)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169,989</w:t>
            </w:r>
          </w:p>
        </w:tc>
        <w:tc>
          <w:tcPr>
            <w:tcW w:w="0" w:type="dxa"/>
            <w:vAlign w:val="bottom"/>
          </w:tcPr>
          <w:p>
            <w:pPr>
              <w:spacing w:after="0"/>
              <w:rPr>
                <w:sz w:val="1"/>
                <w:szCs w:val="1"/>
                <w:color w:val="auto"/>
              </w:rPr>
            </w:pPr>
          </w:p>
        </w:tc>
      </w:tr>
      <w:tr>
        <w:trPr>
          <w:trHeight w:val="27"/>
        </w:trPr>
        <w:tc>
          <w:tcPr>
            <w:tcW w:w="6080" w:type="dxa"/>
            <w:vAlign w:val="bottom"/>
            <w:vMerge w:val="restart"/>
          </w:tcPr>
          <w:p>
            <w:pPr>
              <w:spacing w:after="0" w:line="242" w:lineRule="exact"/>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25"/>
                <w:szCs w:val="25"/>
                <w:color w:val="auto"/>
                <w:vertAlign w:val="superscript"/>
              </w:rPr>
              <w:t>(2)</w:t>
            </w: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82,556</w:t>
            </w:r>
          </w:p>
        </w:tc>
        <w:tc>
          <w:tcPr>
            <w:tcW w:w="1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57,100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329,358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49,419</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080" w:type="dxa"/>
            <w:vAlign w:val="bottom"/>
          </w:tcPr>
          <w:p>
            <w:pPr>
              <w:spacing w:after="0"/>
              <w:rPr>
                <w:sz w:val="20"/>
                <w:szCs w:val="20"/>
                <w:color w:val="auto"/>
              </w:rPr>
            </w:pPr>
            <w:r>
              <w:rPr>
                <w:rFonts w:ascii="Arial" w:cs="Arial" w:eastAsia="Arial" w:hAnsi="Arial"/>
                <w:sz w:val="18"/>
                <w:szCs w:val="18"/>
                <w:color w:val="auto"/>
              </w:rPr>
              <w:t>Adjusted net income per diluted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24"/>
                <w:szCs w:val="2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0.53</w:t>
            </w:r>
          </w:p>
        </w:tc>
        <w:tc>
          <w:tcPr>
            <w:tcW w:w="2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2.97</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color w:val="auto"/>
        </w:rPr>
        <w:t>Note: * Diluted adjusted net income per share for the three months ended December 31, 2006 and the years ended December 31, 2007 and 2006, includes the assumption that the convertible debentures were converted into shares of common stock. Since the convertible debentures were all converted into shares of stock in July 2007, there is no adjustment to net income for the quarter ended December 31, 2007. Accordingly, adjusted net income used in the computation of diluted adjusted net income per share for the three months ended December 31, 2006 and the years ended December 31, 2007 and 2006, is increased by approximately $2.3 million, $5.1 million and $9.4 million, respectively, of net interest attributable to these debentures.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50"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TO ADJUSTED EBITDA</w:t>
      </w:r>
    </w:p>
    <w:p>
      <w:pPr>
        <w:jc w:val="center"/>
        <w:spacing w:after="0" w:line="234" w:lineRule="auto"/>
        <w:rPr>
          <w:sz w:val="20"/>
          <w:szCs w:val="20"/>
          <w:color w:val="auto"/>
        </w:rPr>
      </w:pPr>
      <w:r>
        <w:rPr>
          <w:rFonts w:ascii="Arial" w:cs="Arial" w:eastAsia="Arial" w:hAnsi="Arial"/>
          <w:sz w:val="18"/>
          <w:szCs w:val="18"/>
          <w:color w:val="auto"/>
        </w:rPr>
        <w:t>AND ADJUSTED EBITDA TO NET INCOME (LOSS)</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gridSpan w:val="11"/>
          </w:tcPr>
          <w:p>
            <w:pPr>
              <w:jc w:val="right"/>
              <w:ind w:right="40"/>
              <w:spacing w:after="0"/>
              <w:rPr>
                <w:sz w:val="20"/>
                <w:szCs w:val="20"/>
                <w:color w:val="auto"/>
              </w:rPr>
            </w:pPr>
            <w:r>
              <w:rPr>
                <w:rFonts w:ascii="Arial" w:cs="Arial" w:eastAsia="Arial" w:hAnsi="Arial"/>
                <w:sz w:val="18"/>
                <w:szCs w:val="18"/>
                <w:b w:val="1"/>
                <w:bCs w:val="1"/>
                <w:color w:val="auto"/>
              </w:rPr>
              <w:t>Three Months Ended December 31, 2007</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20"/>
              <w:spacing w:after="0" w:line="173" w:lineRule="exact"/>
              <w:rPr>
                <w:sz w:val="20"/>
                <w:szCs w:val="20"/>
                <w:color w:val="auto"/>
              </w:rPr>
            </w:pPr>
            <w:r>
              <w:rPr>
                <w:rFonts w:ascii="Arial" w:cs="Arial" w:eastAsia="Arial" w:hAnsi="Arial"/>
                <w:sz w:val="18"/>
                <w:szCs w:val="18"/>
                <w:b w:val="1"/>
                <w:bCs w:val="1"/>
                <w:color w:val="auto"/>
              </w:rPr>
              <w:t>Wynn Las</w:t>
            </w:r>
          </w:p>
        </w:tc>
        <w:tc>
          <w:tcPr>
            <w:tcW w:w="200" w:type="dxa"/>
            <w:vAlign w:val="bottom"/>
          </w:tcPr>
          <w:p>
            <w:pPr>
              <w:spacing w:after="0"/>
              <w:rPr>
                <w:sz w:val="15"/>
                <w:szCs w:val="15"/>
                <w:color w:val="auto"/>
              </w:rPr>
            </w:pPr>
          </w:p>
        </w:tc>
        <w:tc>
          <w:tcPr>
            <w:tcW w:w="1040" w:type="dxa"/>
            <w:vAlign w:val="bottom"/>
            <w:gridSpan w:val="2"/>
          </w:tcPr>
          <w:p>
            <w:pPr>
              <w:ind w:left="120"/>
              <w:spacing w:after="0" w:line="173" w:lineRule="exact"/>
              <w:rPr>
                <w:sz w:val="20"/>
                <w:szCs w:val="20"/>
                <w:color w:val="auto"/>
              </w:rPr>
            </w:pPr>
            <w:r>
              <w:rPr>
                <w:rFonts w:ascii="Arial" w:cs="Arial" w:eastAsia="Arial" w:hAnsi="Arial"/>
                <w:sz w:val="18"/>
                <w:szCs w:val="18"/>
                <w:b w:val="1"/>
                <w:bCs w:val="1"/>
                <w:color w:val="auto"/>
              </w:rPr>
              <w:t>Wynn</w:t>
            </w:r>
          </w:p>
        </w:tc>
        <w:tc>
          <w:tcPr>
            <w:tcW w:w="120" w:type="dxa"/>
            <w:vAlign w:val="bottom"/>
          </w:tcPr>
          <w:p>
            <w:pPr>
              <w:spacing w:after="0"/>
              <w:rPr>
                <w:sz w:val="15"/>
                <w:szCs w:val="15"/>
                <w:color w:val="auto"/>
              </w:rPr>
            </w:pPr>
          </w:p>
        </w:tc>
        <w:tc>
          <w:tcPr>
            <w:tcW w:w="1240" w:type="dxa"/>
            <w:vAlign w:val="bottom"/>
            <w:gridSpan w:val="3"/>
          </w:tcPr>
          <w:p>
            <w:pPr>
              <w:spacing w:after="0" w:line="173" w:lineRule="exact"/>
              <w:rPr>
                <w:sz w:val="20"/>
                <w:szCs w:val="20"/>
                <w:color w:val="auto"/>
              </w:rPr>
            </w:pPr>
            <w:r>
              <w:rPr>
                <w:rFonts w:ascii="Arial" w:cs="Arial" w:eastAsia="Arial" w:hAnsi="Arial"/>
                <w:sz w:val="18"/>
                <w:szCs w:val="18"/>
                <w:b w:val="1"/>
                <w:bCs w:val="1"/>
                <w:color w:val="auto"/>
                <w:w w:val="99"/>
              </w:rPr>
              <w:t>Corporate and</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Vegas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Macau</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42,384</w:t>
            </w:r>
          </w:p>
        </w:tc>
        <w:tc>
          <w:tcPr>
            <w:tcW w:w="2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50,565</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15,826</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108,775</w:t>
            </w:r>
          </w:p>
        </w:tc>
        <w:tc>
          <w:tcPr>
            <w:tcW w:w="0" w:type="dxa"/>
            <w:vAlign w:val="bottom"/>
          </w:tcPr>
          <w:p>
            <w:pPr>
              <w:spacing w:after="0"/>
              <w:rPr>
                <w:sz w:val="1"/>
                <w:szCs w:val="1"/>
                <w:color w:val="auto"/>
              </w:rPr>
            </w:pPr>
          </w:p>
        </w:tc>
      </w:tr>
      <w:tr>
        <w:trPr>
          <w:trHeight w:val="404"/>
        </w:trPr>
        <w:tc>
          <w:tcPr>
            <w:tcW w:w="608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03"/>
        </w:trPr>
        <w:tc>
          <w:tcPr>
            <w:tcW w:w="6080" w:type="dxa"/>
            <w:vAlign w:val="bottom"/>
          </w:tcPr>
          <w:p>
            <w:pPr>
              <w:ind w:left="24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40,371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19,231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894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60,496</w:t>
            </w: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Arial" w:cs="Arial" w:eastAsia="Arial" w:hAnsi="Arial"/>
                <w:sz w:val="18"/>
                <w:szCs w:val="18"/>
                <w:color w:val="auto"/>
              </w:rPr>
              <w:t>Property charges and other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16,873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(9,303)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9,471</w:t>
            </w:r>
          </w:p>
        </w:tc>
        <w:tc>
          <w:tcPr>
            <w:tcW w:w="0" w:type="dxa"/>
            <w:vAlign w:val="bottom"/>
          </w:tcPr>
          <w:p>
            <w:pPr>
              <w:spacing w:after="0"/>
              <w:rPr>
                <w:sz w:val="1"/>
                <w:szCs w:val="1"/>
                <w:color w:val="auto"/>
              </w:rPr>
            </w:pPr>
          </w:p>
        </w:tc>
      </w:tr>
      <w:tr>
        <w:trPr>
          <w:trHeight w:val="203"/>
        </w:trPr>
        <w:tc>
          <w:tcPr>
            <w:tcW w:w="6080" w:type="dxa"/>
            <w:vAlign w:val="bottom"/>
          </w:tcPr>
          <w:p>
            <w:pPr>
              <w:ind w:left="100"/>
              <w:spacing w:after="0" w:line="202" w:lineRule="exact"/>
              <w:rPr>
                <w:sz w:val="20"/>
                <w:szCs w:val="20"/>
                <w:color w:val="auto"/>
              </w:rPr>
            </w:pPr>
            <w:r>
              <w:rPr>
                <w:rFonts w:ascii="Arial" w:cs="Arial" w:eastAsia="Arial" w:hAnsi="Arial"/>
                <w:sz w:val="18"/>
                <w:szCs w:val="18"/>
                <w:color w:val="auto"/>
              </w:rPr>
              <w:t>Corporate expense, management</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380"/>
              <w:spacing w:after="0" w:line="202" w:lineRule="exact"/>
              <w:rPr>
                <w:sz w:val="20"/>
                <w:szCs w:val="20"/>
                <w:color w:val="auto"/>
              </w:rPr>
            </w:pPr>
            <w:r>
              <w:rPr>
                <w:rFonts w:ascii="Arial" w:cs="Arial" w:eastAsia="Arial" w:hAnsi="Arial"/>
                <w:sz w:val="18"/>
                <w:szCs w:val="18"/>
                <w:color w:val="auto"/>
              </w:rPr>
              <w:t>fees, royalties and other</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8,429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12,299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(9,415)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11,313</w:t>
            </w:r>
          </w:p>
        </w:tc>
        <w:tc>
          <w:tcPr>
            <w:tcW w:w="0" w:type="dxa"/>
            <w:vAlign w:val="bottom"/>
          </w:tcPr>
          <w:p>
            <w:pPr>
              <w:spacing w:after="0"/>
              <w:rPr>
                <w:sz w:val="1"/>
                <w:szCs w:val="1"/>
                <w:color w:val="auto"/>
              </w:rPr>
            </w:pPr>
          </w:p>
        </w:tc>
      </w:tr>
      <w:tr>
        <w:trPr>
          <w:trHeight w:val="217"/>
        </w:trPr>
        <w:tc>
          <w:tcPr>
            <w:tcW w:w="60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03"/>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97,319</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99,612</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196,931</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gridSpan w:val="11"/>
          </w:tcPr>
          <w:p>
            <w:pPr>
              <w:jc w:val="right"/>
              <w:ind w:right="40"/>
              <w:spacing w:after="0"/>
              <w:rPr>
                <w:sz w:val="20"/>
                <w:szCs w:val="20"/>
                <w:color w:val="auto"/>
              </w:rPr>
            </w:pPr>
            <w:r>
              <w:rPr>
                <w:rFonts w:ascii="Arial" w:cs="Arial" w:eastAsia="Arial" w:hAnsi="Arial"/>
                <w:sz w:val="18"/>
                <w:szCs w:val="18"/>
                <w:b w:val="1"/>
                <w:bCs w:val="1"/>
                <w:color w:val="auto"/>
              </w:rPr>
              <w:t>Three Months Ended December 31, 2006</w:t>
            </w:r>
          </w:p>
        </w:tc>
        <w:tc>
          <w:tcPr>
            <w:tcW w:w="8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20"/>
              <w:spacing w:after="0" w:line="173" w:lineRule="exact"/>
              <w:rPr>
                <w:sz w:val="20"/>
                <w:szCs w:val="20"/>
                <w:color w:val="auto"/>
              </w:rPr>
            </w:pPr>
            <w:r>
              <w:rPr>
                <w:rFonts w:ascii="Arial" w:cs="Arial" w:eastAsia="Arial" w:hAnsi="Arial"/>
                <w:sz w:val="18"/>
                <w:szCs w:val="18"/>
                <w:b w:val="1"/>
                <w:bCs w:val="1"/>
                <w:color w:val="auto"/>
              </w:rPr>
              <w:t>Wynn Las</w:t>
            </w:r>
          </w:p>
        </w:tc>
        <w:tc>
          <w:tcPr>
            <w:tcW w:w="200" w:type="dxa"/>
            <w:vAlign w:val="bottom"/>
          </w:tcPr>
          <w:p>
            <w:pPr>
              <w:spacing w:after="0"/>
              <w:rPr>
                <w:sz w:val="15"/>
                <w:szCs w:val="15"/>
                <w:color w:val="auto"/>
              </w:rPr>
            </w:pPr>
          </w:p>
        </w:tc>
        <w:tc>
          <w:tcPr>
            <w:tcW w:w="1080" w:type="dxa"/>
            <w:vAlign w:val="bottom"/>
            <w:gridSpan w:val="2"/>
          </w:tcPr>
          <w:p>
            <w:pPr>
              <w:jc w:val="right"/>
              <w:ind w:right="460"/>
              <w:spacing w:after="0" w:line="173" w:lineRule="exact"/>
              <w:rPr>
                <w:sz w:val="20"/>
                <w:szCs w:val="20"/>
                <w:color w:val="auto"/>
              </w:rPr>
            </w:pPr>
            <w:r>
              <w:rPr>
                <w:rFonts w:ascii="Arial" w:cs="Arial" w:eastAsia="Arial" w:hAnsi="Arial"/>
                <w:sz w:val="18"/>
                <w:szCs w:val="18"/>
                <w:b w:val="1"/>
                <w:bCs w:val="1"/>
                <w:color w:val="auto"/>
              </w:rPr>
              <w:t>Wynn</w:t>
            </w:r>
          </w:p>
        </w:tc>
        <w:tc>
          <w:tcPr>
            <w:tcW w:w="80" w:type="dxa"/>
            <w:vAlign w:val="bottom"/>
          </w:tcPr>
          <w:p>
            <w:pPr>
              <w:spacing w:after="0"/>
              <w:rPr>
                <w:sz w:val="15"/>
                <w:szCs w:val="15"/>
                <w:color w:val="auto"/>
              </w:rPr>
            </w:pPr>
          </w:p>
        </w:tc>
        <w:tc>
          <w:tcPr>
            <w:tcW w:w="1240" w:type="dxa"/>
            <w:vAlign w:val="bottom"/>
            <w:gridSpan w:val="3"/>
          </w:tcPr>
          <w:p>
            <w:pPr>
              <w:spacing w:after="0" w:line="173" w:lineRule="exact"/>
              <w:rPr>
                <w:sz w:val="20"/>
                <w:szCs w:val="20"/>
                <w:color w:val="auto"/>
              </w:rPr>
            </w:pPr>
            <w:r>
              <w:rPr>
                <w:rFonts w:ascii="Arial" w:cs="Arial" w:eastAsia="Arial" w:hAnsi="Arial"/>
                <w:sz w:val="18"/>
                <w:szCs w:val="18"/>
                <w:b w:val="1"/>
                <w:bCs w:val="1"/>
                <w:color w:val="auto"/>
                <w:w w:val="99"/>
              </w:rPr>
              <w:t>Corporate and</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Vegas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Macau</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49,628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22,685</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5,880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78,193</w:t>
            </w:r>
          </w:p>
        </w:tc>
        <w:tc>
          <w:tcPr>
            <w:tcW w:w="0" w:type="dxa"/>
            <w:vAlign w:val="bottom"/>
          </w:tcPr>
          <w:p>
            <w:pPr>
              <w:spacing w:after="0"/>
              <w:rPr>
                <w:sz w:val="1"/>
                <w:szCs w:val="1"/>
                <w:color w:val="auto"/>
              </w:rPr>
            </w:pPr>
          </w:p>
        </w:tc>
      </w:tr>
      <w:tr>
        <w:trPr>
          <w:trHeight w:val="404"/>
        </w:trPr>
        <w:tc>
          <w:tcPr>
            <w:tcW w:w="608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6080" w:type="dxa"/>
            <w:vAlign w:val="bottom"/>
          </w:tcPr>
          <w:p>
            <w:pPr>
              <w:ind w:left="24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34,814</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15,038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50,667</w:t>
            </w: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Arial" w:cs="Arial" w:eastAsia="Arial" w:hAnsi="Arial"/>
                <w:sz w:val="18"/>
                <w:szCs w:val="18"/>
                <w:color w:val="auto"/>
              </w:rPr>
              <w:t>Property charges and other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10,661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11,996</w:t>
            </w:r>
          </w:p>
        </w:tc>
        <w:tc>
          <w:tcPr>
            <w:tcW w:w="0" w:type="dxa"/>
            <w:vAlign w:val="bottom"/>
          </w:tcPr>
          <w:p>
            <w:pPr>
              <w:spacing w:after="0"/>
              <w:rPr>
                <w:sz w:val="1"/>
                <w:szCs w:val="1"/>
                <w:color w:val="auto"/>
              </w:rPr>
            </w:pPr>
          </w:p>
        </w:tc>
      </w:tr>
      <w:tr>
        <w:trPr>
          <w:trHeight w:val="203"/>
        </w:trPr>
        <w:tc>
          <w:tcPr>
            <w:tcW w:w="6080" w:type="dxa"/>
            <w:vAlign w:val="bottom"/>
          </w:tcPr>
          <w:p>
            <w:pPr>
              <w:ind w:left="100"/>
              <w:spacing w:after="0" w:line="202" w:lineRule="exact"/>
              <w:rPr>
                <w:sz w:val="20"/>
                <w:szCs w:val="20"/>
                <w:color w:val="auto"/>
              </w:rPr>
            </w:pPr>
            <w:r>
              <w:rPr>
                <w:rFonts w:ascii="Arial" w:cs="Arial" w:eastAsia="Arial" w:hAnsi="Arial"/>
                <w:sz w:val="18"/>
                <w:szCs w:val="18"/>
                <w:color w:val="auto"/>
              </w:rPr>
              <w:t>Corporate expense, management</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380"/>
              <w:spacing w:after="0" w:line="202" w:lineRule="exact"/>
              <w:rPr>
                <w:sz w:val="20"/>
                <w:szCs w:val="20"/>
                <w:color w:val="auto"/>
              </w:rPr>
            </w:pPr>
            <w:r>
              <w:rPr>
                <w:rFonts w:ascii="Arial" w:cs="Arial" w:eastAsia="Arial" w:hAnsi="Arial"/>
                <w:sz w:val="18"/>
                <w:szCs w:val="18"/>
                <w:color w:val="auto"/>
              </w:rPr>
              <w:t>fees, royalties and other</w:t>
            </w:r>
          </w:p>
        </w:tc>
        <w:tc>
          <w:tcPr>
            <w:tcW w:w="12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12,350</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11,220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(8,395)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15,175</w:t>
            </w:r>
          </w:p>
        </w:tc>
        <w:tc>
          <w:tcPr>
            <w:tcW w:w="0" w:type="dxa"/>
            <w:vAlign w:val="bottom"/>
          </w:tcPr>
          <w:p>
            <w:pPr>
              <w:spacing w:after="0"/>
              <w:rPr>
                <w:sz w:val="1"/>
                <w:szCs w:val="1"/>
                <w:color w:val="auto"/>
              </w:rPr>
            </w:pPr>
          </w:p>
        </w:tc>
      </w:tr>
      <w:tr>
        <w:trPr>
          <w:trHeight w:val="217"/>
        </w:trPr>
        <w:tc>
          <w:tcPr>
            <w:tcW w:w="60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03"/>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101,186</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58,544</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159,730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5"/>
        </w:trPr>
        <w:tc>
          <w:tcPr>
            <w:tcW w:w="47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7"/>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4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4720" w:type="dxa"/>
            <w:vAlign w:val="bottom"/>
            <w:vMerge w:val="continue"/>
          </w:tcPr>
          <w:p>
            <w:pPr>
              <w:spacing w:after="0"/>
              <w:rPr>
                <w:sz w:val="24"/>
                <w:szCs w:val="24"/>
                <w:color w:val="auto"/>
              </w:rPr>
            </w:pPr>
          </w:p>
        </w:tc>
        <w:tc>
          <w:tcPr>
            <w:tcW w:w="4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196,931</w:t>
            </w:r>
          </w:p>
        </w:tc>
        <w:tc>
          <w:tcPr>
            <w:tcW w:w="2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159,730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72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(2,883)</w:t>
            </w:r>
          </w:p>
        </w:tc>
        <w:tc>
          <w:tcPr>
            <w:tcW w:w="2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7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(60,496)</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(50,667)</w:t>
            </w:r>
          </w:p>
        </w:tc>
        <w:tc>
          <w:tcPr>
            <w:tcW w:w="0" w:type="dxa"/>
            <w:vAlign w:val="bottom"/>
          </w:tcPr>
          <w:p>
            <w:pPr>
              <w:spacing w:after="0"/>
              <w:rPr>
                <w:sz w:val="1"/>
                <w:szCs w:val="1"/>
                <w:color w:val="auto"/>
              </w:rPr>
            </w:pPr>
          </w:p>
        </w:tc>
      </w:tr>
      <w:tr>
        <w:trPr>
          <w:trHeight w:val="216"/>
        </w:trPr>
        <w:tc>
          <w:tcPr>
            <w:tcW w:w="4720" w:type="dxa"/>
            <w:vAlign w:val="bottom"/>
          </w:tcPr>
          <w:p>
            <w:pPr>
              <w:ind w:left="240"/>
              <w:spacing w:after="0"/>
              <w:rPr>
                <w:sz w:val="20"/>
                <w:szCs w:val="20"/>
                <w:color w:val="auto"/>
              </w:rPr>
            </w:pPr>
            <w:r>
              <w:rPr>
                <w:rFonts w:ascii="Arial" w:cs="Arial" w:eastAsia="Arial" w:hAnsi="Arial"/>
                <w:sz w:val="18"/>
                <w:szCs w:val="18"/>
                <w:color w:val="auto"/>
              </w:rPr>
              <w:t>Property charges and other</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(9,471)</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(11,996)</w:t>
            </w:r>
          </w:p>
        </w:tc>
        <w:tc>
          <w:tcPr>
            <w:tcW w:w="0" w:type="dxa"/>
            <w:vAlign w:val="bottom"/>
          </w:tcPr>
          <w:p>
            <w:pPr>
              <w:spacing w:after="0"/>
              <w:rPr>
                <w:sz w:val="1"/>
                <w:szCs w:val="1"/>
                <w:color w:val="auto"/>
              </w:rPr>
            </w:pPr>
          </w:p>
        </w:tc>
      </w:tr>
      <w:tr>
        <w:trPr>
          <w:trHeight w:val="216"/>
        </w:trPr>
        <w:tc>
          <w:tcPr>
            <w:tcW w:w="4720" w:type="dxa"/>
            <w:vAlign w:val="bottom"/>
          </w:tcPr>
          <w:p>
            <w:pPr>
              <w:ind w:left="240"/>
              <w:spacing w:after="0"/>
              <w:rPr>
                <w:sz w:val="20"/>
                <w:szCs w:val="20"/>
                <w:color w:val="auto"/>
              </w:rPr>
            </w:pPr>
            <w:r>
              <w:rPr>
                <w:rFonts w:ascii="Arial" w:cs="Arial" w:eastAsia="Arial" w:hAnsi="Arial"/>
                <w:sz w:val="18"/>
                <w:szCs w:val="18"/>
                <w:color w:val="auto"/>
              </w:rPr>
              <w:t>Corporate expenses and other</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(11,313)</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(15,175)</w:t>
            </w:r>
          </w:p>
        </w:tc>
        <w:tc>
          <w:tcPr>
            <w:tcW w:w="0" w:type="dxa"/>
            <w:vAlign w:val="bottom"/>
          </w:tcPr>
          <w:p>
            <w:pPr>
              <w:spacing w:after="0"/>
              <w:rPr>
                <w:sz w:val="1"/>
                <w:szCs w:val="1"/>
                <w:color w:val="auto"/>
              </w:rPr>
            </w:pPr>
          </w:p>
        </w:tc>
      </w:tr>
      <w:tr>
        <w:trPr>
          <w:trHeight w:val="216"/>
        </w:trPr>
        <w:tc>
          <w:tcPr>
            <w:tcW w:w="47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(3,993)</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16"/>
        </w:trPr>
        <w:tc>
          <w:tcPr>
            <w:tcW w:w="4720" w:type="dxa"/>
            <w:vAlign w:val="bottom"/>
          </w:tcPr>
          <w:p>
            <w:pPr>
              <w:ind w:left="240"/>
              <w:spacing w:after="0"/>
              <w:rPr>
                <w:sz w:val="20"/>
                <w:szCs w:val="20"/>
                <w:color w:val="auto"/>
              </w:rPr>
            </w:pPr>
            <w:r>
              <w:rPr>
                <w:rFonts w:ascii="Arial" w:cs="Arial" w:eastAsia="Arial" w:hAnsi="Arial"/>
                <w:sz w:val="18"/>
                <w:szCs w:val="18"/>
                <w:color w:val="auto"/>
              </w:rPr>
              <w:t>Interest and other income</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16,868</w:t>
            </w:r>
          </w:p>
        </w:tc>
        <w:tc>
          <w:tcPr>
            <w:tcW w:w="0" w:type="dxa"/>
            <w:vAlign w:val="bottom"/>
          </w:tcPr>
          <w:p>
            <w:pPr>
              <w:spacing w:after="0"/>
              <w:rPr>
                <w:sz w:val="1"/>
                <w:szCs w:val="1"/>
                <w:color w:val="auto"/>
              </w:rPr>
            </w:pPr>
          </w:p>
        </w:tc>
      </w:tr>
      <w:tr>
        <w:trPr>
          <w:trHeight w:val="216"/>
        </w:trPr>
        <w:tc>
          <w:tcPr>
            <w:tcW w:w="47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(35,901)</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(39,799)</w:t>
            </w:r>
          </w:p>
        </w:tc>
        <w:tc>
          <w:tcPr>
            <w:tcW w:w="0" w:type="dxa"/>
            <w:vAlign w:val="bottom"/>
          </w:tcPr>
          <w:p>
            <w:pPr>
              <w:spacing w:after="0"/>
              <w:rPr>
                <w:sz w:val="1"/>
                <w:szCs w:val="1"/>
                <w:color w:val="auto"/>
              </w:rPr>
            </w:pPr>
          </w:p>
        </w:tc>
      </w:tr>
      <w:tr>
        <w:trPr>
          <w:trHeight w:val="216"/>
        </w:trPr>
        <w:tc>
          <w:tcPr>
            <w:tcW w:w="4720" w:type="dxa"/>
            <w:vAlign w:val="bottom"/>
          </w:tcPr>
          <w:p>
            <w:pPr>
              <w:ind w:left="240"/>
              <w:spacing w:after="0"/>
              <w:rPr>
                <w:sz w:val="20"/>
                <w:szCs w:val="20"/>
                <w:color w:val="auto"/>
              </w:rPr>
            </w:pPr>
            <w:r>
              <w:rPr>
                <w:rFonts w:ascii="Arial" w:cs="Arial" w:eastAsia="Arial" w:hAnsi="Arial"/>
                <w:sz w:val="18"/>
                <w:szCs w:val="18"/>
                <w:color w:val="auto"/>
              </w:rPr>
              <w:t>Decrease in swap fair value</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(3,653)</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4720" w:type="dxa"/>
            <w:vAlign w:val="bottom"/>
          </w:tcPr>
          <w:p>
            <w:pPr>
              <w:ind w:left="240"/>
              <w:spacing w:after="0"/>
              <w:rPr>
                <w:sz w:val="20"/>
                <w:szCs w:val="20"/>
                <w:color w:val="auto"/>
              </w:rPr>
            </w:pPr>
            <w:r>
              <w:rPr>
                <w:rFonts w:ascii="Arial" w:cs="Arial" w:eastAsia="Arial" w:hAnsi="Arial"/>
                <w:sz w:val="18"/>
                <w:szCs w:val="18"/>
                <w:color w:val="auto"/>
              </w:rPr>
              <w:t>Loss on extinguishment of debt</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16"/>
        </w:trPr>
        <w:tc>
          <w:tcPr>
            <w:tcW w:w="4720" w:type="dxa"/>
            <w:vAlign w:val="bottom"/>
          </w:tcPr>
          <w:p>
            <w:pPr>
              <w:ind w:left="240"/>
              <w:spacing w:after="0"/>
              <w:rPr>
                <w:sz w:val="20"/>
                <w:szCs w:val="20"/>
                <w:color w:val="auto"/>
              </w:rPr>
            </w:pPr>
            <w:r>
              <w:rPr>
                <w:rFonts w:ascii="Arial" w:cs="Arial" w:eastAsia="Arial" w:hAnsi="Arial"/>
                <w:sz w:val="18"/>
                <w:szCs w:val="18"/>
                <w:color w:val="auto"/>
              </w:rPr>
              <w:t>Distribution to convertible debenture holders</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(58,477)</w:t>
            </w:r>
          </w:p>
        </w:tc>
        <w:tc>
          <w:tcPr>
            <w:tcW w:w="0" w:type="dxa"/>
            <w:vAlign w:val="bottom"/>
          </w:tcPr>
          <w:p>
            <w:pPr>
              <w:spacing w:after="0"/>
              <w:rPr>
                <w:sz w:val="1"/>
                <w:szCs w:val="1"/>
                <w:color w:val="auto"/>
              </w:rPr>
            </w:pPr>
          </w:p>
        </w:tc>
      </w:tr>
      <w:tr>
        <w:trPr>
          <w:trHeight w:val="217"/>
        </w:trPr>
        <w:tc>
          <w:tcPr>
            <w:tcW w:w="4720" w:type="dxa"/>
            <w:vAlign w:val="bottom"/>
          </w:tcPr>
          <w:p>
            <w:pPr>
              <w:ind w:left="240"/>
              <w:spacing w:after="0"/>
              <w:rPr>
                <w:sz w:val="20"/>
                <w:szCs w:val="20"/>
                <w:color w:val="auto"/>
              </w:rPr>
            </w:pPr>
            <w:r>
              <w:rPr>
                <w:rFonts w:ascii="Arial" w:cs="Arial" w:eastAsia="Arial" w:hAnsi="Arial"/>
                <w:sz w:val="18"/>
                <w:szCs w:val="18"/>
                <w:color w:val="auto"/>
              </w:rPr>
              <w:t>Provision for income taxes</w:t>
            </w: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(22,248)</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(49,795)</w:t>
            </w:r>
          </w:p>
        </w:tc>
        <w:tc>
          <w:tcPr>
            <w:tcW w:w="0" w:type="dxa"/>
            <w:vAlign w:val="bottom"/>
          </w:tcPr>
          <w:p>
            <w:pPr>
              <w:spacing w:after="0"/>
              <w:rPr>
                <w:sz w:val="1"/>
                <w:szCs w:val="1"/>
                <w:color w:val="auto"/>
              </w:rPr>
            </w:pPr>
          </w:p>
        </w:tc>
      </w:tr>
      <w:tr>
        <w:trPr>
          <w:trHeight w:val="203"/>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4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720" w:type="dxa"/>
            <w:vAlign w:val="bottom"/>
            <w:vMerge w:val="continue"/>
          </w:tcPr>
          <w:p>
            <w:pPr>
              <w:spacing w:after="0"/>
              <w:rPr>
                <w:sz w:val="18"/>
                <w:szCs w:val="18"/>
                <w:color w:val="auto"/>
              </w:rPr>
            </w:pPr>
          </w:p>
        </w:tc>
        <w:tc>
          <w:tcPr>
            <w:tcW w:w="4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65,453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(55,424)</w:t>
            </w:r>
          </w:p>
        </w:tc>
        <w:tc>
          <w:tcPr>
            <w:tcW w:w="0" w:type="dxa"/>
            <w:vAlign w:val="bottom"/>
          </w:tcPr>
          <w:p>
            <w:pPr>
              <w:spacing w:after="0"/>
              <w:rPr>
                <w:sz w:val="1"/>
                <w:szCs w:val="1"/>
                <w:color w:val="auto"/>
              </w:rPr>
            </w:pPr>
          </w:p>
        </w:tc>
      </w:tr>
      <w:tr>
        <w:trPr>
          <w:trHeight w:val="702"/>
        </w:trPr>
        <w:tc>
          <w:tcPr>
            <w:tcW w:w="4720" w:type="dxa"/>
            <w:vAlign w:val="bottom"/>
          </w:tcPr>
          <w:p>
            <w:pPr>
              <w:spacing w:after="0"/>
              <w:rPr>
                <w:sz w:val="24"/>
                <w:szCs w:val="24"/>
                <w:color w:val="auto"/>
              </w:rPr>
            </w:pPr>
          </w:p>
        </w:tc>
        <w:tc>
          <w:tcPr>
            <w:tcW w:w="4100" w:type="dxa"/>
            <w:vAlign w:val="bottom"/>
          </w:tcPr>
          <w:p>
            <w:pPr>
              <w:jc w:val="right"/>
              <w:ind w:right="2970"/>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720" w:type="dxa"/>
            <w:vAlign w:val="bottom"/>
            <w:tcBorders>
              <w:bottom w:val="single" w:sz="8" w:color="808080"/>
            </w:tcBorders>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EBITDA</w:t>
      </w:r>
    </w:p>
    <w:p>
      <w:pPr>
        <w:jc w:val="center"/>
        <w:spacing w:after="0" w:line="234" w:lineRule="auto"/>
        <w:rPr>
          <w:sz w:val="20"/>
          <w:szCs w:val="20"/>
          <w:color w:val="auto"/>
        </w:rPr>
      </w:pPr>
      <w:r>
        <w:rPr>
          <w:rFonts w:ascii="Arial" w:cs="Arial" w:eastAsia="Arial" w:hAnsi="Arial"/>
          <w:sz w:val="18"/>
          <w:szCs w:val="18"/>
          <w:color w:val="auto"/>
        </w:rPr>
        <w:t>AND ADJUSTED EBITDA TO NET INCOME</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9"/>
          </w:tcPr>
          <w:p>
            <w:pPr>
              <w:jc w:val="right"/>
              <w:ind w:right="600"/>
              <w:spacing w:after="0"/>
              <w:rPr>
                <w:sz w:val="20"/>
                <w:szCs w:val="20"/>
                <w:color w:val="auto"/>
              </w:rPr>
            </w:pPr>
            <w:r>
              <w:rPr>
                <w:rFonts w:ascii="Arial" w:cs="Arial" w:eastAsia="Arial" w:hAnsi="Arial"/>
                <w:sz w:val="18"/>
                <w:szCs w:val="18"/>
                <w:b w:val="1"/>
                <w:bCs w:val="1"/>
                <w:color w:val="auto"/>
              </w:rPr>
              <w:t>Year Ended December 31, 2007</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ind w:left="20"/>
              <w:spacing w:after="0" w:line="173" w:lineRule="exact"/>
              <w:rPr>
                <w:sz w:val="20"/>
                <w:szCs w:val="20"/>
                <w:color w:val="auto"/>
              </w:rPr>
            </w:pPr>
            <w:r>
              <w:rPr>
                <w:rFonts w:ascii="Arial" w:cs="Arial" w:eastAsia="Arial" w:hAnsi="Arial"/>
                <w:sz w:val="18"/>
                <w:szCs w:val="18"/>
                <w:b w:val="1"/>
                <w:bCs w:val="1"/>
                <w:color w:val="auto"/>
              </w:rPr>
              <w:t>Wynn Las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120"/>
              <w:spacing w:after="0" w:line="173" w:lineRule="exact"/>
              <w:rPr>
                <w:sz w:val="20"/>
                <w:szCs w:val="20"/>
                <w:color w:val="auto"/>
              </w:rPr>
            </w:pPr>
            <w:r>
              <w:rPr>
                <w:rFonts w:ascii="Arial" w:cs="Arial" w:eastAsia="Arial" w:hAnsi="Arial"/>
                <w:sz w:val="18"/>
                <w:szCs w:val="18"/>
                <w:b w:val="1"/>
                <w:bCs w:val="1"/>
                <w:color w:val="auto"/>
              </w:rPr>
              <w:t>Wynn</w:t>
            </w:r>
          </w:p>
        </w:tc>
        <w:tc>
          <w:tcPr>
            <w:tcW w:w="1240" w:type="dxa"/>
            <w:vAlign w:val="bottom"/>
            <w:gridSpan w:val="3"/>
          </w:tcPr>
          <w:p>
            <w:pPr>
              <w:ind w:left="20"/>
              <w:spacing w:after="0" w:line="173" w:lineRule="exact"/>
              <w:rPr>
                <w:sz w:val="20"/>
                <w:szCs w:val="20"/>
                <w:color w:val="auto"/>
              </w:rPr>
            </w:pPr>
            <w:r>
              <w:rPr>
                <w:rFonts w:ascii="Arial" w:cs="Arial" w:eastAsia="Arial" w:hAnsi="Arial"/>
                <w:sz w:val="18"/>
                <w:szCs w:val="18"/>
                <w:b w:val="1"/>
                <w:bCs w:val="1"/>
                <w:color w:val="auto"/>
                <w:w w:val="97"/>
              </w:rPr>
              <w:t>Corporate and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Vegas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Macau</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200,621</w:t>
            </w:r>
          </w:p>
        </w:tc>
        <w:tc>
          <w:tcPr>
            <w:tcW w:w="1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184,072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44,710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429,403</w:t>
            </w:r>
          </w:p>
        </w:tc>
        <w:tc>
          <w:tcPr>
            <w:tcW w:w="0" w:type="dxa"/>
            <w:vAlign w:val="bottom"/>
          </w:tcPr>
          <w:p>
            <w:pPr>
              <w:spacing w:after="0"/>
              <w:rPr>
                <w:sz w:val="1"/>
                <w:szCs w:val="1"/>
                <w:color w:val="auto"/>
              </w:rPr>
            </w:pPr>
          </w:p>
        </w:tc>
      </w:tr>
      <w:tr>
        <w:trPr>
          <w:trHeight w:val="404"/>
        </w:trPr>
        <w:tc>
          <w:tcPr>
            <w:tcW w:w="6080" w:type="dxa"/>
            <w:vAlign w:val="bottom"/>
          </w:tcPr>
          <w:p>
            <w:pPr>
              <w:ind w:left="360"/>
              <w:spacing w:after="0"/>
              <w:rPr>
                <w:sz w:val="20"/>
                <w:szCs w:val="20"/>
                <w:color w:val="auto"/>
              </w:rPr>
            </w:pPr>
            <w:r>
              <w:rPr>
                <w:rFonts w:ascii="Arial" w:cs="Arial" w:eastAsia="Arial" w:hAnsi="Arial"/>
                <w:sz w:val="18"/>
                <w:szCs w:val="18"/>
                <w:color w:val="auto"/>
              </w:rPr>
              <w:t>Preopening costs</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6,457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7,063</w:t>
            </w:r>
          </w:p>
        </w:tc>
        <w:tc>
          <w:tcPr>
            <w:tcW w:w="0" w:type="dxa"/>
            <w:vAlign w:val="bottom"/>
          </w:tcPr>
          <w:p>
            <w:pPr>
              <w:spacing w:after="0"/>
              <w:rPr>
                <w:sz w:val="1"/>
                <w:szCs w:val="1"/>
                <w:color w:val="auto"/>
              </w:rPr>
            </w:pPr>
          </w:p>
        </w:tc>
      </w:tr>
      <w:tr>
        <w:trPr>
          <w:trHeight w:val="203"/>
        </w:trPr>
        <w:tc>
          <w:tcPr>
            <w:tcW w:w="6080" w:type="dxa"/>
            <w:vAlign w:val="bottom"/>
          </w:tcPr>
          <w:p>
            <w:pPr>
              <w:ind w:left="28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152,839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63,469</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3,615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219,923</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Property charges and other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63,654</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60,857</w:t>
            </w:r>
          </w:p>
        </w:tc>
        <w:tc>
          <w:tcPr>
            <w:tcW w:w="0" w:type="dxa"/>
            <w:vAlign w:val="bottom"/>
          </w:tcPr>
          <w:p>
            <w:pPr>
              <w:spacing w:after="0"/>
              <w:rPr>
                <w:sz w:val="1"/>
                <w:szCs w:val="1"/>
                <w:color w:val="auto"/>
              </w:rPr>
            </w:pPr>
          </w:p>
        </w:tc>
      </w:tr>
      <w:tr>
        <w:trPr>
          <w:trHeight w:val="203"/>
        </w:trPr>
        <w:tc>
          <w:tcPr>
            <w:tcW w:w="6080" w:type="dxa"/>
            <w:vAlign w:val="bottom"/>
          </w:tcPr>
          <w:p>
            <w:pPr>
              <w:ind w:left="200"/>
              <w:spacing w:after="0" w:line="202" w:lineRule="exact"/>
              <w:rPr>
                <w:sz w:val="20"/>
                <w:szCs w:val="20"/>
                <w:color w:val="auto"/>
              </w:rPr>
            </w:pPr>
            <w:r>
              <w:rPr>
                <w:rFonts w:ascii="Arial" w:cs="Arial" w:eastAsia="Arial" w:hAnsi="Arial"/>
                <w:sz w:val="18"/>
                <w:szCs w:val="18"/>
                <w:color w:val="auto"/>
              </w:rPr>
              <w:t>Corporate expense, management</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560"/>
              <w:spacing w:after="0" w:line="202" w:lineRule="exact"/>
              <w:rPr>
                <w:sz w:val="20"/>
                <w:szCs w:val="20"/>
                <w:color w:val="auto"/>
              </w:rPr>
            </w:pPr>
            <w:r>
              <w:rPr>
                <w:rFonts w:ascii="Arial" w:cs="Arial" w:eastAsia="Arial" w:hAnsi="Arial"/>
                <w:sz w:val="18"/>
                <w:szCs w:val="18"/>
                <w:color w:val="auto"/>
              </w:rPr>
              <w:t>fees, royalties and other</w:t>
            </w:r>
          </w:p>
        </w:tc>
        <w:tc>
          <w:tcPr>
            <w:tcW w:w="1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43,075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49,228</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(46,935)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45,368</w:t>
            </w:r>
          </w:p>
        </w:tc>
        <w:tc>
          <w:tcPr>
            <w:tcW w:w="0" w:type="dxa"/>
            <w:vAlign w:val="bottom"/>
          </w:tcPr>
          <w:p>
            <w:pPr>
              <w:spacing w:after="0"/>
              <w:rPr>
                <w:sz w:val="1"/>
                <w:szCs w:val="1"/>
                <w:color w:val="auto"/>
              </w:rPr>
            </w:pPr>
          </w:p>
        </w:tc>
      </w:tr>
      <w:tr>
        <w:trPr>
          <w:trHeight w:val="217"/>
        </w:trPr>
        <w:tc>
          <w:tcPr>
            <w:tcW w:w="60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18,527</w:t>
            </w:r>
          </w:p>
        </w:tc>
        <w:tc>
          <w:tcPr>
            <w:tcW w:w="0" w:type="dxa"/>
            <w:vAlign w:val="bottom"/>
          </w:tcPr>
          <w:p>
            <w:pPr>
              <w:spacing w:after="0"/>
              <w:rPr>
                <w:sz w:val="1"/>
                <w:szCs w:val="1"/>
                <w:color w:val="auto"/>
              </w:rPr>
            </w:pPr>
          </w:p>
        </w:tc>
      </w:tr>
      <w:tr>
        <w:trPr>
          <w:trHeight w:val="203"/>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417,028</w:t>
            </w:r>
          </w:p>
        </w:tc>
        <w:tc>
          <w:tcPr>
            <w:tcW w:w="1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364,113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781,141</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b w:val="1"/>
                <w:bCs w:val="1"/>
                <w:color w:val="auto"/>
              </w:rPr>
              <w:t>Year Ended December 31, 2006</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ind w:left="20"/>
              <w:spacing w:after="0" w:line="173" w:lineRule="exact"/>
              <w:rPr>
                <w:sz w:val="20"/>
                <w:szCs w:val="20"/>
                <w:color w:val="auto"/>
              </w:rPr>
            </w:pPr>
            <w:r>
              <w:rPr>
                <w:rFonts w:ascii="Arial" w:cs="Arial" w:eastAsia="Arial" w:hAnsi="Arial"/>
                <w:sz w:val="18"/>
                <w:szCs w:val="18"/>
                <w:b w:val="1"/>
                <w:bCs w:val="1"/>
                <w:color w:val="auto"/>
              </w:rPr>
              <w:t>Wynn Las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540"/>
              <w:spacing w:after="0" w:line="173" w:lineRule="exact"/>
              <w:rPr>
                <w:sz w:val="20"/>
                <w:szCs w:val="20"/>
                <w:color w:val="auto"/>
              </w:rPr>
            </w:pPr>
            <w:r>
              <w:rPr>
                <w:rFonts w:ascii="Arial" w:cs="Arial" w:eastAsia="Arial" w:hAnsi="Arial"/>
                <w:sz w:val="18"/>
                <w:szCs w:val="18"/>
                <w:b w:val="1"/>
                <w:bCs w:val="1"/>
                <w:color w:val="auto"/>
              </w:rPr>
              <w:t>Wynn</w:t>
            </w:r>
          </w:p>
        </w:tc>
        <w:tc>
          <w:tcPr>
            <w:tcW w:w="1240" w:type="dxa"/>
            <w:vAlign w:val="bottom"/>
            <w:gridSpan w:val="3"/>
          </w:tcPr>
          <w:p>
            <w:pPr>
              <w:ind w:left="20"/>
              <w:spacing w:after="0" w:line="173" w:lineRule="exact"/>
              <w:rPr>
                <w:sz w:val="20"/>
                <w:szCs w:val="20"/>
                <w:color w:val="auto"/>
              </w:rPr>
            </w:pPr>
            <w:r>
              <w:rPr>
                <w:rFonts w:ascii="Arial" w:cs="Arial" w:eastAsia="Arial" w:hAnsi="Arial"/>
                <w:sz w:val="18"/>
                <w:szCs w:val="18"/>
                <w:b w:val="1"/>
                <w:bCs w:val="1"/>
                <w:color w:val="auto"/>
                <w:w w:val="97"/>
              </w:rPr>
              <w:t>Corporate and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Vegas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Macau</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116,456</w:t>
            </w:r>
          </w:p>
        </w:tc>
        <w:tc>
          <w:tcPr>
            <w:tcW w:w="6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(53,385)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7,828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70,899</w:t>
            </w:r>
          </w:p>
        </w:tc>
        <w:tc>
          <w:tcPr>
            <w:tcW w:w="0" w:type="dxa"/>
            <w:vAlign w:val="bottom"/>
          </w:tcPr>
          <w:p>
            <w:pPr>
              <w:spacing w:after="0"/>
              <w:rPr>
                <w:sz w:val="1"/>
                <w:szCs w:val="1"/>
                <w:color w:val="auto"/>
              </w:rPr>
            </w:pPr>
          </w:p>
        </w:tc>
      </w:tr>
      <w:tr>
        <w:trPr>
          <w:trHeight w:val="404"/>
        </w:trPr>
        <w:tc>
          <w:tcPr>
            <w:tcW w:w="6080" w:type="dxa"/>
            <w:vAlign w:val="bottom"/>
          </w:tcPr>
          <w:p>
            <w:pPr>
              <w:ind w:left="360"/>
              <w:spacing w:after="0"/>
              <w:rPr>
                <w:sz w:val="20"/>
                <w:szCs w:val="20"/>
                <w:color w:val="auto"/>
              </w:rPr>
            </w:pPr>
            <w:r>
              <w:rPr>
                <w:rFonts w:ascii="Arial" w:cs="Arial" w:eastAsia="Arial" w:hAnsi="Arial"/>
                <w:sz w:val="18"/>
                <w:szCs w:val="18"/>
                <w:color w:val="auto"/>
              </w:rPr>
              <w:t>Pre-opening costs</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60,543</w:t>
            </w: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62,726</w:t>
            </w:r>
          </w:p>
        </w:tc>
        <w:tc>
          <w:tcPr>
            <w:tcW w:w="0" w:type="dxa"/>
            <w:vAlign w:val="bottom"/>
          </w:tcPr>
          <w:p>
            <w:pPr>
              <w:spacing w:after="0"/>
              <w:rPr>
                <w:sz w:val="1"/>
                <w:szCs w:val="1"/>
                <w:color w:val="auto"/>
              </w:rPr>
            </w:pPr>
          </w:p>
        </w:tc>
      </w:tr>
      <w:tr>
        <w:trPr>
          <w:trHeight w:val="203"/>
        </w:trPr>
        <w:tc>
          <w:tcPr>
            <w:tcW w:w="6080" w:type="dxa"/>
            <w:vAlign w:val="bottom"/>
          </w:tcPr>
          <w:p>
            <w:pPr>
              <w:ind w:left="28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147,608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24,679</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3,177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175,464</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Property charges and other</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14,399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10,661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25,060</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Contract termination fee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3"/>
        </w:trPr>
        <w:tc>
          <w:tcPr>
            <w:tcW w:w="6080" w:type="dxa"/>
            <w:vAlign w:val="bottom"/>
          </w:tcPr>
          <w:p>
            <w:pPr>
              <w:ind w:left="200"/>
              <w:spacing w:after="0" w:line="202" w:lineRule="exact"/>
              <w:rPr>
                <w:sz w:val="20"/>
                <w:szCs w:val="20"/>
                <w:color w:val="auto"/>
              </w:rPr>
            </w:pPr>
            <w:r>
              <w:rPr>
                <w:rFonts w:ascii="Arial" w:cs="Arial" w:eastAsia="Arial" w:hAnsi="Arial"/>
                <w:sz w:val="18"/>
                <w:szCs w:val="18"/>
                <w:color w:val="auto"/>
              </w:rPr>
              <w:t>Corporate expense, management</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560"/>
              <w:spacing w:after="0" w:line="202" w:lineRule="exact"/>
              <w:rPr>
                <w:sz w:val="20"/>
                <w:szCs w:val="20"/>
                <w:color w:val="auto"/>
              </w:rPr>
            </w:pPr>
            <w:r>
              <w:rPr>
                <w:rFonts w:ascii="Arial" w:cs="Arial" w:eastAsia="Arial" w:hAnsi="Arial"/>
                <w:sz w:val="18"/>
                <w:szCs w:val="18"/>
                <w:color w:val="auto"/>
              </w:rPr>
              <w:t>fees, royalties and other</w:t>
            </w:r>
          </w:p>
        </w:tc>
        <w:tc>
          <w:tcPr>
            <w:tcW w:w="12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39,137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17,667</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(17,768)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39,036</w:t>
            </w:r>
          </w:p>
        </w:tc>
        <w:tc>
          <w:tcPr>
            <w:tcW w:w="0" w:type="dxa"/>
            <w:vAlign w:val="bottom"/>
          </w:tcPr>
          <w:p>
            <w:pPr>
              <w:spacing w:after="0"/>
              <w:rPr>
                <w:sz w:val="1"/>
                <w:szCs w:val="1"/>
                <w:color w:val="auto"/>
              </w:rPr>
            </w:pPr>
          </w:p>
        </w:tc>
      </w:tr>
      <w:tr>
        <w:trPr>
          <w:trHeight w:val="217"/>
        </w:trPr>
        <w:tc>
          <w:tcPr>
            <w:tcW w:w="60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8,133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15,405</w:t>
            </w:r>
          </w:p>
        </w:tc>
        <w:tc>
          <w:tcPr>
            <w:tcW w:w="0" w:type="dxa"/>
            <w:vAlign w:val="bottom"/>
          </w:tcPr>
          <w:p>
            <w:pPr>
              <w:spacing w:after="0"/>
              <w:rPr>
                <w:sz w:val="1"/>
                <w:szCs w:val="1"/>
                <w:color w:val="auto"/>
              </w:rPr>
            </w:pPr>
          </w:p>
        </w:tc>
      </w:tr>
      <w:tr>
        <w:trPr>
          <w:trHeight w:val="203"/>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332,753</w:t>
            </w:r>
          </w:p>
        </w:tc>
        <w:tc>
          <w:tcPr>
            <w:tcW w:w="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60,837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393,590</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25"/>
        </w:trPr>
        <w:tc>
          <w:tcPr>
            <w:tcW w:w="8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7"/>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820" w:type="dxa"/>
            <w:vAlign w:val="bottom"/>
            <w:vMerge w:val="continue"/>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781,141</w:t>
            </w:r>
          </w:p>
        </w:tc>
        <w:tc>
          <w:tcPr>
            <w:tcW w:w="14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393,590</w:t>
            </w:r>
          </w:p>
        </w:tc>
        <w:tc>
          <w:tcPr>
            <w:tcW w:w="0" w:type="dxa"/>
            <w:vAlign w:val="bottom"/>
          </w:tcPr>
          <w:p>
            <w:pPr>
              <w:spacing w:after="0"/>
              <w:rPr>
                <w:sz w:val="1"/>
                <w:szCs w:val="1"/>
                <w:color w:val="auto"/>
              </w:rPr>
            </w:pPr>
          </w:p>
        </w:tc>
      </w:tr>
      <w:tr>
        <w:trPr>
          <w:trHeight w:val="344"/>
        </w:trPr>
        <w:tc>
          <w:tcPr>
            <w:tcW w:w="8820" w:type="dxa"/>
            <w:vAlign w:val="bottom"/>
          </w:tcPr>
          <w:p>
            <w:pPr>
              <w:ind w:left="360"/>
              <w:spacing w:after="0"/>
              <w:rPr>
                <w:sz w:val="20"/>
                <w:szCs w:val="20"/>
                <w:color w:val="auto"/>
              </w:rPr>
            </w:pPr>
            <w:r>
              <w:rPr>
                <w:rFonts w:ascii="Arial" w:cs="Arial" w:eastAsia="Arial" w:hAnsi="Arial"/>
                <w:sz w:val="18"/>
                <w:szCs w:val="18"/>
                <w:color w:val="auto"/>
              </w:rPr>
              <w:t>Pre-opening costs</w:t>
            </w:r>
          </w:p>
        </w:tc>
        <w:tc>
          <w:tcPr>
            <w:tcW w:w="24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(7,063)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(62,726)</w:t>
            </w:r>
          </w:p>
        </w:tc>
        <w:tc>
          <w:tcPr>
            <w:tcW w:w="0" w:type="dxa"/>
            <w:vAlign w:val="bottom"/>
          </w:tcPr>
          <w:p>
            <w:pPr>
              <w:spacing w:after="0"/>
              <w:rPr>
                <w:sz w:val="1"/>
                <w:szCs w:val="1"/>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(219,923)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(175,464)</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Property charges and other</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(60,857)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(25,060)</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Contract termination fee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Corporate expenses and other</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(45,368)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(39,036)</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(18,527)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(15,405)</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Interest and other income</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47,765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46,752</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(143,777)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(148,017)</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8"/>
                <w:szCs w:val="18"/>
                <w:color w:val="auto"/>
              </w:rPr>
              <w:t>Increase (decrease) in swap fair value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(6,001)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(12,533)</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8"/>
                <w:szCs w:val="18"/>
                <w:color w:val="auto"/>
              </w:rPr>
              <w:t>Gain on sale of subconcession right,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899,409</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8"/>
                <w:szCs w:val="18"/>
                <w:color w:val="auto"/>
              </w:rPr>
              <w:t>Distribution to convertible debenture holders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(58,477)</w:t>
            </w:r>
          </w:p>
        </w:tc>
        <w:tc>
          <w:tcPr>
            <w:tcW w:w="0" w:type="dxa"/>
            <w:vAlign w:val="bottom"/>
          </w:tcPr>
          <w:p>
            <w:pPr>
              <w:spacing w:after="0"/>
              <w:rPr>
                <w:sz w:val="1"/>
                <w:szCs w:val="1"/>
                <w:color w:val="auto"/>
              </w:rPr>
            </w:pPr>
          </w:p>
        </w:tc>
      </w:tr>
      <w:tr>
        <w:trPr>
          <w:trHeight w:val="203"/>
        </w:trPr>
        <w:tc>
          <w:tcPr>
            <w:tcW w:w="8820" w:type="dxa"/>
            <w:vAlign w:val="bottom"/>
          </w:tcPr>
          <w:p>
            <w:pPr>
              <w:ind w:left="360"/>
              <w:spacing w:after="0" w:line="203" w:lineRule="exact"/>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80"/>
              <w:spacing w:after="0" w:line="203" w:lineRule="exact"/>
              <w:rPr>
                <w:sz w:val="20"/>
                <w:szCs w:val="20"/>
                <w:color w:val="auto"/>
              </w:rPr>
            </w:pPr>
            <w:r>
              <w:rPr>
                <w:rFonts w:ascii="Arial" w:cs="Arial" w:eastAsia="Arial" w:hAnsi="Arial"/>
                <w:sz w:val="18"/>
                <w:szCs w:val="18"/>
                <w:color w:val="auto"/>
              </w:rPr>
              <w:t>(69,085)</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color w:val="auto"/>
              </w:rPr>
              <w:t>(170,501)</w:t>
            </w:r>
          </w:p>
        </w:tc>
        <w:tc>
          <w:tcPr>
            <w:tcW w:w="0" w:type="dxa"/>
            <w:vAlign w:val="bottom"/>
          </w:tcPr>
          <w:p>
            <w:pPr>
              <w:spacing w:after="0"/>
              <w:rPr>
                <w:sz w:val="1"/>
                <w:szCs w:val="1"/>
                <w:color w:val="auto"/>
              </w:rPr>
            </w:pPr>
          </w:p>
        </w:tc>
      </w:tr>
      <w:tr>
        <w:trPr>
          <w:trHeight w:val="426"/>
        </w:trPr>
        <w:tc>
          <w:tcPr>
            <w:tcW w:w="88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258,148</w:t>
            </w:r>
          </w:p>
        </w:tc>
        <w:tc>
          <w:tcPr>
            <w:tcW w:w="14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628,728</w:t>
            </w: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0"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color w:val="auto"/>
        </w:rPr>
        <w:t>WYNN RESORTS, LIMITED AND SUBSIDIARIES</w:t>
      </w:r>
    </w:p>
    <w:p>
      <w:pPr>
        <w:jc w:val="center"/>
        <w:spacing w:after="0"/>
        <w:rPr>
          <w:sz w:val="20"/>
          <w:szCs w:val="20"/>
          <w:color w:val="auto"/>
        </w:rPr>
      </w:pPr>
      <w:r>
        <w:rPr>
          <w:rFonts w:ascii="Arial" w:cs="Arial" w:eastAsia="Arial" w:hAnsi="Arial"/>
          <w:sz w:val="18"/>
          <w:szCs w:val="18"/>
          <w:color w:val="auto"/>
        </w:rPr>
        <w:t>SUPPLEMENTAL DATA SCHEDULE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20" w:type="dxa"/>
            <w:vAlign w:val="bottom"/>
          </w:tcPr>
          <w:p>
            <w:pPr>
              <w:spacing w:after="0"/>
              <w:rPr>
                <w:sz w:val="21"/>
                <w:szCs w:val="21"/>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Year Ended</w:t>
            </w:r>
          </w:p>
        </w:tc>
        <w:tc>
          <w:tcPr>
            <w:tcW w:w="4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80"/>
        </w:trPr>
        <w:tc>
          <w:tcPr>
            <w:tcW w:w="5720" w:type="dxa"/>
            <w:vAlign w:val="bottom"/>
          </w:tcPr>
          <w:p>
            <w:pPr>
              <w:spacing w:after="0"/>
              <w:rPr>
                <w:sz w:val="15"/>
                <w:szCs w:val="15"/>
                <w:color w:val="auto"/>
              </w:rPr>
            </w:pPr>
          </w:p>
        </w:tc>
        <w:tc>
          <w:tcPr>
            <w:tcW w:w="1480" w:type="dxa"/>
            <w:vAlign w:val="bottom"/>
            <w:gridSpan w:val="2"/>
          </w:tcPr>
          <w:p>
            <w:pPr>
              <w:jc w:val="right"/>
              <w:ind w:right="110"/>
              <w:spacing w:after="0" w:line="180" w:lineRule="exact"/>
              <w:rPr>
                <w:sz w:val="20"/>
                <w:szCs w:val="20"/>
                <w:color w:val="auto"/>
              </w:rPr>
            </w:pPr>
            <w:r>
              <w:rPr>
                <w:rFonts w:ascii="Arial" w:cs="Arial" w:eastAsia="Arial" w:hAnsi="Arial"/>
                <w:sz w:val="18"/>
                <w:szCs w:val="18"/>
                <w:b w:val="1"/>
                <w:bCs w:val="1"/>
                <w:color w:val="auto"/>
              </w:rPr>
              <w:t>December 31,</w:t>
            </w:r>
          </w:p>
        </w:tc>
        <w:tc>
          <w:tcPr>
            <w:tcW w:w="1400" w:type="dxa"/>
            <w:vAlign w:val="bottom"/>
            <w:gridSpan w:val="2"/>
          </w:tcPr>
          <w:p>
            <w:pPr>
              <w:jc w:val="right"/>
              <w:ind w:right="130"/>
              <w:spacing w:after="0" w:line="180" w:lineRule="exact"/>
              <w:rPr>
                <w:sz w:val="20"/>
                <w:szCs w:val="20"/>
                <w:color w:val="auto"/>
              </w:rPr>
            </w:pPr>
            <w:r>
              <w:rPr>
                <w:rFonts w:ascii="Arial" w:cs="Arial" w:eastAsia="Arial" w:hAnsi="Arial"/>
                <w:sz w:val="18"/>
                <w:szCs w:val="18"/>
                <w:b w:val="1"/>
                <w:bCs w:val="1"/>
                <w:color w:val="auto"/>
              </w:rPr>
              <w:t>December31,</w:t>
            </w:r>
          </w:p>
        </w:tc>
        <w:tc>
          <w:tcPr>
            <w:tcW w:w="1460" w:type="dxa"/>
            <w:vAlign w:val="bottom"/>
            <w:gridSpan w:val="2"/>
          </w:tcPr>
          <w:p>
            <w:pPr>
              <w:jc w:val="right"/>
              <w:ind w:right="130"/>
              <w:spacing w:after="0" w:line="180" w:lineRule="exact"/>
              <w:rPr>
                <w:sz w:val="20"/>
                <w:szCs w:val="20"/>
                <w:color w:val="auto"/>
              </w:rPr>
            </w:pPr>
            <w:r>
              <w:rPr>
                <w:rFonts w:ascii="Arial" w:cs="Arial" w:eastAsia="Arial" w:hAnsi="Arial"/>
                <w:sz w:val="18"/>
                <w:szCs w:val="18"/>
                <w:b w:val="1"/>
                <w:bCs w:val="1"/>
                <w:color w:val="auto"/>
              </w:rPr>
              <w:t>December 31,</w:t>
            </w:r>
          </w:p>
        </w:tc>
        <w:tc>
          <w:tcPr>
            <w:tcW w:w="1360" w:type="dxa"/>
            <w:vAlign w:val="bottom"/>
            <w:gridSpan w:val="2"/>
          </w:tcPr>
          <w:p>
            <w:pPr>
              <w:jc w:val="right"/>
              <w:ind w:right="70"/>
              <w:spacing w:after="0" w:line="180" w:lineRule="exact"/>
              <w:rPr>
                <w:sz w:val="20"/>
                <w:szCs w:val="20"/>
                <w:color w:val="auto"/>
              </w:rPr>
            </w:pPr>
            <w:r>
              <w:rPr>
                <w:rFonts w:ascii="Arial" w:cs="Arial" w:eastAsia="Arial" w:hAnsi="Arial"/>
                <w:sz w:val="18"/>
                <w:szCs w:val="18"/>
                <w:b w:val="1"/>
                <w:bCs w:val="1"/>
                <w:color w:val="auto"/>
              </w:rPr>
              <w:t>December31,</w:t>
            </w:r>
          </w:p>
        </w:tc>
        <w:tc>
          <w:tcPr>
            <w:tcW w:w="20" w:type="dxa"/>
            <w:vAlign w:val="bottom"/>
          </w:tcPr>
          <w:p>
            <w:pPr>
              <w:spacing w:after="0"/>
              <w:rPr>
                <w:sz w:val="15"/>
                <w:szCs w:val="15"/>
                <w:color w:val="auto"/>
              </w:rPr>
            </w:pPr>
          </w:p>
        </w:tc>
      </w:tr>
      <w:tr>
        <w:trPr>
          <w:trHeight w:val="246"/>
        </w:trPr>
        <w:tc>
          <w:tcPr>
            <w:tcW w:w="572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5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390"/>
              <w:spacing w:after="0" w:line="239" w:lineRule="exact"/>
              <w:rPr>
                <w:sz w:val="20"/>
                <w:szCs w:val="20"/>
                <w:color w:val="auto"/>
              </w:rPr>
            </w:pPr>
            <w:r>
              <w:rPr>
                <w:rFonts w:ascii="Arial" w:cs="Arial" w:eastAsia="Arial" w:hAnsi="Arial"/>
                <w:sz w:val="18"/>
                <w:szCs w:val="18"/>
                <w:b w:val="1"/>
                <w:bCs w:val="1"/>
                <w:color w:val="auto"/>
              </w:rPr>
              <w:t>2006</w:t>
            </w:r>
            <w:r>
              <w:rPr>
                <w:rFonts w:ascii="Arial" w:cs="Arial" w:eastAsia="Arial" w:hAnsi="Arial"/>
                <w:sz w:val="25"/>
                <w:szCs w:val="25"/>
                <w:b w:val="1"/>
                <w:bCs w:val="1"/>
                <w:color w:val="auto"/>
                <w:vertAlign w:val="superscript"/>
              </w:rPr>
              <w:t>(5)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5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350"/>
              <w:spacing w:after="0" w:line="239" w:lineRule="exact"/>
              <w:rPr>
                <w:sz w:val="20"/>
                <w:szCs w:val="20"/>
                <w:color w:val="auto"/>
              </w:rPr>
            </w:pPr>
            <w:r>
              <w:rPr>
                <w:rFonts w:ascii="Arial" w:cs="Arial" w:eastAsia="Arial" w:hAnsi="Arial"/>
                <w:sz w:val="18"/>
                <w:szCs w:val="18"/>
                <w:b w:val="1"/>
                <w:bCs w:val="1"/>
                <w:color w:val="auto"/>
              </w:rPr>
              <w:t>2006</w:t>
            </w:r>
            <w:r>
              <w:rPr>
                <w:rFonts w:ascii="Arial" w:cs="Arial" w:eastAsia="Arial" w:hAnsi="Arial"/>
                <w:sz w:val="25"/>
                <w:szCs w:val="25"/>
                <w:b w:val="1"/>
                <w:bCs w:val="1"/>
                <w:color w:val="auto"/>
                <w:vertAlign w:val="superscript"/>
              </w:rPr>
              <w:t>(5)</w:t>
            </w:r>
          </w:p>
        </w:tc>
        <w:tc>
          <w:tcPr>
            <w:tcW w:w="20" w:type="dxa"/>
            <w:vAlign w:val="bottom"/>
          </w:tcPr>
          <w:p>
            <w:pPr>
              <w:spacing w:after="0"/>
              <w:rPr>
                <w:sz w:val="21"/>
                <w:szCs w:val="21"/>
                <w:color w:val="auto"/>
              </w:rPr>
            </w:pPr>
          </w:p>
        </w:tc>
      </w:tr>
      <w:tr>
        <w:trPr>
          <w:trHeight w:val="459"/>
        </w:trPr>
        <w:tc>
          <w:tcPr>
            <w:tcW w:w="5720" w:type="dxa"/>
            <w:vAlign w:val="bottom"/>
          </w:tcPr>
          <w:p>
            <w:pPr>
              <w:spacing w:after="0"/>
              <w:rPr>
                <w:sz w:val="20"/>
                <w:szCs w:val="20"/>
                <w:color w:val="auto"/>
              </w:rPr>
            </w:pPr>
            <w:r>
              <w:rPr>
                <w:rFonts w:ascii="Arial" w:cs="Arial" w:eastAsia="Arial" w:hAnsi="Arial"/>
                <w:sz w:val="18"/>
                <w:szCs w:val="18"/>
                <w:color w:val="auto"/>
              </w:rPr>
              <w:t>Room Statistics for Wynn Las Vegas:</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5720" w:type="dxa"/>
            <w:vAlign w:val="bottom"/>
          </w:tcPr>
          <w:p>
            <w:pPr>
              <w:ind w:left="640"/>
              <w:spacing w:after="0"/>
              <w:rPr>
                <w:sz w:val="20"/>
                <w:szCs w:val="20"/>
                <w:color w:val="auto"/>
              </w:rPr>
            </w:pPr>
            <w:r>
              <w:rPr>
                <w:rFonts w:ascii="Arial" w:cs="Arial" w:eastAsia="Arial" w:hAnsi="Arial"/>
                <w:sz w:val="18"/>
                <w:szCs w:val="18"/>
                <w:color w:val="auto"/>
              </w:rPr>
              <w:t>Occupancy %</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94.3%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91.6%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96.0%</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94.4%</w:t>
            </w:r>
          </w:p>
        </w:tc>
      </w:tr>
      <w:tr>
        <w:trPr>
          <w:trHeight w:val="547"/>
        </w:trPr>
        <w:tc>
          <w:tcPr>
            <w:tcW w:w="5720" w:type="dxa"/>
            <w:vAlign w:val="bottom"/>
          </w:tcPr>
          <w:p>
            <w:pPr>
              <w:ind w:left="640"/>
              <w:spacing w:after="0"/>
              <w:rPr>
                <w:sz w:val="20"/>
                <w:szCs w:val="20"/>
                <w:color w:val="auto"/>
              </w:rPr>
            </w:pPr>
            <w:r>
              <w:rPr>
                <w:rFonts w:ascii="Arial" w:cs="Arial" w:eastAsia="Arial" w:hAnsi="Arial"/>
                <w:sz w:val="18"/>
                <w:szCs w:val="18"/>
                <w:color w:val="auto"/>
              </w:rPr>
              <w:t>Average Daily Rate (ADR)</w:t>
            </w:r>
            <w:r>
              <w:rPr>
                <w:rFonts w:ascii="Arial" w:cs="Arial" w:eastAsia="Arial" w:hAnsi="Arial"/>
                <w:sz w:val="25"/>
                <w:szCs w:val="25"/>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298</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291</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r>
      <w:tr>
        <w:trPr>
          <w:trHeight w:val="459"/>
        </w:trPr>
        <w:tc>
          <w:tcPr>
            <w:tcW w:w="5720" w:type="dxa"/>
            <w:vAlign w:val="bottom"/>
          </w:tcPr>
          <w:p>
            <w:pPr>
              <w:ind w:left="64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25"/>
                <w:szCs w:val="25"/>
                <w:color w:val="auto"/>
                <w:vertAlign w:val="superscript"/>
              </w:rPr>
              <w:t>2</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266</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288</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r>
      <w:tr>
        <w:trPr>
          <w:trHeight w:val="574"/>
        </w:trPr>
        <w:tc>
          <w:tcPr>
            <w:tcW w:w="5720" w:type="dxa"/>
            <w:vAlign w:val="bottom"/>
          </w:tcPr>
          <w:p>
            <w:pPr>
              <w:spacing w:after="0"/>
              <w:rPr>
                <w:sz w:val="20"/>
                <w:szCs w:val="20"/>
                <w:color w:val="auto"/>
              </w:rPr>
            </w:pPr>
            <w:r>
              <w:rPr>
                <w:rFonts w:ascii="Arial" w:cs="Arial" w:eastAsia="Arial" w:hAnsi="Arial"/>
                <w:sz w:val="18"/>
                <w:szCs w:val="18"/>
                <w:color w:val="auto"/>
              </w:rPr>
              <w:t>Other information for Wynn Las Vegas:</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5720" w:type="dxa"/>
            <w:vAlign w:val="bottom"/>
          </w:tcPr>
          <w:p>
            <w:pPr>
              <w:ind w:left="540"/>
              <w:spacing w:after="0"/>
              <w:rPr>
                <w:sz w:val="20"/>
                <w:szCs w:val="20"/>
                <w:color w:val="auto"/>
              </w:rPr>
            </w:pPr>
            <w:r>
              <w:rPr>
                <w:rFonts w:ascii="Arial" w:cs="Arial" w:eastAsia="Arial" w:hAnsi="Arial"/>
                <w:sz w:val="18"/>
                <w:szCs w:val="18"/>
                <w:color w:val="auto"/>
              </w:rPr>
              <w:t>Table games win per unit per day</w:t>
            </w:r>
            <w:r>
              <w:rPr>
                <w:rFonts w:ascii="Arial" w:cs="Arial" w:eastAsia="Arial" w:hAnsi="Arial"/>
                <w:sz w:val="25"/>
                <w:szCs w:val="25"/>
                <w:color w:val="auto"/>
                <w:vertAlign w:val="superscript"/>
              </w:rPr>
              <w:t>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$11,293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$10,803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$10,872</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$8,269</w:t>
            </w:r>
          </w:p>
        </w:tc>
      </w:tr>
      <w:tr>
        <w:trPr>
          <w:trHeight w:val="358"/>
        </w:trPr>
        <w:tc>
          <w:tcPr>
            <w:tcW w:w="5720" w:type="dxa"/>
            <w:vAlign w:val="bottom"/>
          </w:tcPr>
          <w:p>
            <w:pPr>
              <w:ind w:left="540"/>
              <w:spacing w:after="0"/>
              <w:rPr>
                <w:sz w:val="20"/>
                <w:szCs w:val="20"/>
                <w:color w:val="auto"/>
              </w:rPr>
            </w:pPr>
            <w:r>
              <w:rPr>
                <w:rFonts w:ascii="Arial" w:cs="Arial" w:eastAsia="Arial" w:hAnsi="Arial"/>
                <w:sz w:val="18"/>
                <w:szCs w:val="18"/>
                <w:color w:val="auto"/>
              </w:rPr>
              <w:t>Table Win %</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22.1%</w:t>
            </w:r>
          </w:p>
        </w:tc>
      </w:tr>
      <w:tr>
        <w:trPr>
          <w:trHeight w:val="547"/>
        </w:trPr>
        <w:tc>
          <w:tcPr>
            <w:tcW w:w="5720" w:type="dxa"/>
            <w:vAlign w:val="bottom"/>
          </w:tcPr>
          <w:p>
            <w:pPr>
              <w:ind w:left="540"/>
              <w:spacing w:after="0"/>
              <w:rPr>
                <w:sz w:val="20"/>
                <w:szCs w:val="20"/>
                <w:color w:val="auto"/>
              </w:rPr>
            </w:pPr>
            <w:r>
              <w:rPr>
                <w:rFonts w:ascii="Arial" w:cs="Arial" w:eastAsia="Arial" w:hAnsi="Arial"/>
                <w:sz w:val="18"/>
                <w:szCs w:val="18"/>
                <w:color w:val="auto"/>
              </w:rPr>
              <w:t>Slot machine win per unit per day</w:t>
            </w:r>
            <w:r>
              <w:rPr>
                <w:rFonts w:ascii="Arial" w:cs="Arial" w:eastAsia="Arial" w:hAnsi="Arial"/>
                <w:sz w:val="25"/>
                <w:szCs w:val="25"/>
                <w:color w:val="auto"/>
                <w:vertAlign w:val="superscript"/>
              </w:rPr>
              <w:t>4</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256</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r>
      <w:tr>
        <w:trPr>
          <w:trHeight w:val="358"/>
        </w:trPr>
        <w:tc>
          <w:tcPr>
            <w:tcW w:w="5720" w:type="dxa"/>
            <w:vAlign w:val="bottom"/>
          </w:tcPr>
          <w:p>
            <w:pPr>
              <w:ind w:left="540"/>
              <w:spacing w:after="0"/>
              <w:rPr>
                <w:sz w:val="20"/>
                <w:szCs w:val="20"/>
                <w:color w:val="auto"/>
              </w:rPr>
            </w:pPr>
            <w:r>
              <w:rPr>
                <w:rFonts w:ascii="Arial" w:cs="Arial" w:eastAsia="Arial" w:hAnsi="Arial"/>
                <w:sz w:val="18"/>
                <w:szCs w:val="18"/>
                <w:color w:val="auto"/>
              </w:rPr>
              <w:t>Average number of table games</w:t>
            </w:r>
          </w:p>
        </w:tc>
        <w:tc>
          <w:tcPr>
            <w:tcW w:w="9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141</w:t>
            </w:r>
          </w:p>
        </w:tc>
        <w:tc>
          <w:tcPr>
            <w:tcW w:w="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137</w:t>
            </w:r>
          </w:p>
        </w:tc>
        <w:tc>
          <w:tcPr>
            <w:tcW w:w="9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141</w:t>
            </w:r>
          </w:p>
        </w:tc>
        <w:tc>
          <w:tcPr>
            <w:tcW w:w="90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r>
      <w:tr>
        <w:trPr>
          <w:trHeight w:val="446"/>
        </w:trPr>
        <w:tc>
          <w:tcPr>
            <w:tcW w:w="572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9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1,973</w:t>
            </w:r>
          </w:p>
        </w:tc>
        <w:tc>
          <w:tcPr>
            <w:tcW w:w="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1,974</w:t>
            </w:r>
          </w:p>
        </w:tc>
        <w:tc>
          <w:tcPr>
            <w:tcW w:w="9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1,966</w:t>
            </w:r>
          </w:p>
        </w:tc>
        <w:tc>
          <w:tcPr>
            <w:tcW w:w="90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1,964</w:t>
            </w:r>
          </w:p>
        </w:tc>
      </w:tr>
      <w:tr>
        <w:trPr>
          <w:trHeight w:val="662"/>
        </w:trPr>
        <w:tc>
          <w:tcPr>
            <w:tcW w:w="5720" w:type="dxa"/>
            <w:vAlign w:val="bottom"/>
          </w:tcPr>
          <w:p>
            <w:pPr>
              <w:spacing w:after="0"/>
              <w:rPr>
                <w:sz w:val="20"/>
                <w:szCs w:val="20"/>
                <w:color w:val="auto"/>
              </w:rPr>
            </w:pPr>
            <w:r>
              <w:rPr>
                <w:rFonts w:ascii="Arial" w:cs="Arial" w:eastAsia="Arial" w:hAnsi="Arial"/>
                <w:sz w:val="18"/>
                <w:szCs w:val="18"/>
                <w:color w:val="auto"/>
              </w:rPr>
              <w:t>Room Statistics for Wynn Macau:</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5720" w:type="dxa"/>
            <w:vAlign w:val="bottom"/>
          </w:tcPr>
          <w:p>
            <w:pPr>
              <w:ind w:left="640"/>
              <w:spacing w:after="0"/>
              <w:rPr>
                <w:sz w:val="20"/>
                <w:szCs w:val="20"/>
                <w:color w:val="auto"/>
              </w:rPr>
            </w:pPr>
            <w:r>
              <w:rPr>
                <w:rFonts w:ascii="Arial" w:cs="Arial" w:eastAsia="Arial" w:hAnsi="Arial"/>
                <w:sz w:val="18"/>
                <w:szCs w:val="18"/>
                <w:color w:val="auto"/>
              </w:rPr>
              <w:t>Occupancy %</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92.4%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81.9%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88.8%</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80.6%</w:t>
            </w:r>
          </w:p>
        </w:tc>
      </w:tr>
      <w:tr>
        <w:trPr>
          <w:trHeight w:val="547"/>
        </w:trPr>
        <w:tc>
          <w:tcPr>
            <w:tcW w:w="5720" w:type="dxa"/>
            <w:vAlign w:val="bottom"/>
          </w:tcPr>
          <w:p>
            <w:pPr>
              <w:ind w:left="640"/>
              <w:spacing w:after="0"/>
              <w:rPr>
                <w:sz w:val="20"/>
                <w:szCs w:val="20"/>
                <w:color w:val="auto"/>
              </w:rPr>
            </w:pPr>
            <w:r>
              <w:rPr>
                <w:rFonts w:ascii="Arial" w:cs="Arial" w:eastAsia="Arial" w:hAnsi="Arial"/>
                <w:sz w:val="18"/>
                <w:szCs w:val="18"/>
                <w:color w:val="auto"/>
              </w:rPr>
              <w:t>Average Daily Rate (ADR)</w:t>
            </w:r>
            <w:r>
              <w:rPr>
                <w:rFonts w:ascii="Arial" w:cs="Arial" w:eastAsia="Arial" w:hAnsi="Arial"/>
                <w:sz w:val="25"/>
                <w:szCs w:val="25"/>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256</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248</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r>
      <w:tr>
        <w:trPr>
          <w:trHeight w:val="459"/>
        </w:trPr>
        <w:tc>
          <w:tcPr>
            <w:tcW w:w="5720" w:type="dxa"/>
            <w:vAlign w:val="bottom"/>
          </w:tcPr>
          <w:p>
            <w:pPr>
              <w:ind w:left="64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25"/>
                <w:szCs w:val="25"/>
                <w:color w:val="auto"/>
                <w:vertAlign w:val="superscript"/>
              </w:rPr>
              <w:t>2</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237</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203</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223</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r>
      <w:tr>
        <w:trPr>
          <w:trHeight w:val="574"/>
        </w:trPr>
        <w:tc>
          <w:tcPr>
            <w:tcW w:w="5720" w:type="dxa"/>
            <w:vAlign w:val="bottom"/>
          </w:tcPr>
          <w:p>
            <w:pPr>
              <w:spacing w:after="0"/>
              <w:rPr>
                <w:sz w:val="20"/>
                <w:szCs w:val="20"/>
                <w:color w:val="auto"/>
              </w:rPr>
            </w:pPr>
            <w:r>
              <w:rPr>
                <w:rFonts w:ascii="Arial" w:cs="Arial" w:eastAsia="Arial" w:hAnsi="Arial"/>
                <w:sz w:val="18"/>
                <w:szCs w:val="18"/>
                <w:color w:val="auto"/>
              </w:rPr>
              <w:t>Other information for Wynn Macau:</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5720" w:type="dxa"/>
            <w:vAlign w:val="bottom"/>
          </w:tcPr>
          <w:p>
            <w:pPr>
              <w:ind w:left="540"/>
              <w:spacing w:after="0"/>
              <w:rPr>
                <w:sz w:val="20"/>
                <w:szCs w:val="20"/>
                <w:color w:val="auto"/>
              </w:rPr>
            </w:pPr>
            <w:r>
              <w:rPr>
                <w:rFonts w:ascii="Arial" w:cs="Arial" w:eastAsia="Arial" w:hAnsi="Arial"/>
                <w:sz w:val="18"/>
                <w:szCs w:val="18"/>
                <w:color w:val="auto"/>
              </w:rPr>
              <w:t>Table games win per unit per day</w:t>
            </w:r>
            <w:r>
              <w:rPr>
                <w:rFonts w:ascii="Arial" w:cs="Arial" w:eastAsia="Arial" w:hAnsi="Arial"/>
                <w:sz w:val="25"/>
                <w:szCs w:val="25"/>
                <w:color w:val="auto"/>
                <w:vertAlign w:val="superscript"/>
              </w:rPr>
              <w:t>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$16,239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$12,954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$16,410</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$12,175</w:t>
            </w:r>
          </w:p>
        </w:tc>
      </w:tr>
      <w:tr>
        <w:trPr>
          <w:trHeight w:val="459"/>
        </w:trPr>
        <w:tc>
          <w:tcPr>
            <w:tcW w:w="5720" w:type="dxa"/>
            <w:vAlign w:val="bottom"/>
          </w:tcPr>
          <w:p>
            <w:pPr>
              <w:ind w:left="540"/>
              <w:spacing w:after="0"/>
              <w:rPr>
                <w:sz w:val="20"/>
                <w:szCs w:val="20"/>
                <w:color w:val="auto"/>
              </w:rPr>
            </w:pPr>
            <w:r>
              <w:rPr>
                <w:rFonts w:ascii="Arial" w:cs="Arial" w:eastAsia="Arial" w:hAnsi="Arial"/>
                <w:sz w:val="18"/>
                <w:szCs w:val="18"/>
                <w:color w:val="auto"/>
              </w:rPr>
              <w:t>Slot machine win per unit per day</w:t>
            </w:r>
            <w:r>
              <w:rPr>
                <w:rFonts w:ascii="Arial" w:cs="Arial" w:eastAsia="Arial" w:hAnsi="Arial"/>
                <w:sz w:val="25"/>
                <w:szCs w:val="25"/>
                <w:color w:val="auto"/>
                <w:vertAlign w:val="superscript"/>
              </w:rPr>
              <w:t>4</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456</w:t>
            </w:r>
          </w:p>
        </w:tc>
        <w:tc>
          <w:tcPr>
            <w:tcW w:w="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$418</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470</w:t>
            </w:r>
          </w:p>
        </w:tc>
        <w:tc>
          <w:tcPr>
            <w:tcW w:w="90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$411</w:t>
            </w:r>
          </w:p>
        </w:tc>
      </w:tr>
      <w:tr>
        <w:trPr>
          <w:trHeight w:val="358"/>
        </w:trPr>
        <w:tc>
          <w:tcPr>
            <w:tcW w:w="5720" w:type="dxa"/>
            <w:vAlign w:val="bottom"/>
          </w:tcPr>
          <w:p>
            <w:pPr>
              <w:ind w:left="540"/>
              <w:spacing w:after="0"/>
              <w:rPr>
                <w:sz w:val="20"/>
                <w:szCs w:val="20"/>
                <w:color w:val="auto"/>
              </w:rPr>
            </w:pPr>
            <w:r>
              <w:rPr>
                <w:rFonts w:ascii="Arial" w:cs="Arial" w:eastAsia="Arial" w:hAnsi="Arial"/>
                <w:sz w:val="18"/>
                <w:szCs w:val="18"/>
                <w:color w:val="auto"/>
              </w:rPr>
              <w:t>Average number of table games</w:t>
            </w:r>
          </w:p>
        </w:tc>
        <w:tc>
          <w:tcPr>
            <w:tcW w:w="9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290</w:t>
            </w:r>
          </w:p>
        </w:tc>
        <w:tc>
          <w:tcPr>
            <w:tcW w:w="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219</w:t>
            </w:r>
          </w:p>
        </w:tc>
        <w:tc>
          <w:tcPr>
            <w:tcW w:w="9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259</w:t>
            </w:r>
          </w:p>
        </w:tc>
        <w:tc>
          <w:tcPr>
            <w:tcW w:w="90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217</w:t>
            </w:r>
          </w:p>
        </w:tc>
      </w:tr>
      <w:tr>
        <w:trPr>
          <w:trHeight w:val="446"/>
        </w:trPr>
        <w:tc>
          <w:tcPr>
            <w:tcW w:w="572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9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708</w:t>
            </w:r>
          </w:p>
        </w:tc>
        <w:tc>
          <w:tcPr>
            <w:tcW w:w="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366</w:t>
            </w:r>
          </w:p>
        </w:tc>
        <w:tc>
          <w:tcPr>
            <w:tcW w:w="9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521</w:t>
            </w:r>
          </w:p>
        </w:tc>
        <w:tc>
          <w:tcPr>
            <w:tcW w:w="90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r>
    </w:tbl>
    <w:p>
      <w:pPr>
        <w:spacing w:after="0" w:line="200" w:lineRule="exact"/>
        <w:rPr>
          <w:sz w:val="20"/>
          <w:szCs w:val="20"/>
          <w:color w:val="auto"/>
        </w:rPr>
      </w:pPr>
    </w:p>
    <w:p>
      <w:pPr>
        <w:spacing w:after="0" w:line="272"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(less service charges, if any) by total rooms occupied.</w:t>
      </w:r>
    </w:p>
    <w:p>
      <w:pPr>
        <w:spacing w:after="0" w:line="238"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by total rooms available.</w:t>
      </w:r>
    </w:p>
    <w:p>
      <w:pPr>
        <w:spacing w:after="0" w:line="238"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238"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Slot machine win per unit per day is net of participation fees and progressive accruals.</w:t>
      </w:r>
    </w:p>
    <w:p>
      <w:pPr>
        <w:spacing w:after="0" w:line="238"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Wynn Macau opened on September 6, 2006.</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4" w:lineRule="auto"/>
        <w:rPr>
          <w:sz w:val="20"/>
          <w:szCs w:val="20"/>
          <w:color w:val="auto"/>
        </w:rPr>
      </w:pPr>
      <w:r>
        <w:rPr>
          <w:rFonts w:ascii="Arial" w:cs="Arial" w:eastAsia="Arial" w:hAnsi="Arial"/>
          <w:sz w:val="18"/>
          <w:szCs w:val="18"/>
          <w:color w:val="auto"/>
        </w:rPr>
        <w:t>Wynn Resorts, Limited</w:t>
      </w:r>
    </w:p>
    <w:p>
      <w:pPr>
        <w:spacing w:after="0" w:line="235" w:lineRule="auto"/>
        <w:rPr>
          <w:sz w:val="20"/>
          <w:szCs w:val="20"/>
          <w:color w:val="auto"/>
        </w:rPr>
      </w:pPr>
      <w:r>
        <w:rPr>
          <w:rFonts w:ascii="Arial" w:cs="Arial" w:eastAsia="Arial" w:hAnsi="Arial"/>
          <w:sz w:val="18"/>
          <w:szCs w:val="18"/>
          <w:color w:val="auto"/>
        </w:rPr>
        <w:t>CONTACT:</w:t>
      </w:r>
    </w:p>
    <w:p>
      <w:pPr>
        <w:spacing w:after="0" w:line="235" w:lineRule="auto"/>
        <w:rPr>
          <w:sz w:val="20"/>
          <w:szCs w:val="20"/>
          <w:color w:val="auto"/>
        </w:rPr>
      </w:pPr>
      <w:r>
        <w:rPr>
          <w:rFonts w:ascii="Arial" w:cs="Arial" w:eastAsia="Arial" w:hAnsi="Arial"/>
          <w:sz w:val="18"/>
          <w:szCs w:val="18"/>
          <w:color w:val="auto"/>
        </w:rPr>
        <w:t>Samanta Stewart, 702-770-7555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ectPr>
          <w:pgSz w:w="11900" w:h="16838" w:orient="portrait"/>
          <w:cols w:equalWidth="0" w:num="1">
            <w:col w:w="11420"/>
          </w:cols>
          <w:pgMar w:left="240" w:top="377" w:right="239" w:bottom="969" w:gutter="0" w:footer="0" w:header="0"/>
        </w:sect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77" w:right="239" w:bottom="96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3"/>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2019-12-15T06:38:01Z</dcterms:created>
  <dcterms:modified xsi:type="dcterms:W3CDTF">2019-12-15T06:38:01Z</dcterms:modified>
</cp:coreProperties>
</file>