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237490</wp:posOffset>
            </wp:positionV>
            <wp:extent cx="28511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142240</wp:posOffset>
            </wp:positionV>
            <wp:extent cx="28511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158115</wp:posOffset>
            </wp:positionV>
            <wp:extent cx="28511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WYNN RESORTS, LIMITED</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3020" w:type="dxa"/>
            <w:vAlign w:val="bottom"/>
            <w:gridSpan w:val="3"/>
          </w:tcPr>
          <w:p>
            <w:pPr>
              <w:jc w:val="center"/>
              <w:ind w:right="1300"/>
              <w:spacing w:after="0"/>
              <w:rPr>
                <w:sz w:val="20"/>
                <w:szCs w:val="20"/>
                <w:color w:val="auto"/>
              </w:rPr>
            </w:pPr>
            <w:r>
              <w:rPr>
                <w:rFonts w:ascii="Arial" w:cs="Arial" w:eastAsia="Arial" w:hAnsi="Arial"/>
                <w:sz w:val="15"/>
                <w:szCs w:val="15"/>
                <w:b w:val="1"/>
                <w:bCs w:val="1"/>
                <w:color w:val="auto"/>
                <w:w w:val="89"/>
              </w:rPr>
              <w:t>Nevada</w:t>
            </w:r>
          </w:p>
        </w:tc>
        <w:tc>
          <w:tcPr>
            <w:tcW w:w="3320" w:type="dxa"/>
            <w:vAlign w:val="bottom"/>
            <w:gridSpan w:val="2"/>
          </w:tcPr>
          <w:p>
            <w:pPr>
              <w:ind w:left="1220"/>
              <w:spacing w:after="0"/>
              <w:rPr>
                <w:sz w:val="20"/>
                <w:szCs w:val="20"/>
                <w:color w:val="auto"/>
              </w:rPr>
            </w:pPr>
            <w:r>
              <w:rPr>
                <w:rFonts w:ascii="Arial" w:cs="Arial" w:eastAsia="Arial" w:hAnsi="Arial"/>
                <w:sz w:val="15"/>
                <w:szCs w:val="15"/>
                <w:b w:val="1"/>
                <w:bCs w:val="1"/>
                <w:color w:val="auto"/>
              </w:rPr>
              <w:t>000-50028</w:t>
            </w:r>
          </w:p>
        </w:tc>
        <w:tc>
          <w:tcPr>
            <w:tcW w:w="2760" w:type="dxa"/>
            <w:vAlign w:val="bottom"/>
            <w:gridSpan w:val="2"/>
          </w:tcPr>
          <w:p>
            <w:pPr>
              <w:jc w:val="right"/>
              <w:ind w:right="301"/>
              <w:spacing w:after="0"/>
              <w:rPr>
                <w:sz w:val="20"/>
                <w:szCs w:val="20"/>
                <w:color w:val="auto"/>
              </w:rPr>
            </w:pPr>
            <w:r>
              <w:rPr>
                <w:rFonts w:ascii="Arial" w:cs="Arial" w:eastAsia="Arial" w:hAnsi="Arial"/>
                <w:sz w:val="15"/>
                <w:szCs w:val="15"/>
                <w:b w:val="1"/>
                <w:bCs w:val="1"/>
                <w:color w:val="auto"/>
              </w:rPr>
              <w:t>46-0484987</w:t>
            </w:r>
          </w:p>
        </w:tc>
      </w:tr>
      <w:tr>
        <w:trPr>
          <w:trHeight w:val="150"/>
        </w:trPr>
        <w:tc>
          <w:tcPr>
            <w:tcW w:w="980" w:type="dxa"/>
            <w:vAlign w:val="bottom"/>
          </w:tcPr>
          <w:p>
            <w:pPr>
              <w:spacing w:after="0"/>
              <w:rPr>
                <w:sz w:val="13"/>
                <w:szCs w:val="13"/>
                <w:color w:val="auto"/>
              </w:rPr>
            </w:pPr>
          </w:p>
        </w:tc>
        <w:tc>
          <w:tcPr>
            <w:tcW w:w="3020" w:type="dxa"/>
            <w:vAlign w:val="bottom"/>
            <w:gridSpan w:val="3"/>
          </w:tcPr>
          <w:p>
            <w:pPr>
              <w:jc w:val="center"/>
              <w:ind w:right="1320"/>
              <w:spacing w:after="0"/>
              <w:rPr>
                <w:sz w:val="20"/>
                <w:szCs w:val="20"/>
                <w:color w:val="auto"/>
              </w:rPr>
            </w:pPr>
            <w:r>
              <w:rPr>
                <w:rFonts w:ascii="Arial" w:cs="Arial" w:eastAsia="Arial" w:hAnsi="Arial"/>
                <w:sz w:val="12"/>
                <w:szCs w:val="12"/>
                <w:b w:val="1"/>
                <w:bCs w:val="1"/>
                <w:color w:val="auto"/>
                <w:w w:val="89"/>
              </w:rPr>
              <w:t>(State or other jurisdiction</w:t>
            </w:r>
          </w:p>
        </w:tc>
        <w:tc>
          <w:tcPr>
            <w:tcW w:w="1180" w:type="dxa"/>
            <w:vAlign w:val="bottom"/>
          </w:tcPr>
          <w:p>
            <w:pPr>
              <w:spacing w:after="0"/>
              <w:rPr>
                <w:sz w:val="13"/>
                <w:szCs w:val="13"/>
                <w:color w:val="auto"/>
              </w:rPr>
            </w:pPr>
          </w:p>
        </w:tc>
        <w:tc>
          <w:tcPr>
            <w:tcW w:w="2140" w:type="dxa"/>
            <w:vAlign w:val="bottom"/>
          </w:tcPr>
          <w:p>
            <w:pPr>
              <w:ind w:left="40"/>
              <w:spacing w:after="0"/>
              <w:rPr>
                <w:sz w:val="20"/>
                <w:szCs w:val="20"/>
                <w:color w:val="auto"/>
              </w:rPr>
            </w:pPr>
            <w:r>
              <w:rPr>
                <w:rFonts w:ascii="Arial" w:cs="Arial" w:eastAsia="Arial" w:hAnsi="Arial"/>
                <w:sz w:val="12"/>
                <w:szCs w:val="12"/>
                <w:b w:val="1"/>
                <w:bCs w:val="1"/>
                <w:color w:val="auto"/>
              </w:rPr>
              <w:t>(Commission</w:t>
            </w:r>
          </w:p>
        </w:tc>
        <w:tc>
          <w:tcPr>
            <w:tcW w:w="560" w:type="dxa"/>
            <w:vAlign w:val="bottom"/>
          </w:tcPr>
          <w:p>
            <w:pPr>
              <w:spacing w:after="0"/>
              <w:rPr>
                <w:sz w:val="13"/>
                <w:szCs w:val="13"/>
                <w:color w:val="auto"/>
              </w:rPr>
            </w:pPr>
          </w:p>
        </w:tc>
        <w:tc>
          <w:tcPr>
            <w:tcW w:w="2200" w:type="dxa"/>
            <w:vAlign w:val="bottom"/>
          </w:tcPr>
          <w:p>
            <w:pPr>
              <w:jc w:val="center"/>
              <w:ind w:left="681"/>
              <w:spacing w:after="0"/>
              <w:rPr>
                <w:sz w:val="20"/>
                <w:szCs w:val="20"/>
                <w:color w:val="auto"/>
              </w:rPr>
            </w:pPr>
            <w:r>
              <w:rPr>
                <w:rFonts w:ascii="Arial" w:cs="Arial" w:eastAsia="Arial" w:hAnsi="Arial"/>
                <w:sz w:val="12"/>
                <w:szCs w:val="12"/>
                <w:b w:val="1"/>
                <w:bCs w:val="1"/>
                <w:color w:val="auto"/>
                <w:w w:val="93"/>
              </w:rPr>
              <w:t>(I.R.S. Employer</w:t>
            </w:r>
          </w:p>
        </w:tc>
      </w:tr>
      <w:tr>
        <w:trPr>
          <w:trHeight w:val="152"/>
        </w:trPr>
        <w:tc>
          <w:tcPr>
            <w:tcW w:w="980" w:type="dxa"/>
            <w:vAlign w:val="bottom"/>
          </w:tcPr>
          <w:p>
            <w:pPr>
              <w:spacing w:after="0"/>
              <w:rPr>
                <w:sz w:val="13"/>
                <w:szCs w:val="13"/>
                <w:color w:val="auto"/>
              </w:rPr>
            </w:pPr>
          </w:p>
        </w:tc>
        <w:tc>
          <w:tcPr>
            <w:tcW w:w="3020" w:type="dxa"/>
            <w:vAlign w:val="bottom"/>
            <w:gridSpan w:val="3"/>
          </w:tcPr>
          <w:p>
            <w:pPr>
              <w:jc w:val="center"/>
              <w:ind w:right="1320"/>
              <w:spacing w:after="0"/>
              <w:rPr>
                <w:sz w:val="20"/>
                <w:szCs w:val="20"/>
                <w:color w:val="auto"/>
              </w:rPr>
            </w:pPr>
            <w:r>
              <w:rPr>
                <w:rFonts w:ascii="Arial" w:cs="Arial" w:eastAsia="Arial" w:hAnsi="Arial"/>
                <w:sz w:val="12"/>
                <w:szCs w:val="12"/>
                <w:b w:val="1"/>
                <w:bCs w:val="1"/>
                <w:color w:val="auto"/>
                <w:w w:val="89"/>
              </w:rPr>
              <w:t>of incorporation)</w:t>
            </w:r>
          </w:p>
        </w:tc>
        <w:tc>
          <w:tcPr>
            <w:tcW w:w="1180" w:type="dxa"/>
            <w:vAlign w:val="bottom"/>
          </w:tcPr>
          <w:p>
            <w:pPr>
              <w:spacing w:after="0"/>
              <w:rPr>
                <w:sz w:val="13"/>
                <w:szCs w:val="13"/>
                <w:color w:val="auto"/>
              </w:rPr>
            </w:pPr>
          </w:p>
        </w:tc>
        <w:tc>
          <w:tcPr>
            <w:tcW w:w="2140" w:type="dxa"/>
            <w:vAlign w:val="bottom"/>
          </w:tcPr>
          <w:p>
            <w:pPr>
              <w:ind w:left="20"/>
              <w:spacing w:after="0"/>
              <w:rPr>
                <w:sz w:val="20"/>
                <w:szCs w:val="20"/>
                <w:color w:val="auto"/>
              </w:rPr>
            </w:pPr>
            <w:r>
              <w:rPr>
                <w:rFonts w:ascii="Arial" w:cs="Arial" w:eastAsia="Arial" w:hAnsi="Arial"/>
                <w:sz w:val="12"/>
                <w:szCs w:val="12"/>
                <w:b w:val="1"/>
                <w:bCs w:val="1"/>
                <w:color w:val="auto"/>
              </w:rPr>
              <w:t>File Number)</w:t>
            </w:r>
          </w:p>
        </w:tc>
        <w:tc>
          <w:tcPr>
            <w:tcW w:w="560" w:type="dxa"/>
            <w:vAlign w:val="bottom"/>
          </w:tcPr>
          <w:p>
            <w:pPr>
              <w:spacing w:after="0"/>
              <w:rPr>
                <w:sz w:val="13"/>
                <w:szCs w:val="13"/>
                <w:color w:val="auto"/>
              </w:rPr>
            </w:pPr>
          </w:p>
        </w:tc>
        <w:tc>
          <w:tcPr>
            <w:tcW w:w="2200" w:type="dxa"/>
            <w:vAlign w:val="bottom"/>
          </w:tcPr>
          <w:p>
            <w:pPr>
              <w:jc w:val="center"/>
              <w:ind w:left="701"/>
              <w:spacing w:after="0"/>
              <w:rPr>
                <w:sz w:val="20"/>
                <w:szCs w:val="20"/>
                <w:color w:val="auto"/>
              </w:rPr>
            </w:pPr>
            <w:r>
              <w:rPr>
                <w:rFonts w:ascii="Arial" w:cs="Arial" w:eastAsia="Arial" w:hAnsi="Arial"/>
                <w:sz w:val="12"/>
                <w:szCs w:val="12"/>
                <w:b w:val="1"/>
                <w:bCs w:val="1"/>
                <w:color w:val="auto"/>
                <w:w w:val="90"/>
              </w:rPr>
              <w:t>Identification No.)</w:t>
            </w:r>
          </w:p>
        </w:tc>
      </w:tr>
      <w:tr>
        <w:trPr>
          <w:trHeight w:val="210"/>
        </w:trPr>
        <w:tc>
          <w:tcPr>
            <w:tcW w:w="4000" w:type="dxa"/>
            <w:vAlign w:val="bottom"/>
            <w:gridSpan w:val="4"/>
          </w:tcPr>
          <w:p>
            <w:pPr>
              <w:jc w:val="center"/>
              <w:ind w:right="340"/>
              <w:spacing w:after="0"/>
              <w:rPr>
                <w:sz w:val="20"/>
                <w:szCs w:val="20"/>
                <w:color w:val="auto"/>
              </w:rPr>
            </w:pPr>
            <w:r>
              <w:rPr>
                <w:rFonts w:ascii="Arial" w:cs="Arial" w:eastAsia="Arial" w:hAnsi="Arial"/>
                <w:sz w:val="15"/>
                <w:szCs w:val="15"/>
                <w:b w:val="1"/>
                <w:bCs w:val="1"/>
                <w:color w:val="auto"/>
                <w:w w:val="87"/>
              </w:rPr>
              <w:t>3131 Las Vegas Boulevard South</w:t>
            </w: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3020" w:type="dxa"/>
            <w:vAlign w:val="bottom"/>
            <w:gridSpan w:val="3"/>
          </w:tcPr>
          <w:p>
            <w:pPr>
              <w:ind w:left="180"/>
              <w:spacing w:after="0"/>
              <w:rPr>
                <w:sz w:val="20"/>
                <w:szCs w:val="20"/>
                <w:color w:val="auto"/>
              </w:rPr>
            </w:pPr>
            <w:r>
              <w:rPr>
                <w:rFonts w:ascii="Arial" w:cs="Arial" w:eastAsia="Arial" w:hAnsi="Arial"/>
                <w:sz w:val="15"/>
                <w:szCs w:val="15"/>
                <w:b w:val="1"/>
                <w:bCs w:val="1"/>
                <w:color w:val="auto"/>
              </w:rPr>
              <w:t>Las Vegas, Nevada</w:t>
            </w:r>
          </w:p>
        </w:tc>
        <w:tc>
          <w:tcPr>
            <w:tcW w:w="1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760" w:type="dxa"/>
            <w:vAlign w:val="bottom"/>
            <w:gridSpan w:val="2"/>
          </w:tcPr>
          <w:p>
            <w:pPr>
              <w:jc w:val="right"/>
              <w:ind w:right="481"/>
              <w:spacing w:after="0"/>
              <w:rPr>
                <w:sz w:val="20"/>
                <w:szCs w:val="20"/>
                <w:color w:val="auto"/>
              </w:rPr>
            </w:pPr>
            <w:r>
              <w:rPr>
                <w:rFonts w:ascii="Arial" w:cs="Arial" w:eastAsia="Arial" w:hAnsi="Arial"/>
                <w:sz w:val="15"/>
                <w:szCs w:val="15"/>
                <w:b w:val="1"/>
                <w:bCs w:val="1"/>
                <w:color w:val="auto"/>
              </w:rPr>
              <w:t>89109</w:t>
            </w:r>
          </w:p>
        </w:tc>
      </w:tr>
      <w:tr>
        <w:trPr>
          <w:trHeight w:val="179"/>
        </w:trPr>
        <w:tc>
          <w:tcPr>
            <w:tcW w:w="400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87"/>
              </w:rPr>
              <w:t>(Address of principal executive offices)</w:t>
            </w:r>
          </w:p>
        </w:tc>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0" w:type="dxa"/>
            <w:vAlign w:val="bottom"/>
          </w:tcPr>
          <w:p>
            <w:pPr>
              <w:jc w:val="center"/>
              <w:ind w:left="701"/>
              <w:spacing w:after="0"/>
              <w:rPr>
                <w:sz w:val="20"/>
                <w:szCs w:val="20"/>
                <w:color w:val="auto"/>
              </w:rPr>
            </w:pPr>
            <w:r>
              <w:rPr>
                <w:rFonts w:ascii="Arial" w:cs="Arial" w:eastAsia="Arial" w:hAnsi="Arial"/>
                <w:sz w:val="12"/>
                <w:szCs w:val="12"/>
                <w:b w:val="1"/>
                <w:bCs w:val="1"/>
                <w:color w:val="auto"/>
                <w:w w:val="94"/>
              </w:rPr>
              <w:t>(Zip Code)</w:t>
            </w:r>
          </w:p>
        </w:tc>
      </w:tr>
      <w:tr>
        <w:trPr>
          <w:trHeight w:val="571"/>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(702) 770-7555</w:t>
            </w: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52"/>
        </w:trPr>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5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37"/>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Not Applicable</w:t>
            </w: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52"/>
        </w:trPr>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(Former name or former address, if changed since last report)</w:t>
            </w:r>
          </w:p>
        </w:tc>
        <w:tc>
          <w:tcPr>
            <w:tcW w:w="5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2"/>
        </w:trPr>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91"/>
        </w:trPr>
        <w:tc>
          <w:tcPr>
            <w:tcW w:w="4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9"/>
        </w:trPr>
        <w:tc>
          <w:tcPr>
            <w:tcW w:w="980" w:type="dxa"/>
            <w:vAlign w:val="bottom"/>
          </w:tcPr>
          <w:p>
            <w:pPr>
              <w:spacing w:after="0"/>
              <w:rPr>
                <w:sz w:val="16"/>
                <w:szCs w:val="16"/>
                <w:color w:val="auto"/>
              </w:rPr>
            </w:pPr>
          </w:p>
        </w:tc>
        <w:tc>
          <w:tcPr>
            <w:tcW w:w="3020" w:type="dxa"/>
            <w:vAlign w:val="bottom"/>
            <w:gridSpan w:val="3"/>
          </w:tcPr>
          <w:p>
            <w:pPr>
              <w:jc w:val="center"/>
              <w:ind w:right="1920"/>
              <w:spacing w:after="0"/>
              <w:rPr>
                <w:sz w:val="20"/>
                <w:szCs w:val="20"/>
                <w:color w:val="auto"/>
              </w:rPr>
            </w:pPr>
            <w:r>
              <w:rPr>
                <w:rFonts w:ascii="Arial" w:cs="Arial" w:eastAsia="Arial" w:hAnsi="Arial"/>
                <w:sz w:val="15"/>
                <w:szCs w:val="15"/>
                <w:b w:val="1"/>
                <w:bCs w:val="1"/>
                <w:color w:val="auto"/>
                <w:w w:val="85"/>
              </w:rPr>
              <w:t>Title of each class</w:t>
            </w:r>
          </w:p>
        </w:tc>
        <w:tc>
          <w:tcPr>
            <w:tcW w:w="3320" w:type="dxa"/>
            <w:vAlign w:val="bottom"/>
            <w:gridSpan w:val="2"/>
          </w:tcPr>
          <w:p>
            <w:pPr>
              <w:jc w:val="center"/>
              <w:ind w:right="2081"/>
              <w:spacing w:after="0"/>
              <w:rPr>
                <w:sz w:val="20"/>
                <w:szCs w:val="20"/>
                <w:color w:val="auto"/>
              </w:rPr>
            </w:pPr>
            <w:r>
              <w:rPr>
                <w:rFonts w:ascii="Arial" w:cs="Arial" w:eastAsia="Arial" w:hAnsi="Arial"/>
                <w:sz w:val="15"/>
                <w:szCs w:val="15"/>
                <w:b w:val="1"/>
                <w:bCs w:val="1"/>
                <w:color w:val="auto"/>
                <w:w w:val="89"/>
              </w:rPr>
              <w:t>Trading Symbol(s)</w:t>
            </w:r>
          </w:p>
        </w:tc>
        <w:tc>
          <w:tcPr>
            <w:tcW w:w="27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r>
      <w:tr>
        <w:trPr>
          <w:trHeight w:val="235"/>
        </w:trPr>
        <w:tc>
          <w:tcPr>
            <w:tcW w:w="4000" w:type="dxa"/>
            <w:vAlign w:val="bottom"/>
            <w:gridSpan w:val="4"/>
          </w:tcPr>
          <w:p>
            <w:pPr>
              <w:jc w:val="center"/>
              <w:ind w:right="940"/>
              <w:spacing w:after="0"/>
              <w:rPr>
                <w:sz w:val="20"/>
                <w:szCs w:val="20"/>
                <w:color w:val="auto"/>
              </w:rPr>
            </w:pPr>
            <w:r>
              <w:rPr>
                <w:rFonts w:ascii="Arial" w:cs="Arial" w:eastAsia="Arial" w:hAnsi="Arial"/>
                <w:sz w:val="15"/>
                <w:szCs w:val="15"/>
                <w:color w:val="auto"/>
                <w:w w:val="89"/>
              </w:rPr>
              <w:t>Common stock, par value $0.01</w:t>
            </w:r>
          </w:p>
        </w:tc>
        <w:tc>
          <w:tcPr>
            <w:tcW w:w="3320" w:type="dxa"/>
            <w:vAlign w:val="bottom"/>
            <w:gridSpan w:val="2"/>
          </w:tcPr>
          <w:p>
            <w:pPr>
              <w:jc w:val="center"/>
              <w:ind w:right="2081"/>
              <w:spacing w:after="0"/>
              <w:rPr>
                <w:sz w:val="20"/>
                <w:szCs w:val="20"/>
                <w:color w:val="auto"/>
              </w:rPr>
            </w:pPr>
            <w:r>
              <w:rPr>
                <w:rFonts w:ascii="Arial" w:cs="Arial" w:eastAsia="Arial" w:hAnsi="Arial"/>
                <w:sz w:val="15"/>
                <w:szCs w:val="15"/>
                <w:color w:val="auto"/>
              </w:rPr>
              <w:t>WYNN</w:t>
            </w:r>
          </w:p>
        </w:tc>
        <w:tc>
          <w:tcPr>
            <w:tcW w:w="2760" w:type="dxa"/>
            <w:vAlign w:val="bottom"/>
            <w:gridSpan w:val="2"/>
          </w:tcPr>
          <w:p>
            <w:pPr>
              <w:jc w:val="center"/>
              <w:spacing w:after="0"/>
              <w:rPr>
                <w:sz w:val="20"/>
                <w:szCs w:val="20"/>
                <w:color w:val="auto"/>
              </w:rPr>
            </w:pPr>
            <w:r>
              <w:rPr>
                <w:rFonts w:ascii="Arial" w:cs="Arial" w:eastAsia="Arial" w:hAnsi="Arial"/>
                <w:sz w:val="15"/>
                <w:szCs w:val="15"/>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254635</wp:posOffset>
            </wp:positionV>
            <wp:extent cx="715645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6450" cy="13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 w:lineRule="exact"/>
        <w:rPr>
          <w:sz w:val="24"/>
          <w:szCs w:val="24"/>
          <w:color w:val="auto"/>
        </w:rPr>
      </w:pPr>
    </w:p>
    <w:p>
      <w:pPr>
        <w:ind w:left="180" w:hanging="171"/>
        <w:spacing w:after="0"/>
        <w:tabs>
          <w:tab w:leader="none" w:pos="1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7" w:lineRule="exact"/>
        <w:rPr>
          <w:rFonts w:ascii="MS PGothic" w:cs="MS PGothic" w:eastAsia="MS PGothic" w:hAnsi="MS PGothic"/>
          <w:sz w:val="15"/>
          <w:szCs w:val="15"/>
          <w:color w:val="auto"/>
        </w:rPr>
      </w:pPr>
    </w:p>
    <w:p>
      <w:pPr>
        <w:ind w:left="180" w:hanging="171"/>
        <w:spacing w:after="0"/>
        <w:tabs>
          <w:tab w:leader="none" w:pos="1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 w:lineRule="exact"/>
        <w:rPr>
          <w:rFonts w:ascii="MS PGothic" w:cs="MS PGothic" w:eastAsia="MS PGothic" w:hAnsi="MS PGothic"/>
          <w:sz w:val="15"/>
          <w:szCs w:val="15"/>
          <w:color w:val="auto"/>
        </w:rPr>
      </w:pPr>
    </w:p>
    <w:p>
      <w:pPr>
        <w:ind w:left="180" w:hanging="171"/>
        <w:spacing w:after="0"/>
        <w:tabs>
          <w:tab w:leader="none" w:pos="1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 w:lineRule="exact"/>
        <w:rPr>
          <w:rFonts w:ascii="MS PGothic" w:cs="MS PGothic" w:eastAsia="MS PGothic" w:hAnsi="MS PGothic"/>
          <w:sz w:val="15"/>
          <w:szCs w:val="15"/>
          <w:color w:val="auto"/>
        </w:rPr>
      </w:pPr>
    </w:p>
    <w:p>
      <w:pPr>
        <w:ind w:left="180" w:hanging="171"/>
        <w:spacing w:after="0"/>
        <w:tabs>
          <w:tab w:leader="none" w:pos="1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9" w:lineRule="exact"/>
        <w:rPr>
          <w:sz w:val="24"/>
          <w:szCs w:val="24"/>
          <w:color w:val="auto"/>
        </w:rPr>
      </w:pPr>
    </w:p>
    <w:p>
      <w:pPr>
        <w:spacing w:after="0" w:line="18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575945</wp:posOffset>
            </wp:positionV>
            <wp:extent cx="715645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0" cy="13970"/>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321" w:lineRule="exact"/>
        <w:rPr>
          <w:sz w:val="20"/>
          <w:szCs w:val="20"/>
          <w:color w:val="auto"/>
        </w:rPr>
      </w:pPr>
    </w:p>
    <w:p>
      <w:pPr>
        <w:jc w:val="both"/>
        <w:ind w:firstLine="333"/>
        <w:spacing w:after="0" w:line="252" w:lineRule="auto"/>
        <w:rPr>
          <w:sz w:val="20"/>
          <w:szCs w:val="20"/>
          <w:color w:val="auto"/>
        </w:rPr>
      </w:pPr>
      <w:r>
        <w:rPr>
          <w:rFonts w:ascii="Arial" w:cs="Arial" w:eastAsia="Arial" w:hAnsi="Arial"/>
          <w:sz w:val="15"/>
          <w:szCs w:val="15"/>
          <w:color w:val="auto"/>
        </w:rPr>
        <w:t>On August 17, 2020, Wynn Macau, Limited ("WML"), an indirect subsidiary of Wynn Resorts, Limited (the "Registrant") with its ordinary shares of common stock listed on The Stock Exchange of Hong Kong Limited (the "HKSE"), filed with the HKSE its interim report in respect of the six months ended June 30, 2020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9920" w:type="dxa"/>
            <w:vAlign w:val="bottom"/>
            <w:gridSpan w:val="2"/>
          </w:tcPr>
          <w:p>
            <w:pPr>
              <w:spacing w:after="0"/>
              <w:rPr>
                <w:sz w:val="20"/>
                <w:szCs w:val="20"/>
                <w:color w:val="auto"/>
              </w:rPr>
            </w:pPr>
            <w:r>
              <w:rPr>
                <w:rFonts w:ascii="Arial" w:cs="Arial" w:eastAsia="Arial" w:hAnsi="Arial"/>
                <w:sz w:val="15"/>
                <w:szCs w:val="15"/>
                <w:b w:val="1"/>
                <w:bCs w:val="1"/>
                <w:color w:val="auto"/>
              </w:rPr>
              <w:t>Financial Statements and Exhibits.</w:t>
            </w:r>
          </w:p>
        </w:tc>
      </w:tr>
      <w:tr>
        <w:trPr>
          <w:trHeight w:val="389"/>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5"/>
                <w:szCs w:val="15"/>
                <w:color w:val="auto"/>
              </w:rPr>
              <w:t>(d) Exhibits.</w:t>
            </w:r>
          </w:p>
        </w:tc>
        <w:tc>
          <w:tcPr>
            <w:tcW w:w="600" w:type="dxa"/>
            <w:vAlign w:val="bottom"/>
          </w:tcPr>
          <w:p>
            <w:pPr>
              <w:spacing w:after="0"/>
              <w:rPr>
                <w:sz w:val="24"/>
                <w:szCs w:val="24"/>
                <w:color w:val="auto"/>
              </w:rPr>
            </w:pPr>
          </w:p>
        </w:tc>
        <w:tc>
          <w:tcPr>
            <w:tcW w:w="932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992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5"/>
                <w:szCs w:val="15"/>
                <w:color w:val="auto"/>
              </w:rPr>
              <w:t>99.1</w:t>
            </w:r>
          </w:p>
        </w:tc>
        <w:tc>
          <w:tcPr>
            <w:tcW w:w="760" w:type="dxa"/>
            <w:vAlign w:val="bottom"/>
          </w:tcPr>
          <w:p>
            <w:pPr>
              <w:spacing w:after="0"/>
              <w:rPr>
                <w:sz w:val="24"/>
                <w:szCs w:val="24"/>
                <w:color w:val="auto"/>
              </w:rPr>
            </w:pPr>
          </w:p>
        </w:tc>
        <w:tc>
          <w:tcPr>
            <w:tcW w:w="9920" w:type="dxa"/>
            <w:vAlign w:val="bottom"/>
            <w:gridSpan w:val="2"/>
          </w:tcPr>
          <w:p>
            <w:pPr>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Interim Report of Wynn Macau, Limited in respect of the six months ended June 30, 2020.</w:t>
              </w:r>
            </w:hyperlink>
          </w:p>
        </w:tc>
      </w:tr>
      <w:tr>
        <w:trPr>
          <w:trHeight w:val="200"/>
        </w:trPr>
        <w:tc>
          <w:tcPr>
            <w:tcW w:w="600" w:type="dxa"/>
            <w:vAlign w:val="bottom"/>
            <w:gridSpan w:val="2"/>
          </w:tcPr>
          <w:p>
            <w:pPr>
              <w:ind w:left="20"/>
              <w:spacing w:after="0"/>
              <w:rPr>
                <w:sz w:val="20"/>
                <w:szCs w:val="20"/>
                <w:color w:val="auto"/>
              </w:rPr>
            </w:pPr>
            <w:r>
              <w:rPr>
                <w:rFonts w:ascii="Arial" w:cs="Arial" w:eastAsia="Arial" w:hAnsi="Arial"/>
                <w:sz w:val="15"/>
                <w:szCs w:val="15"/>
                <w:color w:val="auto"/>
              </w:rPr>
              <w:t>104</w:t>
            </w:r>
          </w:p>
        </w:tc>
        <w:tc>
          <w:tcPr>
            <w:tcW w:w="760" w:type="dxa"/>
            <w:vAlign w:val="bottom"/>
          </w:tcPr>
          <w:p>
            <w:pPr>
              <w:spacing w:after="0"/>
              <w:rPr>
                <w:sz w:val="17"/>
                <w:szCs w:val="17"/>
                <w:color w:val="auto"/>
              </w:rPr>
            </w:pPr>
          </w:p>
        </w:tc>
        <w:tc>
          <w:tcPr>
            <w:tcW w:w="9920" w:type="dxa"/>
            <w:vAlign w:val="bottom"/>
            <w:gridSpan w:val="2"/>
          </w:tcPr>
          <w:p>
            <w:pPr>
              <w:spacing w:after="0"/>
              <w:rPr>
                <w:sz w:val="20"/>
                <w:szCs w:val="20"/>
                <w:color w:val="auto"/>
              </w:rPr>
            </w:pPr>
            <w:r>
              <w:rPr>
                <w:rFonts w:ascii="Arial" w:cs="Arial" w:eastAsia="Arial" w:hAnsi="Arial"/>
                <w:sz w:val="15"/>
                <w:szCs w:val="15"/>
                <w:color w:val="auto"/>
              </w:rPr>
              <w:t>Cover Page Interactive Data File - the cover page XBRL tags are embedded within the Inline XBRL document</w:t>
            </w:r>
          </w:p>
        </w:tc>
      </w:tr>
      <w:tr>
        <w:trPr>
          <w:trHeight w:val="103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7180"/>
        <w:spacing w:after="0"/>
        <w:rPr>
          <w:sz w:val="20"/>
          <w:szCs w:val="20"/>
          <w:color w:val="auto"/>
        </w:rPr>
      </w:pPr>
      <w:r>
        <w:rPr>
          <w:rFonts w:ascii="Arial" w:cs="Arial" w:eastAsia="Arial" w:hAnsi="Arial"/>
          <w:sz w:val="15"/>
          <w:szCs w:val="15"/>
          <w:b w:val="1"/>
          <w:bCs w:val="1"/>
          <w:color w:val="auto"/>
        </w:rPr>
        <w:t>WYNN RESORTS, LIMITED</w:t>
      </w:r>
    </w:p>
    <w:p>
      <w:pPr>
        <w:sectPr>
          <w:pgSz w:w="11900" w:h="16838" w:orient="portrait"/>
          <w:cols w:equalWidth="0" w:num="1">
            <w:col w:w="11180"/>
          </w:cols>
          <w:pgMar w:left="320" w:top="758" w:right="39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Dated: August 17, 2020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38735</wp:posOffset>
            </wp:positionV>
            <wp:extent cx="26327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2710" cy="698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5760" w:space="720"/>
            <w:col w:w="4700"/>
          </w:cols>
          <w:pgMar w:left="320" w:top="758" w:right="399" w:bottom="1440" w:gutter="0" w:footer="0" w:header="0"/>
          <w:type w:val="continuous"/>
        </w:sectPr>
      </w:pPr>
    </w:p>
    <w:p>
      <w:pPr>
        <w:ind w:left="6560"/>
        <w:spacing w:after="0"/>
        <w:rPr>
          <w:sz w:val="20"/>
          <w:szCs w:val="20"/>
          <w:color w:val="auto"/>
        </w:rPr>
      </w:pPr>
      <w:r>
        <w:rPr>
          <w:rFonts w:ascii="Arial" w:cs="Arial" w:eastAsia="Arial" w:hAnsi="Arial"/>
          <w:sz w:val="15"/>
          <w:szCs w:val="15"/>
          <w:color w:val="auto"/>
        </w:rPr>
        <w:t>Craig S. Billings</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President, Chief Financial Officer and Treasurer</w:t>
      </w:r>
    </w:p>
    <w:p>
      <w:pPr>
        <w:spacing w:after="0" w:line="73"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180"/>
          </w:cols>
          <w:pgMar w:left="320" w:top="758" w:right="39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314960</wp:posOffset>
            </wp:positionV>
            <wp:extent cx="7098030" cy="9770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63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9763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84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978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84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978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84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978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84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978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10200005</wp:posOffset>
            </wp:positionV>
            <wp:extent cx="709803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10193020</wp:posOffset>
            </wp:positionV>
            <wp:extent cx="709803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10200005</wp:posOffset>
            </wp:positionV>
            <wp:extent cx="709803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2020-08-17T16:04:28Z</dcterms:created>
  <dcterms:modified xsi:type="dcterms:W3CDTF">2020-08-17T16:04:28Z</dcterms:modified>
</cp:coreProperties>
</file>