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-224155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2"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ind w:left="72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9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720"/>
        <w:spacing w:after="0"/>
        <w:tabs>
          <w:tab w:leader="none" w:pos="35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-7620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000-50028</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81"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68" w:lineRule="exact"/>
        <w:rPr>
          <w:sz w:val="24"/>
          <w:szCs w:val="24"/>
          <w:color w:val="auto"/>
        </w:rPr>
      </w:pPr>
    </w:p>
    <w:p>
      <w:pPr>
        <w:sectPr>
          <w:pgSz w:w="11900" w:h="16838" w:orient="portrait"/>
          <w:cols w:equalWidth="0" w:num="2">
            <w:col w:w="7240" w:space="720"/>
            <w:col w:w="342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380"/>
          </w:cols>
          <w:pgMar w:left="240" w:top="229" w:right="279" w:bottom="1440" w:gutter="0" w:footer="0" w:header="0"/>
          <w:type w:val="continuous"/>
        </w:sectPr>
      </w:pPr>
    </w:p>
    <w:p>
      <w:pPr>
        <w:spacing w:after="0" w:line="257" w:lineRule="exact"/>
        <w:rPr>
          <w:sz w:val="24"/>
          <w:szCs w:val="24"/>
          <w:color w:val="auto"/>
        </w:rPr>
      </w:pPr>
    </w:p>
    <w:p>
      <w:pPr>
        <w:ind w:left="22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540" w:space="720"/>
            <w:col w:w="4120"/>
          </w:cols>
          <w:pgMar w:left="240" w:top="229" w:right="279" w:bottom="1440" w:gutter="0" w:footer="0" w:header="0"/>
          <w:type w:val="continuous"/>
        </w:sectPr>
      </w:pPr>
    </w:p>
    <w:p>
      <w:pPr>
        <w:ind w:left="3520" w:right="1580" w:hanging="1938"/>
        <w:spacing w:after="0" w:line="337" w:lineRule="auto"/>
        <w:rPr>
          <w:sz w:val="20"/>
          <w:szCs w:val="20"/>
          <w:color w:val="auto"/>
        </w:rPr>
      </w:pPr>
      <w:r>
        <w:rPr>
          <w:rFonts w:ascii="Arial" w:cs="Arial" w:eastAsia="Arial" w:hAnsi="Arial"/>
          <w:sz w:val="18"/>
          <w:szCs w:val="18"/>
          <w:b w:val="1"/>
          <w:bCs w:val="1"/>
          <w:color w:val="auto"/>
        </w:rPr>
        <w:t>Common Stock, $0.01 par value</w:t>
      </w:r>
      <w:r>
        <w:rPr>
          <w:sz w:val="20"/>
          <w:szCs w:val="20"/>
          <w:color w:val="auto"/>
        </w:rPr>
        <w:t xml:space="preserve"> </w:t>
      </w:r>
      <w:r>
        <w:rPr>
          <w:rFonts w:ascii="Arial" w:cs="Arial" w:eastAsia="Arial" w:hAnsi="Arial"/>
          <w:sz w:val="18"/>
          <w:szCs w:val="18"/>
          <w:b w:val="1"/>
          <w:bCs w:val="1"/>
          <w:color w:val="auto"/>
        </w:rPr>
        <w:t>Nasdaq Global Select Market Securities registered pursuant to Section 12(g) of the Act: None</w:t>
      </w:r>
    </w:p>
    <w:p>
      <w:pPr>
        <w:sectPr>
          <w:pgSz w:w="11900" w:h="16838" w:orient="portrait"/>
          <w:cols w:equalWidth="0" w:num="1">
            <w:col w:w="11380"/>
          </w:cols>
          <w:pgMar w:left="240" w:top="229" w:right="279" w:bottom="1440" w:gutter="0" w:footer="0" w:header="0"/>
          <w:type w:val="continuous"/>
        </w:sectPr>
      </w:pPr>
    </w:p>
    <w:p>
      <w:pPr>
        <w:spacing w:after="0" w:line="206"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9440" w:space="160"/>
            <w:col w:w="260" w:space="100"/>
            <w:col w:w="160" w:space="180"/>
            <w:col w:w="220" w:space="80"/>
            <w:col w:w="780"/>
          </w:cols>
          <w:pgMar w:left="240" w:top="229" w:right="279" w:bottom="1440" w:gutter="0" w:footer="0" w:header="0"/>
          <w:type w:val="continuous"/>
        </w:sectPr>
      </w:pPr>
    </w:p>
    <w:p>
      <w:pPr>
        <w:spacing w:after="0" w:line="20"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5">
            <w:col w:w="9600" w:space="160"/>
            <w:col w:w="260" w:space="100"/>
            <w:col w:w="160" w:space="180"/>
            <w:col w:w="220" w:space="100"/>
            <w:col w:w="600"/>
          </w:cols>
          <w:pgMar w:left="240" w:top="229" w:right="279" w:bottom="1440" w:gutter="0" w:footer="0" w:header="0"/>
          <w:type w:val="continuous"/>
        </w:sectPr>
      </w:pPr>
    </w:p>
    <w:p>
      <w:pPr>
        <w:jc w:val="both"/>
        <w:ind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4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420" w:firstLine="97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440"/>
            <w:col w:w="5560" w:space="720"/>
            <w:col w:w="2000" w:space="720"/>
            <w:col w:w="280"/>
          </w:cols>
          <w:pgMar w:left="240" w:top="229"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560" w:space="540"/>
            <w:col w:w="5560" w:space="720"/>
            <w:col w:w="2000" w:space="720"/>
            <w:col w:w="280"/>
          </w:cols>
          <w:pgMar w:left="240" w:top="229" w:right="27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5">
            <w:col w:w="9160" w:space="180"/>
            <w:col w:w="260" w:space="80"/>
            <w:col w:w="160" w:space="180"/>
            <w:col w:w="220" w:space="100"/>
            <w:col w:w="1040"/>
          </w:cols>
          <w:pgMar w:left="240" w:top="229" w:right="279" w:bottom="1440" w:gutter="0" w:footer="0" w:header="0"/>
          <w:type w:val="continuous"/>
        </w:sectPr>
      </w:pPr>
    </w:p>
    <w:p>
      <w:pPr>
        <w:ind w:right="2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2015 was approximately $7.99 billion.</w:t>
      </w:r>
    </w:p>
    <w:p>
      <w:pPr>
        <w:spacing w:after="0" w:line="8" w:lineRule="exact"/>
        <w:rPr>
          <w:sz w:val="24"/>
          <w:szCs w:val="24"/>
          <w:color w:val="auto"/>
        </w:rPr>
      </w:pPr>
    </w:p>
    <w:p>
      <w:pPr>
        <w:ind w:left="980"/>
        <w:spacing w:after="0"/>
        <w:rPr>
          <w:sz w:val="20"/>
          <w:szCs w:val="20"/>
          <w:color w:val="auto"/>
        </w:rPr>
      </w:pPr>
      <w:r>
        <w:rPr>
          <w:rFonts w:ascii="Arial" w:cs="Arial" w:eastAsia="Arial" w:hAnsi="Arial"/>
          <w:sz w:val="18"/>
          <w:szCs w:val="18"/>
          <w:color w:val="auto"/>
        </w:rPr>
        <w:t>As of February 12, 2016, 101,749,906 shares of the registrant's Common Stock, $0.01 par value, were outstanding.</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140" w:firstLine="972"/>
        <w:spacing w:after="0" w:line="277" w:lineRule="auto"/>
        <w:rPr>
          <w:sz w:val="20"/>
          <w:szCs w:val="20"/>
          <w:color w:val="auto"/>
        </w:rPr>
      </w:pPr>
      <w:r>
        <w:rPr>
          <w:rFonts w:ascii="Arial" w:cs="Arial" w:eastAsia="Arial" w:hAnsi="Arial"/>
          <w:sz w:val="18"/>
          <w:szCs w:val="18"/>
          <w:color w:val="auto"/>
        </w:rPr>
        <w:t>Portions of the registrant's Proxy Statement for its 2016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80" w:type="dxa"/>
            <w:vAlign w:val="bottom"/>
            <w:gridSpan w:val="30"/>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1320" w:type="dxa"/>
            <w:vAlign w:val="bottom"/>
          </w:tcPr>
          <w:p>
            <w:pPr>
              <w:spacing w:after="0"/>
              <w:rPr>
                <w:sz w:val="14"/>
                <w:szCs w:val="14"/>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8"/>
          </w:tcPr>
          <w:p>
            <w:pPr>
              <w:jc w:val="center"/>
              <w:ind w:right="1660"/>
              <w:spacing w:after="0"/>
              <w:rPr>
                <w:sz w:val="20"/>
                <w:szCs w:val="20"/>
                <w:color w:val="auto"/>
              </w:rPr>
            </w:pPr>
            <w:r>
              <w:rPr>
                <w:rFonts w:ascii="Arial" w:cs="Arial" w:eastAsia="Arial" w:hAnsi="Arial"/>
                <w:sz w:val="18"/>
                <w:szCs w:val="18"/>
                <w:b w:val="1"/>
                <w:bCs w:val="1"/>
                <w:color w:val="auto"/>
              </w:rPr>
              <w:t>WYNN RESORTS, LIMITED AND SUBSIDIARIES</w:t>
            </w:r>
          </w:p>
        </w:tc>
        <w:tc>
          <w:tcPr>
            <w:tcW w:w="13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40" w:type="dxa"/>
            <w:vAlign w:val="bottom"/>
            <w:gridSpan w:val="14"/>
          </w:tcPr>
          <w:p>
            <w:pPr>
              <w:jc w:val="center"/>
              <w:ind w:right="3700"/>
              <w:spacing w:after="0"/>
              <w:rPr>
                <w:sz w:val="20"/>
                <w:szCs w:val="20"/>
                <w:color w:val="auto"/>
              </w:rPr>
            </w:pPr>
            <w:r>
              <w:rPr>
                <w:rFonts w:ascii="Arial" w:cs="Arial" w:eastAsia="Arial" w:hAnsi="Arial"/>
                <w:sz w:val="18"/>
                <w:szCs w:val="18"/>
                <w:b w:val="1"/>
                <w:bCs w:val="1"/>
                <w:color w:val="auto"/>
              </w:rPr>
              <w:t>FORM 10-K</w:t>
            </w:r>
          </w:p>
        </w:tc>
        <w:tc>
          <w:tcPr>
            <w:tcW w:w="13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5"/>
          </w:tcPr>
          <w:p>
            <w:pPr>
              <w:jc w:val="center"/>
              <w:ind w:right="2920"/>
              <w:spacing w:after="0"/>
              <w:rPr>
                <w:sz w:val="20"/>
                <w:szCs w:val="20"/>
                <w:color w:val="auto"/>
              </w:rPr>
            </w:pPr>
            <w:r>
              <w:rPr>
                <w:rFonts w:ascii="Arial" w:cs="Arial" w:eastAsia="Arial" w:hAnsi="Arial"/>
                <w:sz w:val="18"/>
                <w:szCs w:val="18"/>
                <w:b w:val="1"/>
                <w:bCs w:val="1"/>
                <w:color w:val="auto"/>
                <w:w w:val="98"/>
              </w:rPr>
              <w:t>TABLE OF CONTENTS</w:t>
            </w:r>
          </w:p>
        </w:tc>
        <w:tc>
          <w:tcPr>
            <w:tcW w:w="132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gridSpan w:val="10"/>
          </w:tcPr>
          <w:p>
            <w:pPr>
              <w:jc w:val="center"/>
              <w:ind w:right="40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3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820" w:type="dxa"/>
            <w:vAlign w:val="bottom"/>
            <w:gridSpan w:val="15"/>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080" w:type="dxa"/>
            <w:vAlign w:val="bottom"/>
            <w:gridSpan w:val="9"/>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8220" w:type="dxa"/>
            <w:vAlign w:val="bottom"/>
            <w:gridSpan w:val="23"/>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Unresolved Staff Comments</w:t>
              </w:r>
            </w:hyperlink>
          </w:p>
        </w:tc>
        <w:tc>
          <w:tcPr>
            <w:tcW w:w="7080" w:type="dxa"/>
            <w:vAlign w:val="bottom"/>
            <w:gridSpan w:val="18"/>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2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Properties</w:t>
              </w:r>
            </w:hyperlink>
          </w:p>
        </w:tc>
        <w:tc>
          <w:tcPr>
            <w:tcW w:w="132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20" w:type="dxa"/>
            <w:vAlign w:val="bottom"/>
            <w:gridSpan w:val="2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320" w:type="dxa"/>
            <w:vAlign w:val="bottom"/>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2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320" w:type="dxa"/>
            <w:vAlign w:val="bottom"/>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1"/>
          </w:tcPr>
          <w:p>
            <w:pPr>
              <w:jc w:val="center"/>
              <w:ind w:right="40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13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120" w:type="dxa"/>
            <w:vAlign w:val="bottom"/>
            <w:gridSpan w:val="2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34</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4760" w:type="dxa"/>
            <w:vAlign w:val="bottom"/>
            <w:gridSpan w:val="13"/>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9120" w:type="dxa"/>
            <w:vAlign w:val="bottom"/>
            <w:gridSpan w:val="2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1320" w:type="dxa"/>
            <w:vAlign w:val="bottom"/>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Changes in and Disagreements with Accountants on Accounting and Financial Disclosure</w:t>
              </w:r>
            </w:hyperlink>
          </w:p>
        </w:tc>
        <w:tc>
          <w:tcPr>
            <w:tcW w:w="2640" w:type="dxa"/>
            <w:vAlign w:val="bottom"/>
            <w:gridSpan w:val="3"/>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6">
              <w:r>
                <w:rPr>
                  <w:rFonts w:ascii="Arial" w:cs="Arial" w:eastAsia="Arial" w:hAnsi="Arial"/>
                  <w:sz w:val="18"/>
                  <w:szCs w:val="18"/>
                  <w:color w:val="0000EE"/>
                </w:rPr>
                <w:t>115</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9120" w:type="dxa"/>
            <w:vAlign w:val="bottom"/>
            <w:gridSpan w:val="2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1320" w:type="dxa"/>
            <w:vAlign w:val="bottom"/>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115</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7360" w:type="dxa"/>
            <w:vAlign w:val="bottom"/>
            <w:gridSpan w:val="20"/>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115</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gridSpan w:val="13"/>
          </w:tcPr>
          <w:p>
            <w:pPr>
              <w:jc w:val="center"/>
              <w:ind w:right="3960"/>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III</w:t>
              </w:r>
            </w:hyperlink>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400" w:type="dxa"/>
            <w:vAlign w:val="bottom"/>
            <w:gridSpan w:val="15"/>
          </w:tcPr>
          <w:p>
            <w:pPr>
              <w:spacing w:after="0"/>
              <w:rPr>
                <w:rFonts w:ascii="Arial" w:cs="Arial" w:eastAsia="Arial" w:hAnsi="Arial"/>
                <w:sz w:val="18"/>
                <w:szCs w:val="18"/>
                <w:color w:val="0000EE"/>
                <w:w w:val="97"/>
              </w:rPr>
            </w:pPr>
            <w:hyperlink w:anchor="page118">
              <w:r>
                <w:rPr>
                  <w:rFonts w:ascii="Arial" w:cs="Arial" w:eastAsia="Arial" w:hAnsi="Arial"/>
                  <w:sz w:val="18"/>
                  <w:szCs w:val="18"/>
                  <w:color w:val="0000EE"/>
                  <w:w w:val="97"/>
                </w:rPr>
                <w:t>Directors, Executive Officers and Corporate Governance</w:t>
              </w:r>
            </w:hyperlink>
          </w:p>
        </w:tc>
        <w:tc>
          <w:tcPr>
            <w:tcW w:w="740" w:type="dxa"/>
            <w:vAlign w:val="bottom"/>
            <w:tcBorders>
              <w:top w:val="single" w:sz="8" w:color="0000EE"/>
            </w:tcBorders>
            <w:gridSpan w:val="6"/>
          </w:tcPr>
          <w:p>
            <w:pPr>
              <w:spacing w:after="0"/>
              <w:rPr>
                <w:sz w:val="21"/>
                <w:szCs w:val="21"/>
                <w:color w:val="auto"/>
              </w:rPr>
            </w:pPr>
          </w:p>
        </w:tc>
        <w:tc>
          <w:tcPr>
            <w:tcW w:w="3980" w:type="dxa"/>
            <w:vAlign w:val="bottom"/>
            <w:gridSpan w:val="6"/>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40" w:type="dxa"/>
            <w:vAlign w:val="bottom"/>
            <w:gridSpan w:val="14"/>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9120" w:type="dxa"/>
            <w:vAlign w:val="bottom"/>
            <w:gridSpan w:val="27"/>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 Stockholder Matters</w:t>
              </w:r>
            </w:hyperlink>
          </w:p>
        </w:tc>
        <w:tc>
          <w:tcPr>
            <w:tcW w:w="132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Principal Accountant Fees and Services</w:t>
              </w:r>
            </w:hyperlink>
          </w:p>
        </w:tc>
        <w:tc>
          <w:tcPr>
            <w:tcW w:w="3680" w:type="dxa"/>
            <w:vAlign w:val="bottom"/>
            <w:gridSpan w:val="5"/>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18">
              <w:r>
                <w:rPr>
                  <w:rFonts w:ascii="Arial" w:cs="Arial" w:eastAsia="Arial" w:hAnsi="Arial"/>
                  <w:sz w:val="18"/>
                  <w:szCs w:val="18"/>
                  <w:color w:val="0000EE"/>
                </w:rPr>
                <w:t>116</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8"/>
              </w:rPr>
            </w:pPr>
            <w:hyperlink w:anchor="page118">
              <w:r>
                <w:rPr>
                  <w:rFonts w:ascii="Arial" w:cs="Arial" w:eastAsia="Arial" w:hAnsi="Arial"/>
                  <w:sz w:val="18"/>
                  <w:szCs w:val="18"/>
                  <w:b w:val="1"/>
                  <w:bCs w:val="1"/>
                  <w:color w:val="0000EE"/>
                  <w:w w:val="98"/>
                </w:rPr>
                <w:t>PART IV</w:t>
              </w:r>
            </w:hyperlink>
          </w:p>
        </w:tc>
        <w:tc>
          <w:tcPr>
            <w:tcW w:w="40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120" w:type="dxa"/>
            <w:vAlign w:val="bottom"/>
            <w:gridSpan w:val="2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Exhibits and Financial Statement Schedules</w:t>
              </w:r>
            </w:hyperlink>
          </w:p>
        </w:tc>
        <w:tc>
          <w:tcPr>
            <w:tcW w:w="1320" w:type="dxa"/>
            <w:vAlign w:val="bottom"/>
          </w:tcPr>
          <w:p>
            <w:pPr>
              <w:jc w:val="right"/>
              <w:spacing w:after="0"/>
              <w:rPr>
                <w:rFonts w:ascii="Arial" w:cs="Arial" w:eastAsia="Arial" w:hAnsi="Arial"/>
                <w:sz w:val="18"/>
                <w:szCs w:val="18"/>
                <w:color w:val="0000EE"/>
              </w:rPr>
            </w:pPr>
            <w:hyperlink w:anchor="page119">
              <w:r>
                <w:rPr>
                  <w:rFonts w:ascii="Arial" w:cs="Arial" w:eastAsia="Arial" w:hAnsi="Arial"/>
                  <w:sz w:val="18"/>
                  <w:szCs w:val="18"/>
                  <w:color w:val="0000EE"/>
                </w:rPr>
                <w:t>117</w:t>
              </w:r>
            </w:hyperlink>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128">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Arial" w:cs="Arial" w:eastAsia="Arial" w:hAnsi="Arial"/>
                <w:sz w:val="18"/>
                <w:szCs w:val="18"/>
                <w:color w:val="0000EE"/>
              </w:rPr>
            </w:pPr>
            <w:hyperlink w:anchor="page128">
              <w:r>
                <w:rPr>
                  <w:rFonts w:ascii="Arial" w:cs="Arial" w:eastAsia="Arial" w:hAnsi="Arial"/>
                  <w:sz w:val="18"/>
                  <w:szCs w:val="18"/>
                  <w:color w:val="0000EE"/>
                </w:rPr>
                <w:t>127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Wynn Resorts, Limited, ("Wynn Resorts," or together with its subsidiaries, "we" or the "Company"), led by Chairman and Chief Executive Officer, Stephen A. Wynn, is a leading developer, owner and operator of destination casino resorts (integrated resorts) that integrate hotel accommodations and a wide range of amenities, including fine dining outlets, premium retail offerings, distinctive entertainment theaters and large meeting complexes.</w:t>
      </w:r>
    </w:p>
    <w:p>
      <w:pPr>
        <w:spacing w:after="0" w:line="166"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Wynn Resorts currently owns 72% of Wynn Macau, Limited, which operates an integrated resort in the Macau Special Administrative Region of the People's Republic of China ("Macau"). Wynn Resorts also owns 100% of and operates an integrated resort in Las Vegas, Nevada.</w:t>
      </w:r>
    </w:p>
    <w:p>
      <w:pPr>
        <w:spacing w:after="0" w:line="147"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are currently constructing Wynn Palace, an integrated resort in the Cotai area of Macau, which we expect to open in the first half of 2016; however, potential construction delays could push the opening date into the second half of 2016. We have begun site preparation and pre-construction activities for the development and construction of an integrated resort in Everett, Massachusetts, adjacent to Boston.</w:t>
      </w:r>
    </w:p>
    <w:p>
      <w:pPr>
        <w:spacing w:after="0" w:line="181" w:lineRule="exact"/>
        <w:rPr>
          <w:sz w:val="20"/>
          <w:szCs w:val="20"/>
          <w:color w:val="auto"/>
        </w:rPr>
      </w:pPr>
    </w:p>
    <w:p>
      <w:pPr>
        <w:jc w:val="both"/>
        <w:ind w:right="80" w:firstLine="432"/>
        <w:spacing w:after="0" w:line="308" w:lineRule="auto"/>
        <w:rPr>
          <w:sz w:val="20"/>
          <w:szCs w:val="20"/>
          <w:color w:val="auto"/>
        </w:rPr>
      </w:pPr>
      <w:r>
        <w:rPr>
          <w:rFonts w:ascii="Arial" w:cs="Arial" w:eastAsia="Arial" w:hAnsi="Arial"/>
          <w:sz w:val="17"/>
          <w:szCs w:val="17"/>
          <w:color w:val="auto"/>
        </w:rPr>
        <w:t>We present the operating results of our two existing integrated resorts in the following two segments: Macau Operations and Las Vegas Operations. For more information on our segments, see Item 8—"Financial Statements and Supplementary Data," Note 18 "Segment Information."</w:t>
      </w:r>
    </w:p>
    <w:p>
      <w:pPr>
        <w:spacing w:after="0" w:line="14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Wynn Resorts, a Nevada corporation, was formed in 2002. 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8"/>
          <w:szCs w:val="18"/>
          <w:u w:val="single" w:color="auto"/>
          <w:color w:val="auto"/>
        </w:rPr>
        <w:t>www.wynnresorts.com</w:t>
      </w:r>
      <w:r>
        <w:rPr>
          <w:rFonts w:ascii="Arial" w:cs="Arial" w:eastAsia="Arial" w:hAnsi="Arial"/>
          <w:sz w:val="18"/>
          <w:szCs w:val="18"/>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opened Wynn Macau on September 6, 2006 and opened Encore at Wynn Macau, an expansion of Wynn Macau, on April 21, 2010. We refer to the integrated Wynn Macau and Encore at Wynn Macau resort as "Wynn Macau | Encore" or as our "Macau Operations." We operate Wynn Macau | Encore under a 20-year casino concession agreement granted by the Macau government in June 2002. See "Regulation and Licensing—Macau" for details on the casino concession agreement. We lease from the Macau government an approximately 16-acre parcel of land in downtown Macau's inner harbor where Wynn Macau</w:t>
      </w:r>
    </w:p>
    <w:p>
      <w:pPr>
        <w:spacing w:after="0" w:line="2" w:lineRule="exact"/>
        <w:rPr>
          <w:sz w:val="20"/>
          <w:szCs w:val="20"/>
          <w:color w:val="auto"/>
        </w:rPr>
      </w:pPr>
    </w:p>
    <w:p>
      <w:pPr>
        <w:ind w:left="420" w:right="4880" w:hanging="412"/>
        <w:spacing w:after="0" w:line="589" w:lineRule="auto"/>
        <w:tabs>
          <w:tab w:leader="none" w:pos="96" w:val="left"/>
        </w:tabs>
        <w:numPr>
          <w:ilvl w:val="0"/>
          <w:numId w:val="3"/>
        </w:numPr>
        <w:rPr>
          <w:rFonts w:ascii="Arial" w:cs="Arial" w:eastAsia="Arial" w:hAnsi="Arial"/>
          <w:sz w:val="16"/>
          <w:szCs w:val="16"/>
          <w:color w:val="auto"/>
        </w:rPr>
      </w:pPr>
      <w:r>
        <w:rPr>
          <w:rFonts w:ascii="Arial" w:cs="Arial" w:eastAsia="Arial" w:hAnsi="Arial"/>
          <w:sz w:val="16"/>
          <w:szCs w:val="16"/>
          <w:color w:val="auto"/>
        </w:rPr>
        <w:t>Encore is located. See "Item 2—Properties" for details on the land concession agreement. Wynn Macau | Encore features the following as of February 12, 2016:</w:t>
      </w:r>
    </w:p>
    <w:p>
      <w:pPr>
        <w:ind w:left="1300" w:right="200" w:hanging="644"/>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284,000 square feet of casino space offering 24-hour gaming with 458 table games and 708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117" w:lineRule="exact"/>
        <w:rPr>
          <w:rFonts w:ascii="Arial" w:cs="Arial" w:eastAsia="Arial" w:hAnsi="Arial"/>
          <w:sz w:val="18"/>
          <w:szCs w:val="18"/>
          <w:color w:val="auto"/>
        </w:rPr>
      </w:pPr>
    </w:p>
    <w:p>
      <w:pPr>
        <w:ind w:left="1300" w:right="200" w:hanging="644"/>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8"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Approximately 31,000 square feet of space for lounges and meeting facilities;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rotunda show featuring a Chinese zodiac-inspired ceiling along with gold "prosperity tree" and "dragon of fortune" attractions.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this resort. In February 2015, we completed the renovation of approximately 27,000 square feet of our casino space at Wynn Macau for new VIP gaming rooms.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We opened Wynn Las Vegas on April 28, 2005 and opened Encore at Wynn Las Vegas, an expansion of Wynn Las Vegas, on December 22, 2008. We refer to the integrated Wynn Las Vegas and Encore at Wynn Las Vegas resort as "Wynn Las Vegas | Encore" or as our "Las Vegas Operations." 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five acres adjacent to the golf course on which an office building is located.</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Las Vegas | Encore features the following as of February 12, 2016:</w:t>
      </w:r>
    </w:p>
    <w:p>
      <w:pPr>
        <w:spacing w:after="0" w:line="387" w:lineRule="exact"/>
        <w:rPr>
          <w:sz w:val="20"/>
          <w:szCs w:val="20"/>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with 232 table games and 1,866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Moncler, Nicholas Kirkwood, Piaget, Prada, Rolex, Vertu and others;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"Steve Wynn's ShowStoppers," a Broadway-style entertainment production; and</w:t>
      </w:r>
    </w:p>
    <w:p>
      <w:pPr>
        <w:spacing w:after="0" w:line="62"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swimming pools, private cabanas, two full service spas and salons, and a wedding chapel.</w:t>
      </w:r>
    </w:p>
    <w:p>
      <w:pPr>
        <w:spacing w:after="0" w:line="2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response to our evaluation of our Las Vegas Operations and our commitment to creating a unique customer experience, we have made and expect to continue to make enhancements and refinements to this resort. In October 2015, we closed the Ferrari and Maserati automobile dealership inside Wynn Las Vegas. We have obtained the relevant approvals to transform the dealership and adjacent space into additional retail space. In November 2015, we completed the remodel of all guest rooms in our Encore hotel tower, completed the remodel of one of our restaurants and began the re-branding of one of our night clubs, which is scheduled for completion in April 2016. In December 2015, we opened a 5,000 square-foot luxury lounge for gaming and entertainment in Encore.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229"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are currently constructing Wynn Palace, an integrated resort featuring a 1,700 room hotel, a performance lake, and a wide range of amenities, including meeting, retail, food and beverage, and gaming space, in the Cotai area of Macau. The total project budget, including construction costs, capitalized interest, pre-opening expenses, land costs and financing fees, is $4.1 billion. As of December 31, 2015, we have invested $3.5 billion in the project.</w:t>
      </w:r>
    </w:p>
    <w:p>
      <w:pPr>
        <w:spacing w:after="0" w:line="14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September 2011, Palo Real Estate Company Limited ("Palo") and Wynn Resorts (Macau), S.A. ("Wynn Macau SA"), each an indirect subsidiary of Wynn Macau, Limited,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initial term of the Cotai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(including interest at 5%), which began in November 2012. As of December 31, 2015, the remaining $16.0 million obligation was recorded as a current liability. We will be required to make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annual lease payments of $0.8 million during the resort construction period and annual lease payments of approximately $1.1 million once the development is completed.</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July 29, 2013, Wynn Macau SA and Palo executed a guaranteed maximum price construction ("GMP") contract with Leighton Contractors (Asia) Limited, acting as the general contractor. The general contractor is obligated to substantially complete the project in the first half of 2016 for a guaranteed maximum price of HK$20.6 billion (approximately $2.7 billion). On November 18, 2015, we were notified by the general contractor that the Wynn Palace project in the Cotai area of Macau will not be ready to open by the projected early completion date of March 25, 2016. The general contractor has expressed its commitment to the completion of the project by the required date but has advised us that they dispute our assessment of liquidated damages. We continue to expect to open the property in the first half of 2016; however, potential construction delays could push the opening date into the second half of 2016. Both the contract time and guaranteed maximum price are subject to further adjustment under certain specified conditions. The performance of the general contractor is backed by a full completion guarantee given by CIMIC Group Limited (formerly Leighton Holdings Limited), the parent company of the general contractor, as well as a performance bond for 5% of the guaranteed maximum price.</w:t>
      </w:r>
    </w:p>
    <w:p>
      <w:pPr>
        <w:spacing w:after="0" w:line="18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2014, we were awarded a gaming license to develop and construct an integrated resort in Everett, Massachusetts, adjacent to Boston. This was the only license granted in the greater Boston region. The resort will be located on a 33-acre site along the Mystic River. The resort will contain a hotel, a waterfront boardwalk, meeting space, a casino, a spa, retail offerings and food and beverage outlets. We have begun site remediation, site preparation and pre-construction activities.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believe that Wynn Resorts is the world's preeminent designer, developer, and operator of integrated resorts. The Company's integrated resort business model, pioneered by Chairman and Chief Executive Officer Stephen A. Wynn, integrates luxury hotel rooms, high-end retail, an array of dining and entertainment options, meeting space, and gaming, all supported by superior levels of customer service. Given his extensive design and operational experience across numerous gaming jurisdictions, we believe that Mr. Wynn's involvement with our resorts provides a distinct advantage over other gaming enterprises.</w:t>
      </w:r>
    </w:p>
    <w:p>
      <w:pPr>
        <w:spacing w:after="0" w:line="188" w:lineRule="exact"/>
        <w:rPr>
          <w:sz w:val="20"/>
          <w:szCs w:val="20"/>
          <w:color w:val="auto"/>
        </w:rPr>
      </w:pPr>
    </w:p>
    <w:p>
      <w:pPr>
        <w:jc w:val="both"/>
        <w:ind w:right="60" w:firstLine="432"/>
        <w:spacing w:after="0" w:line="312" w:lineRule="auto"/>
        <w:rPr>
          <w:sz w:val="20"/>
          <w:szCs w:val="20"/>
          <w:color w:val="auto"/>
        </w:rPr>
      </w:pPr>
      <w:r>
        <w:rPr>
          <w:rFonts w:ascii="Arial" w:cs="Arial" w:eastAsia="Arial" w:hAnsi="Arial"/>
          <w:sz w:val="16"/>
          <w:szCs w:val="16"/>
          <w:color w:val="auto"/>
        </w:rPr>
        <w:t>Wynn Resorts and its management team have a demonstrated track record in developing and operating successful integrated resort projects around the world. The senior executive team has an average of over 25 years of experience in the hotel and gaming industries. In addition, we have a 125-person design, development and construction subsidiary, the senior management of which has significant experience across all major construction disciplines.</w:t>
      </w:r>
    </w:p>
    <w:p>
      <w:pPr>
        <w:spacing w:after="0" w:line="147"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aim to build appropriately scaled integrated resorts that attract a wide range of customer segments (including premium international customers), generate strong financial results, and complement their surrounding market areas. We design and continually refresh our integrated resorts to create unique customer experiences across a wide range of gaming and non-gaming amenities. Our business is dependent upon repeat visitation from our guests; we believe superior customer experience and service is the best marketing strategy to attract and retain our customers. We emphasize human resources and staff training to ensure our employees are prepared to provide the luxury service that our guests expect.</w:t>
      </w:r>
    </w:p>
    <w:p>
      <w:pPr>
        <w:spacing w:after="0" w:line="173"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integrated resorts are conceptualized, designed, built and operated in major metropolitan markets to service all customers with an emphasis on providing superior levels of premium customer service. In Las Vegas and Macau, we have been successful in attracting not only a wide range of domestic guests, but also extending our customer market areas into international markets. We leverage our international marketing team across branch offices (Hong Kong SAR, Singapore, Japan, Taiwan and Vancouver, Canada) located in five countries to attract international customers.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Reflecting our commitment to customer service globally, the Company has received the following recognition:</w:t>
      </w:r>
    </w:p>
    <w:p>
      <w:pPr>
        <w:spacing w:after="0" w:line="279" w:lineRule="exact"/>
        <w:rPr>
          <w:sz w:val="20"/>
          <w:szCs w:val="20"/>
          <w:color w:val="auto"/>
        </w:rPr>
      </w:pPr>
    </w:p>
    <w:p>
      <w:pPr>
        <w:ind w:left="1300" w:right="4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Collectively, Wynn Resorts earned more Five-Star awards than any other independent hotel company in the world in the official 2016 Forbes Travel Guide Star Rating list.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Macau | Encore continues to be the only resort in the world with seven Five-Star awards.</w:t>
      </w:r>
    </w:p>
    <w:p>
      <w:pPr>
        <w:spacing w:after="0" w:line="117"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Resorts owns two of the largest Forbes Five-Star hotels in the United States: Wynn Tower Suites (Las Vegas) and Encore Tower Suites (Las Vegas).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1300" w:right="6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Resorts was once again honored as the highest ranking casino resort on FORTUNE Magazine's 2016 World's Most Admired Companies list in the hotel, casino and resort category.</w:t>
      </w:r>
    </w:p>
    <w:p>
      <w:pPr>
        <w:spacing w:after="0" w:line="2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plan to continue to seek out new opportunities to develop and operate integrated resorts, including related businesses, around the world. Overall, we believe Wynn Resorts has a demonstrated track record of developing integrated resorts that stimulate city- and region-wide economic activity, which we believe includes:</w:t>
      </w:r>
    </w:p>
    <w:p>
      <w:pPr>
        <w:spacing w:after="0" w:line="235"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attracting a wide range of customers to the region, including high-net-worth international tourists;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driving international tourism for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lifting average hotel room rates in the region;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extending the average length of stay per visitor;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complementing existing convention and meeting business with 5-star accommodations and appropriately scaled meeting amenities;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elevating service levels with the execution of five-star customer service;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stimulate city-wide investment and employment.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casino resort industry is highly competitive. Both our Macau Operations and our Las Vegas Operations compete with other high-quality casino resorts. Resorts located on or near our properties compete on the basis of the range of amenities, level of service, price, location, entertainment, themes and size, among other factors. We seek to differentiate our Macau and Las Vegas integrated resorts from other major resorts by delivering superior design and customer service.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Macau is governed as a special administrative region of China and is located approximately 37 miles southwest of, and approximately one hour away via ferry from, Hong Kong. Macau, which has been a casino destination for more than 50 years, consists principally of a peninsula on mainland China, with two neighboring islands, Taipa and Coloane, between which the Cotai area is located. In 2002, the government of Macau ended a 40-year monopoly on the conduct of gaming operations by conducting a competitive process that resulted in the issuance of gaming concessions to three concessionaires (including Wynn Macau SA), who in turn were permitted, subject to the approval of the government of Macau, to each grant one subconcession, resulting in a total of six gaming concessionaires and subconcessionaires. In addition to Wynn Macau SA, each of Sociedade de Jogos de Macau ("SJM") and Galaxy Entertainment Group Limited are primary concessionaires with Sands China Ltd., Melco Crown and MGM China Holdings Limited operating under subconcessions. There is no limit to the number of casinos each concessionaire or subconcessionaire is permitted to operate, but each facility is subject to government approval. Currently, there are 36 operating casinos in Macau.</w:t>
      </w:r>
    </w:p>
    <w:p>
      <w:pPr>
        <w:spacing w:after="0" w:line="182" w:lineRule="exact"/>
        <w:rPr>
          <w:sz w:val="20"/>
          <w:szCs w:val="20"/>
          <w:color w:val="auto"/>
        </w:rPr>
      </w:pPr>
    </w:p>
    <w:p>
      <w:pPr>
        <w:ind w:right="560" w:firstLine="432"/>
        <w:spacing w:after="0" w:line="302" w:lineRule="auto"/>
        <w:rPr>
          <w:sz w:val="20"/>
          <w:szCs w:val="20"/>
          <w:color w:val="auto"/>
        </w:rPr>
      </w:pPr>
      <w:r>
        <w:rPr>
          <w:rFonts w:ascii="Arial" w:cs="Arial" w:eastAsia="Arial" w:hAnsi="Arial"/>
          <w:sz w:val="16"/>
          <w:szCs w:val="16"/>
          <w:color w:val="auto"/>
        </w:rPr>
        <w:t>We believe that Macau is located in one of the world's largest concentrations of potential gaming customers. According to Macau Statistical Information, casinos in Macau, the largest gaming market in the world, generated approximately $29 billion in gaming revenue in 2015. Since the introduction of new casinos starting in 2004, the Macau market has experienced a significant increase in annual gaming revenue from the $2.9 billion generated in 2002; however, the Macau market has recently experienced significant year-over-year declines, including a 34.3% decline in 2015.</w:t>
      </w:r>
    </w:p>
    <w:p>
      <w:pPr>
        <w:spacing w:after="0" w:line="154"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Macau's gaming market is primarily dependent on tourists. Tourist arrivals in 2015 were 30.7 million, compared to 31.5 million in 2014. The Macau market has also experienced tremendous growth in capacity in the last several years. As of December 31, 2015, there were 32,200 hotel rooms, 5,957 table games and 14,578 slot machines in Macau, compared to 12,978 hotel rooms, 2,762 table games and 6,546 slot machines as of December 31, 2006.</w:t>
      </w:r>
    </w:p>
    <w:p>
      <w:pPr>
        <w:spacing w:after="0" w:line="147" w:lineRule="exact"/>
        <w:rPr>
          <w:sz w:val="20"/>
          <w:szCs w:val="20"/>
          <w:color w:val="auto"/>
        </w:rPr>
      </w:pPr>
    </w:p>
    <w:p>
      <w:pPr>
        <w:jc w:val="both"/>
        <w:ind w:right="220" w:firstLine="432"/>
        <w:spacing w:after="0" w:line="279" w:lineRule="auto"/>
        <w:rPr>
          <w:sz w:val="20"/>
          <w:szCs w:val="20"/>
          <w:color w:val="auto"/>
        </w:rPr>
      </w:pPr>
      <w:r>
        <w:rPr>
          <w:rFonts w:ascii="Arial" w:cs="Arial" w:eastAsia="Arial" w:hAnsi="Arial"/>
          <w:sz w:val="17"/>
          <w:szCs w:val="17"/>
          <w:color w:val="auto"/>
        </w:rPr>
        <w:t>Gaming customers traveling to Macau have typically come from nearby destinations in Asia, including Hong Kong, mainland China, Taiwan, South Korea and Malaysia. According to the Macau Statistics and Census Service Monthly Bulletin of Statistics, approximately 90% of the tourists who visited Macau in 2015 came from Hong Kong, mainland China and Taiwan. Travel to Macau by citizens of mainland China requires a visa. Chinese government officials have, on occasion, exercised their authority to adjust the visa policy and may do so in the future.</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Wynn Macau faces competition primarily from the 35 other casinos located throughout Macau plus casinos located throughout the world, including Singapore, Australia, the Philippines, Las Vegas and cruise ships in Asia that offer gaming.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Las Vegas</w:t>
      </w:r>
    </w:p>
    <w:p>
      <w:pPr>
        <w:spacing w:after="0" w:line="229"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Las Vegas is the largest gaming market in the United States. Although Las Vegas Strip gaming revenues remained relatively flat at $6.3 billion for the year ended December 31, 2015, the economic environment in the gaming and hotel markets in Las Vegas continued to improve with increased visitation and hotel room demand. During 2015, the average daily room rate increased 2.7% and visitation increased 2.9% to 42.3 million visitors compared to 2014. In addition, Las Vegas Strip resorts experienced 2015 year-over-year increases of 0.6% and 3.3% in occupancy and revenue per available room, respectively.</w:t>
      </w:r>
    </w:p>
    <w:p>
      <w:pPr>
        <w:spacing w:after="0" w:line="15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Las Vegas Operations are located on the Las Vegas Strip and compete with other high-quality resorts and hotel casinos in Las Vegas. Our Las Vegas Operations also compete, to some extent, with other casino resorts throughout the United States and elsewhere in the world.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29"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Geographic data are reported in Item 8—"Financial Statements and Supplementary Data," Note 18 "Segment Information." Additional financial data about our geographic operations is provided in Item 7—"Management's Discussion and Analysis of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Macau</w:t>
      </w:r>
    </w:p>
    <w:p>
      <w:pPr>
        <w:spacing w:after="0" w:line="22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SA, an indirect 72% owned subsidiary of the Company, is subject to the regulatory control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5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78"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8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18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spacing w:after="0" w:line="18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$37.0 million) for the period from April 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54" w:lineRule="exact"/>
        <w:rPr>
          <w:sz w:val="20"/>
          <w:szCs w:val="20"/>
          <w:color w:val="auto"/>
        </w:rPr>
      </w:pPr>
    </w:p>
    <w:p>
      <w:pPr>
        <w:ind w:right="360" w:firstLine="432"/>
        <w:spacing w:after="0" w:line="286" w:lineRule="auto"/>
        <w:rPr>
          <w:sz w:val="20"/>
          <w:szCs w:val="20"/>
          <w:color w:val="auto"/>
        </w:rPr>
      </w:pPr>
      <w:r>
        <w:rPr>
          <w:rFonts w:ascii="Arial" w:cs="Arial" w:eastAsia="Arial" w:hAnsi="Arial"/>
          <w:sz w:val="17"/>
          <w:szCs w:val="17"/>
          <w:color w:val="auto"/>
        </w:rPr>
        <w:t>The government of Macau may redeem the concession beginning on June 24, 2017, and in such event Wynn Macau SA will be entitled to fair compensation or indemnity. The amount of such compensation or indemnity will be determined based on the amount of gaming and non-gaming revenue generated during the tax year prior to the redemption multiplied by the remaining years before expiration of the concession.</w:t>
      </w:r>
    </w:p>
    <w:p>
      <w:pPr>
        <w:spacing w:after="0" w:line="166"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8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right="360" w:hanging="644"/>
        <w:spacing w:after="0" w:line="250"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in a civil year) without justification;</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21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54"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spacing w:after="0" w:line="18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b w:val="1"/>
          <w:bCs w:val="1"/>
          <w:i w:val="1"/>
          <w:iCs w:val="1"/>
          <w:color w:val="auto"/>
        </w:rPr>
        <w:t xml:space="preserve">Gaming Promoters. </w:t>
      </w:r>
      <w:r>
        <w:rPr>
          <w:rFonts w:ascii="Arial" w:cs="Arial" w:eastAsia="Arial" w:hAnsi="Arial"/>
          <w:sz w:val="16"/>
          <w:szCs w:val="16"/>
          <w:color w:val="auto"/>
        </w:rPr>
        <w:t>A gaming promoter, also known as a junket representative, is a person or entity who, for the purpose of promoting casino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activity, arranges customer transportation and accommodations, and provides credit in their sole discretion, food and beverage services and entertainment in exchange for commissions or other compensation from a concessionaire. Macau law provides that gaming promoters must be licensed by the Macau government in order to do business with and receive compensation from concessionaires. For a license to be obtained, direct and indirect owners of 5% or more of a gaming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gaming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Gaming Inspection and Coordination Bureau ("DICJ") implemented certain instructions in 2009, which have the force of law, relating to commissions paid to, and by, gaming promoters. Such instructions also impose certain financial reporting and audit requirements on gaming promoters.</w:t>
      </w:r>
    </w:p>
    <w:p>
      <w:pPr>
        <w:spacing w:after="0" w:line="169" w:lineRule="exact"/>
        <w:rPr>
          <w:sz w:val="20"/>
          <w:szCs w:val="20"/>
          <w:color w:val="auto"/>
        </w:rPr>
      </w:pPr>
    </w:p>
    <w:p>
      <w:pPr>
        <w:ind w:right="240" w:firstLine="432"/>
        <w:spacing w:after="0" w:line="257" w:lineRule="auto"/>
        <w:rPr>
          <w:sz w:val="20"/>
          <w:szCs w:val="20"/>
          <w:color w:val="auto"/>
        </w:rPr>
      </w:pPr>
      <w:r>
        <w:rPr>
          <w:rFonts w:ascii="Arial" w:cs="Arial" w:eastAsia="Arial" w:hAnsi="Arial"/>
          <w:sz w:val="18"/>
          <w:szCs w:val="18"/>
          <w:color w:val="auto"/>
        </w:rPr>
        <w:t>Under Macau law, licensed gaming promoters must identify outside contractors who assist them in their promotion activities. These contractors are subject to approval of the Macau government. Changes in the management structure of business entity gaming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8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Macau law further provides that concessionaires are jointly responsible with their gaming promoters for the gaming activities of such representatives and their directors and contractors in the concessionaire's casinos, and for their compliance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applicable laws and regulations. Concessionaires must submit annual lists of their gaming promoters, and must update such lists on a quarterly basis. The Macau government may designate a maximum number of gaming promoters and specify the number of gaming promoters a concessionaire is permitted to engage. Concessionaires are subject to periodic reporting requirements with respect to commissions paid to their gaming promoters' representatives and are required to oversee their activities and report instances of unlawful activity.</w:t>
      </w:r>
    </w:p>
    <w:p>
      <w:pPr>
        <w:spacing w:after="0" w:line="18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late 2015, the Macau government implemented enhanced accounting and financial procedures and requirements to be followed by gaming promoters. These enhanced procedures require gaming promoters to disclose more detailed financial and accounting information to the DICJ, including the disclosure of certain financial information on a monthly basis. Gaming promoters also must identify and nominate senior financial or accounting representatives to be available to the DICJ for any follow-up matters the Bureau may require.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Nevada</w:t>
      </w:r>
    </w:p>
    <w:p>
      <w:pPr>
        <w:spacing w:after="0" w:line="229"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thereunder, as well as to various local ordinances. Our Las Vegas Operations are subject to the licensing and regulatory control of the Nevada Gaming Commission, the Nevada Gaming Control Board and the Clark County Liquor and Gaming Licensing Board, which we refer to herein collectively as the "Nevada Gaming Authorities."</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1300" w:right="40" w:hanging="644"/>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Owner and Operator Licensing Requirements. </w:t>
      </w:r>
      <w:r>
        <w:rPr>
          <w:rFonts w:ascii="Arial" w:cs="Arial" w:eastAsia="Arial" w:hAnsi="Arial"/>
          <w:sz w:val="18"/>
          <w:szCs w:val="18"/>
          <w:color w:val="auto"/>
        </w:rPr>
        <w:t>Our subsidiary, Wynn Las Vegas, LLC, the owner and operator of our Las Vegas Operations,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approved by the Nevada Gaming Authorities as a limited liability company licensee, referred to as a company licensee, which includes approval to conduct casino gaming operations, including a race book and sports pool, pari-mutuel wagering and the operation of gaming salons. These gaming licenses are not transferable.</w:t>
      </w:r>
    </w:p>
    <w:p>
      <w:pPr>
        <w:spacing w:after="0" w:line="187"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b w:val="1"/>
          <w:bCs w:val="1"/>
          <w:i w:val="1"/>
          <w:iCs w:val="1"/>
          <w:color w:val="auto"/>
        </w:rPr>
        <w:t xml:space="preserve">Company Registration Requirements. </w:t>
      </w:r>
      <w:r>
        <w:rPr>
          <w:rFonts w:ascii="Arial" w:cs="Arial" w:eastAsia="Arial" w:hAnsi="Arial"/>
          <w:sz w:val="17"/>
          <w:szCs w:val="17"/>
          <w:color w:val="auto"/>
        </w:rPr>
        <w:t>Wynn Resorts was found suitable by the Nevada Gaming Commission to own the equity interests of Wynn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Resorts 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America, LLC ("Wynn America") and to be registered by the Nevada Gaming Commission as an intermediary company. Wynn America was found suitable by the Nevada Gaming Commission to own the equity interests of Wynn Las Vegas Holdings, LLC and to be registered by the Nevada Gaming Commission as an intermediary company. Wynn Las Vegas Holdings, LLC was found suitable by the Nevada Gaming Commission to own the equity interests of Wynn Las Vegas, LLC and to be registered by the Nevada Gaming Commission as an intermediary company. In addition to being licensed, Wynn Las Vegas, LLC,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78"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Individual Licensing Requirements. </w:t>
      </w:r>
      <w:r>
        <w:rPr>
          <w:rFonts w:ascii="Arial" w:cs="Arial" w:eastAsia="Arial" w:hAnsi="Arial"/>
          <w:sz w:val="18"/>
          <w:szCs w:val="18"/>
          <w:color w:val="auto"/>
        </w:rPr>
        <w:t>No person may become a more than 5% stockholder or member of, or receive any percentage of the profits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intermediary company or company licensee without first obtaining licenses and approvals from the Nevada Gaming Authorities. The Nevada Gaming Authorities may investigate any individual who has a material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6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The Company's articles of incorporation provide that, to the extent required by the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6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 USA, Inc.'s ("Aruze") 24,549,222 shares of Wynn Resorts' common stock. Pursuant to its articles of incorporation, Wynn Resorts issued the Redemption Price Promissory Note (the "Redemption Note") to Aruze in redemption of the shares. Aruze, Universal Entertainment Corporation and Mr. Kazuo Okada (collectively, the "Okada Parties") have challenged the redemption of Aruze's shares and the Company is currently involved in litigation with those parties as well as related shareholder derivative litigation. See Item 1A—"Risk Factors" and Item 8—"Financial Statements and Supplementary Data," Note 17 "Commitments and Contingencies."</w:t>
      </w:r>
    </w:p>
    <w:p>
      <w:pPr>
        <w:spacing w:after="0" w:line="193"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b w:val="1"/>
          <w:bCs w:val="1"/>
          <w:i w:val="1"/>
          <w:iCs w:val="1"/>
          <w:color w:val="auto"/>
        </w:rPr>
        <w:t xml:space="preserve">Consequences of Violating Gaming Laws. </w:t>
      </w:r>
      <w:r>
        <w:rPr>
          <w:rFonts w:ascii="Arial" w:cs="Arial" w:eastAsia="Arial" w:hAnsi="Arial"/>
          <w:sz w:val="17"/>
          <w:szCs w:val="17"/>
          <w:color w:val="auto"/>
        </w:rPr>
        <w:t>If the Nevada Gaming Commission determines that we have violated the Nevada Gaming Control Act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78"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b w:val="1"/>
          <w:bCs w:val="1"/>
          <w:i w:val="1"/>
          <w:iCs w:val="1"/>
          <w:color w:val="auto"/>
        </w:rPr>
        <w:t xml:space="preserve">Requirements for Voting or Nonvoting Securities Holders. </w:t>
      </w:r>
      <w:r>
        <w:rPr>
          <w:rFonts w:ascii="Arial" w:cs="Arial" w:eastAsia="Arial" w:hAnsi="Arial"/>
          <w:sz w:val="17"/>
          <w:szCs w:val="17"/>
          <w:color w:val="auto"/>
        </w:rPr>
        <w:t>Regardless of the number of shares held, any beneficial owner of Wynn Resorts' voting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7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1300" w:right="80" w:hanging="644"/>
        <w:spacing w:after="0" w:line="250"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b w:val="1"/>
          <w:bCs w:val="1"/>
          <w:i w:val="1"/>
          <w:iCs w:val="1"/>
          <w:color w:val="auto"/>
        </w:rPr>
        <w:t xml:space="preserve">Consequences of Being Found Unsuitable. </w:t>
      </w:r>
      <w:r>
        <w:rPr>
          <w:rFonts w:ascii="Arial" w:cs="Arial" w:eastAsia="Arial" w:hAnsi="Arial"/>
          <w:sz w:val="17"/>
          <w:szCs w:val="17"/>
          <w:color w:val="auto"/>
        </w:rPr>
        <w:t>Any person who fails or refuses to apply for a finding of suitability or a license within 30 days after being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ordered to do so by the Nevada Gaming Commission or by the Chairman of the Nevada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178"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1300" w:right="400" w:hanging="644"/>
        <w:spacing w:after="0" w:line="261"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Gaming Laws Relating to Debt Securities Ownership. </w:t>
      </w:r>
      <w:r>
        <w:rPr>
          <w:rFonts w:ascii="Arial" w:cs="Arial" w:eastAsia="Arial" w:hAnsi="Arial"/>
          <w:sz w:val="18"/>
          <w:szCs w:val="18"/>
          <w:color w:val="auto"/>
        </w:rPr>
        <w:t>The Nevada Gaming Commission may, in its discretion, require the owner of any debt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of a registered company, to file applications, be investigated and be found suitable to own the debt or other securities of the registered company if the Nevada Gaming Commission has reason to believe that such ownership would otherwise be inconsistent with the declared policies of the State of Nevada. If the Nevada Gaming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Commission decides that a person is unsuitable to own the securities, then under the Nevada Gaming Control Act, the registered company can be sanctioned, including the loss of its approvals if, without the prior approval of the Nevada Gaming Commission, it:</w:t>
      </w:r>
    </w:p>
    <w:p>
      <w:pPr>
        <w:spacing w:after="0" w:line="170"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Wynn Resorts and Wynn Las Vegas, LLC may not make a public offering (debt or equity) without the prior approval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Commission if the proceeds from the offering are intended to be used to construct, acquire or finance gaming facilities in Nevada, or to retire or extend obligations incurred for those purposes or for similar transactions. On March 21, 2013, the Nevada Gaming Commission granted us and Wynn Las Vegas, LLC prior approval, subject to certain conditions, to make public offerings for a period of three years (the "Shelf Approval"). We are currently in the process of obtaining a renewal for approval from the Nevada Gaming Commission. The Shelf Approval also applies to any affiliated company wholly owned by us that is a publicly traded corporation or would thereby become a publicly traded corporation pursuant to a public offering. The Shelf Approval may be rescinded for good cause without prior notice upon the issuance of an interlocutory stop order by the Chairman of the Nevada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6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8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7"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5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87"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18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live entertainment tax also is imposed on admission charges where live entertainment is furnished.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432"/>
        <w:spacing w:after="0" w:line="293"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control with such persons (collectively, "licensees"), and who proposes to become involved in a gaming venture outside of Nevada, is required to deposit with the Nevada Gaming Control Board, and thereafter maintain, a revolving fund in the amount of $10,000 to pay the expenses of investigation of the Nevada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65"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1300" w:right="68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fails to conduct the foreign gaming operation in accordance with the standards of honesty and integrity required of Nevada gaming operations;</w:t>
      </w:r>
    </w:p>
    <w:p>
      <w:pPr>
        <w:ind w:left="1300" w:right="2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32" w:lineRule="exact"/>
        <w:rPr>
          <w:rFonts w:ascii="Arial" w:cs="Arial" w:eastAsia="Arial" w:hAnsi="Arial"/>
          <w:sz w:val="16"/>
          <w:szCs w:val="16"/>
          <w:color w:val="auto"/>
        </w:rPr>
      </w:pPr>
    </w:p>
    <w:p>
      <w:pPr>
        <w:ind w:left="1300" w:right="540" w:hanging="644"/>
        <w:spacing w:after="0" w:line="26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Massachusetts</w:t>
      </w:r>
    </w:p>
    <w:p>
      <w:pPr>
        <w:spacing w:after="0" w:line="229"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On November 22, 2011, Massachusetts Governor Deval Patrick signed Chapter 194 of the Acts of 2011 "An Act Establishing Expanded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in the Commonwealth," legislation (the "Gaming Act") designed to provide significant benefits to the Commonwealth of Massachusetts by advancing job creation and economic development. The Gaming Act allows for up to three destination resort casinos located in three geographically diverse regions across the Commonwealth and a single slots facility, not pegged to any particular region. The licensing fee for each resort casino is $85.0 million and requires a capital investment, to include a hotel facility, of at least $500.0 million. The Commonwealth will receive 25% of gross gaming revenues.</w:t>
      </w:r>
    </w:p>
    <w:p>
      <w:pPr>
        <w:spacing w:after="0" w:line="158"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The Gaming Act also called for the creation of a five-member independent body, the Massachusetts Gaming Commission (the "MGC"), to oversee the implementation and licensing process, as well as regulate the operation of gaming facilities. The MGC is in the process of promulgating detailed regulations to govern the operations of the resort casinos and the slot parlor facility. The slot facility, located in Plainville, MA, opened in June 2015.</w:t>
      </w:r>
    </w:p>
    <w:p>
      <w:pPr>
        <w:spacing w:after="0" w:line="14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Our indirect wholly owned subsidiary, Wynn MA, LLC, was the "applicant" under the MGC's Phase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and was determined to be suitable for the purpose of holding a Category 1 Gaming License. On September 17, 2014, the MGC designated Wynn MA, LLC the award winner of the Greater Boston (Region A) gaming license. On November 7, 2014, the gaming license awarded to us became effective.</w:t>
      </w:r>
    </w:p>
    <w:p>
      <w:pPr>
        <w:spacing w:after="0" w:line="14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In addition, pursuant to the Phase 1 regulations, the following entities and persons are deemed to be "qualifiers"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investigation: all members, transferees of a member's interest, directors and managers of the licensee and, in the judgment of the MGC, each lender, each holder of indebtedness, each underwriter, each close associate, each executive and each agent. As a result, Wynn Resorts, its key employees and its directors were therefore subject to a suitability investigation. Wynn Resorts and all individual qualifiers were found suitable by the MGC. As our progress in Massachusetts continues, additional entities and key employees may be required to file applications with the MGC and are or may be required to be licensed or found suitable by the MGC. Following Wynn America, an indirect wholly owned subsidiary of Wynn Resorts, Limited, entering into a senior secured credit facility in November 2014, the MGC has requested additional applications, which are pending. A finding of suitability is comparable to licensing, and both require submission of detailed personal and financial information followed by a thorough investigation. An applicant for licensing or an applicant for a</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finding of suitability must pay or must cause to be paid all the costs of the investigation. Changes in licensed positions must be reported to the MGC.</w:t>
      </w:r>
    </w:p>
    <w:p>
      <w:pPr>
        <w:spacing w:after="0" w:line="23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 Determinations of suitability or questions pertaining to licensing are not subject to judicial review.</w:t>
      </w:r>
    </w:p>
    <w:p>
      <w:pPr>
        <w:spacing w:after="0" w:line="18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b w:val="1"/>
          <w:bCs w:val="1"/>
          <w:i w:val="1"/>
          <w:iCs w:val="1"/>
          <w:color w:val="auto"/>
        </w:rPr>
        <w:t xml:space="preserve">Consequences of Violating Gaming Laws. </w:t>
      </w:r>
      <w:r>
        <w:rPr>
          <w:rFonts w:ascii="Arial" w:cs="Arial" w:eastAsia="Arial" w:hAnsi="Arial"/>
          <w:sz w:val="18"/>
          <w:szCs w:val="18"/>
          <w:color w:val="auto"/>
        </w:rPr>
        <w:t>If the MGC determines that we have violated the Gaming Act or any of its regulations, it could limit,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suspend or revoke our registrations and gaming license. In addition, the MGC set forth certain conditions in our gaming license. Any violation of the Gaming Act, its regulations or any of our license conditions resulting in a limitation, conditioning or suspension of our gaming license would have a significant negative effect on our Massachusetts gaming operations.</w:t>
      </w:r>
    </w:p>
    <w:p>
      <w:pPr>
        <w:spacing w:after="0" w:line="18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Pursuant to the Gaming Act, the MGC may grant a gaming beverage license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and distribution of alcoholic beverages for a gaming establishment. The division of gaming liquor enforcement of the Alcoholic Beverage Control Commission will have the authority to enforce, regulate and control the distribution of alcoholic beverages in a gaming establishment. The MGC may revoke, suspend, refuse to renew or refuse to transfer a gaming beverage license for violations of the Gaming Act that pertain to the sale and distribution of alcohol consumed on the premises and the regulations adopted by the MGC. The MGC is in the process of adopting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2015, we had approximately 20,800 total employees (including approximately 8,900 in Macau and 11,900 in Las Vegas).</w:t>
      </w:r>
    </w:p>
    <w:p>
      <w:pPr>
        <w:spacing w:after="0" w:line="237"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Our ten-year collective bargaining agreement with the Culinary and Bartenders Union, which covers approximately 5,590 employees at our Las Vegas Operations, was set to expire in July 2015. We have signed an extension of the agreement and are currently negotiating a new agreement. In November 2010, we entered into a ten-year collective bargaining agreement with the Transportation Workers Union, which covers 444 table games dealers at our Las Vegas Operations. Certain other unions may seek to organize the workers of our resorts.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Among our most important marks are our trademarks and service marks that use the name "WYNN." Wynn Resorts has registered with the U.S. Patent and Trademark Office ("PTO") a variety of the WYNN-related trademarks and service marks in connection with a variety of goods and services.</w:t>
      </w:r>
    </w:p>
    <w:p>
      <w:pPr>
        <w:spacing w:after="0" w:line="14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On August 6, 2004, we entered into agreements with Mr. Wynn that confirm and clarify our rights to use the "Wynn" surname and Mr. Wynn's persona in connection with our casino resorts. Under a Surname Rights Agreement, Mr. Wynn has acknowledged our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78"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have also registered various domain names with various domain registrars around the world. Our domain registrations extend to various foreign countries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global political and economic conditions, particularly in China, which may impact levels of travel, leisure and consumer spending;</w:t>
      </w:r>
    </w:p>
    <w:p>
      <w:pPr>
        <w:spacing w:after="0" w:line="32" w:lineRule="exact"/>
        <w:rPr>
          <w:rFonts w:ascii="Arial" w:cs="Arial" w:eastAsia="Arial" w:hAnsi="Arial"/>
          <w:sz w:val="16"/>
          <w:szCs w:val="16"/>
          <w:color w:val="auto"/>
        </w:rPr>
      </w:pPr>
    </w:p>
    <w:p>
      <w:pPr>
        <w:ind w:left="1300" w:right="280" w:hanging="644"/>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right="4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in Macau and government labor and gaming policies, unexpected cost increases, environmental regulation and our ability to secure federal, state and local permits and approvals necessary for our construction projects);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valuation of the promissory note we issued in connection with the redemption of Mr. Okada's shares;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right="36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subsidiaries' ability to pay us dividends and distributions;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legalization of gaming in certain jurisdictions;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exchange rates.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2022. However, we cannot assure you that Mr. Wynn will remain with Wynn Resorts. If we lose the services of Mr. Wynn, or if he is unable to devote sufficient attention to our operations for any other reason, our business may be significantly impaired.</w:t>
      </w:r>
    </w:p>
    <w:p>
      <w:pPr>
        <w:spacing w:after="0" w:line="187" w:lineRule="exact"/>
        <w:rPr>
          <w:sz w:val="20"/>
          <w:szCs w:val="20"/>
          <w:color w:val="auto"/>
        </w:rPr>
      </w:pPr>
    </w:p>
    <w:p>
      <w:pPr>
        <w:ind w:right="420" w:firstLine="243"/>
        <w:spacing w:after="0" w:line="277" w:lineRule="auto"/>
        <w:rPr>
          <w:sz w:val="20"/>
          <w:szCs w:val="20"/>
          <w:color w:val="auto"/>
        </w:rPr>
      </w:pPr>
      <w:r>
        <w:rPr>
          <w:rFonts w:ascii="Arial" w:cs="Arial" w:eastAsia="Arial" w:hAnsi="Arial"/>
          <w:sz w:val="18"/>
          <w:szCs w:val="18"/>
          <w:b w:val="1"/>
          <w:bCs w:val="1"/>
          <w:i w:val="1"/>
          <w:iCs w:val="1"/>
          <w:color w:val="auto"/>
        </w:rPr>
        <w:t>Visitation to Macau may continue to decline due to economic disruptions in mainland China, restrictions on visitations to Macau from citizens of mainland China and the anti-corruption campaign.</w:t>
      </w:r>
    </w:p>
    <w:p>
      <w:pPr>
        <w:spacing w:after="0" w:line="17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A significant number of our gaming customers at Wynn Macau | Encore come from mainland China. Continued economic disruption, contraction and uncertainty in China could further impact the number of patrons visiting our Macau Operations or the amount they may be willing to spend. In addition, policies adopted from time to time by the Chinese government, including any travel restrictions imposed by China on its citizens such as restrictions imposed on exit visas granted to residents of mainland China for travel to Macau, could disrupt the number of visitors from mainland China to our property. It is not known when, or if, policies similar to those implemented in 2009 restricting visitation by mainland Chinese citizens to Macau and Hong Kong, will be put in place and travel policies may be adjusted, without notice, in the future. Furthermore, the Chinese government's ongoing anti-corruption campaign has influenced the behavior of Chinese consumers and their spending patterns both domestically and abroad. The campaign has specifically led to tighter monetary transfer regulations, including real time monitoring of certain financial channels, which has disrupted and may continue to impact the number of visitors and the amount of money they bring from mainland China to Macau. The overall effect of the campaign and monetary transfer restrictions may continue to impact or result in an even greater decline in visitations and may continue to negatively affect our revenues and results of operations.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i w:val="1"/>
          <w:iCs w:val="1"/>
          <w:color w:val="auto"/>
        </w:rPr>
        <w:t>Our business is particularly sensitive to reductions in discretionary consumer and corporate spending as a result of downturns in the global economy.</w:t>
      </w:r>
    </w:p>
    <w:p>
      <w:pPr>
        <w:spacing w:after="0" w:line="26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Consumer demand for casino/hotel resorts, trade shows and conventions and for the type of luxury amenities that we offer is particularly sensitive to downturns in the global economy, which adversely impact discretionary spending on leisure activities. Changes in discretionary consumer spending or consumer preferences brought about by factors such as perceived or actual general global economic conditions, high unemployment, weakness in housing or oil markets, perceived or actual changes in disposable consumer income and wealth, an economic recession and changes in consumer confidence in the global economy, or fears of war and future acts of terrorism have in the past and could in the future reduce customer demand for the luxury amenities and leisure activities we offer, and may have a significant negative impact on our operating results.</w:t>
      </w:r>
    </w:p>
    <w:p>
      <w:pPr>
        <w:spacing w:after="0" w:line="17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Also, consumer demographics and preferences may evolve over time, which, for example, has resulted in recent growth in consumer demand for non-gaming offerings. Our success depends in part on our ability to anticipate the preferences of consumers and react to those trends and any failure to do so may negatively impact our operating results.</w:t>
      </w:r>
    </w:p>
    <w:p>
      <w:pPr>
        <w:spacing w:after="0" w:line="181"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b w:val="1"/>
          <w:bCs w:val="1"/>
          <w:i w:val="1"/>
          <w:iCs w:val="1"/>
          <w:color w:val="auto"/>
        </w:rPr>
        <w:t>All our current and future construction projects will be subject to significant development and construction risks, which could have an adverse effect on our financial condition, results of operations or cash flows from this planned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Major construction projects of the scope and scale of Wynn Palace and the Wynn resort in Massachusetts entail significant risks, including:</w:t>
      </w:r>
    </w:p>
    <w:p>
      <w:pPr>
        <w:spacing w:after="0" w:line="23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of, and price increases in, materials or skilled labor;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plans and specifications;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or inability to obtain requisite licenses, permits and authorizations from regulatory authorities;</w:t>
      </w:r>
    </w:p>
    <w:p>
      <w:pPr>
        <w:spacing w:after="0" w:line="9" w:lineRule="exact"/>
        <w:rPr>
          <w:rFonts w:ascii="Arial" w:cs="Arial" w:eastAsia="Arial" w:hAnsi="Arial"/>
          <w:sz w:val="18"/>
          <w:szCs w:val="18"/>
          <w:color w:val="auto"/>
        </w:rPr>
      </w:pPr>
    </w:p>
    <w:p>
      <w:pPr>
        <w:ind w:left="1300" w:right="160" w:hanging="644"/>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and regulations, or in the interpretation and enforcement of laws and regulations, applicable to gaming, leisure, real estate development or construction projects;</w:t>
      </w: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disputes or work stoppages;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disputes with and defaults by contractors and subcontractors;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personal injuries to workers and other persons;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environment, health and safety issues, including site accidents;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interference from severe weather or natural disasters;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geological, construction, excavation, regulatory and equipment problems;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11"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Palace and/or the Wynn resort in Massachusetts.</w:t>
      </w:r>
    </w:p>
    <w:p>
      <w:pPr>
        <w:spacing w:after="0" w:line="181" w:lineRule="exact"/>
        <w:rPr>
          <w:sz w:val="20"/>
          <w:szCs w:val="20"/>
          <w:color w:val="auto"/>
        </w:rPr>
      </w:pPr>
    </w:p>
    <w:p>
      <w:pPr>
        <w:ind w:right="340" w:firstLine="432"/>
        <w:spacing w:after="0" w:line="342" w:lineRule="auto"/>
        <w:rPr>
          <w:sz w:val="20"/>
          <w:szCs w:val="20"/>
          <w:color w:val="auto"/>
        </w:rPr>
      </w:pPr>
      <w:r>
        <w:rPr>
          <w:rFonts w:ascii="Arial" w:cs="Arial" w:eastAsia="Arial" w:hAnsi="Arial"/>
          <w:sz w:val="16"/>
          <w:szCs w:val="16"/>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Wynn Palace facility or the Wynn resort in Massachusetts facility may not commence operations on schedule and construction costs for these projects may exceed budgeted amounts. Failure to complete these projects on schedule or within budget may have a significant negative effect on us and on our ability to make payments on our debt. On November 18, 2015, we were notified by the general contractor of Wynn Palace that the facility will not be ready to open by the projected early completion date of March 25, 2016. The general contractor has expressed its commitment to the completion of the project by the required date but has advised us that they dispute our assessment of liquidated damages.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new projects may not be successful.</w:t>
      </w:r>
    </w:p>
    <w:p>
      <w:pPr>
        <w:spacing w:after="0" w:line="225" w:lineRule="exact"/>
        <w:rPr>
          <w:sz w:val="20"/>
          <w:szCs w:val="20"/>
          <w:color w:val="auto"/>
        </w:rPr>
      </w:pPr>
    </w:p>
    <w:p>
      <w:pPr>
        <w:ind w:right="220" w:firstLine="432"/>
        <w:spacing w:after="0" w:line="291" w:lineRule="auto"/>
        <w:rPr>
          <w:sz w:val="20"/>
          <w:szCs w:val="20"/>
          <w:color w:val="auto"/>
        </w:rPr>
      </w:pPr>
      <w:r>
        <w:rPr>
          <w:rFonts w:ascii="Arial" w:cs="Arial" w:eastAsia="Arial" w:hAnsi="Arial"/>
          <w:sz w:val="16"/>
          <w:szCs w:val="16"/>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integrated resorts we currently operate. The demands imposed by new developments on our managerial, operational and other resources may impact our operation of our existing resorts. If any of these issues were to occur, it could adversely affect our prospects, financial condition, or results of operations.</w:t>
      </w:r>
    </w:p>
    <w:p>
      <w:pPr>
        <w:spacing w:after="0" w:line="16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Mr. Okada and his affiliates have challenged the redemption of Aruze's Shares. An adverse judgment or settlement resulting from the related litigation could reduce our profits or limit our ability to operate our business.</w:t>
      </w:r>
    </w:p>
    <w:p>
      <w:pPr>
        <w:spacing w:after="0" w:line="170" w:lineRule="exact"/>
        <w:rPr>
          <w:sz w:val="20"/>
          <w:szCs w:val="20"/>
          <w:color w:val="auto"/>
        </w:rPr>
      </w:pPr>
    </w:p>
    <w:p>
      <w:pPr>
        <w:ind w:right="20" w:firstLine="243"/>
        <w:spacing w:after="0" w:line="284" w:lineRule="auto"/>
        <w:rPr>
          <w:sz w:val="20"/>
          <w:szCs w:val="20"/>
          <w:color w:val="auto"/>
        </w:rPr>
      </w:pPr>
      <w:r>
        <w:rPr>
          <w:rFonts w:ascii="Arial" w:cs="Arial" w:eastAsia="Arial" w:hAnsi="Arial"/>
          <w:sz w:val="16"/>
          <w:szCs w:val="16"/>
          <w:color w:val="auto"/>
        </w:rPr>
        <w:t>On February 18, 2012, Wynn Resorts' Gaming Compliance Committee received an independent report by Freeh, Sporkin &amp; Sullivan, LLP (the "Freeh Report") detailing a pattern of misconduct by the Okada Parties. After receiving the Freeh Report, the Board of Directors of Wynn Resorts determined that each of the Okada Parties was "unsuitable" within the meaning of Article VII of Wynn Resorts' articles of incorporation and redeemed all of Aruze's shares of Wynn Resorts' common stock. See Item 8—"Financial Statements and Supplementary Data," Note 17 "Commitments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P. Wynn (the "Stockholders Agreement"). In connection with the Redemption Action and Counterclaim (1) various Okada Parties filed a complaint in the Tokyo District Court against the Company, all members of the Board of Directors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 (3) two state derivative actions were commenced against the Company and all members of its Board of Directors (4) regulatory inquiries and investigations were initiated against the Company, and (5) the Okada Parties filed a complaint in the Court of First Instance of Macau (against Wynn Macau SA and certain individuals who are or were directors of Wynn Macau SA and/or Wynn Macau, Limited. See Item 8—"Financial Statements and Supplementary Data," Note 17 "Commitments and Contingencies," for a full description of these matters and status as of the date of this report. The Company is vigorously pursuing its claims against the Okada Parties, and together with the other counter-defendants, vigorously defending against the Counterclaim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177"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Potential violations of law by Mr. Okada (former director and formerly the largest beneficial owner of our shares) and his affiliates could have adverse consequences to the Company.</w:t>
      </w:r>
    </w:p>
    <w:p>
      <w:pPr>
        <w:spacing w:after="0" w:line="170"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Freeh Reported detailed numerous instances of conduct constituting prima facie violations of the Foreign Corrupt Practices Act (the "FCPA") by Kazuo Okada (formerly the largest beneficial owner of our shares) and certain of his affiliates. See Item 8—"Financial Statements and Supplementary Data," Note 17 "Commitments and Contingencies." The Company has provided the Freeh Report to applicable regulators and has been cooperating with related investigations of such regulators. The conduct of Mr. Okada and his affiliates and the outcome of any resulting regulatory findings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have and may pursue separate investigations into the Company's compliance with applicable laws in connection with the Okada matter, as discussed in Item 8—"Financial Statements and Supplementary Data," Note 17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"Commitments and Contingencies." While the Company believes that it is in full compliance with all applicable laws, any such investigations could result in actions by regulators against the Company, which could negatively affect the Company's financial condition or results of operations.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valuation of our Redemption Price Promissory Note could have a negative impact on our financial results.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record the Redemption Note at fair value in accordance with applicable accounting guidance. As of December 31, 2015 and 2014, the fair value of the Redemption Note was $1.88 billion and $1.94 billion, respectively.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 —"Financial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 free rate based on Federal Reserve rates for U.S. Treasury securities and credit risk spread based on a yield curve index of similarly rated debt was used.</w:t>
      </w:r>
    </w:p>
    <w:p>
      <w:pPr>
        <w:spacing w:after="0" w:line="14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 change in any of the assumptions discussed above could result in a change in the fair value of this Redemption Note and significantly impact our financial results.</w:t>
      </w:r>
    </w:p>
    <w:p>
      <w:pPr>
        <w:spacing w:after="0" w:line="170" w:lineRule="exact"/>
        <w:rPr>
          <w:sz w:val="20"/>
          <w:szCs w:val="20"/>
          <w:color w:val="auto"/>
        </w:rPr>
      </w:pPr>
    </w:p>
    <w:p>
      <w:pPr>
        <w:ind w:right="440" w:firstLine="243"/>
        <w:spacing w:after="0" w:line="277"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170"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There has been widespread publicity of the findings in the Freeh Report of prima facie violations of law by Mr. Okada and his affiliates, the Board of Director's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the Company's gaming licenses, and possibly have a negative impact on the Company's ability to bid successfully for new gaming market opportunities.</w:t>
      </w:r>
    </w:p>
    <w:p>
      <w:pPr>
        <w:spacing w:after="0" w:line="173"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laws and regulations. Recently, U.S. governmental authorities have evidenced an increased focus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Further, we have operations, and a significant portion of our revenue is derived from customers,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8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8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Aruze's shares, see Item 8—"Financial Statements and Supplementary Data," Note 17 "Commitments and Contingencies."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 which may increase in the future.</w:t>
      </w:r>
    </w:p>
    <w:p>
      <w:pPr>
        <w:spacing w:after="0" w:line="225"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casino/hotel industry is highly competitive. Our Macau Operations face intense competition with approximately 36 casinos currently operating in Macau.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additional facilities in the Cotai area of Macau during 2015 or expect to open in 2016 and 2017. These Cotai facilities are expected to increase total hotel room inventory by approximately 25.5% from the current inventory and significantly increase other gaming and non-gaming offerings in Macau.</w:t>
      </w:r>
    </w:p>
    <w:p>
      <w:pPr>
        <w:spacing w:after="0" w:line="19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Macau resort complex also faces competition from casinos located in other areas of Asia, such as Resorts World Sentosa and Marina Bay Sands in Singapore and Resorts World Genting, located outside Kuala Lumpur, Malaysia. We also face competition from casinos in the Philippines, such as Solaire Resort and Casino and City of Dreams Manila.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we will face additional regional competition.</w:t>
      </w:r>
    </w:p>
    <w:p>
      <w:pPr>
        <w:spacing w:after="0" w:line="188" w:lineRule="exact"/>
        <w:rPr>
          <w:sz w:val="20"/>
          <w:szCs w:val="20"/>
          <w:color w:val="auto"/>
        </w:rPr>
      </w:pPr>
    </w:p>
    <w:p>
      <w:pPr>
        <w:jc w:val="both"/>
        <w:ind w:right="420" w:firstLine="432"/>
        <w:spacing w:after="0" w:line="277" w:lineRule="auto"/>
        <w:rPr>
          <w:sz w:val="20"/>
          <w:szCs w:val="20"/>
          <w:color w:val="auto"/>
        </w:rPr>
      </w:pPr>
      <w:r>
        <w:rPr>
          <w:rFonts w:ascii="Arial" w:cs="Arial" w:eastAsia="Arial" w:hAnsi="Arial"/>
          <w:sz w:val="18"/>
          <w:szCs w:val="18"/>
          <w:color w:val="auto"/>
        </w:rPr>
        <w:t>In Las Vegas, we compete with other Las Vegas Strip hotels and with other hotel casinos in Las Vegas on the basis of overall atmosphere, range of amenities, level of service, price, location, entertainment, theme and size, among other factors.</w:t>
      </w:r>
    </w:p>
    <w:p>
      <w:pPr>
        <w:spacing w:after="0" w:line="170" w:lineRule="exact"/>
        <w:rPr>
          <w:sz w:val="20"/>
          <w:szCs w:val="20"/>
          <w:color w:val="auto"/>
        </w:rPr>
      </w:pPr>
    </w:p>
    <w:p>
      <w:pPr>
        <w:jc w:val="both"/>
        <w:ind w:right="420" w:firstLine="432"/>
        <w:spacing w:after="0" w:line="259" w:lineRule="auto"/>
        <w:rPr>
          <w:sz w:val="20"/>
          <w:szCs w:val="20"/>
          <w:color w:val="auto"/>
        </w:rPr>
      </w:pPr>
      <w:r>
        <w:rPr>
          <w:rFonts w:ascii="Arial" w:cs="Arial" w:eastAsia="Arial" w:hAnsi="Arial"/>
          <w:sz w:val="18"/>
          <w:szCs w:val="18"/>
          <w:color w:val="auto"/>
        </w:rPr>
        <w:t>Wynn Las Vegas | Encore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w:t>
      </w:r>
    </w:p>
    <w:p>
      <w:pPr>
        <w:spacing w:after="0" w:line="187"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currently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181"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gaming and non-casino activities at our resorts;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outbreak of infectious diseases.</w:t>
      </w:r>
    </w:p>
    <w:p>
      <w:pPr>
        <w:spacing w:after="0" w:line="211" w:lineRule="exact"/>
        <w:rPr>
          <w:sz w:val="20"/>
          <w:szCs w:val="20"/>
          <w:color w:val="auto"/>
        </w:rPr>
      </w:pPr>
    </w:p>
    <w:p>
      <w:pPr>
        <w:ind w:right="140" w:firstLine="423"/>
        <w:spacing w:after="0" w:line="309"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encounter substantial cost increases higher than expected in the development of our projects.</w:t>
      </w:r>
    </w:p>
    <w:p>
      <w:pPr>
        <w:spacing w:after="0" w:line="22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We are currently constructing Wynn Palace, in the Cotai area of Macau, and in development of a Wynn resort in Massachusetts. The total project budget for Wynn Palace, including construction costs, capitalized interest, pre-opening expenses, land costs and financing fees, is $4.1 billion.</w:t>
      </w:r>
    </w:p>
    <w:p>
      <w:pPr>
        <w:spacing w:after="0" w:line="14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projected development costs for Wynn Palace reflect our best estimates and the actual development costs may be higher than expected. Contingencies that have been set aside by us to cover cost overruns may be insufficient to cover the full amount of such overruns. If these contingencies are not sufficient to cover these costs, or if we are not able to recover damages for these delays and contingencies, we may not have the funds required to pay the excess costs and these projects may not be completed. Failure to complete these projects may negatively affect our financial condition, our results of operations and our ability to pay our debt.</w:t>
      </w:r>
    </w:p>
    <w:p>
      <w:pPr>
        <w:spacing w:after="0" w:line="18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7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A significant portion of our table games revenue at our resorts is attributable to the play of a limited number of international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further reduction in the frequency of visits by and revenue generated from these customers.</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 xml:space="preserve">Wynn Las Vegas | Encore. </w:t>
      </w:r>
      <w:r>
        <w:rPr>
          <w:rFonts w:ascii="Arial" w:cs="Arial" w:eastAsia="Arial" w:hAnsi="Arial"/>
          <w:sz w:val="18"/>
          <w:szCs w:val="18"/>
          <w:color w:val="auto"/>
        </w:rPr>
        <w:t>While gaming debts evidenced by a credit instrument, including what is commonly referred to as a "marker," are 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i w:val="1"/>
          <w:iCs w:val="1"/>
          <w:color w:val="auto"/>
        </w:rPr>
        <w:t xml:space="preserve">Wynn Macau | Encore. </w:t>
      </w:r>
      <w:r>
        <w:rPr>
          <w:rFonts w:ascii="Arial" w:cs="Arial" w:eastAsia="Arial" w:hAnsi="Arial"/>
          <w:sz w:val="18"/>
          <w:szCs w:val="18"/>
          <w:color w:val="auto"/>
        </w:rPr>
        <w:t>Although the law in Macau permits casino operators to extend credit to gaming customers, Wynn Macau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Wynn Macau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9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243"/>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24"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Nevada Gaming Commission may require the holder of any debt or securities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178"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Company's articles of incorporation also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7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On February 18, 2012, after receiving the Freeh Report, the Board of Directors of Wynn Resorts determined that the Okada Parties were "unsuitable" within the meaning of Article VII of Wynn Resorts' articles of incorporation and redeemed all of Aruze's shares of Wynn Resorts' common stock. See Item 8 —"Financial Statements and Supplementary Data," Note 17 "Commitments and Contingencies."</w:t>
      </w:r>
    </w:p>
    <w:p>
      <w:pPr>
        <w:spacing w:after="0" w:line="18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Nevada and Massachusetts regulatory authorities also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17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Wynn Macau's operations are subject to unique risks. Failure to adhere to the regulatory and gaming environment in Macau could result in the revocation of Wynn Macau's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Compliance with changing laws and regulations may result in additional expenses and compliance risks.</w:t>
      </w:r>
    </w:p>
    <w:p>
      <w:pPr>
        <w:spacing w:after="0" w:line="22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Win rates for our gaming operations depend on a variety of factors, some of which are beyond our control.</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70"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8" w:lineRule="exact"/>
        <w:rPr>
          <w:sz w:val="20"/>
          <w:szCs w:val="20"/>
          <w:color w:val="auto"/>
        </w:rPr>
      </w:pPr>
    </w:p>
    <w:p>
      <w:pPr>
        <w:jc w:val="both"/>
        <w:ind w:right="100" w:firstLine="243"/>
        <w:spacing w:after="0" w:line="286" w:lineRule="auto"/>
        <w:rPr>
          <w:sz w:val="20"/>
          <w:szCs w:val="20"/>
          <w:color w:val="auto"/>
        </w:rPr>
      </w:pPr>
      <w:r>
        <w:rPr>
          <w:rFonts w:ascii="Arial" w:cs="Arial" w:eastAsia="Arial" w:hAnsi="Arial"/>
          <w:sz w:val="17"/>
          <w:szCs w:val="17"/>
          <w:b w:val="1"/>
          <w:bCs w:val="1"/>
          <w:i w:val="1"/>
          <w:iCs w:val="1"/>
          <w:color w:val="auto"/>
        </w:rPr>
        <w:t>Our business is particularly sensitive to the willingness of our customers to travel. Acts or the threat of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16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further terrorist act, outbreak of hostilities or escalation of war or worldwide infectious disease outbreak would have an adverse effect on our business and financial condition, results of operations or cash flows.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a parent company and our primary source of cash is and will be distributions from our subsidiaries.</w:t>
      </w:r>
    </w:p>
    <w:p>
      <w:pPr>
        <w:spacing w:after="0" w:line="22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19" w:lineRule="exact"/>
        <w:rPr>
          <w:sz w:val="20"/>
          <w:szCs w:val="20"/>
          <w:color w:val="auto"/>
        </w:rPr>
      </w:pPr>
    </w:p>
    <w:p>
      <w:pPr>
        <w:ind w:right="240" w:firstLine="392"/>
        <w:spacing w:after="0" w:line="259" w:lineRule="auto"/>
        <w:rPr>
          <w:sz w:val="20"/>
          <w:szCs w:val="20"/>
          <w:color w:val="auto"/>
        </w:rPr>
      </w:pPr>
      <w:r>
        <w:rPr>
          <w:rFonts w:ascii="Arial" w:cs="Arial" w:eastAsia="Arial" w:hAnsi="Arial"/>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19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71"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65" w:lineRule="exact"/>
        <w:rPr>
          <w:sz w:val="20"/>
          <w:szCs w:val="20"/>
          <w:color w:val="auto"/>
        </w:rPr>
      </w:pPr>
    </w:p>
    <w:p>
      <w:pPr>
        <w:ind w:right="520"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are subject to tax by various governments and agencies, both in the U.S. and in Macau. Changes in the rates of taxation, the amount of taxes we owe and the time when income is subject to taxation, our ability to claim U.S. foreign tax credits, failure to renew our Macau dividend agreement and Macau income tax exemption and the imposition of foreign withholding taxes could increase our overall rate of taxation.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7"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Contamination has been identified at and in the vicinity of our site in Everett, Massachusetts. The ultimate cost of remediating contaminated sites is difficult to accurately predict and we could exceed our current estimates. While we believe that we have adequate resources to cover the costs of the cleanup, we may be required to conduct additional investigations and remediation with respect to this site. As a result, we also could incur material costs in excess of our estimates as a result of additional cleanup obligations imposed or contamination identified in the future. Our proposed expenditures related to environmental matters are not currently expected to have a material adverse effect on our business, financial condition or results of operations. However, the environmental laws under which we operate are complicated and often increasingly more stringent, and may be applied retroactively. Accordingly, we may be required to make additional expenditures to remain in, or to achieve compliance with, environmental laws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Associated with our Macau Operations</w:t>
      </w:r>
    </w:p>
    <w:p>
      <w:pPr>
        <w:spacing w:after="0" w:line="229" w:lineRule="exact"/>
        <w:rPr>
          <w:sz w:val="20"/>
          <w:szCs w:val="20"/>
          <w:color w:val="auto"/>
        </w:rPr>
      </w:pPr>
    </w:p>
    <w:p>
      <w:pPr>
        <w:ind w:right="280" w:firstLine="243"/>
        <w:spacing w:after="0" w:line="342" w:lineRule="auto"/>
        <w:rPr>
          <w:sz w:val="20"/>
          <w:szCs w:val="20"/>
          <w:color w:val="auto"/>
        </w:rPr>
      </w:pPr>
      <w:r>
        <w:rPr>
          <w:rFonts w:ascii="Arial" w:cs="Arial" w:eastAsia="Arial" w:hAnsi="Arial"/>
          <w:sz w:val="16"/>
          <w:szCs w:val="16"/>
          <w:b w:val="1"/>
          <w:bCs w:val="1"/>
          <w:i w:val="1"/>
          <w:iCs w:val="1"/>
          <w:color w:val="auto"/>
        </w:rPr>
        <w:t>We depend upon gaming promoters for a significant portion of our gaming revenue. If we are unable to maintain, or develop additional, successful relationships with reputable gaming promoters, our ability to maintain or grow our gaming revenues could be adversely affected.</w:t>
      </w:r>
    </w:p>
    <w:p>
      <w:pPr>
        <w:spacing w:after="0" w:line="12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may lose the clientele of our gaming promoters, who generate a significant portion of our gaming revenue. There is intense competition among casino operators in Macau for services provided by gaming promoters, which we expect to intensify as additional casinos open in Macau. If we are unable to maintain, or develop additional, successful relationships with reputable gaming promoters, or lose a significant number of our gaming promoters to our competitors, our ability to maintain or grow our gaming revenues will be adversely affected and we will have to seek alternative ways of developing relationships with VIP customers. In addition, if our gaming promoters are unable to develop or maintain relationships with our VIP customers, our ability to maintain or grow our gaming revenues will be hampered.</w:t>
      </w:r>
    </w:p>
    <w:p>
      <w:pPr>
        <w:spacing w:after="0" w:line="193"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b w:val="1"/>
          <w:bCs w:val="1"/>
          <w:i w:val="1"/>
          <w:iCs w:val="1"/>
          <w:color w:val="auto"/>
        </w:rPr>
        <w:t>The financial resources of our gaming promoters may be insufficient to allow them to continue doing business in Macau which could adversely affect our business and financial condition. Our gaming promoters may experience difficulty in attracting patrons.</w:t>
      </w:r>
    </w:p>
    <w:p>
      <w:pPr>
        <w:spacing w:after="0" w:line="1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Given present market conditions in Macau and certain economic and other factors occurring in the region, gaming promoters are encountering difficulties in attracting patrons to come to Macau. Further, gaming promoters are experiencing decreased liquidity, limiting their ability to grant credit to their patrons, resulting in decreased gaming volume in Macau and at Wynn Macau. Credit already extended by our gaming promoters to their patrons has become difficult for them to collect. The inability to attract sufficient patrons, grant credit and collect amounts due in a timely manner are negatively affecting our gaming promoters' operations, causing gaming promoters to wind up or liquidate their operations or resulting in some of our gaming promoters leaving Macau. Current and any future difficulties could adverse impact our results of operations.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Increased competition for the services of gaming promoters may require us to pay increased commission rates to gaming promoters.</w:t>
      </w:r>
    </w:p>
    <w:p>
      <w:pPr>
        <w:spacing w:after="0" w:line="23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Certain gaming promoters have significant leverage and bargaining strength in negotiating operational agreements with casino operators. This leverage could result in gaming promoters negotiating changes to our operational agreements, including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higher commissions, or the loss of business to a competitor or the loss of certain relationships with gaming promoters. If we need to increase our commission rates or otherwise change our practices with respect to gaming promoters due to competitive forces, our results of operations could be adversely affected.</w:t>
      </w:r>
    </w:p>
    <w:p>
      <w:pPr>
        <w:spacing w:after="0" w:line="124"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b w:val="1"/>
          <w:bCs w:val="1"/>
          <w:i w:val="1"/>
          <w:iCs w:val="1"/>
          <w:color w:val="auto"/>
        </w:rPr>
        <w:t>Failure by the gaming promoters with whom we work to comply with Macau gaming laws and high standards of probity and integrity might affect our reputation and ability to comply with the requirements of our concession, Macau gaming laws and other gaming licenses.</w:t>
      </w:r>
    </w:p>
    <w:p>
      <w:pPr>
        <w:spacing w:after="0" w:line="147"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reputations and probity of the gaming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gaming promoters' compliance with these high standards of probity and integrity, and our gaming promoters may violate provisions in their contracts with us designed to ensure such compliance. In addition, if we enter into a new business relationship with a gaming promoter whose probity is in doubt, this may be considered by regulators or investors to reflect negatively on our own probity. If our gaming promoters are unable to maintain required standards of probity and integrity, we may face consequences from gaming regulators with authority over our operations. Furthermore, if any of our gaming promoters violate the Macau gaming laws while on our premises, the Macau government may, in its discretion, take enforcement action against us, the gaming promoter, or each concurrently, and we may be sanctioned and our reputation could be harmed.</w:t>
      </w:r>
    </w:p>
    <w:p>
      <w:pPr>
        <w:spacing w:after="0" w:line="16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170"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concession agreement with the Macau government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may not be able to renew or extend our concession agreement on terms favorable to us or at all and, if our concession is redeemed, the compensation paid to us may not be adequate to compensate us for the loss of future revenues. The redemption of or failure to extend our concession would have a material adverse effect on our results of operations.</w:t>
      </w:r>
    </w:p>
    <w:p>
      <w:pPr>
        <w:spacing w:after="0" w:line="179"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b w:val="1"/>
          <w:bCs w:val="1"/>
          <w:i w:val="1"/>
          <w:iCs w:val="1"/>
          <w:color w:val="auto"/>
        </w:rPr>
        <w:t>If Wynn Macau fails to comply with the concession agreement, the Macau government can terminate our concession without compensation to us, which would have a material adverse effect on our business and financial condition.</w:t>
      </w:r>
    </w:p>
    <w:p>
      <w:pPr>
        <w:spacing w:after="0" w:line="170"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w:t>
      </w:r>
    </w:p>
    <w:p>
      <w:pPr>
        <w:spacing w:after="0" w:line="4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If the government of Macau unilaterally rescinds the concession agreement, Wynn Macau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Macau subsidiaries' indebtedness is secured by a substantial portion of their assets.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only then would holders of our Macau subsidiaries' unsecured debt be entitled to payment from their remaining assets.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compete for limited labor resources in Macau and Macau government policies may also affect our ability to employ imported labor.</w:t>
      </w:r>
    </w:p>
    <w:p>
      <w:pPr>
        <w:spacing w:after="0" w:line="237"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has increased and will continue to increase as we open Wynn Palace, and as other competitors expand their operations. We have to seek employees from other countries to adequately staff our resort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or cash flows.</w:t>
      </w:r>
    </w:p>
    <w:p>
      <w:pPr>
        <w:spacing w:after="0" w:line="197" w:lineRule="exact"/>
        <w:rPr>
          <w:sz w:val="20"/>
          <w:szCs w:val="20"/>
          <w:color w:val="auto"/>
        </w:rPr>
      </w:pPr>
    </w:p>
    <w:p>
      <w:pPr>
        <w:ind w:right="520" w:firstLine="243"/>
        <w:spacing w:after="0" w:line="277" w:lineRule="auto"/>
        <w:rPr>
          <w:sz w:val="20"/>
          <w:szCs w:val="20"/>
          <w:color w:val="auto"/>
        </w:rPr>
      </w:pPr>
      <w:r>
        <w:rPr>
          <w:rFonts w:ascii="Arial" w:cs="Arial" w:eastAsia="Arial" w:hAnsi="Arial"/>
          <w:sz w:val="18"/>
          <w:szCs w:val="18"/>
          <w:b w:val="1"/>
          <w:bCs w:val="1"/>
          <w:i w:val="1"/>
          <w:iCs w:val="1"/>
          <w:color w:val="auto"/>
        </w:rPr>
        <w:t>The Macau government has established a maximum number of gaming tables that may be operated in Macau and may limit the number of new gaming tables at new gaming areas in Macau, including our development project, Wynn Palace.</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Macau government has imposed a cap on gaming tables and restricts the number of gaming tables that may be operated in Macau. We may not be able to obtain Macau government's approval to operate a sufficient number of gaming tables at our development project, Wynn Palace. These restrictions may have a material adverse effect on our business,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Macau Operations, including Wynn Palace, are subject to significant political, economic and social risks inherent in doing business in an emerging market. Macau's legislative, regulatory, legal, economic and cultural institutions are in a period of transition. The continued success of our Macau Operations and the future success of Wynn Palace will depend on political and economic conditions in Macau and mainland China.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Wynn Macau's operations or ability to repatriate funds.</w:t>
      </w:r>
    </w:p>
    <w:p>
      <w:pPr>
        <w:spacing w:after="0" w:line="178"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b w:val="1"/>
          <w:bCs w:val="1"/>
          <w:i w:val="1"/>
          <w:iCs w:val="1"/>
          <w:color w:val="auto"/>
        </w:rPr>
        <w:t>We are currently required to complete Wynn Palace by May 2017. If we are unable to meet this deadline, we may lose the respective land concession, which could prohibit us from operating any facilities developed under such land concession.</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Company has capitalized approximately $3.4 billion, including the land premium (net of amortization) and $199.9 million in outstanding construction payables and construction retention, as of December 31, 2015. Under the Company's land concession for Wynn Palace, the Company is required to complete the development by May 2017. Should the Company determine that it is unable to complete Wynn Palace by this deadline, the Company would expect to apply for an extension from the Macau government. If the Company is unable to meet the current deadline and the deadline for the development is not extended, the Company could lose its land concession for Wynn Palace, which would prohibit the Company from operating any facilities developed under the land concession. As a result, the Company could record a charge for all or some portion of its capitalized construction costs and land premiums (net of amortization). The Company expects to open Wynn Palace in the first half of 2016; however, potential construction delays could push the opening date into the second half of 2016.</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volume of gaming customers visiting Macau, the desirability of Macau as a gaming destination, as well as the results of operations of Wynn Macau, could be negatively impacted.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The smoking control legislation in Macau could have an adverse effect on our business, financial condition, results of operations or cash flows.</w:t>
      </w:r>
    </w:p>
    <w:p>
      <w:pPr>
        <w:spacing w:after="0" w:line="2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2014, the Macau government approved smoking control legislation, which prohibits smoking in casinos starting on October 6, 2014. The legislation, however, permits casinos to maintain certain limited smoking areas open to VIP patrons if such areas are within restricted access areas, comply with certain square footage ratios based on overall gaming area square footage and comply with the conditions set out in the Dispatch of the Chief Executive, dated November 1, 2012, as amended by the Dispatch of the Chief Executive, dated June 3, 2014. Public announcements by the Macau government indicate that the Macau government intends to pursue a full smoking ban within all Macau casinos. The existing smoking legislation, and any smoking legislation intended to fully ban all smoking in casinos, may deter potential gaming customers who are smokers from frequenting casinos in Macau and disrupt the number of patrons visiting or the amount of time visiting patrons spend at our property, which could have a material adverse effect on our business, financial condition, results of operations and cash flows.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Unfavorable weather conditions could negatively affect the profitability of our resort complex and prevent or discourage guests from traveling to Macau.</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October 2009, Wynn Macau, Limited, an indirect wholly owned subsidiary of Wynn Resorts and the developer, owner and operator of Wynn Macau, listed its ordinary shares of common stock on The Stock Exchange of Hong Kong Limited. As of December 31, 2015, Wynn Resorts owns approximately 72% of Wynn Macau's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17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32" w:lineRule="exact"/>
        <w:rPr>
          <w:rFonts w:ascii="Arial" w:cs="Arial" w:eastAsia="Arial" w:hAnsi="Arial"/>
          <w:sz w:val="16"/>
          <w:szCs w:val="16"/>
          <w:color w:val="auto"/>
        </w:rPr>
      </w:pPr>
    </w:p>
    <w:p>
      <w:pPr>
        <w:jc w:val="both"/>
        <w:ind w:left="1300" w:right="20" w:hanging="644"/>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32" w:lineRule="exact"/>
        <w:rPr>
          <w:rFonts w:ascii="Arial" w:cs="Arial" w:eastAsia="Arial" w:hAnsi="Arial"/>
          <w:sz w:val="16"/>
          <w:szCs w:val="16"/>
          <w:color w:val="auto"/>
        </w:rPr>
      </w:pPr>
    </w:p>
    <w:p>
      <w:pPr>
        <w:ind w:left="1300" w:right="60" w:hanging="644"/>
        <w:spacing w:after="0" w:line="261"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if the Nevada Gaming Control Board determines that any actual or intended activities or associations of our Macau-related subsidiaries may be prohibited pursuant to one or more of the standards described above, the Nevada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67"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170" w:lineRule="exact"/>
        <w:rPr>
          <w:sz w:val="20"/>
          <w:szCs w:val="20"/>
          <w:color w:val="auto"/>
        </w:rPr>
      </w:pPr>
    </w:p>
    <w:p>
      <w:pPr>
        <w:ind w:right="100" w:firstLine="392"/>
        <w:spacing w:after="0" w:line="257" w:lineRule="auto"/>
        <w:rPr>
          <w:sz w:val="20"/>
          <w:szCs w:val="20"/>
          <w:color w:val="auto"/>
        </w:rPr>
      </w:pPr>
      <w:r>
        <w:rPr>
          <w:rFonts w:ascii="Arial" w:cs="Arial" w:eastAsia="Arial" w:hAnsi="Arial"/>
          <w:sz w:val="18"/>
          <w:szCs w:val="18"/>
          <w:color w:val="auto"/>
        </w:rPr>
        <w:t>The currency delineated in Wynn Macau's concession agreement with the government of Macau is the Macau pataca. The Macau pataca, which is not a freely convertible currency,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8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70"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Share Ownership and Stockholder Matters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225"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As of December 31, 2015, Mr. Wynn and Elaine P. Wynn own 11,070,000 shares and 9,539,077 shares, respectively, or in the aggregate approximately 20.3%,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w:t>
      </w:r>
    </w:p>
    <w:p>
      <w:pPr>
        <w:spacing w:after="0" w:line="14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Under the Stockholders Agreement, Mr. Wynn and Elaine P. Wynn have agreed to vote the shares of the Company's common stock held by them subject to the terms of the Stockholders Agreement in a manner so as to elect to our Board of Directors each of the nominees contained on each and every slate of directors endorsed by Mr. Wynn. As a result of this voting arrangement, Mr. Wynn, as a practical matter, exercises significant influence over the slate of directors to be elected to our Board of Directors. In addition, with stated exceptions, the Stockholders Agreement requires the written consent of the other party prior to any party selling any shares of the Company's common stock that it owns.</w:t>
      </w:r>
    </w:p>
    <w:p>
      <w:pPr>
        <w:spacing w:after="0" w:line="17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June 2012, in connection with the pending litigation between the Company and Aruze, Elaine P. Wynn submitted a cross claim against Mr. Wynn and Mr. Okada seeking to void the Stockholders Agreement, which, if successful, could result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change in control under the Wynn Las Vegas, LLC debt documents. For additional information on the cross claim, see Item 8—"Financial Statements and Supplementary Data," Note 17 "Commitments and Contingencies."</w:t>
      </w:r>
    </w:p>
    <w:p>
      <w:pPr>
        <w:spacing w:after="0" w:line="170"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of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w:t>
      </w:r>
    </w:p>
    <w:p>
      <w:pPr>
        <w:spacing w:after="0" w:line="1" w:lineRule="exact"/>
        <w:rPr>
          <w:sz w:val="20"/>
          <w:szCs w:val="20"/>
          <w:color w:val="auto"/>
        </w:rPr>
      </w:pPr>
    </w:p>
    <w:p>
      <w:pPr>
        <w:ind w:right="120" w:firstLine="8"/>
        <w:spacing w:after="0" w:line="254"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one-third or more but less than a majority, or (iii) a majority or more, of the voting power in the election of directors. As a result of these bylaws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ind w:right="6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jc w:val="both"/>
        <w:ind w:right="120" w:firstLine="432"/>
        <w:spacing w:after="0" w:line="288" w:lineRule="auto"/>
        <w:rPr>
          <w:sz w:val="20"/>
          <w:szCs w:val="20"/>
          <w:color w:val="auto"/>
        </w:rPr>
      </w:pPr>
      <w:r>
        <w:rPr>
          <w:rFonts w:ascii="Arial" w:cs="Arial" w:eastAsia="Arial" w:hAnsi="Arial"/>
          <w:sz w:val="16"/>
          <w:szCs w:val="16"/>
          <w:color w:val="auto"/>
        </w:rPr>
        <w:t>We have a substantial amount of consolidated debt in relation to our equity. As of December 31, 2015, we had total outstanding debt of approximately $9.2 billion, which includes a portion of the funds we expect to need for the development and construction of our projects, Wynn Palace and the Wynn resort in Massachusetts. We may, however, incur additional indebtedness in connection with the construction of these projects. See Item 1—"Business,"</w:t>
      </w:r>
    </w:p>
    <w:p>
      <w:pPr>
        <w:ind w:right="260"/>
        <w:spacing w:after="0" w:line="252" w:lineRule="auto"/>
        <w:rPr>
          <w:sz w:val="20"/>
          <w:szCs w:val="20"/>
          <w:color w:val="auto"/>
        </w:rPr>
      </w:pPr>
      <w:r>
        <w:rPr>
          <w:rFonts w:ascii="Arial" w:cs="Arial" w:eastAsia="Arial" w:hAnsi="Arial"/>
          <w:sz w:val="18"/>
          <w:szCs w:val="18"/>
          <w:color w:val="auto"/>
        </w:rPr>
        <w:t>"Construction and Development Opportunities". In addition, we are permitted to incur additional indebtedness if certain conditions are met, including conditions under our Wynn Macau credit facilities, our Wynn America credit facilities and our Wynn Las Vegas, LLC indentures in connection with other future potential development plans. On February 18, 2012, we issued a Redemption Note with a principal amount of approximately $1.94 billion in redemption of all of the shares of Wynn Resorts common stock held by Aruze. As of December 31, 2015, the fair value of the Redemption Note was $1.88 billion. For additional information on the redemption and the Redemption Note, see Item 8—"Financial Statements and Supplementary Data," Note 17 "Commitments and Contingencies".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indebtedness could have important consequences. For example:</w:t>
      </w:r>
    </w:p>
    <w:p>
      <w:pPr>
        <w:spacing w:after="0" w:line="90" w:lineRule="exact"/>
        <w:rPr>
          <w:sz w:val="20"/>
          <w:szCs w:val="20"/>
          <w:color w:val="auto"/>
        </w:rPr>
      </w:pPr>
    </w:p>
    <w:p>
      <w:pPr>
        <w:ind w:left="1300" w:hanging="644"/>
        <w:spacing w:after="0" w:line="258"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spacing w:after="0" w:line="1" w:lineRule="exact"/>
        <w:rPr>
          <w:rFonts w:ascii="Arial" w:cs="Arial" w:eastAsia="Arial" w:hAnsi="Arial"/>
          <w:sz w:val="18"/>
          <w:szCs w:val="18"/>
          <w:color w:val="auto"/>
        </w:rPr>
      </w:pPr>
    </w:p>
    <w:p>
      <w:pPr>
        <w:ind w:left="1300" w:right="320" w:hanging="644"/>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Wynn Las Vegas and Wynn Macau and reduces the amount of available cash, if any, to fund working capital and other cash requirements;</w:t>
      </w:r>
    </w:p>
    <w:p>
      <w:pPr>
        <w:ind w:left="1300" w:right="40" w:hanging="644"/>
        <w:spacing w:after="0" w:line="295"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Okada Parties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480"/>
        <w:spacing w:after="0" w:line="282" w:lineRule="auto"/>
        <w:rPr>
          <w:sz w:val="20"/>
          <w:szCs w:val="20"/>
          <w:color w:val="auto"/>
        </w:rPr>
      </w:pPr>
      <w:r>
        <w:rPr>
          <w:rFonts w:ascii="Arial" w:cs="Arial" w:eastAsia="Arial" w:hAnsi="Arial"/>
          <w:sz w:val="18"/>
          <w:szCs w:val="18"/>
          <w:color w:val="auto"/>
        </w:rPr>
        <w:t>adverse judgments or settlements would reduce our profits and could limit our ability to operate our business. See Item 8—"Financial Statements and Supplementary Data," Note 17 "Commitments and Contingencies";</w:t>
      </w:r>
    </w:p>
    <w:p>
      <w:pPr>
        <w:spacing w:after="0" w:line="1" w:lineRule="exact"/>
        <w:rPr>
          <w:sz w:val="20"/>
          <w:szCs w:val="20"/>
          <w:color w:val="auto"/>
        </w:rPr>
      </w:pPr>
    </w:p>
    <w:p>
      <w:pPr>
        <w:jc w:val="both"/>
        <w:ind w:left="1300" w:right="60" w:hanging="644"/>
        <w:spacing w:after="0" w:line="25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due to decreased consumer spending levels and high unemployment, and could fail to generate sufficient cash to fund our liquidity needs and/or fail to satisfy the financial and other restrictive covenants to which we are subject under our existing indebtedness. Our business may not generate sufficient cash flow from operations to pay our indebtedness or to fund our other liquidity needs;</w:t>
      </w:r>
    </w:p>
    <w:p>
      <w:pPr>
        <w:spacing w:after="0" w:line="1" w:lineRule="exact"/>
        <w:rPr>
          <w:rFonts w:ascii="Arial" w:cs="Arial" w:eastAsia="Arial" w:hAnsi="Arial"/>
          <w:sz w:val="18"/>
          <w:szCs w:val="18"/>
          <w:color w:val="auto"/>
        </w:rPr>
      </w:pPr>
    </w:p>
    <w:p>
      <w:pPr>
        <w:ind w:left="1300" w:right="160" w:hanging="644"/>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ind w:left="1300" w:right="200" w:hanging="644"/>
        <w:spacing w:after="0" w:line="26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rates with respect to a portion of the interest we pay will fluctuate with market rates and, accordingly, our interest expense will increase if market interest rates increase.</w:t>
      </w:r>
    </w:p>
    <w:p>
      <w:pPr>
        <w:spacing w:after="0" w:line="184"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70"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8 "Long-Term Debt." Future indebtedness or other contracts could contain covenants more restrictive than those contained in our existing debt facilities.</w:t>
      </w:r>
    </w:p>
    <w:p>
      <w:pPr>
        <w:spacing w:after="0" w:line="188" w:lineRule="exact"/>
        <w:rPr>
          <w:sz w:val="20"/>
          <w:szCs w:val="20"/>
          <w:color w:val="auto"/>
        </w:rPr>
      </w:pPr>
    </w:p>
    <w:p>
      <w:pPr>
        <w:jc w:val="both"/>
        <w:ind w:right="580" w:firstLine="432"/>
        <w:spacing w:after="0" w:line="264"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181"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undergo a change of control;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Concessions</w:t>
      </w:r>
    </w:p>
    <w:p>
      <w:pPr>
        <w:spacing w:after="0" w:line="22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known as concessions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from August 2004, and it may be renewed with government approval for successive periods. Wynn Macau SA paid a land concession premium of approximately 319.4 million Macau patacas (approximately $40.0 million) for this land concession. In 2009, the Company and the Macau government agreed to modify this land concession as a result of the expansion of Wynn Macau with Encore at Wynn Macau and the additional square footage that was added as a result of such expansion. In November 2009, the Company made an additional one-time land premium payment of approximately 113.4 million Macau patacas (approximately $14.2 million). Annual rent of approximately 4.2 million Macau patacas (approximately $525,000) is being paid in accordance with the land concession contract.</w:t>
      </w:r>
    </w:p>
    <w:p>
      <w:pPr>
        <w:spacing w:after="0" w:line="167" w:lineRule="exact"/>
        <w:rPr>
          <w:sz w:val="20"/>
          <w:szCs w:val="20"/>
          <w:color w:val="auto"/>
        </w:rPr>
      </w:pPr>
    </w:p>
    <w:p>
      <w:pPr>
        <w:ind w:right="120" w:firstLine="432"/>
        <w:spacing w:after="0" w:line="291" w:lineRule="auto"/>
        <w:rPr>
          <w:sz w:val="20"/>
          <w:szCs w:val="20"/>
          <w:color w:val="auto"/>
        </w:rPr>
      </w:pPr>
      <w:r>
        <w:rPr>
          <w:rFonts w:ascii="Arial" w:cs="Arial" w:eastAsia="Arial" w:hAnsi="Arial"/>
          <w:sz w:val="16"/>
          <w:szCs w:val="16"/>
          <w:color w:val="auto"/>
        </w:rPr>
        <w:t>In September 2011, Palo and Wynn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We are currently constructing Wynn Palace, an integrated resort featuring a 1,700-room hotel, a performance lake, and a wide range of amenities, including meeting, retail, food and beverage, and gaming space, in the Cotai area of Macau. The total project budget, including construction costs, capitalized interest, pre-opening expenses, land costs and financing fees, is $4.1 billion. As of December 31, 2015, we have invested approximately $3.5 billion in the project. We expect to open Wynn Palace in the first half of 2016; however, potential construction delays could push the opening date into the second half of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229"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We own approximately 238 acres of land on or near the Las Vegas Strip consisting of approximately 75 acres at the northeast corner of the intersection of Las Vegas Boulevard and Sands Avenue, on which Wynn Las Vegas is located, the approximately 140-acre golf course behind Wynn Las Vegas, approximately five acres adjacent to the golf course on which an office building is located, and approximately 18 acres located across from the Wynn Las Vegas site at Koval Lane and Sands Avenue, a portion of which is improved with an employee parking garage and an office building.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229"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Massachusetts Land</w:t>
      </w:r>
    </w:p>
    <w:p>
      <w:pPr>
        <w:spacing w:after="0" w:line="229"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We own approximately 33 acres of land in Everett, Massachusetts, along the Mystic River. This land is the primary site for an integrated resort where we have begun site remediation, site preparation, and pre-construction activities. The resort will contain a hotel, a waterfront boardwalk, meeting space, a casino, a spa, retail offerings and food and beverage outlets.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We are occasionally party to lawsuits. As with all litigation, no assurance can be provided as to the outcome of such matters and we note that litigation inherently involves significant costs. Please see Item 8—"Financial Statements and Supplementary Data," Note 17 "Commitments and Contingencies— Litigation" in this Annual Report on Form 10-K, which is incorporated herein by reference. For additional information, please see Item 8—"Financial Statements and Supplementary Data" as well as Item 1A—"Risk Factors" in this Annual Report on 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July 2014, Wynn Macau SA was contacted by the Macau Commission Against Corruption of Macau ("CCAC") requesting certain information related to its land in the Cotai area of Macau. Wynn Macau SA is cooperating with CCAC's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240" w:top="121" w:right="7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160.41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188.43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172.53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192.45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133.58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approximately 190 holders of record of our common stock as of February 12,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including Wynn Las Vegas, LLC, Wynn America, LLC and Wynn Macau SA, from making dividends or distributions to Wynn Resorts. These restrictions are subject to certain exceptions for affiliated overhead expenses as defined in the agreements governing the debt instruments, unless certain financial and non-financial criteria have been satisfied.</w:t>
      </w:r>
    </w:p>
    <w:p>
      <w:pPr>
        <w:spacing w:after="0" w:line="188" w:lineRule="exact"/>
        <w:rPr>
          <w:sz w:val="20"/>
          <w:szCs w:val="20"/>
          <w:color w:val="auto"/>
        </w:rPr>
      </w:pPr>
    </w:p>
    <w:p>
      <w:pPr>
        <w:jc w:val="both"/>
        <w:ind w:left="60" w:right="360" w:firstLine="405"/>
        <w:spacing w:after="0" w:line="264" w:lineRule="auto"/>
        <w:rPr>
          <w:sz w:val="20"/>
          <w:szCs w:val="20"/>
          <w:color w:val="auto"/>
        </w:rPr>
      </w:pPr>
      <w:r>
        <w:rPr>
          <w:rFonts w:ascii="Arial" w:cs="Arial" w:eastAsia="Arial" w:hAnsi="Arial"/>
          <w:sz w:val="18"/>
          <w:szCs w:val="18"/>
          <w:color w:val="auto"/>
        </w:rPr>
        <w:t>In February 2015, we paid a cash dividend of $1.50 per share. In each of May 2015, August 2015, and November 2015, we paid a cash dividend of $0.50 per share. In November 2014, we paid a cash dividend of $2.50 per share. In each of February 2014, May 2014, and August 2014, we paid a cash dividend of $1.25 per share.</w:t>
      </w:r>
    </w:p>
    <w:p>
      <w:pPr>
        <w:spacing w:after="0" w:line="181" w:lineRule="exact"/>
        <w:rPr>
          <w:sz w:val="20"/>
          <w:szCs w:val="20"/>
          <w:color w:val="auto"/>
        </w:rPr>
      </w:pPr>
    </w:p>
    <w:p>
      <w:pPr>
        <w:ind w:left="60" w:right="80" w:firstLine="405"/>
        <w:spacing w:after="0" w:line="277" w:lineRule="auto"/>
        <w:rPr>
          <w:sz w:val="20"/>
          <w:szCs w:val="20"/>
          <w:color w:val="auto"/>
        </w:rPr>
      </w:pPr>
      <w:r>
        <w:rPr>
          <w:rFonts w:ascii="Arial" w:cs="Arial" w:eastAsia="Arial" w:hAnsi="Arial"/>
          <w:sz w:val="18"/>
          <w:szCs w:val="18"/>
          <w:color w:val="auto"/>
        </w:rPr>
        <w:t>On February 11, 2016, the Company announced a cash dividend of $0.50 per share, payable on March 2, 2016 to stockholders of record as of February 23, 2016.</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Board of Directors will continue to periodically assess the level and appropriateness of any cash dividends.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In November 2015, we repurchased 4,103 shares in satisfaction of tax withholding obligations on vested restricted stock at an average price of $69.95 per share, for a total expenditure of $0.3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graph below compares the five year cumulative total return on our common stock to the cumulative total return of the Standard &amp; Poor's 500 Stock Index ("S&amp;P 500") and the Dow Jones US Gambling Index. The performance graph assumes that $100 was invested on December 31, 2010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Among Wynn Resorts Ltd., the S&amp;P 500 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and the Dow Jones US Gambling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635</wp:posOffset>
            </wp:positionV>
            <wp:extent cx="4570730" cy="2855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073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*100 invested on 12/31/10 in stock or index, including reinvestment of dividends. Fiscal year</w:t>
      </w:r>
    </w:p>
    <w:p>
      <w:pPr>
        <w:spacing w:after="0" w:line="2"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ending December 31.</w:t>
      </w:r>
    </w:p>
    <w:p>
      <w:pPr>
        <w:spacing w:after="0" w:line="24"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Copyright © 2016 S&amp;P, a division of McGraw Hill Financial. All rights reserved.</w:t>
      </w:r>
    </w:p>
    <w:p>
      <w:pPr>
        <w:spacing w:after="0" w:line="40" w:lineRule="exact"/>
        <w:rPr>
          <w:sz w:val="20"/>
          <w:szCs w:val="20"/>
          <w:color w:val="auto"/>
        </w:rPr>
      </w:pPr>
    </w:p>
    <w:p>
      <w:pPr>
        <w:ind w:left="2880"/>
        <w:spacing w:after="0"/>
        <w:rPr>
          <w:sz w:val="20"/>
          <w:szCs w:val="20"/>
          <w:color w:val="auto"/>
        </w:rPr>
      </w:pPr>
      <w:r>
        <w:rPr>
          <w:rFonts w:ascii="Arial" w:cs="Arial" w:eastAsia="Arial" w:hAnsi="Arial"/>
          <w:sz w:val="13"/>
          <w:szCs w:val="13"/>
          <w:b w:val="1"/>
          <w:bCs w:val="1"/>
          <w:color w:val="auto"/>
        </w:rPr>
        <w:t>Copyright © 2016 Dow Jones &amp; Co.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122"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financial information for each of the five years ended December 31, 2015, 2014, 2013, 2012, and 2011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9"/>
              </w:rPr>
              <w:t>2012 (1)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60" w:type="dxa"/>
            <w:vAlign w:val="bottom"/>
            <w:gridSpan w:val="4"/>
          </w:tcPr>
          <w:p>
            <w:pPr>
              <w:jc w:val="center"/>
              <w:ind w:left="57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Consolidated Statements of Income Data:</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4,075,883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5,433,661</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5,620,936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5,154,284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5,269,792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77,623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3,169</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658,814</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1,266,278</w:t>
            </w:r>
          </w:p>
        </w:tc>
        <w:tc>
          <w:tcPr>
            <w:tcW w:w="4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1,290,091</w:t>
            </w:r>
          </w:p>
        </w:tc>
        <w:tc>
          <w:tcPr>
            <w:tcW w:w="4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1,029,276</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1,008,240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281,524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962,644</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1,004,157</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728,699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825,113</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4"/>
              </w:rPr>
              <w:t>Less: net income attributable to noncontrolling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(86,234)</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(231,090)</w:t>
            </w:r>
          </w:p>
        </w:tc>
        <w:tc>
          <w:tcPr>
            <w:tcW w:w="48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(275,505)</w:t>
            </w: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(226,663)</w:t>
            </w: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(211,742)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Limited</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195,290</w:t>
            </w: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731,554</w:t>
            </w:r>
          </w:p>
        </w:tc>
        <w:tc>
          <w:tcPr>
            <w:tcW w:w="4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728,652</w:t>
            </w:r>
          </w:p>
        </w:tc>
        <w:tc>
          <w:tcPr>
            <w:tcW w:w="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502,036</w:t>
            </w: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613,371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Basic income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1.93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7.25</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7.25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4.87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r>
      <w:tr>
        <w:trPr>
          <w:trHeight w:val="399"/>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9"/>
              </w:rPr>
              <w:t>2012 (1)</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3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60" w:type="dxa"/>
            <w:vAlign w:val="bottom"/>
            <w:gridSpan w:val="4"/>
          </w:tcPr>
          <w:p>
            <w:pPr>
              <w:jc w:val="center"/>
              <w:ind w:left="57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Sheets Data:</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2,080,089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2,182,164</w:t>
            </w:r>
          </w:p>
        </w:tc>
        <w:tc>
          <w:tcPr>
            <w:tcW w:w="4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2,435,041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1,725,219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1,262,587</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3,217,117</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1,666,326</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558,624</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110,490</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28,477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10,522,259</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9,062,861</w:t>
            </w:r>
          </w:p>
        </w:tc>
        <w:tc>
          <w:tcPr>
            <w:tcW w:w="4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8,377,030</w:t>
            </w:r>
          </w:p>
        </w:tc>
        <w:tc>
          <w:tcPr>
            <w:tcW w:w="4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7,276,594</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6,899,496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obligations (2)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9,390,243</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7,543,452</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6,789,145</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6,041,285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3,096,149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21,845</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211,091</w:t>
            </w:r>
          </w:p>
        </w:tc>
        <w:tc>
          <w:tcPr>
            <w:tcW w:w="480" w:type="dxa"/>
            <w:vAlign w:val="bottom"/>
          </w:tcPr>
          <w:p>
            <w:pPr>
              <w:spacing w:after="0"/>
              <w:rPr>
                <w:sz w:val="21"/>
                <w:szCs w:val="21"/>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132,351</w:t>
            </w:r>
          </w:p>
        </w:tc>
        <w:tc>
          <w:tcPr>
            <w:tcW w:w="4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103,932</w:t>
            </w:r>
          </w:p>
        </w:tc>
        <w:tc>
          <w:tcPr>
            <w:tcW w:w="4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2,223,454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Cash distributions declared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4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7.00</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7"/>
        </w:trPr>
        <w:tc>
          <w:tcPr>
            <w:tcW w:w="3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20" w:right="120" w:hanging="812"/>
        <w:spacing w:after="0" w:line="259"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February 18, 2012, we redeemed and canceled Aruze's 24,549,222 shares of Wynn Resorts common stock. In connection with the redemption and cancellation, stockholders' equity was reduced by $1.94 billion, the face amount of the Redemption Note. Aruze has challenged the redemption and cancellation of the 24,549,222 shares and legal proceedings are ongoing. Please see Item 8—"Financial Statements and Supplementary Data," Note 17 "Commitments and Contingencies."</w:t>
      </w:r>
    </w:p>
    <w:p>
      <w:pPr>
        <w:spacing w:after="0" w:line="186" w:lineRule="exact"/>
        <w:rPr>
          <w:rFonts w:ascii="Arial" w:cs="Arial" w:eastAsia="Arial" w:hAnsi="Arial"/>
          <w:sz w:val="18"/>
          <w:szCs w:val="18"/>
          <w:color w:val="auto"/>
        </w:rPr>
      </w:pPr>
    </w:p>
    <w:p>
      <w:pPr>
        <w:ind w:left="820" w:right="60" w:hanging="812"/>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long-term debt, long-term portion of the contract premium payments under our land concession contract at Wynn Macau, other long-term liabilities and deferred income taxes,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Macau, we own 72% of Wynn Macau, Limited and operate Wynn Macau and Encore at Wynn Macau. We refer to the integrated Wynn Macau and Encore at Wynn Macau resort as Wynn Macau | Encore or as our Macau Operations. In Las Vegas, Nevada, we own 100% of and operate Wynn Las Vegas and Encore at Wynn Las Vegas, which we refer to as Wynn Las Vegas | Encore or our Las Vegas Operations. We are currently constructing Wynn Palace, an integrated casino resort in the Cotai area of Macau. In addition, we are developing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integrated Macau resort of Wynn Macau and Encore at Wynn Macau features approximately 284,000 square feet of casino space with 458 table games and 708 slot machines and two luxury hotel towers with a total of 1,008 guest rooms and suites. Wynn Macau | Encore includes casual and fine dining in eight restaurants, approximately 57,000 square feet of retail space, approximately 31,000 square feet of lounge and meeting facilities and recreation and leisure facilities.</w:t>
      </w:r>
    </w:p>
    <w:p>
      <w:pPr>
        <w:spacing w:after="0" w:line="187"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this resort. In February 2015, we completed the renovation of approximately 27,000 square feet of our casino space at Wynn Macau for new VIP gaming rooms.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integrated Las Vegas resort of Wynn Las Vegas and Encore at Wynn Las Vegas features approximately 186,000 square feet of casino space with 232 table games, 1,866 slot machines and two luxury hotel towers with a total of 4,748 guest rooms, suites and villas. Wynn Las Vegas | Encore includes 34 food and beverage outlets, approximately 99,000 square feet of retail space, approximately 290,000 square feet of meeting and convention space, an on-site 18 hole golf course, as well as two showrooms, three nightclubs and a beach club.</w:t>
      </w:r>
    </w:p>
    <w:p>
      <w:pPr>
        <w:spacing w:after="0" w:line="18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In response to our evaluation of our Las Vegas Operations and our commitment to creating a unique customer experience, we have made and expect to continue to make enhancements and refinements to this resort. In October 2015, we closed the Ferrari and Maserati automobile dealership inside Wynn Las Vegas. We have obtained relevant approvals to transform the dealership and adjacent space into additional retail space. In November 2015, we completed the remodel of all guest rooms in our Encore hotel tower, completed the remodel of one of our restaurants and began the re-branding of one of our night clubs, which is scheduled for completion in April 2016. In December 2015, we opened a 5,000 square-foot luxury lounge for gaming and entertainment in Encore.</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Development</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are currently constructing Wynn Palace, an integrated resort containing a 1,700-room hotel, performance lake, and a wide range of amenities, including meeting, retail, food and beverage, and gaming space, in the Cotai area of Macau. In July 2013, we signed a $2.7 billion GMP contract for the project's construction. The total project budget, including construction costs, capitalized interest, pre-opening expenses, land costs and financing fees, is approximately $4.1 billion. As of December 31, 2015, we have invested approximately $3.5 billion in the project. We expect to open Wynn Palace in the first half of 2016; however, potential construction delays could push the opening date into the second half of 2016.</w:t>
      </w:r>
    </w:p>
    <w:p>
      <w:pPr>
        <w:spacing w:after="0" w:line="173"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In November 2014, the Company was awarded a gaming license to develop and construct an integrated resort in Everett, Massachusetts, adjacent to Boston. The resort will be located on a 33-acre site along the Mystic River. The resort will contain a hotel, a waterfront boardwalk, meeting space, a casino, a spa, retail offerings and food and beverage outlets. We have begun site remediation, site preparation and pre-construction activities.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a Consolidated Statement of Income is presented. Below are definitions of these key operating measures discussed: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1" w:right="3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220" w:hanging="644"/>
        <w:spacing w:after="0" w:line="25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Table drop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turnover for purposes of calculating incentives.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Slot win is the amount of handle (representing the total amount wagered) that is retained by us and is recorded as casino revenue.</w:t>
      </w:r>
    </w:p>
    <w:p>
      <w:pPr>
        <w:spacing w:after="0" w:line="20" w:lineRule="exact"/>
        <w:rPr>
          <w:rFonts w:ascii="Arial" w:cs="Arial" w:eastAsia="Arial" w:hAnsi="Arial"/>
          <w:sz w:val="17"/>
          <w:szCs w:val="17"/>
          <w:color w:val="auto"/>
        </w:rPr>
      </w:pPr>
    </w:p>
    <w:p>
      <w:pPr>
        <w:ind w:left="1300" w:right="100" w:hanging="644"/>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the retail value of promotional allowances (less service charges, if any) by total rooms occupied including complimentary rooms.</w:t>
      </w:r>
    </w:p>
    <w:p>
      <w:pPr>
        <w:ind w:left="1300" w:right="840" w:hanging="644"/>
        <w:spacing w:after="0" w:line="25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the retail value of promotional allowances (less service charges, if any) by total rooms available.</w:t>
      </w: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 at our resorts.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18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In our mass market casino in Macau, customers may purchase cash chips at either the gaming tables or at the casino cage. Commencing in the second quarter of 2015, the sum of these purchases is the base of measurement used for calculating win percentage in our mass market casino in accordance with standard Macau industry practice. All prior period amounts have been adjusted to conform to this new measurement.</w:t>
      </w:r>
    </w:p>
    <w:p>
      <w:pPr>
        <w:spacing w:after="0" w:line="16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measurements in our VIP casino and the mass market casino are not comparable as the mass market casino tracks the initial purchase of chips at the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4,075,883</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5,433,661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5,620,936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195,290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731,554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728,652</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1,185,789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1,773,278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1,810,801</w:t>
            </w:r>
          </w:p>
        </w:tc>
      </w:tr>
    </w:tbl>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During the year ended December 31, 2015, our net income attributable to Wynn Resorts, Limited was $195.3 million, a decrease of 73.3% over the same period of 2014, resulting in diluted earnings per share of $1.92. Adjusted Property EBITDA decreased year-over-year by 33.1%, from $1,773.3 million for the year ended December 31, 2014 to $1,185.8 million for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same period of 2015. Our results reflect continued weak performance from our Macau Operations, with a reduction in VIP turnover of 46.4% for the year ended December 31, 2015, compared to the same period of 2014. The VIP turnover reduction is a result of the current economic and political conditions in Macau and China as well as the effect of regional economic factors on gaming promoters and our premium customers. We continue to experience a significant slowdown in activity from our premium customers with a reduction in overall visitation at our Macau Operations.</w:t>
      </w:r>
    </w:p>
    <w:p>
      <w:pPr>
        <w:spacing w:after="0" w:line="171"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During the year ended December 31, 2014, our net income attributable to Wynn Resorts, Limited was $731.6 million, relatively flat compared to the same period of 2013, resulting in diluted earnings per share of $7.18. Adjusted Property EBITDA decreased year-over-year by 2.1%, from $1,810.8 million for the year ended December 31, 2013 to $1,773.3 million for the same period of 2014. Our results for the year ended December 31, 2014 compared to the same period of 2013 were primarily attributable to a 5.8% decline in casino revenues from our Macau Operations offset by non-casino revenue growth from our Las Vegas Operations. Although we experienced stable overall visitation to our Macau Operations during 2014, a significant slowdown in activity from our premium customers drove the decline in casino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2015 compared to the year ended December 31,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2,463,092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3,796,750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1,612,791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1,636,911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4,075,883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5,433,661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Net revenues decreased 25.0% to $4,075.9 million for the year ended December 31, 2015, from $5,433.7 million for the same period in 2014. The decline is primarily due to a decrease of 35.5%, or $1,273.9 million, in casino revenues from our Macau Operations.</w:t>
      </w:r>
    </w:p>
    <w:p>
      <w:pPr>
        <w:spacing w:after="0" w:line="170"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2,932,419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4,274,221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1,143,464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1,159,440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4,075,883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5,433,661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Casino revenues were 71.9% of total net revenues for the year ended December 31, 2015, compared to 78.7% of total net revenues for the same period of 2014, while non-casino revenues were 28.1% of total net revenues, compared to 21.3% in the prior year. This increase in non-casino revenues as a percentage of total net revenues reflects performance of non-gaming amenities, such as Las Vegas nightclubs and continued high occupancy and use of our facilities, in contrast to the decline in VIP gaming revenue in Macau.</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Casino revenues decreased 31.4% to $2,932.4 million for the year ended December 31, 2015, from $4,274.2 million in the same period of 2014. The decline is primarily due to the continued weak gaming environment affecting our Macau Operations, which experienced a year-over-year decrease in casino revenues of 35.5% from $3,586.8 million to $2,312.9 million. Our VIP gaming operations drove the Macau Operations casino revenue reduction, with $57.92 billion in VIP turnover for the year ended December 31, 2015, compared to $108.08 billion for the same period of 2014. In addition, our mass market gaming operations contributed to the decline in casino revenues from our Macau Operations with a 12.0% decrease in table drop combined with a reduction in table games win percentage of 1.9 percentage points. Our VIP tables decreased from 248 at December 31, 2014 to 190 at December 31, 2015 based on current operating environment and customer demand.</w:t>
      </w:r>
    </w:p>
    <w:p>
      <w:pPr>
        <w:spacing w:after="0" w:line="17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40" w:type="dxa"/>
            <w:vAlign w:val="bottom"/>
            <w:gridSpan w:val="5"/>
          </w:tcPr>
          <w:p>
            <w:pPr>
              <w:ind w:left="58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2,312,925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3,586,781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(1,273,856)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57,917,060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108,077,342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(50,160,282)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1,659,683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3,051,046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(1,391,363)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4,857,804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5,517,382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(659,578)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951,458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1,187,997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(236,539)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3,961,115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5,415,127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(1,454,012)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191,164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264,763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4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619,494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687,440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(67,946)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2,060,189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2,556,452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490,920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623,968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(133,048)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5,786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7,354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44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2,969,327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3,008,563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206,626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186,458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20,168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Non-casino revenues decreased 1.4%, or $16.0 million, to $1,143.5 million for the year ended December 31, 2015, from $1,159.4 million for the same period of 2014.</w:t>
      </w:r>
    </w:p>
    <w:p>
      <w:pPr>
        <w:spacing w:after="0" w:line="184" w:lineRule="exact"/>
        <w:rPr>
          <w:sz w:val="20"/>
          <w:szCs w:val="20"/>
          <w:color w:val="auto"/>
        </w:rPr>
      </w:pPr>
    </w:p>
    <w:p>
      <w:pPr>
        <w:ind w:firstLine="432"/>
        <w:spacing w:after="0" w:line="324" w:lineRule="auto"/>
        <w:rPr>
          <w:sz w:val="20"/>
          <w:szCs w:val="20"/>
          <w:color w:val="auto"/>
        </w:rPr>
      </w:pPr>
      <w:r>
        <w:rPr>
          <w:rFonts w:ascii="Arial" w:cs="Arial" w:eastAsia="Arial" w:hAnsi="Arial"/>
          <w:sz w:val="17"/>
          <w:szCs w:val="17"/>
          <w:color w:val="auto"/>
        </w:rPr>
        <w:t>Room revenues decreased $4.3 million to $538.5 million for the year ended December 31, 2015, from $542.8 million in the same period of 2014, driven by a decline from our Macau Operations of $8.4 million, partially offset by an increase from our Las Vegas Operations of $4.2 million.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380" w:type="dxa"/>
            <w:vAlign w:val="bottom"/>
          </w:tcPr>
          <w:p>
            <w:pPr>
              <w:jc w:val="right"/>
              <w:ind w:right="374"/>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125,348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133,781</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413,152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408,981</w:t>
            </w:r>
          </w:p>
        </w:tc>
        <w:tc>
          <w:tcPr>
            <w:tcW w:w="1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Food and beverage revenues decreased $7.6 million to $597.1 million for the year ended December 31, 2015, from $604.7 million for the same period of 2014. We experienced a decline of $24.0 million in food and beverage revenues from our Macau Operations, mainly from restaurants, partially offset by an increase of $16.4 million in food and beverage revenues from our Las Vegas Operations, which was driven by increases in revenues at nightclubs and from catering and banquets.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Entertainment, retail and other decreased 12.6%, or $50.6 million, to $350.6 million for the year ended December 31, 2015, from $401.2 million for the same period of 2014. The decrease is primarily due to a decline in revenue from retail shops at our Macau Operations.</w:t>
      </w:r>
    </w:p>
    <w:p>
      <w:pPr>
        <w:spacing w:after="0" w:line="17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Promotional allowances decreased 11.9%, or $46.5 million, to $342.7 million for the year ended December 31, 2015, from $389.2 million for the same period of 2014. As a percentage of total casino revenues, promotional allowances were 11.7% for the year ended December 31, 2015, compared to 9.1% for the same period of 2014, as the decline in total complimentaries was less than the decline in total revenues.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Operating costs and expenses decreased 18.0%, or $750.3 million, to $3,417.1 million for the year ended December 31, 2015, from $4,167.4 million for the same period of 2014, mainly from a decrease in casino expenses.</w:t>
      </w:r>
    </w:p>
    <w:p>
      <w:pPr>
        <w:spacing w:after="0" w:line="170"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Casino expenses decreased 30.2%, or $804.3 million, to $1,862.7 million for the year ended December 31, 2015, from $2,667.0 million for the same period of 2014, primarily due to lower gaming taxes from the 39.0% gross win tax incurred at our Macau Operations. The decline in gaming taxes was commensurate with the 35.5% decrease in casino revenues at our Macau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Room expenses were relatively flat for the year ended December 31, 2015, compared to the same period of 2014.</w:t>
      </w:r>
    </w:p>
    <w:p>
      <w:pPr>
        <w:spacing w:after="0" w:line="22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Food and beverage expenses increased 7.1%, or $24.0 million, to $361.2 million for the year ended December 31, 2015, from $337.2 million for the same period of 2014, due primarily to an increase of $21.8 million from our Las Vegas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increase from our Las Vegas Operations is primarily a result of higher costs in the current period for entertainment at our nightclubs.</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Entertainment, retail and other expenses decreased 3.9%, or $6.3 million, to $157.4 million for the year ended December 31, 2015, from $163.8 million in the same period of 2014. The decrease is primarily attributable to the reduction in merchandise cost at our Macau Operations associated with the decline in retail shop revenues, partially offset by an increase from our Las Vegas Operations due to costs associated with Steve Wynn's ShowStoppers, which opened in December 2014.</w:t>
      </w:r>
    </w:p>
    <w:p>
      <w:pPr>
        <w:spacing w:after="0" w:line="18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General and administrative expenses decreased 5.6%, or $27.7 million, to $464.8 million for the year ended December 31, 2015, from $492.5 million in the same period of 2014, primarily attributable to a decrease in corporate related expenses.</w:t>
      </w:r>
    </w:p>
    <w:p>
      <w:pPr>
        <w:spacing w:after="0" w:line="170"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Provision for doubtful accounts increased $7.2 million, or 184.6%, to $11.1 million for the year ended December 31, 2015, from $3.9 million for the same period of 2014. The change in the provision was primarily due to the impact of historical collection patterns and current collection trends, as well as specific review of customer accounts and outstanding gaming promoter accounts, on our estimated allowance for the respective periods.</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Pre-opening costs were $77.6 million for the year ended December 31, 2015, compared to $30.1 million for the same period of 2014 and were primarily associated with the design and planning for our development projects. During the year ended December 31, 2015, we incurred $55.1 million related to Wynn Palace and $22.6 million related to the Wynn resort in Massachusetts. Pre-opening costs for the year ended December 31, 2014 related to Wynn Palace. We expect our pre-opening costs to increase in 2016 as Wynn Palace progresses toward completion and we begin development of the Wynn resort in Massachusetts.</w:t>
      </w:r>
    </w:p>
    <w:p>
      <w:pPr>
        <w:spacing w:after="0" w:line="188"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Depreciation and amortization increased 2.7%, or $8.5 million, to $322.6 million for the year ended December 31, 2015, from $314.1 million for the same period of 2014. The increase is primarily due to additional depreciation associated with building improvements at our Macau Operations, including our new VIP gaming rooms. The increase was partially offset by a $7.4 million reduction in depreciation due to a change in the estimated useful lives of certain assets in Macau. Effective September 1, 2015, we changed our estimate of remaining useful lives of buildings and improvements for Wynn Macau to more accurately reflect the estimated periods during which these assets are expected to remain in service. For further information on the change in estimate, see Item 8—"Financial Statements and Supplementary Data," Note 2 "Summary of Significant Accounting Policies."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information related to interest expense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146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380"/>
              <w:spacing w:after="0"/>
              <w:rPr>
                <w:sz w:val="20"/>
                <w:szCs w:val="20"/>
                <w:color w:val="auto"/>
              </w:rPr>
            </w:pPr>
            <w:r>
              <w:rPr>
                <w:rFonts w:ascii="Arial" w:cs="Arial" w:eastAsia="Arial" w:hAnsi="Arial"/>
                <w:sz w:val="18"/>
                <w:szCs w:val="18"/>
                <w:color w:val="auto"/>
                <w:w w:val="97"/>
              </w:rPr>
              <w:t>Interest cost, including amortization of deferred financing costs and original issue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354,233</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348,520</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300,906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315,062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interest cost increased $5.7 million to $354.2 million for the year ended December 31, 2015, due to an increase in our long-term debt balance, partially offset by a decrease in our weighted average interest rate. Financing activities during 2015 include the issuance of the 5 1/2% senior notes due 2025, cash tender offer and subsequent redemption of the 7 7/8% first mortgage notes due 2020 and 7 3/4% first mortgage notes due 2020 and amendment of the Wynn Macau credit facilities. Financing activities during 2014 include the issuance of 5 1/4% senior notes due 2021. Capitalized interest increased $19.9 million to $53.3 million for the year ended December 31, 2015, primarily due to the construction of Wynn Palace.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incurred a loss of $126.0 million on the extinguishment of debt for the year ended December 31, 2015, compared to a loss of $9.6 million for the same period of 2014. During 2015, in connection with the cash tender offer and subsequent redemption of untendered 7 7/8% first mortgage notes due 2020 and 7 3/4% first mortgage notes due 2020, we incurred a loss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of $124.0 million associated with the premium paid and the write-off of unamortized deferred financing costs and original issue discount. In addition, we incurred a loss of $2.1 million related to the write-off of unamortized deferred financing costs associated with the amendment of our Wynn Macau credit facilities. During the year ended December 31, 2014, the loss was for the premium paid on first mortgage notes due 2020 through open market transactions and the write-off of related unamortized deferred financing costs and original issue discount.</w:t>
      </w:r>
    </w:p>
    <w:p>
      <w:pPr>
        <w:spacing w:after="0" w:line="18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During the year ended December 31, 2015, we recognized a gain of $52.0 million from the change in fair value of the Redemption Note as a result of changes in certain variables used in the estimated fair value. No change was recognized in the same period of 2014. For further information on the fair value of the Redemption Note, see Item 8—"Financial Statements and Supplementary Data," Note 2 "Summary of Significant Accounting Policies."</w:t>
      </w:r>
    </w:p>
    <w:p>
      <w:pPr>
        <w:spacing w:after="0" w:line="147"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incurred a loss of $5.3 million and $4.4 million for the years ended December 31, 2015 and 2014, respectively, from the change in the fair value of our interest rate swaps. For further information on our interest rate swaps, see Item 8—"Financial Statements and Supplementary Data," Note 2 "Summary of Significant Accounting Policies."</w:t>
      </w:r>
    </w:p>
    <w:p>
      <w:pPr>
        <w:spacing w:after="0" w:line="181"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Interest income was $7.2 million for the year ended December 31, 2015, compared to $20.4 million for 2014. During 2015 and 2014, our short-term investment strategy has been to preserve capital while retaining sufficient liquidity. The majority of our short-term investment securities were in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For the years ended December 31, 2015 and 2014, we recorded a tax expense of $7.7 million and a tax benefit of $3.8 million, respectively. For the year ended December 31, 2015, our income tax expense is primarily related to an increase in our deferred tax liabilities. For the year ended December 31, 2014, our benefit for income taxes was primarily related to a release of valuation allowance on prior year foreign tax credits resulting from the implementation of a tax planning strategy.</w:t>
      </w:r>
    </w:p>
    <w:p>
      <w:pPr>
        <w:spacing w:after="0" w:line="133"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Wynn Macau SA received a 5-year exemption from Macau's Complementary Tax on casino gaming profits through December 31, 2015. In October 2015, Wynn Macau SA received an additional 5-year exemption, effective January 1, 2016, from Macau's Complementary Tax on casino gaming profits through December 31, 2020. During the years ended December 31, 2015 and 2014, we were exempt from the payment of $41.6 million and $99.4 million in such taxes, respectively. Our non-gaming profits remain subject to the Macau Complementary Tax and casino winnings remain subject to the Macau Special Gaming tax and other levies together totaling 39% in accordance with our concession agreement.</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2011, Wynn Macau SA entered into an agreement with the Macau Special Administrative Region that provides for an annual payment of 15.5 million Macau patacas ("MOP") (approximately $1.9 million) to the Macau Special Administrative Region as complementary tax due by shareholders on dividend distributions. This agreement on dividends is effective through December 31, 2015. In June 2015, Wynn Macau SA applied for an extension of the agreement for an additional five years effective January 1, 2016 through December 31, 2020.</w:t>
      </w:r>
    </w:p>
    <w:p>
      <w:pPr>
        <w:spacing w:after="0" w:line="133"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We have participated in the Internal Revenue Service ("IRS") Compliance Assurance Program ("CAP") for 2013 through 2015 tax years and will continue to participate in the IRS CAP for the 2016 tax year. In February 2016, the IRS completed an examination of the 2014 U.S. tax return and had no changes.</w:t>
      </w:r>
    </w:p>
    <w:p>
      <w:pPr>
        <w:spacing w:after="0" w:line="127"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 December 2015, the Financial Services Bureau completed an examination of the 2012 Macau income tax return of Wynn Macau SA. While no additional tax was due, adjustments were made to our foreign net operating loss carryforwards.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40" w:firstLine="432"/>
        <w:spacing w:after="0" w:line="342" w:lineRule="auto"/>
        <w:rPr>
          <w:sz w:val="20"/>
          <w:szCs w:val="20"/>
          <w:color w:val="auto"/>
        </w:rPr>
      </w:pPr>
      <w:r>
        <w:rPr>
          <w:rFonts w:ascii="Arial" w:cs="Arial" w:eastAsia="Arial" w:hAnsi="Arial"/>
          <w:sz w:val="16"/>
          <w:szCs w:val="16"/>
          <w:color w:val="auto"/>
        </w:rPr>
        <w:t>Net income attributable to noncontrolling interests was $86.2 million for the year ended December 31, 2015, compared to $231.1 million for the year ended December 31, 2014. These amounts represent the noncontrolling interests' share of net income from Wynn Macau, Limited for each year.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2014 compared to the year ended December 31, 2013.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Macau and Las Vegas Operations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3,796,750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4,040,526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1,636,911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1,580,410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5,433,661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5,620,936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Net revenues increased 3.3% to $5,433.7 million for the year ended December 31, 2014, from $5,620.9 million for the same period in 2013. The decline in net revenues was primarily driven by a decrease of 5.8%, or $221.1 million, in casino revenue from our Macau Operations, partially offset by an increase of 5.8%, or $51.8 million, in non-casino revenues from our Las Vegas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4,274,221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4,490,637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1,159,440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1,130,299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5,433,661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5,620,936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Casino revenues were 78.7% of total net revenues for the year ended December 31, 2014, compared to 79.9% of total net revenues for the same period of 2013, while non-casino revenues were 21.3% of total net revenues, compared to 20.1% in the prior year.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Casino revenues decreased 4.8% to $4,274.2 million for the year ended December 31, 2014, from $4,490.6 million in the same period of 2013. Our Macau Operations experienced a year-over-year decrease in casino revenues of 5.8% from $3,807.9 million to $3,586.8 million. The decrease is primarily due to a decrease from our VIP gaming operations, partially offset by an increase in table games win of 19.7% from our mass market gaming operations. Our VIP gaming operations experienced a 12.1% reduction in turnover and a decline in win as a percentage of turnover from 3.01% to 2.82%. Las Vegas Operations were relatively flat year-over-year with casino revenues of $687.4 million for the year ended December 31, 2014 compared to $682.8 million in the same period of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80" w:type="dxa"/>
            <w:vAlign w:val="bottom"/>
            <w:gridSpan w:val="5"/>
          </w:tcPr>
          <w:p>
            <w:pPr>
              <w:ind w:left="62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ind w:right="6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Borders>
              <w:top w:val="single" w:sz="8" w:color="auto"/>
            </w:tcBorders>
          </w:tcPr>
          <w:p>
            <w:pPr>
              <w:jc w:val="right"/>
              <w:ind w:right="411"/>
              <w:spacing w:after="0" w:line="15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color w:val="auto"/>
              </w:rPr>
              <w:t>Total casino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3,586,781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3,807,850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(221,069)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108,077,342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122,991,763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(14,914,421)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3,051,046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3,696,224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32,258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5,517,382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4,893,998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623,384</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1,187,997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992,872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195,125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5,415,127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4,846,938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568,189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264,763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245,578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 per unit per day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687,440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682,787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drop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2,556,452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2,617,634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623,968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657,927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Table games win per unit per day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7,354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3,008,563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2,874,646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1"/>
              <w:spacing w:after="0"/>
              <w:rPr>
                <w:sz w:val="20"/>
                <w:szCs w:val="20"/>
                <w:color w:val="auto"/>
              </w:rPr>
            </w:pPr>
            <w:r>
              <w:rPr>
                <w:rFonts w:ascii="Arial" w:cs="Arial" w:eastAsia="Arial" w:hAnsi="Arial"/>
                <w:sz w:val="18"/>
                <w:szCs w:val="18"/>
                <w:color w:val="auto"/>
              </w:rPr>
              <w:t>186,458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177,452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Non-casino revenues increased 2.6%, or $29.1 million, to $1,159.4 million for the year ended December 31, 2014, from $1,130.3 million for the same period of 2013, driven by a 10.3% increase in room revenues.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Room revenues increased 10.3%, or $50.5 million, to $542.8 million for the year ended December 31, 2014, from $492.2 million in the same period of</w:t>
      </w:r>
    </w:p>
    <w:p>
      <w:pPr>
        <w:spacing w:after="0" w:line="4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2013. Our Las Vegas Operations accounted for $31.4 million of the increase, while Macau Operations accounted for $19.1 million, both experiencing an increase in ADR and occupancy.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14"/>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133,781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114,638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Total room revenues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408,981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377,592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Food and beverage revenues increased 3.1%, or $18.0 million, to $604.7 million for the year ended December 31, 2014, from $586.7 million for the same period of 2013. The increase is primarily a result of an increase in revenues at our Las Vegas Operations.</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Entertainment, retail and other decreased 4.2%, or $17.5 million, to $401.2 million for the year ended December 31, 2014, from $418.7 million for the same period of 2013. The decrease is primarily due to a decline in revenue from retail shops at our Macau Operations.</w:t>
      </w:r>
    </w:p>
    <w:p>
      <w:pPr>
        <w:spacing w:after="0" w:line="1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Promotional allowances increased 6.0%, or $21.9 million, to $389.2 million for the year ended December 31, 2014, from $367.3 million for the same period of 2013. As a percentage of total casino revenues, promotional allowances were 9.1% for the year ended December 31, 2014 compared to 8.2% for the same period of 2013.</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Operating costs and expenses decreased 3.8%, or $163.5 million, to $4,167.4 million for the year ended December 31, 2014, from $4,330.8 million for the same period of 2013. The reduction was primarily driven by decreases of casino expenses and depreciation and amortization, partially offset by increases in general and administrative expenses and pre-opening costs.</w:t>
      </w:r>
    </w:p>
    <w:p>
      <w:pPr>
        <w:spacing w:after="0" w:line="18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Casino expenses decreased 6.3%, or $179.5 million, to $2,667.0 million for the year ended December 31, 2014, from $2,846.5 million for the same period of 2013, primarily due to lower gaming taxes from the 39.0% gross win tax incurred at our Macau Operations. The decline in gaming taxes was commensurate with the 5.8% decrease in casino revenues at our Macau Operations.</w:t>
      </w:r>
    </w:p>
    <w:p>
      <w:pPr>
        <w:spacing w:after="0" w:line="181"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Room expenses increased 11.1%, or $14.8 million, to $148.3 million for the year ended December 31, 2014, from $133.5 million for the same period of 2013. The increase is due to certain room expenses from our Las Vegas Operations to maintain a premium guest experience and expenses associated with the increase in occupancy over the prior year at both our Macau and Las Vegas Operations.</w:t>
      </w:r>
    </w:p>
    <w:p>
      <w:pPr>
        <w:spacing w:after="0" w:line="181"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Food and beverage expenses increased 4.2%, or $13.6 million, to $337.2 million for the year ended December 31, 2014, from $323.6 million for the same period of 2013. The increase in food and beverage expenses is primarily a result of higher costs in the current period for entertainment at Wynn Las Vegas nightclubs.</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General and administrative expenses increased 9.7%, or $43.7 million, to $492.5 million for the year ended December 31, 2014 from $448.8 million in the same period of 2013 primarily from our Macau Operations. Our Macau Operations experienced an increase compared to the prior year in labor costs, along with certain property maintenance and repair expenses and other miscellaneous items. Our Macau Operations incurred additional general and administrative labor costs associated with a new 2014 bonus program for non-management employees.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Pre-opening costs were $30.1 million for the year ended December 31, 2014, compared to $3.2 million for the same period of 2013 and were attributable to Wynn Palace. We expect our pre-opening costs to increase in the future as the construction and development of Wynn Palace progresses toward the expected opening date in the first half of 2016 and with the beginning of development for the Wynn resort in Massachusetts.</w:t>
      </w:r>
    </w:p>
    <w:p>
      <w:pPr>
        <w:spacing w:after="0" w:line="16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Depreciation and amortization decreased 15.3%, or $56.9 million, to $314.1 million for the year ended December 31, 2014, compared to $371.1 million for the same period of 2013 due to certain Las Vegas Operations assets with a five-year useful life becoming fully depreciated.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related to interest expense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18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380"/>
              <w:spacing w:after="0"/>
              <w:rPr>
                <w:sz w:val="20"/>
                <w:szCs w:val="20"/>
                <w:color w:val="auto"/>
              </w:rPr>
            </w:pPr>
            <w:r>
              <w:rPr>
                <w:rFonts w:ascii="Arial" w:cs="Arial" w:eastAsia="Arial" w:hAnsi="Arial"/>
                <w:sz w:val="18"/>
                <w:szCs w:val="18"/>
                <w:color w:val="auto"/>
                <w:w w:val="97"/>
              </w:rPr>
              <w:t>Interest cost, including amortization of deferred financing costs and original issue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348,520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309,506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57"/>
        </w:trPr>
        <w:tc>
          <w:tcPr>
            <w:tcW w:w="66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315,062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299,021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Interest expense, net of capitalized interest, increased 5.4%, or $16.0 million, to $315.1 million for the year ended December 31, 2014, up from $299.0 million for the same period of 2013, attributable to a $39.0 million increase in interest expense partially offset by a $23.0 million increase in capitalized interest. During 2013, we completed issuances of $500.0 million 4 1/4% senior notes, $600.0 million 5 1/4% senior notes and exercised our option to increase our Macau senior term loan facility by $200.0 million. During the first quarter of 2014, we issued an additional $750.0 million of 5 1/4% senior notes. These issuances of long-term debt were partially offset by the principal repayment of $500.0 million 7 7/8% first mortgage notes through a cash tender offer in May 2013 and redemption of untendered notes in November 2013. In addition, our interest expense associated with our first mortgage notes reduced year-over-year as a result of open market repurchases we made during 2014. Capitalized interest increased due to the construction costs of Wynn Palace. Capitalized interest will continue to increase with the ongoing borrowings and construction costs related to Wynn Palace.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incurred a loss of $9.6 million on the extinguishment of debt for the year ended December 31, 2014, compared to a loss of $40.4 million in 2013. During the year ended December 31, 2014, the loss was due to the premium paid on the purchase of first mortgage notes due in 2020 through open market transactions and the write-off of related unamortized deferred financing costs and original issue discount. During the year ended December 31, 2013, the loss was primarily from the premium paid in the cash tender offer of our first mortgage notes due in 2017 and the write-off of related unamortized deferred financing costs and original issue discount.</w:t>
      </w:r>
    </w:p>
    <w:p>
      <w:pPr>
        <w:spacing w:after="0" w:line="18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We incurred a loss of $4.4 million for the year ended December 31, 2014 from the decrease in the fair value of our interest rate swaps, compared to a gain of $14.2 million from the increase in fair value in 2013.</w:t>
      </w:r>
    </w:p>
    <w:p>
      <w:pPr>
        <w:spacing w:after="0" w:line="170"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Interest income was $20.4 million for the year ended December 31, 2014, compared to $15.7 million in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680" w:firstLine="405"/>
        <w:spacing w:after="0" w:line="264" w:lineRule="auto"/>
        <w:rPr>
          <w:sz w:val="20"/>
          <w:szCs w:val="20"/>
          <w:color w:val="auto"/>
        </w:rPr>
      </w:pPr>
      <w:r>
        <w:rPr>
          <w:rFonts w:ascii="Arial" w:cs="Arial" w:eastAsia="Arial" w:hAnsi="Arial"/>
          <w:sz w:val="18"/>
          <w:szCs w:val="18"/>
          <w:color w:val="auto"/>
        </w:rPr>
        <w:t>For the years ended December 31, 2014 and 2013, we recorded a tax benefit of $3.8 million and $17.6 million, respectively. For the year ended December 31, 2014, our benefit for income taxes was primarily related to a release of valuation allowance on prior year FTCs resulting from the implementation of a tax planning strategy. For the year ended December 31,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2013, our income tax benefit was primarily related to a decrease in our deferred tax liabilities reduced by foreign taxes assessable on the dividends of Wynn Macau SA.</w:t>
      </w:r>
    </w:p>
    <w:p>
      <w:pPr>
        <w:spacing w:after="0" w:line="170" w:lineRule="exact"/>
        <w:rPr>
          <w:sz w:val="20"/>
          <w:szCs w:val="20"/>
          <w:color w:val="auto"/>
        </w:rPr>
      </w:pPr>
    </w:p>
    <w:p>
      <w:pPr>
        <w:jc w:val="both"/>
        <w:ind w:right="220" w:firstLine="405"/>
        <w:spacing w:after="0" w:line="259" w:lineRule="auto"/>
        <w:rPr>
          <w:sz w:val="20"/>
          <w:szCs w:val="20"/>
          <w:color w:val="auto"/>
        </w:rPr>
      </w:pPr>
      <w:r>
        <w:rPr>
          <w:rFonts w:ascii="Arial" w:cs="Arial" w:eastAsia="Arial" w:hAnsi="Arial"/>
          <w:sz w:val="18"/>
          <w:szCs w:val="18"/>
          <w:color w:val="auto"/>
        </w:rPr>
        <w:t>Wynn Macau SA received an exemption from Macau's 12% Complementary Tax on casino gaming profits through December 31, 2015. Accordingly, we were exempt from the payment of $99.4 million and $107.3 million in such taxes during the year ended December 31, 2014 and 2013, respectively. Our non-gaming profits remained subject to the Macau Complementary Tax and casino winnings remained subject to the Macau Special Gaming tax and other levies together totaling 39% in accordance with our concession agreement.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2014, we received notification that the IRS completed its examination of our 2012 U.S. income tax return and had no changes.</w:t>
      </w:r>
    </w:p>
    <w:p>
      <w:pPr>
        <w:spacing w:after="0" w:line="237"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In March 2013, the Financial Services Bureau commenced an examination of the 2009, 2010, and 2011 Macau income tax returns of Wynn Macau SA. In December 2014, Wynn Macau SA reached an agreement with the Macau Financial Services Bureau regarding issues raised during its examination. While no additional tax was due as a result of the examination, adjustments were made to Wynn Macau SA's foreign net operating loss carryforwards. On December 31, 2014, the statute of limitations for the 2009 Macau Complementary tax return expired.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Net income attributable to noncontrolling interests was $231.1 million for the year ended December 31, 2014, compared to $275.5 million for the year ended December 31, 2013. These amounts represent the noncontrolling interests' share of net income from Wynn Macau, Limited for each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8—"Financial Statements and Supplementary Data," Note 18 "Segment Information." That footnote also presents a reconciliation of Adjusted Property EBITDA to net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3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Operations</w:t>
            </w:r>
          </w:p>
        </w:tc>
        <w:tc>
          <w:tcPr>
            <w:tcW w:w="3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708,623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1,258,082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1,324,119</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3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477,166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515,196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486,682</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1,185,789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1,773,278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1,810,801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Adjusted Property EBITDA at our Macau and Las Vegas Operations decreased year-over-year by 43.7% and 7.4%, respectively, for the year ended December 31, 2015, primarily due to the decline in casino revenues.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Adjusted Property EBITDA at our Macau Operations decreased year-over-year by 5.0% for the year ended December 31, 2014, due to a decline in VIP turnover, partially offset by an increase in table games win from our mass market gaming operations. Adjusted Property EBITDA at our Las Vegas Operations increased year-over-year by 5.9% for the year ended December 31, 2014, driven by our non-casino revenue performance.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Net cash provided by operations for the year ended December 31, 2015 was $572.8 million, compared to $1,098.3 million provided by operations for the year ended December 31, 2014. The reduction was primarily due to lower operating income generated by our Macau Operations and from the change in ordinary working capital accounts.</w:t>
      </w:r>
    </w:p>
    <w:p>
      <w:pPr>
        <w:spacing w:after="0" w:line="18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Net cash provided by operations for the year ended December 31, 2014 was $1,098.3 million, compared to $1,676.6 million for the same period of 2013, with the reduction due to lower operating income in 2014 and from the change in ordinary working capital accounts.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provided by operations for the year ended December 31, 2013 was $1,676.6 million compared to $1,185.7 million for the same period of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significant changes in ordinary working capital accounts and higher operating income in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Net cash used in investing activities for the year ended December 31, 2015 was $1,891.6 million, which was primarily attributable to $1,921.2 million in capital expenditures, net of construction payables and retention, with majority for Wynn Palace construction.</w:t>
      </w:r>
    </w:p>
    <w:p>
      <w:pPr>
        <w:spacing w:after="0" w:line="17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Net cash used in investing activities for the year ended December 31, 2014 was $1,114.4 million, which was primarily attributable to $1,221.4 million in capital expenditures, net of construction payables and retention, with majority for Wynn Palace construction. We also used cash of $86.7 million for payment of our Massachusetts gaming license.</w:t>
      </w:r>
    </w:p>
    <w:p>
      <w:pPr>
        <w:spacing w:after="0" w:line="181"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Net cash used in investing activities for the year ended December 31, 2013 was $677.6 million, which was primarily attributable to $514.8 million in capital expenditures related to site preparation costs for Wynn Palace land and various renovations at our resorts including Wynn Macau guest room renovations.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Net cash provided by financing activities was $1,216.3 million for the year ended December 31, 2015. During the year ended December 31, 2015 we amended our Wynn Macau credit facilities and received proceeds of $2.27 billion from our fully funded senior secured term loan facility. These proceeds were used to repay $953.3 million in outstanding borrowings under the senior secured term loan facility dated July 30, 2012 and $815.8 million in outstanding borrowings under the senior secured revolving credit facility dated July 30, 2012, of which $683.3 million had been previously borrowed during 2015. We also issued $1.8 billion of 5 1/2% senior notes due in 2025 and used the proceeds for the purchase of $1.6 billion of our first mortgage notes due in 2020.</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Net cash used in financing activities was $235.6 million for the year ended December 31, 2014, which was mainly due to the payment of dividends of $942.9 million and payments on our long-term debt, primarily offset by proceeds of $755.6 million from the issuance of senior notes and $132.6 million from borrowings, net of repayments, under our Wynn Macau revolving credit facility. During 2014, we used $98.4 million for open market purchases of principal on our first mortgage notes and $31.5 million for the repayment of remaining principal on our note payable secured by aircraft.</w:t>
      </w:r>
    </w:p>
    <w:p>
      <w:pPr>
        <w:spacing w:after="0" w:line="171"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Net cash used in financing activities was $291.1 million for the year ended December 31, 2013, which was primarily attributable to the payment of dividends of $1,035.0 million and the redemption of first mortgage notes of $500.0 million, offset by proceeds from the issuance of senior notes of $1,100.0 million and the increase in our senior term loan facility of $200.0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2015, we had approximately $2,080.1 million of cash and cash equivalents and $251.6 million of available-for-sale investments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domestic and foreign debt securities and commercial paper. Cash and cash equivalents include cash on hand, cash in bank and fixed deposits, investments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money market funds, domestic and foreign bank time deposits and commercial paper, all with maturities of less than 90 days. Of these amounts, Wynn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Macau, Limited and its subsidiaries (of which we own 72%) held $868.4 million in cash. If our portion of this cash was repatriated to the U.S. 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it would not be subject to U.S. tax in the year of repatriation. Wynn Las Vegas, LLC held cash balances of $77.1 million. Wynn Resorts,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(including its subsidiaries other than Wynn Macau, Limited and Wynn Las Vegas, LLC), which is not a guarantor of the debt of its subsidiaries, held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$1,134.6 million and $251.6 million of cash and available-for-sale investments, respectively.</w:t>
      </w:r>
    </w:p>
    <w:p>
      <w:pPr>
        <w:spacing w:after="0" w:line="21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Wynn Macau credit facilities consist of a $2.27 billion equivalent fully funded senior secured term loan facility and a $750.0 million equivalent senior secured revolving credit facility (together, the "Wynn Macau Credit Facilities"). Borrowings under the Wynn Macau Credit Facilities consist of both United States dollar and Hong Kong dollar tranches and were used to refinance Wynn Macau SA's existing indebtedness, and will be used to fund the construction and development of Wynn Palace and for general corporate purposes. As of December 31, 2015, we had $318.8 million of available borrowing capacity under the senior secured revolving credit facility.</w:t>
      </w:r>
    </w:p>
    <w:p>
      <w:pPr>
        <w:spacing w:after="0" w:line="188"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Wynn America credit facilities consist of a $375.0 million senior secured revolving credit facility and an $875.0 million delay draw senior secured term loan facility (together, the "Wynn America Credit Facilities"). Borrowings under the Wynn America Credit Facilities will be used to fund the design, development, construction and pre-opening expenses of the Wynn resort in Massachusetts and for general corporate purposes. As of December 31, 2015, we had borrowed $70.0 million of the delay draw senior secured term loan facility. Of the remaining $805.0 million delay draw senior secured term loan facility, the borrowing period is March 30, 2016, for up to $100.3 million and June 30, 2016, for up to $704.7 million. As of December 31, 2015, we had $1.17 billion of available borrowing capacity under the senior secured revolving credit facility, which includes a reduction for outstanding letters of credit totaling $11.7 million.</w:t>
      </w:r>
    </w:p>
    <w:p>
      <w:pPr>
        <w:spacing w:after="0" w:line="189" w:lineRule="exact"/>
        <w:rPr>
          <w:sz w:val="20"/>
          <w:szCs w:val="20"/>
          <w:color w:val="auto"/>
        </w:rPr>
      </w:pPr>
    </w:p>
    <w:p>
      <w:pPr>
        <w:jc w:val="both"/>
        <w:ind w:right="200" w:firstLine="432"/>
        <w:spacing w:after="0" w:line="302" w:lineRule="auto"/>
        <w:rPr>
          <w:sz w:val="20"/>
          <w:szCs w:val="20"/>
          <w:color w:val="auto"/>
        </w:rPr>
      </w:pPr>
      <w:r>
        <w:rPr>
          <w:rFonts w:ascii="Arial" w:cs="Arial" w:eastAsia="Arial" w:hAnsi="Arial"/>
          <w:sz w:val="16"/>
          <w:szCs w:val="16"/>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our existing cash balances. We intend to primarily fund our current development projects, Wynn Palace and the Wynn resort in Massachusetts, with the available borrowing capacity under our bank credit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Macau related debt consists of senior notes and the Wynn Macau Credit Facilities.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On March 20, 2014, Wynn Macau, Limited ("WML"), an indirect subsidiary of Wynn Resorts, Limited, issued $750.0 million aggregate principal amount of 5 1/4% Senior Notes due 2021 (the "Additional 2021 Notes"), which were consolidated and form a single series with the $600.0 million aggregate principal amount of 5 1/4% Senior Notes due 2021 issued by WML on October 16, 2013 (the "Original 2021 Notes" and together with the "Additional 2021 Notes," the "2021 Notes").</w:t>
      </w:r>
    </w:p>
    <w:p>
      <w:pPr>
        <w:spacing w:after="0" w:line="18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22" w:right="27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"WML Indenture"). In either case, the redemption price would include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we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7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Credit Facilities' existing credit facilities. The 2021 Notes are not registered under the Securities Act of 1933, as amended (the "Securities Act"), and the 2021 Notes are subject to restrictions on transferability and resale.</w:t>
      </w:r>
    </w:p>
    <w:p>
      <w:pPr>
        <w:spacing w:after="0" w:line="173"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7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On September 30, 2015, we amended our Wynn Macau Credit Facilities. The borrowing availability was increased to $3.05 billion with ability to upsize an additional $1 billion in equivalent senior secured loans upon satisfaction of various conditions. The senior secured term loan facility is repayable in graduating installments of between 2.5% and 7.33% of the principal amount on a quarterly basis commencing December 2018, with a final installment of</w:t>
      </w:r>
    </w:p>
    <w:p>
      <w:pPr>
        <w:ind w:right="20"/>
        <w:spacing w:after="0" w:line="270" w:lineRule="auto"/>
        <w:rPr>
          <w:sz w:val="20"/>
          <w:szCs w:val="20"/>
          <w:color w:val="auto"/>
        </w:rPr>
      </w:pPr>
      <w:r>
        <w:rPr>
          <w:rFonts w:ascii="Arial" w:cs="Arial" w:eastAsia="Arial" w:hAnsi="Arial"/>
          <w:sz w:val="17"/>
          <w:szCs w:val="17"/>
          <w:color w:val="auto"/>
        </w:rPr>
        <w:t>50% of the principal amount repayable in September 2021 (extended from July 2018). Any outstanding borrowings from the senior secured revolving credit facility will mature in September 2020 (extended from July 2017) by which time any outstanding borrowings from the senior secured revolving credit facility must be repaid. The Wynn Macau Credit Facilities bear interest at LIBOR or HIBOR plus a margin of 1.50% to 2.25% per annum based on Wynn Macau SA's Leverage Ratio (as defined in the Wynn Macau Credit Facilities). The commitment fee required to pay for unborrowed amounts under the senior secured revolving credit facility, if any, is between 0.52% to 0.79% per annum, based on Wynn Macau SA's Leverage Ratio. The annual commitment fee is payable quarterly in arrears and calculated based on the daily average of the unborrowed amounts.</w:t>
      </w:r>
    </w:p>
    <w:p>
      <w:pPr>
        <w:spacing w:after="0" w:line="179"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Wynn Macau Credit Facilities contain a requirement that Wynn Macau SA must make mandatory repayments of indebtedness from specified percentages of excess cash flow. If Wynn Macau SA's Leverage Ratio is greater than 4.5 to 1, then 25% of Excess Cash Flow (as defined in the Wynn Macau Credit Facilities) must be used for prepayment of indebtedness and cancellation of available borrowings under the Wynn Macau Credit Facilities. There is no mandatory prepayment in respect of Excess Cash Flow if Wynn Macau SA's Leverage Ratio is equal to or less than 4.5 to 1.</w:t>
      </w:r>
    </w:p>
    <w:p>
      <w:pPr>
        <w:spacing w:after="0" w:line="154"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5.25 to 1 for the fiscal year ending December 31, 2015, and an Interest Coverage Ratio (as defined in the Wynn Macau Credit Facilities) of not less than 2.00 to 1 at any time.</w:t>
      </w:r>
    </w:p>
    <w:p>
      <w:pPr>
        <w:spacing w:after="0" w:line="154"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Borrowings under the Wynn Macau Credit Facilities will continue to be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Wynn Macau Facilities are not guaranteed by the Company or WML.</w:t>
      </w:r>
    </w:p>
    <w:p>
      <w:pPr>
        <w:spacing w:after="0" w:line="18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In connection with the gaming concession contract of Wynn Macau SA, Wynn Macau SA entered into a Bank Guarantee Reimbursement Agreement with Banco Nacional Ultramarino, S.A. ("BNU") for the benefit of the Macau government.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guarantee assures Wynn Macau SA's performance under the casino concession agreement, including the payment of premiums, fines and indemnity for any material failure to perform under the terms of the concession agreement and the payment of any gaming taxes. As of December 31, 2015, the guarantee was in the amount of MOP 300.0 million (approximately $37.0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MOP 2.3 million (approximately $0.3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U.S. related debt consists of first mortgage notes, senior notes and the Wynn America Credit Facilities. The Corporate related debt consists of the Redemption Price Promissory Note ("Redemption Note").</w:t>
      </w:r>
    </w:p>
    <w:p>
      <w:pPr>
        <w:spacing w:after="0" w:line="170" w:lineRule="exact"/>
        <w:rPr>
          <w:sz w:val="20"/>
          <w:szCs w:val="20"/>
          <w:color w:val="auto"/>
        </w:rPr>
      </w:pPr>
    </w:p>
    <w:p>
      <w:pPr>
        <w:ind w:right="120" w:firstLine="405"/>
        <w:spacing w:after="0" w:line="289" w:lineRule="auto"/>
        <w:rPr>
          <w:sz w:val="20"/>
          <w:szCs w:val="20"/>
          <w:color w:val="auto"/>
        </w:rPr>
      </w:pPr>
      <w:r>
        <w:rPr>
          <w:rFonts w:ascii="Arial" w:cs="Arial" w:eastAsia="Arial" w:hAnsi="Arial"/>
          <w:sz w:val="16"/>
          <w:szCs w:val="16"/>
          <w:color w:val="auto"/>
        </w:rPr>
        <w:t>The first mortgage notes (the "2022 Notes") were issued by Wynn Las Vegas, LLC and Wynn Las Vegas Capital Corp., an indirect wholly owned subsidiary of Wynn Resorts, Limited (together, the "Issuers"). The 2022 Notes are senior obligations of the Issuers and are unsecured (except by the first priority pledge by Wynn Las Vegas Holdings, LLC of its equity interests in Wynn Las Vegas, LLC (the "Holdings pledge")). These issuances rank pari passu in right of payment with the 2023 Notes and the 2025 Notes (defined below) and are not guaranteed by any of our subsidiaries. If the Issuers undergo a change of control (as defined in the applicable indenture), they must offer to repurchase the first mortgage notes at 101% of the principal amount, plus accrued and unpaid interest. The indentures governing the first mortgage notes contain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and transfer and sell assets or create dividend and other payment restrictions affecting subsidiaries.</w:t>
      </w:r>
    </w:p>
    <w:p>
      <w:pPr>
        <w:spacing w:after="0" w:line="167"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In May 2013, the Issuers completed the issuance of $500.0 million aggregate principal amount of 4 1/4% Senior Notes due 2023 (the "2023 Notes") pursuant to an indenture, dated as of May 22, 2013 (the "2023 Indenture"), among the Issuers, the Guarantors (as defined below) and U.S. Bank National Association, as trustee.</w:t>
      </w:r>
    </w:p>
    <w:p>
      <w:pPr>
        <w:spacing w:after="0" w:line="18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include a make-whole premium. The 2023 Notes are also subject to mandatory redemption requirements imposed by gaming laws and regulations of gaming authorities in Nevada.</w:t>
      </w:r>
    </w:p>
    <w:p>
      <w:pPr>
        <w:spacing w:after="0" w:line="18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first mortgage notes and 2025 Notes (as defined below). The 2023 Notes are unsecured (except by the Holdings pledge). The Holdings pledge also secures the first mortgage notes and the 2025 Notes. If Wynn Resorts, Limited receives an investment grade rating from one or more ratings agencies, the first priority pledge securing the 2023 Notes will be released.</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On February 18, 2015, the Issuers completed the issuance of $1.8 billion aggregate principal amount of 5 1/2% Senior Notes due March 1, 2025 (the "2025 Notes") pursuant to an indenture, dated as of February 18, 2015 (the "2025 Indenture"), among the Issuers, Guarantors and U.S. Bank National Association, as trustee.</w:t>
      </w:r>
    </w:p>
    <w:p>
      <w:pPr>
        <w:spacing w:after="0" w:line="12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1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2022 Notes and 2023 Notes (together, the "Existing Notes"). The 2025 Notes are unsecured (except by the Holding pledge). The equity interests in Wynn Las Vegas also secure the Existing Notes. If Wynn Resorts, Limited receives an investment grade rating from one or more ratings agencies, the first priority pledge securing the 2025 Notes will be released.</w:t>
      </w:r>
    </w:p>
    <w:p>
      <w:pPr>
        <w:spacing w:after="0" w:line="133"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Las Vegas Capital Corp., all 2025 Notes then outstanding will become due and payable immediately without further action or notice.</w:t>
      </w:r>
    </w:p>
    <w:p>
      <w:pPr>
        <w:spacing w:after="0" w:line="188"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On November 20, 2014, Wynn America, an indirect wholly owned subsidiary, and certain subsidiaries of Wynn America entered into a $1.25 billion senior secured credit facility. The revolving credit facility matures in November 2019. The term loan facility matures in November 2020 and will require quarterly principal payments, scheduled to begin in June 2018. 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58"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The Wynn America Credit Facilities contain customary representation and warranties, events of default and negative and affirmative covenants, including, among other things, limitations on: indebtedness; investments; restricted payments; mergers and acquisitions; payments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the Wynn resort in Massachusetts occurs, the Maximum Consolidated Senior Secured Net Leverage Ratio is not to exceed 2.75 to 1. Commencing with the fiscal quarter ending December 31, 2015, the Minimum Consolidated EBITDA is not to be less than $200.0 million.</w:t>
      </w:r>
    </w:p>
    <w:p>
      <w:pPr>
        <w:spacing w:after="0" w:line="178"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We provided a completion guaranty in favor of the lenders under the Wynn America Credit Facilities to support the development and opening of the Wynn resort in Massachusetts. 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Based on the Board of Director's finding of "unsuitability," on February 18, 2012, we redeemed and canceled Aruze's 24,549,222 shares of Wynn Resorts' common stock. Following a finding of "unsuitability," our articles of incorporation authorize redemption at "fair value" of the shares held by unsuitable persons. Pursuant to the articles of incorporation, we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subordinated to the prior payment in full of all existing and future obligations of Wynn Resorts and any of its affiliates in respect of indebtedness for borrowed money of any kind or nature. Aruze, Universal Entertainment Corporation and Kazuo Okada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and Item 8—"Financial Statements and Supplementary Data," Note 17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Affecting Liquidity</w:t>
      </w:r>
    </w:p>
    <w:p>
      <w:pPr>
        <w:spacing w:after="0" w:line="22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Wynn Resorts is a holding company and, as a result, our ability to pay dividends is highly dependent on our ability to obtain funds and our subsidiaries' ability to provide funds to us. Wynn Las Vegas, LLC, Wynn America, LLC and Wynn Macau SA debt instruments contain customary negative covenants and financial covenants, including, but not limited to, covenants that restrict their ability to pay dividends or distributions.</w:t>
      </w:r>
    </w:p>
    <w:p>
      <w:pPr>
        <w:spacing w:after="0" w:line="16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18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As of December 31, 2015, we had purchased a cumulative total of 12,804,954 shares of our common stock for a net cost of $1.1 billion under the program, with no purchases made under this program during the years ended December 31, 2015, 2014 and 2013.</w:t>
      </w:r>
    </w:p>
    <w:p>
      <w:pPr>
        <w:spacing w:after="0" w:line="171"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2015, we had outstanding letters of credit totaling $11.7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at December 31, 2015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80" w:type="dxa"/>
            <w:vAlign w:val="bottom"/>
          </w:tcPr>
          <w:p>
            <w:pPr>
              <w:jc w:val="center"/>
              <w:ind w:left="461"/>
              <w:spacing w:after="0" w:line="153" w:lineRule="exact"/>
              <w:rPr>
                <w:sz w:val="20"/>
                <w:szCs w:val="20"/>
                <w:color w:val="auto"/>
              </w:rPr>
            </w:pPr>
            <w:r>
              <w:rPr>
                <w:rFonts w:ascii="Arial" w:cs="Arial" w:eastAsia="Arial" w:hAnsi="Arial"/>
                <w:sz w:val="14"/>
                <w:szCs w:val="14"/>
                <w:b w:val="1"/>
                <w:bCs w:val="1"/>
                <w:color w:val="auto"/>
                <w:w w:val="87"/>
              </w:rPr>
              <w:t>Less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1 to 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4 to 5</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5"/>
              </w:rPr>
              <w:t>Than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9,294.9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variable interest payments (1)</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contracts and commitments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Leasehold interest in land</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(2)</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commitments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834.6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12,682.8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360" w:hanging="812"/>
        <w:spacing w:after="0" w:line="308"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Amounts for all periods represent our estimated future interest payments on our debt facilities based upon amounts outstanding and LIBOR or HIBOR rates at December 31, 2015. Such rates continue at historical lows as of December 31, 2015. Actual rates will vary.</w:t>
      </w:r>
    </w:p>
    <w:p>
      <w:pPr>
        <w:spacing w:after="0" w:line="146" w:lineRule="exact"/>
        <w:rPr>
          <w:rFonts w:ascii="Arial" w:cs="Arial" w:eastAsia="Arial" w:hAnsi="Arial"/>
          <w:sz w:val="17"/>
          <w:szCs w:val="17"/>
          <w:color w:val="auto"/>
        </w:rPr>
      </w:pPr>
    </w:p>
    <w:p>
      <w:pPr>
        <w:ind w:left="820" w:right="180" w:hanging="812"/>
        <w:spacing w:after="0" w:line="279"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Other includes open purchase orders, future charitable contributions, fixed gaming tax payments in Macau and other contracts. As further discussed in Item 8—"Financial Statements and Supplementary Data," Note 16 "Income Taxes" of this report, we had $88.3 million of unrecognized tax benefits as of December 31, 2015. Due to the inherent uncertainty of the underlying tax positions, it is not practicable to assign this liability to any particular year and therefore it is not included in the table above as of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Item 8—"Financial Statements and Supplementary Data," Note 2 "Summary of Significant Accounting Policies."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8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usage of the asset, and other factors specific to the asset. Depreciation expense related to capitalized construction costs is recognized when the related assets are placed in service. Upon the opening of our resorts, we began recognizing depreciation expense on the resort's fixed assets.</w:t>
      </w:r>
    </w:p>
    <w:p>
      <w:pPr>
        <w:spacing w:after="0" w:line="14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review remaining estimated useful lives of our property and equipment on an ongoing basis. In our review of estimated useful lives of buildings and improvements for Wynn Macau, we consider factors such as liberalization of the gaming industry in Macau, market expansion and actions taken by the Macau government regarding concession renewals. This review indicated that our estimated useful lives of buildings and improvements extend beyond the current expiration of the gaming concession in June 2022 and land concession in August 2029. As a result, effective September 1, 2015, we have changed our estimate of the remaining useful lives of Wynn Macau assets to better reflect the estimated periods during which these assets are expected to remain in service.</w:t>
      </w:r>
    </w:p>
    <w:p>
      <w:pPr>
        <w:spacing w:after="0" w:line="193"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record the Redemption Note at its fair value in accordance with applicable accounting guidance. As of December 31, 2015 and 2014, the fair value of the Redemption Note was $1.88 billion and $1.94 billion, respectively. We utilized an independent third party valuation to assist in the determination of this fair value. In determining this fair value, we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88"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 —"Financial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In determination of the appropriate discount rate to be used in the estimated present value, the Redemption Note's subordinated position and credit risk relative to all other debt in our capital structure and credit ratings associated with our traded debt were considered. Observable inputs for the risk free rate based on Federal Reserve rates for U.S. Treasury securities and credit risk spread based on a yield curve index of similarly rated debt were used.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Investments and Fair Value</w:t>
      </w:r>
    </w:p>
    <w:p>
      <w:pPr>
        <w:spacing w:after="0" w:line="225" w:lineRule="exact"/>
        <w:rPr>
          <w:sz w:val="20"/>
          <w:szCs w:val="20"/>
          <w:color w:val="auto"/>
        </w:rPr>
      </w:pPr>
    </w:p>
    <w:p>
      <w:pPr>
        <w:jc w:val="both"/>
        <w:ind w:right="180" w:firstLine="432"/>
        <w:spacing w:after="0" w:line="286" w:lineRule="auto"/>
        <w:rPr>
          <w:sz w:val="20"/>
          <w:szCs w:val="20"/>
          <w:color w:val="auto"/>
        </w:rPr>
      </w:pPr>
      <w:r>
        <w:rPr>
          <w:rFonts w:ascii="Arial" w:cs="Arial" w:eastAsia="Arial" w:hAnsi="Arial"/>
          <w:sz w:val="16"/>
          <w:szCs w:val="16"/>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(held-to-maturity/available-for-sale) of our investments at the time of purchase and reevaluate such designation as of each balance sheet date. Our investments are reported at fair value, with unrealized gains and losses, net of tax, reported in other comprehensive income (loss).</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We measure certain of our financial assets and liabilities, such as cash equivalents, interest rate swaps, restricted cash, available-for-sale securities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6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88"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As of December 31, 2015 and 2014, 85.1% and 84.6%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regularly evaluate our reserve for bad debts based on a specific review of customer accounts and outstanding gaming promoter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190,294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257,930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66,109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74,149</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w:t>
            </w: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2015 and 2014, 38.7% and 28.2%, respectively, of our outstanding casino account receivable balance originated at our Macau Operations.</w:t>
      </w:r>
    </w:p>
    <w:p>
      <w:pPr>
        <w:spacing w:after="0" w:line="18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At December 31, 2015, a 100 basis point change in the allowance for doubtful accounts as a percentage of casino accounts receivable would change the provision for doubtful accounts by approximately $1.9 million.</w:t>
      </w:r>
    </w:p>
    <w:p>
      <w:pPr>
        <w:spacing w:after="0" w:line="17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2015, changes in our interest rate swap fair values are being recorded in our Consolidated Statements of Income, as the swaps do not qualify for hedge accounting.</w:t>
      </w:r>
    </w:p>
    <w:p>
      <w:pPr>
        <w:spacing w:after="0" w:line="15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option pricing model to determine grant-date fair value of our stock options. The Black-Scholes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78"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A hypothetical 10% change in the volatility assumption for our options granted in 2015 would not have a material effect on the change in fair value. Expected term represents the estimated average time between the option's grant date and its exercise date. A hypothetical 10% change in the expected term assumption for our options granted in 2015 would not have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material effect on the change in fair value. These assumed changes in fair value would have been recognized over the vesting schedule of such awards.</w:t>
      </w:r>
    </w:p>
    <w:p>
      <w:pPr>
        <w:spacing w:after="0" w:line="248"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of December 31, 2015, we have a FTC carryover of $3.32 billion and we have recorded a valuation allowance of $3.26 billion against this asset based on our estimate of future realization. The FTCs are attributable to the Macau special gaming tax, which is 35% of gross gaming revenue in Macau. The U.S. taxing regime only allows a credit for 35% of foreign source income. In assessing the need for a valuation allowance, we rely solely on the reversal of net taxable temporary differences that result in foreign source income during the 10-year foreign tax credit carryforward period.</w:t>
      </w:r>
    </w:p>
    <w:p>
      <w:pPr>
        <w:spacing w:after="0" w:line="171" w:lineRule="exact"/>
        <w:rPr>
          <w:sz w:val="20"/>
          <w:szCs w:val="20"/>
          <w:color w:val="auto"/>
        </w:rPr>
      </w:pPr>
    </w:p>
    <w:p>
      <w:pPr>
        <w:ind w:right="540" w:firstLine="432"/>
        <w:spacing w:after="0" w:line="286" w:lineRule="auto"/>
        <w:rPr>
          <w:sz w:val="20"/>
          <w:szCs w:val="20"/>
          <w:color w:val="auto"/>
        </w:rPr>
      </w:pPr>
      <w:r>
        <w:rPr>
          <w:rFonts w:ascii="Arial" w:cs="Arial" w:eastAsia="Arial" w:hAnsi="Arial"/>
          <w:sz w:val="17"/>
          <w:szCs w:val="17"/>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66"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applicable, we recognize accrued penalties and interest related to unrecognized tax benefits in the provision for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related disclosure at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8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2015, of our expected long-term indebtedness and related weighted average interest rates by expected maturity dates. However, we cannot predict the LIBOR or HIBOR rates that will be in effect in the future. As of December 31,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such rates remain at historic lows. Actual rates will vary. The one-month LIBOR and HIBOR rates at December 31, 2015 of 0.42% and 0.22%, respectively, were used for all variable rate calculations in the table 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187"/>
        </w:trPr>
        <w:tc>
          <w:tcPr>
            <w:tcW w:w="1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2"/>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Fixed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6,486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6,486</w:t>
            </w:r>
          </w:p>
        </w:tc>
      </w:tr>
      <w:tr>
        <w:trPr>
          <w:trHeight w:val="27"/>
        </w:trPr>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Variable rate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2,809</w:t>
            </w:r>
          </w:p>
        </w:tc>
      </w:tr>
      <w:tr>
        <w:trPr>
          <w:trHeight w:val="27"/>
        </w:trPr>
        <w:tc>
          <w:tcPr>
            <w:tcW w:w="1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interest rate</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Swap Information</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 change in swap fair value in our Consolidated Statements of Income, as the swaps do not qualify for hedge accounting.</w:t>
      </w:r>
    </w:p>
    <w:p>
      <w:pPr>
        <w:spacing w:after="0" w:line="147"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Credit Facilities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Under the third swap agreement, we pay a fixed interest rate (excluding the applicable interest margin) of 0.68% on notional amounts corresponding to borrowings of $243.8 million incurred under the Wynn Macau Credit Facilities in exchange for receipts on the same amount at a variable rate based on the applicable LIBOR at the time of payment. This interest rate swap fixes the all-in interest rate on such amounts at 2.18% to 2.93%. This interest rate swap agreement matures in July 2017.</w:t>
      </w:r>
    </w:p>
    <w:p>
      <w:pPr>
        <w:spacing w:after="0" w:line="187"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As of December 31, 2015, interest rate swaps were recorded as an asset of $0.7 million included in deposits and other assets and as a liability of $0.1 million included in other long-term liabilities in the accompanying Consolidated Balance Sheet. As of December 31, 2014, interest rate swaps were recorded as an asset of $5.9 million included in deposits and other assets in the accompanying Consolidated Balance Sheet.</w:t>
      </w:r>
    </w:p>
    <w:p>
      <w:pPr>
        <w:spacing w:after="0" w:line="166"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fair value approximates the amount we would pay or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225"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2015 and using estimated future LIBOR and HIBOR rates based upon implied forward rates in the yield curve. The information is presented in U.S. dollar equivalents, which is our reporting currency: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92"/>
              </w:rPr>
              <w:t>Years Ending December 31,</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5"/>
              </w:rPr>
              <w:t>Expected Maturity Date</w:t>
            </w: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264"/>
        </w:trPr>
        <w:tc>
          <w:tcPr>
            <w:tcW w:w="2740" w:type="dxa"/>
            <w:vAlign w:val="bottom"/>
          </w:tcPr>
          <w:p>
            <w:pPr>
              <w:spacing w:after="0"/>
              <w:rPr>
                <w:sz w:val="22"/>
                <w:szCs w:val="22"/>
                <w:color w:val="auto"/>
              </w:rPr>
            </w:pPr>
          </w:p>
        </w:tc>
        <w:tc>
          <w:tcPr>
            <w:tcW w:w="144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Thereafter</w:t>
            </w: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58"/>
        </w:trPr>
        <w:tc>
          <w:tcPr>
            <w:tcW w:w="27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2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(dollars in millions)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5"/>
        </w:trPr>
        <w:tc>
          <w:tcPr>
            <w:tcW w:w="2740" w:type="dxa"/>
            <w:vAlign w:val="bottom"/>
          </w:tcPr>
          <w:p>
            <w:pPr>
              <w:ind w:left="40"/>
              <w:spacing w:after="0"/>
              <w:rPr>
                <w:sz w:val="20"/>
                <w:szCs w:val="20"/>
                <w:color w:val="auto"/>
              </w:rPr>
            </w:pPr>
            <w:r>
              <w:rPr>
                <w:rFonts w:ascii="Arial" w:cs="Arial" w:eastAsia="Arial" w:hAnsi="Arial"/>
                <w:sz w:val="18"/>
                <w:szCs w:val="18"/>
                <w:color w:val="auto"/>
              </w:rPr>
              <w:t>Average notional amount</w:t>
            </w:r>
          </w:p>
        </w:tc>
        <w:tc>
          <w:tcPr>
            <w:tcW w:w="14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753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0" w:type="dxa"/>
            <w:vAlign w:val="bottom"/>
          </w:tcPr>
          <w:p>
            <w:pPr>
              <w:ind w:left="38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ind w:left="5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753</w:t>
            </w:r>
          </w:p>
        </w:tc>
      </w:tr>
      <w:tr>
        <w:trPr>
          <w:trHeight w:val="27"/>
        </w:trPr>
        <w:tc>
          <w:tcPr>
            <w:tcW w:w="2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pay rate</w:t>
            </w:r>
          </w:p>
        </w:tc>
        <w:tc>
          <w:tcPr>
            <w:tcW w:w="1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Average receive rate</w:t>
            </w:r>
          </w:p>
        </w:tc>
        <w:tc>
          <w:tcPr>
            <w:tcW w:w="1440" w:type="dxa"/>
            <w:vAlign w:val="bottom"/>
          </w:tcPr>
          <w:p>
            <w:pPr>
              <w:ind w:left="7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21"/>
                <w:szCs w:val="21"/>
                <w:color w:val="auto"/>
              </w:rPr>
            </w:pPr>
          </w:p>
        </w:tc>
        <w:tc>
          <w:tcPr>
            <w:tcW w:w="78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ind w:lef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0.77%</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As of December 31, 2015, approximately 78% of our debt was based on fixed rates, including the notional amounts related to interest rate swaps. Based on our borrowings as of December 31, 2015, an assumed 1% change in the variable rates would cause our annual interest cost to change by $20.6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 Based on our balances at December 31, 2015, an assumed 1% change in the US dollar/Hong Kong dollar exchange rate would cause a foreign currency transaction gain/loss of approximately $23.4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Page</w:t>
            </w:r>
          </w:p>
        </w:tc>
      </w:tr>
      <w:tr>
        <w:trPr>
          <w:trHeight w:val="202"/>
        </w:trPr>
        <w:tc>
          <w:tcPr>
            <w:tcW w:w="9900" w:type="dxa"/>
            <w:vAlign w:val="bottom"/>
            <w:gridSpan w:val="9"/>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 on Internal Control over Financial Reporting</w:t>
              </w:r>
            </w:hyperlink>
          </w:p>
        </w:tc>
        <w:tc>
          <w:tcPr>
            <w:tcW w:w="1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w:t>
            </w:r>
          </w:p>
        </w:tc>
      </w:tr>
      <w:tr>
        <w:trPr>
          <w:trHeight w:val="250"/>
        </w:trPr>
        <w:tc>
          <w:tcPr>
            <w:tcW w:w="7480" w:type="dxa"/>
            <w:vAlign w:val="bottom"/>
            <w:tcBorders>
              <w:top w:val="single" w:sz="8" w:color="0000EE"/>
            </w:tcBorders>
            <w:gridSpan w:val="8"/>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Report of Independent Registered Public Accounting Firm on the Consolidated Financial Statements</w:t>
              </w:r>
            </w:hyperlink>
          </w:p>
        </w:tc>
        <w:tc>
          <w:tcPr>
            <w:tcW w:w="24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50"/>
        </w:trPr>
        <w:tc>
          <w:tcPr>
            <w:tcW w:w="7240" w:type="dxa"/>
            <w:vAlign w:val="bottom"/>
            <w:tcBorders>
              <w:top w:val="single" w:sz="8" w:color="0000EE"/>
            </w:tcBorders>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2660" w:type="dxa"/>
            <w:vAlign w:val="bottom"/>
            <w:gridSpan w:val="2"/>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65</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Income</w:t>
              </w:r>
            </w:hyperlink>
          </w:p>
        </w:tc>
        <w:tc>
          <w:tcPr>
            <w:tcW w:w="7340" w:type="dxa"/>
            <w:vAlign w:val="bottom"/>
            <w:gridSpan w:val="7"/>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66</w:t>
            </w:r>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Comprehensive Income</w:t>
              </w:r>
            </w:hyperlink>
          </w:p>
        </w:tc>
        <w:tc>
          <w:tcPr>
            <w:tcW w:w="6160" w:type="dxa"/>
            <w:vAlign w:val="bottom"/>
            <w:gridSpan w:val="3"/>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50"/>
        </w:trPr>
        <w:tc>
          <w:tcPr>
            <w:tcW w:w="990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Stockholders’ Equity</w:t>
              </w:r>
            </w:hyperlink>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50"/>
        </w:trPr>
        <w:tc>
          <w:tcPr>
            <w:tcW w:w="3540" w:type="dxa"/>
            <w:vAlign w:val="bottom"/>
            <w:tcBorders>
              <w:top w:val="single" w:sz="8" w:color="0000EE"/>
            </w:tcBorders>
            <w:gridSpan w:val="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Cash Flows</w:t>
              </w:r>
            </w:hyperlink>
          </w:p>
        </w:tc>
        <w:tc>
          <w:tcPr>
            <w:tcW w:w="6360" w:type="dxa"/>
            <w:vAlign w:val="bottom"/>
            <w:gridSpan w:val="4"/>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990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have audited Wynn Resorts, Limited and subsidiaries' (the "Company") internal control over financial reporting as of December 31, 2015,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2015, based on the COSO criteria.</w:t>
      </w:r>
    </w:p>
    <w:p>
      <w:pPr>
        <w:spacing w:after="0" w:line="170"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2015 consolidated financial statements of Wynn Resorts, Limited and subsidiaries and our report dated February 29, 2016 expressed an unqualified opinion thereon.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Wynn Resorts, Limited and subsidiaries:</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Wynn Resorts, Limited and subsidiaries (the "Company") as of December 31, 2015 and 2014, and the related consolidated statements of income, comprehensive income, stockholders' equity and cash flows for each of the three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Resorts, Limited and subsidiaries at December 31, 2015 and 2014, and the consolidated results of their operations and their cash flows for each of the three years in the period ended December 31, 2015,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Company's internal control over financial reporting as of December 31, 2015, based on criteria established in Internal Control—Integrated Framework issued by the Committee of Sponsoring Organizations of the Treadway Commission (2013 framework) and our report dated February 29, 2016 expressed an unqualified opinion thereon.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22" w:right="27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2014</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580" w:type="dxa"/>
            <w:vAlign w:val="bottom"/>
            <w:tcBorders>
              <w:bottom w:val="single" w:sz="8" w:color="CCEEFF"/>
            </w:tcBorders>
            <w:shd w:val="clear" w:color="auto" w:fill="CCEEFF"/>
          </w:tcPr>
          <w:p>
            <w:pPr>
              <w:ind w:left="54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2,080,089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2,182,164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115,297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240,140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187,887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237,957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74,493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72,223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48,012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49,847</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2,505,778</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2,782,331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7,477,478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5,855,842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10,173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110,972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112,367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financing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84,413</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Deposits and other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184,621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212,515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4,243</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10,522,259</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9,062,861</w:t>
            </w:r>
          </w:p>
        </w:tc>
      </w:tr>
      <w:tr>
        <w:trPr>
          <w:trHeight w:val="73"/>
        </w:trPr>
        <w:tc>
          <w:tcPr>
            <w:tcW w:w="85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90"/>
        </w:trPr>
        <w:tc>
          <w:tcPr>
            <w:tcW w:w="8580" w:type="dxa"/>
            <w:vAlign w:val="bottom"/>
            <w:tcBorders>
              <w:bottom w:val="single" w:sz="8" w:color="CCEEFF"/>
            </w:tcBorders>
            <w:shd w:val="clear" w:color="auto" w:fill="CCEEFF"/>
          </w:tcPr>
          <w:p>
            <w:pPr>
              <w:ind w:left="396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and construction payables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210,372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303,284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Current portion of land concession obligation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30,814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Customer deposits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436,409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548,818</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Gaming taxes payable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98,559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137,269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113,228</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98,129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107,318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121,005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67,587</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1,110,171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1,308,318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9,212,765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7,345,262</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Land concession obligation</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15,987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152,131</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36,357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30,072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10,500,414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8,851,770</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color w:val="auto"/>
              </w:rPr>
              <w:t>Commitments and contingencies (Note 17)</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85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Common stock, par value $0.01; 400,000,000 shares authorized; 114,610,441 and 114,426,960 shares issued; 101,571,909</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and 101,439,297 shares outstanding,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Treasury stock, at cost; 13,038,532 and 12,987,663 shares,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(1,152,680)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7"/>
              </w:rPr>
              <w:t>(1,145,481)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983,131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948,566</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164,487</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Wynn Resorts, Limited stockholders' deficit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(111,979)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133,824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239,870</w:t>
            </w:r>
          </w:p>
        </w:tc>
      </w:tr>
      <w:tr>
        <w:trPr>
          <w:trHeight w:val="217"/>
        </w:trPr>
        <w:tc>
          <w:tcPr>
            <w:tcW w:w="8580" w:type="dxa"/>
            <w:vAlign w:val="bottom"/>
          </w:tcPr>
          <w:p>
            <w:pPr>
              <w:ind w:left="720"/>
              <w:spacing w:after="0"/>
              <w:rPr>
                <w:sz w:val="20"/>
                <w:szCs w:val="20"/>
                <w:color w:val="auto"/>
              </w:rPr>
            </w:pPr>
            <w:r>
              <w:rPr>
                <w:rFonts w:ascii="Arial" w:cs="Arial" w:eastAsia="Arial" w:hAnsi="Arial"/>
                <w:sz w:val="16"/>
                <w:szCs w:val="16"/>
                <w:color w:val="auto"/>
              </w:rPr>
              <w:t>Total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21,845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211,091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10,522,259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9,062,861</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2" w:right="23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2,932,419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4,274,221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4,490,637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492,230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597,080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586,672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350,622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418,705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4,418,621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5,822,865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5,988,244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(367,308)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4,075,883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5,433,661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5,620,936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1,862,687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2,667,013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2,846,489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133,503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361,246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337,206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323,573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175,257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464,793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448,788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77,623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17,138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3,417,069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4,167,383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4,330,845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658,814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1,266,278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1,290,091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(299,022)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 in swap fair value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(307,416)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(303,568)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289,247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958,862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986,523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281,524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962,644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1,004,157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(275,505)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195,290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731,554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728,652</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101,163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100,540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101,671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101,931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101,641</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281,524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1,004,157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Unrealized gain (loss) on available-for-sale securities, net of tax</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1,002,370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(274,982)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193,877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731,146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727,388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January 1, 2013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 redemption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unrealized gain on investment securities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Cancellation of restricted stock</w:t>
      </w:r>
    </w:p>
    <w:p>
      <w:pPr>
        <w:spacing w:after="0" w:line="121"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right="940"/>
        <w:spacing w:after="0" w:line="512" w:lineRule="auto"/>
        <w:rPr>
          <w:sz w:val="20"/>
          <w:szCs w:val="20"/>
          <w:color w:val="auto"/>
        </w:rPr>
      </w:pPr>
      <w:r>
        <w:rPr>
          <w:rFonts w:ascii="Arial" w:cs="Arial" w:eastAsia="Arial" w:hAnsi="Arial"/>
          <w:sz w:val="11"/>
          <w:szCs w:val="11"/>
          <w:color w:val="auto"/>
        </w:rPr>
        <w:t>Issuance of restricted stock Cash dividends declared</w:t>
      </w:r>
    </w:p>
    <w:p>
      <w:pPr>
        <w:spacing w:after="0" w:line="1" w:lineRule="exact"/>
        <w:rPr>
          <w:sz w:val="20"/>
          <w:szCs w:val="20"/>
          <w:color w:val="auto"/>
        </w:rPr>
      </w:pPr>
    </w:p>
    <w:p>
      <w:pPr>
        <w:ind w:left="40" w:right="44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2013</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right="260"/>
        <w:spacing w:after="0" w:line="237" w:lineRule="auto"/>
        <w:rPr>
          <w:sz w:val="20"/>
          <w:szCs w:val="20"/>
          <w:color w:val="auto"/>
        </w:rPr>
      </w:pPr>
      <w:r>
        <w:rPr>
          <w:rFonts w:ascii="Arial" w:cs="Arial" w:eastAsia="Arial" w:hAnsi="Arial"/>
          <w:sz w:val="13"/>
          <w:szCs w:val="13"/>
          <w:color w:val="auto"/>
        </w:rPr>
        <w:t>Net unrealized gain (loss) on investment securities</w:t>
      </w:r>
    </w:p>
    <w:p>
      <w:pPr>
        <w:spacing w:after="0" w:line="29" w:lineRule="exact"/>
        <w:rPr>
          <w:sz w:val="20"/>
          <w:szCs w:val="20"/>
          <w:color w:val="auto"/>
        </w:rPr>
      </w:pPr>
    </w:p>
    <w:p>
      <w:pPr>
        <w:ind w:left="40" w:right="740"/>
        <w:spacing w:after="0" w:line="512" w:lineRule="auto"/>
        <w:rPr>
          <w:sz w:val="20"/>
          <w:szCs w:val="20"/>
          <w:color w:val="auto"/>
        </w:rPr>
      </w:pPr>
      <w:r>
        <w:rPr>
          <w:rFonts w:ascii="Arial" w:cs="Arial" w:eastAsia="Arial" w:hAnsi="Arial"/>
          <w:sz w:val="11"/>
          <w:szCs w:val="11"/>
          <w:color w:val="auto"/>
        </w:rPr>
        <w:t>Exercise of stock options Cancellation of restricted stock</w:t>
      </w:r>
    </w:p>
    <w:p>
      <w:pPr>
        <w:spacing w:after="0" w:line="1" w:lineRule="exact"/>
        <w:rPr>
          <w:sz w:val="20"/>
          <w:szCs w:val="20"/>
          <w:color w:val="auto"/>
        </w:rPr>
      </w:pPr>
    </w:p>
    <w:p>
      <w:pPr>
        <w:ind w:left="40" w:righ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right="16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right="44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December 31, 2014</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unrealized loss on investment securities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Exercise of stock options</w:t>
      </w:r>
    </w:p>
    <w:p>
      <w:pPr>
        <w:spacing w:after="0" w:line="121" w:lineRule="exact"/>
        <w:rPr>
          <w:sz w:val="20"/>
          <w:szCs w:val="20"/>
          <w:color w:val="auto"/>
        </w:rPr>
      </w:pPr>
    </w:p>
    <w:p>
      <w:pPr>
        <w:ind w:left="40"/>
        <w:spacing w:after="0" w:line="237" w:lineRule="auto"/>
        <w:rPr>
          <w:sz w:val="20"/>
          <w:szCs w:val="20"/>
          <w:color w:val="auto"/>
        </w:rPr>
      </w:pPr>
      <w:r>
        <w:rPr>
          <w:rFonts w:ascii="Arial" w:cs="Arial" w:eastAsia="Arial" w:hAnsi="Arial"/>
          <w:sz w:val="13"/>
          <w:szCs w:val="13"/>
          <w:color w:val="auto"/>
        </w:rPr>
        <w:t>Shares repurchased by the Company and held as treasury shares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 of restricted stock</w:t>
      </w:r>
    </w:p>
    <w:p>
      <w:pPr>
        <w:spacing w:after="0" w:line="121" w:lineRule="exact"/>
        <w:rPr>
          <w:sz w:val="20"/>
          <w:szCs w:val="20"/>
          <w:color w:val="auto"/>
        </w:rPr>
      </w:pPr>
    </w:p>
    <w:p>
      <w:pPr>
        <w:ind w:left="40" w:right="160"/>
        <w:spacing w:after="0" w:line="237" w:lineRule="auto"/>
        <w:rPr>
          <w:sz w:val="20"/>
          <w:szCs w:val="20"/>
          <w:color w:val="auto"/>
        </w:rPr>
      </w:pPr>
      <w:r>
        <w:rPr>
          <w:rFonts w:ascii="Arial" w:cs="Arial" w:eastAsia="Arial" w:hAnsi="Arial"/>
          <w:sz w:val="13"/>
          <w:szCs w:val="13"/>
          <w:color w:val="auto"/>
        </w:rPr>
        <w:t>Shares of subsidiary repurchased for share award plan</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w:t>
      </w:r>
    </w:p>
    <w:p>
      <w:pPr>
        <w:spacing w:after="0" w:line="121" w:lineRule="exact"/>
        <w:rPr>
          <w:sz w:val="20"/>
          <w:szCs w:val="20"/>
          <w:color w:val="auto"/>
        </w:rPr>
      </w:pPr>
    </w:p>
    <w:p>
      <w:pPr>
        <w:ind w:left="40" w:right="440"/>
        <w:spacing w:after="0" w:line="237" w:lineRule="auto"/>
        <w:rPr>
          <w:sz w:val="20"/>
          <w:szCs w:val="20"/>
          <w:color w:val="auto"/>
        </w:rPr>
      </w:pPr>
      <w:r>
        <w:rPr>
          <w:rFonts w:ascii="Arial" w:cs="Arial" w:eastAsia="Arial" w:hAnsi="Arial"/>
          <w:sz w:val="13"/>
          <w:szCs w:val="13"/>
          <w:color w:val="auto"/>
        </w:rPr>
        <w:t>Excess tax benefits from stock-based compensation</w:t>
      </w:r>
    </w:p>
    <w:p>
      <w:pPr>
        <w:spacing w:after="0" w:line="29" w:lineRule="exact"/>
        <w:rPr>
          <w:sz w:val="20"/>
          <w:szCs w:val="20"/>
          <w:color w:val="auto"/>
        </w:rPr>
      </w:pPr>
    </w:p>
    <w:p>
      <w:pPr>
        <w:ind w:left="40" w:right="740"/>
        <w:spacing w:after="0" w:line="576" w:lineRule="auto"/>
        <w:rPr>
          <w:sz w:val="20"/>
          <w:szCs w:val="20"/>
          <w:color w:val="auto"/>
        </w:rPr>
      </w:pPr>
      <w:r>
        <w:rPr>
          <w:rFonts w:ascii="Arial" w:cs="Arial" w:eastAsia="Arial" w:hAnsi="Arial"/>
          <w:sz w:val="11"/>
          <w:szCs w:val="11"/>
          <w:color w:val="auto"/>
        </w:rPr>
        <w:t xml:space="preserve">Stock-based compensation </w:t>
      </w:r>
      <w:r>
        <w:rPr>
          <w:rFonts w:ascii="Arial" w:cs="Arial" w:eastAsia="Arial" w:hAnsi="Arial"/>
          <w:sz w:val="11"/>
          <w:szCs w:val="11"/>
          <w:b w:val="1"/>
          <w:bCs w:val="1"/>
          <w:color w:val="auto"/>
        </w:rPr>
        <w:t>Balances, December 31, 2015</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left="880" w:right="2420"/>
        <w:spacing w:after="0" w:line="263" w:lineRule="auto"/>
        <w:rPr>
          <w:sz w:val="20"/>
          <w:szCs w:val="20"/>
          <w:color w:val="auto"/>
        </w:rPr>
      </w:pPr>
      <w:r>
        <w:rPr>
          <w:rFonts w:ascii="Arial" w:cs="Arial" w:eastAsia="Arial" w:hAnsi="Arial"/>
          <w:sz w:val="16"/>
          <w:szCs w:val="16"/>
          <w:b w:val="1"/>
          <w:bCs w:val="1"/>
          <w:color w:val="auto"/>
        </w:rPr>
        <w:t>WYNN RESORTS, LIMITED AND SUBSIDIARIES CONSOLIDATED STATEMENTS OF STOCKHOLDERS' EQUITY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Wynn Resorts, Ltd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Par</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value</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deficit</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interest</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41"/>
        </w:trPr>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100,866,712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1,137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0"/>
              </w:rPr>
              <w:t>(1,127,947)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818,821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4,177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44,775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(259,037)</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362,969</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103,932</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728,652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728,652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275,505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1,004,157</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(2,106)</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319</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383,151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20,431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20,436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20,436</w:t>
            </w:r>
          </w:p>
        </w:tc>
      </w:tr>
      <w:tr>
        <w:trPr>
          <w:trHeight w:val="270"/>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(78,500)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(114,355)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(15,472)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(15,472)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(15,472)</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135,400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(707,297)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(706,817)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(322,305)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(1,029,122)</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10,474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10,474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10,474</w:t>
            </w:r>
          </w:p>
        </w:tc>
      </w:tr>
      <w:tr>
        <w:trPr>
          <w:trHeight w:val="28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38,521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38,521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1,212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39,733</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101,192,408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0"/>
              </w:rPr>
              <w:t>(1,143,419)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888,727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66,130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(184,507)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316,858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132,351</w:t>
            </w: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731,554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731,554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231,090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962,644</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(282)</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(195)</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211,133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11,643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11,645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11,859</w:t>
            </w:r>
          </w:p>
        </w:tc>
      </w:tr>
      <w:tr>
        <w:trPr>
          <w:trHeight w:val="270"/>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(9,166)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(9,578)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(2,062)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(2,062)</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54,500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(2,081)</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(633,197)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(633,138)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(312,287)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(945,425)</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9,376</w:t>
            </w:r>
          </w:p>
        </w:tc>
      </w:tr>
      <w:tr>
        <w:trPr>
          <w:trHeight w:val="28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6,145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44,906</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101,439,297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0"/>
              </w:rPr>
              <w:t>(1,145,481)</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948,566</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2,505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164,487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(28,779)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239,870</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211,091</w:t>
            </w:r>
          </w:p>
        </w:tc>
      </w:tr>
      <w:tr>
        <w:trPr>
          <w:trHeight w:val="241"/>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195,290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195,290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86,234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281,524</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(448)</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(1,086)</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50,716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3,025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3,026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3,026</w:t>
            </w:r>
          </w:p>
        </w:tc>
      </w:tr>
      <w:tr>
        <w:trPr>
          <w:trHeight w:val="324"/>
        </w:trPr>
        <w:tc>
          <w:tcPr>
            <w:tcW w:w="920" w:type="dxa"/>
            <w:vAlign w:val="bottom"/>
          </w:tcPr>
          <w:p>
            <w:pPr>
              <w:jc w:val="right"/>
              <w:ind w:right="17"/>
              <w:spacing w:after="0"/>
              <w:rPr>
                <w:sz w:val="20"/>
                <w:szCs w:val="20"/>
                <w:color w:val="auto"/>
              </w:rPr>
            </w:pPr>
            <w:r>
              <w:rPr>
                <w:rFonts w:ascii="Arial" w:cs="Arial" w:eastAsia="Arial" w:hAnsi="Arial"/>
                <w:sz w:val="13"/>
                <w:szCs w:val="13"/>
                <w:color w:val="auto"/>
              </w:rPr>
              <w:t>(50,869)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(7,199)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(7,199)</w:t>
            </w:r>
          </w:p>
        </w:tc>
      </w:tr>
      <w:tr>
        <w:trPr>
          <w:trHeight w:val="270"/>
        </w:trPr>
        <w:tc>
          <w:tcPr>
            <w:tcW w:w="920" w:type="dxa"/>
            <w:vAlign w:val="bottom"/>
          </w:tcPr>
          <w:p>
            <w:pPr>
              <w:jc w:val="right"/>
              <w:ind w:right="57"/>
              <w:spacing w:after="0"/>
              <w:rPr>
                <w:sz w:val="20"/>
                <w:szCs w:val="20"/>
                <w:color w:val="auto"/>
              </w:rPr>
            </w:pPr>
            <w:r>
              <w:rPr>
                <w:rFonts w:ascii="Arial" w:cs="Arial" w:eastAsia="Arial" w:hAnsi="Arial"/>
                <w:sz w:val="13"/>
                <w:szCs w:val="13"/>
                <w:color w:val="auto"/>
              </w:rPr>
              <w:t>132,765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(4,391)</w:t>
            </w:r>
          </w:p>
        </w:tc>
      </w:tr>
      <w:tr>
        <w:trPr>
          <w:trHeight w:val="27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(304,445)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(304,445)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(195,439)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(499,884)</w:t>
            </w:r>
          </w:p>
        </w:tc>
      </w:tr>
      <w:tr>
        <w:trPr>
          <w:trHeight w:val="324"/>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387</w:t>
            </w:r>
          </w:p>
        </w:tc>
      </w:tr>
      <w:tr>
        <w:trPr>
          <w:trHeight w:val="280"/>
        </w:trPr>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34,323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34,323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4,502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38,825</w:t>
            </w:r>
          </w:p>
        </w:tc>
      </w:tr>
      <w:tr>
        <w:trPr>
          <w:trHeight w:val="237"/>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101,571,909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90"/>
              </w:rPr>
              <w:t>(1,152,680)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983,131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1,092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55,332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(111,979)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133,824</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21,845</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-6499860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-6156960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-5814060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-5470525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-5093335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-4750435</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-4373245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-4029710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-3652520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-3309620</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-2932430</wp:posOffset>
            </wp:positionV>
            <wp:extent cx="72466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-2555240</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-2177415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-1834515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-1491615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-1114425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-736600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340" w:space="80"/>
            <w:col w:w="900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22"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22" w:right="239" w:bottom="1440" w:gutter="0" w:footer="0" w:header="0"/>
          <w:type w:val="continuous"/>
        </w:sectPr>
      </w:pPr>
    </w:p>
    <w:bookmarkStart w:id="68" w:name="page69"/>
    <w:bookmarkEnd w:id="68"/>
    <w:p>
      <w:pPr>
        <w:spacing w:after="0" w:line="5"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ectPr>
          <w:pgSz w:w="11900" w:h="16843"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and write-offs of deferred financing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Loss on extinguishment of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Property charges and other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Equity in income of unconsolidated affiliates,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swap fair value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Decrease in Redemption Note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(decrease) in cash from changes in:</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Inventories and prepaid expenses and 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Accounts payable and accrued expenses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used in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Capital expenditures, net of construction payables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investment securities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or maturity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Return of investment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 of intangibles and other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exercise of stock options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Repayments of long-term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Shares of subsidiary repurchased for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Payments on long-term land concession obligation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Payment of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Net cash provided by (used in)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Balance, beginning of year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r>
      <w:tr>
        <w:trPr>
          <w:trHeight w:val="528"/>
        </w:trPr>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281,524</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962,644</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1,004,157</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322,629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314,119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371,051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6,498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(19,826)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38,475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39,196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39,537</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(12,332)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19,785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36,649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21,453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126,004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40,435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11,115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11,877</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9,664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6,950</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5,300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4,393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(14,235)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(52,041)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47,011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(14,875)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(23,613)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(17,749)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(112,748)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(155,399)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159,850</w:t>
            </w:r>
          </w:p>
        </w:tc>
      </w:tr>
      <w:tr>
        <w:trPr>
          <w:trHeight w:val="276"/>
        </w:trPr>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(107,613)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(102,827)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100,227</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572,813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1,098,317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1,676,642</w:t>
            </w:r>
          </w:p>
        </w:tc>
      </w:tr>
      <w:tr>
        <w:trPr>
          <w:trHeight w:val="528"/>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(1,921,240)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(1,221,357)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(514,802)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(253,284)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(200,258)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(222,856)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247,723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200,090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146,112</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198,943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(100,709)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(124,583)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(5,945)</w:t>
            </w:r>
          </w:p>
        </w:tc>
      </w:tr>
      <w:tr>
        <w:trPr>
          <w:trHeight w:val="276"/>
        </w:trPr>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37,254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32,813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20,620</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(1,891,558)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(1,114,352)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(677,580)</w:t>
            </w:r>
          </w:p>
        </w:tc>
      </w:tr>
      <w:tr>
        <w:trPr>
          <w:trHeight w:val="528"/>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11,859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20,436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9,339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12,332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(499,107)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(942,928)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(1,034,986)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5,290,747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958,008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1,297,870</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(3,342,106)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(199,739)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(501,400)</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(7,199)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(15,472)</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(4,391)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(30,833)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(27,917)</w:t>
            </w:r>
          </w:p>
        </w:tc>
      </w:tr>
      <w:tr>
        <w:trPr>
          <w:trHeight w:val="276"/>
        </w:trPr>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(193,588)</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(38,683)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(42,006)</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1,216,258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(235,625)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(291,143)</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1,903</w:t>
            </w:r>
          </w:p>
        </w:tc>
      </w:tr>
      <w:tr>
        <w:trPr>
          <w:trHeight w:val="528"/>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(102,075)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(252,877)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709,822</w:t>
            </w:r>
          </w:p>
        </w:tc>
      </w:tr>
      <w:tr>
        <w:trPr>
          <w:trHeight w:val="276"/>
        </w:trPr>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2,182,164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2,435,041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1,725,219</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2,080,089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2,182,164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2,435,041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43" w:orient="portrait"/>
          <w:cols w:equalWidth="0" w:num="2">
            <w:col w:w="6360" w:space="720"/>
            <w:col w:w="4340"/>
          </w:cols>
          <w:pgMar w:left="240" w:top="122" w:right="239" w:bottom="0" w:gutter="0" w:footer="0" w:header="0"/>
          <w:type w:val="continuous"/>
        </w:sectPr>
      </w:pPr>
    </w:p>
    <w:p>
      <w:pPr>
        <w:ind w:left="40"/>
        <w:spacing w:after="0"/>
        <w:rPr>
          <w:sz w:val="20"/>
          <w:szCs w:val="20"/>
          <w:color w:val="auto"/>
        </w:rPr>
      </w:pPr>
      <w:r>
        <w:rPr>
          <w:rFonts w:ascii="Arial" w:cs="Arial" w:eastAsia="Arial" w:hAnsi="Arial"/>
          <w:sz w:val="14"/>
          <w:szCs w:val="14"/>
          <w:color w:val="auto"/>
        </w:rPr>
        <w:t>Supplemental cash flow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transactions: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440" w:type="dxa"/>
            <w:vAlign w:val="bottom"/>
          </w:tcPr>
          <w:p>
            <w:pPr>
              <w:ind w:left="380"/>
              <w:spacing w:after="0"/>
              <w:rPr>
                <w:sz w:val="20"/>
                <w:szCs w:val="20"/>
                <w:color w:val="auto"/>
              </w:rPr>
            </w:pPr>
            <w:r>
              <w:rPr>
                <w:rFonts w:ascii="Arial" w:cs="Arial" w:eastAsia="Arial" w:hAnsi="Arial"/>
                <w:sz w:val="14"/>
                <w:szCs w:val="14"/>
                <w:color w:val="auto"/>
              </w:rPr>
              <w:t>Cash paid for interest, net of amounts capitalized</w:t>
            </w: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291,313</w:t>
            </w:r>
          </w:p>
        </w:tc>
        <w:tc>
          <w:tcPr>
            <w:tcW w:w="5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295,041</w:t>
            </w:r>
          </w:p>
        </w:tc>
        <w:tc>
          <w:tcPr>
            <w:tcW w:w="52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284,849</w:t>
            </w:r>
          </w:p>
        </w:tc>
        <w:tc>
          <w:tcPr>
            <w:tcW w:w="0" w:type="dxa"/>
            <w:vAlign w:val="bottom"/>
          </w:tcPr>
          <w:p>
            <w:pPr>
              <w:spacing w:after="0"/>
              <w:rPr>
                <w:sz w:val="1"/>
                <w:szCs w:val="1"/>
                <w:color w:val="auto"/>
              </w:rPr>
            </w:pPr>
          </w:p>
        </w:tc>
      </w:tr>
      <w:tr>
        <w:trPr>
          <w:trHeight w:val="74"/>
        </w:trPr>
        <w:tc>
          <w:tcPr>
            <w:tcW w:w="64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paid for income taxes</w:t>
            </w:r>
          </w:p>
        </w:tc>
        <w:tc>
          <w:tcPr>
            <w:tcW w:w="11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2,873</w:t>
            </w:r>
          </w:p>
        </w:tc>
        <w:tc>
          <w:tcPr>
            <w:tcW w:w="5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3,041</w:t>
            </w:r>
          </w:p>
        </w:tc>
        <w:tc>
          <w:tcPr>
            <w:tcW w:w="52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40"/>
              <w:spacing w:after="0"/>
              <w:rPr>
                <w:sz w:val="20"/>
                <w:szCs w:val="20"/>
                <w:color w:val="auto"/>
              </w:rPr>
            </w:pPr>
            <w:r>
              <w:rPr>
                <w:rFonts w:ascii="Arial" w:cs="Arial" w:eastAsia="Arial" w:hAnsi="Arial"/>
                <w:sz w:val="14"/>
                <w:szCs w:val="14"/>
                <w:color w:val="auto"/>
              </w:rPr>
              <w:t>Non-cash transactions:</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4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capitalized into construction</w:t>
            </w:r>
          </w:p>
        </w:tc>
        <w:tc>
          <w:tcPr>
            <w:tcW w:w="11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5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5,710</w:t>
            </w:r>
          </w:p>
        </w:tc>
        <w:tc>
          <w:tcPr>
            <w:tcW w:w="52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440" w:type="dxa"/>
            <w:vAlign w:val="bottom"/>
          </w:tcPr>
          <w:p>
            <w:pPr>
              <w:ind w:left="380"/>
              <w:spacing w:after="0"/>
              <w:rPr>
                <w:sz w:val="20"/>
                <w:szCs w:val="20"/>
                <w:color w:val="auto"/>
              </w:rPr>
            </w:pPr>
            <w:r>
              <w:rPr>
                <w:rFonts w:ascii="Arial" w:cs="Arial" w:eastAsia="Arial" w:hAnsi="Arial"/>
                <w:sz w:val="14"/>
                <w:szCs w:val="14"/>
                <w:color w:val="auto"/>
              </w:rPr>
              <w:t>Change in property and equipment included in accounts and construction payables</w:t>
            </w:r>
          </w:p>
        </w:tc>
        <w:tc>
          <w:tcPr>
            <w:tcW w:w="110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13,031</w:t>
            </w:r>
          </w:p>
        </w:tc>
        <w:tc>
          <w:tcPr>
            <w:tcW w:w="56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132,079</w:t>
            </w:r>
          </w:p>
        </w:tc>
        <w:tc>
          <w:tcPr>
            <w:tcW w:w="52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color w:val="auto"/>
              </w:rPr>
              <w:t>67,650</w:t>
            </w:r>
          </w:p>
        </w:tc>
        <w:tc>
          <w:tcPr>
            <w:tcW w:w="0" w:type="dxa"/>
            <w:vAlign w:val="bottom"/>
          </w:tcPr>
          <w:p>
            <w:pPr>
              <w:spacing w:after="0"/>
              <w:rPr>
                <w:sz w:val="1"/>
                <w:szCs w:val="1"/>
                <w:color w:val="auto"/>
              </w:rPr>
            </w:pPr>
          </w:p>
        </w:tc>
      </w:tr>
      <w:tr>
        <w:trPr>
          <w:trHeight w:val="74"/>
        </w:trPr>
        <w:tc>
          <w:tcPr>
            <w:tcW w:w="64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4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dividends payable on unvested restricted stock included in other accrued liabilities</w:t>
            </w:r>
          </w:p>
        </w:tc>
        <w:tc>
          <w:tcPr>
            <w:tcW w:w="110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777</w:t>
            </w:r>
          </w:p>
        </w:tc>
        <w:tc>
          <w:tcPr>
            <w:tcW w:w="56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2,497</w:t>
            </w:r>
          </w:p>
        </w:tc>
        <w:tc>
          <w:tcPr>
            <w:tcW w:w="52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(5,864)</w:t>
            </w:r>
          </w:p>
        </w:tc>
        <w:tc>
          <w:tcPr>
            <w:tcW w:w="0" w:type="dxa"/>
            <w:vAlign w:val="bottom"/>
          </w:tcPr>
          <w:p>
            <w:pPr>
              <w:spacing w:after="0"/>
              <w:rPr>
                <w:sz w:val="1"/>
                <w:szCs w:val="1"/>
                <w:color w:val="auto"/>
              </w:rPr>
            </w:pPr>
          </w:p>
        </w:tc>
      </w:tr>
      <w:tr>
        <w:trPr>
          <w:trHeight w:val="80"/>
        </w:trPr>
        <w:tc>
          <w:tcPr>
            <w:tcW w:w="64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2" w:right="239" w:bottom="0" w:gutter="0" w:footer="0" w:header="0"/>
          <w:type w:val="continuous"/>
        </w:sectPr>
      </w:pPr>
    </w:p>
    <w:bookmarkStart w:id="69" w:name="page70"/>
    <w:bookmarkEnd w:id="69"/>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9019"/>
          </w:cols>
          <w:pgMar w:left="1440" w:top="962"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9019"/>
          </w:cols>
          <w:pgMar w:left="1440" w:top="962" w:right="1440"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w:t>
      </w:r>
    </w:p>
    <w:p>
      <w:pPr>
        <w:spacing w:after="0" w:line="211"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("WML") and operates the integrated Wynn Macau and Encore at Wynn Macau resort. In Las Vegas, Nevada, the Company owns 100% of and operates the integrated Wynn Las Vegas and Encore at Wynn Las Vegas resort.</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Company's integrated Macau resort of Wynn Macau and Encore at Wynn Macau features two luxury hotel towers with a total of 1,008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integrated resort as its Macau Operations.</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Company's integrated Las Vegas resort of Wynn Las Vegas and Encore at Wynn Las Vegas features two luxury hotel towers with a total of 4,748 guest rooms, suites and villas, approximately 186,000 square feet of casino space, 34 food and beverage outlets, an on-site 18-hole golf course, approximately 290,000 square feet of meeting and convention space, approximately 99,000 square feet of retail space, as well as two showrooms, three nightclubs and a beach club. The Company refers to this integrated resort as its Las Vegas Operations.</w:t>
      </w:r>
    </w:p>
    <w:p>
      <w:pPr>
        <w:spacing w:after="0" w:line="187" w:lineRule="exact"/>
        <w:rPr>
          <w:sz w:val="20"/>
          <w:szCs w:val="20"/>
          <w:color w:val="auto"/>
        </w:rPr>
      </w:pPr>
    </w:p>
    <w:p>
      <w:pPr>
        <w:ind w:right="440" w:firstLine="405"/>
        <w:spacing w:after="0" w:line="312" w:lineRule="auto"/>
        <w:rPr>
          <w:sz w:val="20"/>
          <w:szCs w:val="20"/>
          <w:color w:val="auto"/>
        </w:rPr>
      </w:pPr>
      <w:r>
        <w:rPr>
          <w:rFonts w:ascii="Arial" w:cs="Arial" w:eastAsia="Arial" w:hAnsi="Arial"/>
          <w:sz w:val="16"/>
          <w:szCs w:val="16"/>
          <w:color w:val="auto"/>
        </w:rPr>
        <w:t>The Company is currently constructing Wynn Palace, an integrated resort featuring a 1,700-room hotel, a performance lake, and a wide range of amenities, including meeting, retail, food-and-beverage, and gaming space, in the Cotai area of Macau. The Company continues to expect to open Wynn Palace in the first half of 2016; however, potential construction delays could push the opening date into the second half of 2016.</w:t>
      </w:r>
    </w:p>
    <w:p>
      <w:pPr>
        <w:spacing w:after="0" w:line="147"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November 2014, the Company was awarded a gaming license to develop and construct an integrated resort in Everett, Massachusetts, adjacent to Boston. The resort will be located on a 33-acre site along the Mystic River. The resort will contain a hotel, a waterfront boardwalk, meeting space, a casino, a spa, retail offerings and food and beverage outlets. The Company has begun site remediation, site preparation and pre-construction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accompanying consolidated financial statements include the accounts of the Company and its majority-owned subsidiaries. Investment in the 50%-owned joint venture operating the Ferrari and Maserati automobile dealership inside Wynn Las Vegas, which was permanently closed in October 2015, is accounted for under the equity method. All significant intercompany accounts and transactions have been eliminated. Certain amounts in the Consolidated Statements of Cash Flows and Note 18 "Segment Information" for the previous years have been reclassified to be consistent with the current year presentation. The payment of deposits on property and equipment, previously presented in deposits and purchase of intangibles and other assets in investing activities, will be presented in capital expenditures in investing activities. The amount of deposits on property and equipment that have been reclassified for the years ended December 31, 2014 and 2013, were $94.3 million and $8.0 million, respectively. These reclassifications had no effect on the previously reported net cash used in investing activities.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$846.3 million and $1.16 billion at December 31, 2015 and 2014, respectively,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were invested in bank time deposits, money market funds and commercial paper. In addition, the Company held bank deposits and cash on hand of approximately $1.23 billion and $1.03 billion as of December 31,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At December 31, 2015 and 2014, the Company's non-current restricted cash consisted of cash held in trust in accordance with the Company's majority-owned subsidiary's share award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Investment securities consist of domestic and foreign short-term and long-term investments in corporate bonds and commercial paper reported at fair value, with unrealized gains and losses, net of tax, reported in other comprehensive income (loss).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2015 and 2014, 85.1% and 84.6%,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7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 advances commissions to its gaming promoters in Macau. These were previously supported primarily by held checks and recognized as cash and cash equivalents ($153.4 million as of December 31, 2014). Market conditions in Macau and other regional economic factors have impacted the liquidity of certain gaming promoters. As a result, the Company's advanced commissions to gaming promoters now are supported primarily with signed promissory notes. The advanced commissions are on terms requiring settlement within five business days of the month following the advance. The Company recognized advanced commissions of $46.9 million as casino receivables in the accompanying Consolidated Balance Sheet as of December 31, 2015, and assesses these advanced commissions in connection with the Company's evaluation of its bad debt reserve for casino receivables. Additionally, the amount presented in the accompanying Consolidated Balance Sheet has been offset by related commissions payable to gaming promoters of $36.6 million as of December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weighted average and specific identification methods.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2" w:right="29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Leasehold interest in land</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25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Airplanes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20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90"/>
              </w:rPr>
              <w:t>3 to 20 years</w:t>
            </w:r>
          </w:p>
        </w:tc>
      </w:tr>
    </w:tbl>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 reviews the remaining estimated useful lives of its property and equipment on an ongoing basis. For the review of estimated useful lives of buildings and improvements for Wynn Macau, the Company considers factors such as liberalization of the gaming industry in Macau, market expansion and actions taken by the Macau government regarding concession renewals. This review during the third quarter of 2015 indicated that the Company's estimated useful lives of buildings and improvements extended beyond the current expiration of the gaming concession in June 2022 and land concession in August 2029. As a result, effective September 1, 2015, the Company changed its estimate of remaining useful lives of buildings and improvements for Wynn Macau to better reflect the estimated periods during which these assets are expected to remain in service. The maximum useful life of buildings and improvements for Wynn Macau was increased to 45 years from the date placed in service. The effect of this change in estimate for the year ended December 31, 2015, was to reduce depreciation expense and increase income from continuing operations and net income by $7.4 million, and increase basic and diluted earnings per share by $0.01.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$53.3 million, $33.5 million and $10.5 million, was capitalized for the years ended December 31, 2015, 2014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our Macau gaming concession and Massachusetts gaming license. Finite-lived intangible assets are amortized over the shorter of their contractual terms or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Long-lived assets, which are to be held and used, including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2" w:right="27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$16.9 million, $12.6 million and $11.2 million was amortized to interest expense during the years ended December 31, 2015, 2014 and 2013, respectively. Debt discounts incurred in connection with the issuance of debt have been capitalized and are being amortized to interest expense using the effective interest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00" w:firstLine="432"/>
        <w:spacing w:after="0" w:line="297"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 change in swap fair value in the accompanying Consolidated Statements of Income. The differentials paid or received on interest rate swap agreements are recognized as adjustments to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recorded the Redemption Price Promissory Note (the "Redemption Note") at fair value in accordance with applicable accounting guidance. As of December 31, 2015 and 2014, the fair value of the Redemption Note was $1.88 billion and $1.94 billion, respectively. In determining this fair value, the Company estimated the Redemption Note's present value using discounted cash flows with a probability-weighted expected return for redemption assumptions and a discount rate, which included time value and non-performance risk adjustments commensurate with the risk of the Redemption Note.</w:t>
      </w:r>
    </w:p>
    <w:p>
      <w:pPr>
        <w:spacing w:after="0" w:line="15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17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determination of the appropriate discount rate to be used in the estimated present value, the Redemption Note's subordinated position and credit risk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gaming promoters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14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51,775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52,585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106,840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120,070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112,897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14,659</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173,029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190,028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180,141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Programs</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Company offers loyalty programs at both its Macau Operations and its Las Vegas Operations. Under the program at its Las Vegas Operations, customers earn points based on their level of slots play, which can be redeemed for free play. Under the program at its Macau Operations, customers earn points based on their level of table games and slots play, which can be redeemed for free play, gifts and complimentary dining and retail shopping. The points are recognized as a liability and as a separate element of the gaming transaction with allocation of the consideration received between the points and gaming transaction. The initial recognition of the point liability is fair value based on points earned multiplied by redemption value, less an estimate for points not expected to be redeemed. The revenue from the points is recognized when redeemed.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225"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gross gaming revenues and are recorded as casino expenses in the accompanying Consolidated Statements of Income. These taxes totaled $1.15 billion, $1.82 billion and $1.98 billion for the years ended December 31, 2015,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$25.2 million, $23.3 million and $21.5 million for the years ended December 31, 2015,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Pre-opening costs consist primarily of direct salaries and wages, legal and consulting fees, insurance, utilities and advertising, and are expensed as incurred. During the years ended December 31, 2015, 2014 and 2013, the Company incurred pre-opening costs primarily in connection with the development of Wynn Palace and the Wynn resort in Massachusetts.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applicable, the Company will recognize accrued penalties and interest related to unrecognized tax benefits in the provision for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Gains or losses from foreign currency remeasurements are included in other income (expense) in the accompanying Consolidated Statements of Income. The results of operations and the balance sheet of Wynn Macau, Limited and its subsidiaries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(loss). Components of the Company's comprehensive income are reported in the accompanying Consolidated Statements of Stockholders' Equity and Consolidated Statements of Comprehensive Income. The cumulative balance of other comprehensive income consists solely of currency translation adjustments and net unrealized losses on available-for-sale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measures certain of its financial assets and liabilities, such as cash equivalents, interest rate swaps, restricted cash, available-for-sale securities and the Redemption Note,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0"/>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846,281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846,095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251,553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251,553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1,884,402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1,884,402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0"/>
              <w:spacing w:after="0"/>
              <w:rPr>
                <w:sz w:val="20"/>
                <w:szCs w:val="20"/>
                <w:color w:val="auto"/>
              </w:rPr>
            </w:pPr>
            <w:r>
              <w:rPr>
                <w:rFonts w:ascii="Arial" w:cs="Arial" w:eastAsia="Arial" w:hAnsi="Arial"/>
                <w:sz w:val="14"/>
                <w:szCs w:val="14"/>
                <w:b w:val="1"/>
                <w:bCs w:val="1"/>
                <w:color w:val="auto"/>
                <w:w w:val="93"/>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122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22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1,156,285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1,155,457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977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Redemption Note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1,936,443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1,936,443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As of December 31, 2015 and 2014, 16.0% and 18.7% of the Company's cash equivalents categorized as Level 2 were deposits held in foreign currencies,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by the weighted average number of shares outstanding during the year.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income attributable to Wynn Resorts, Limited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195,290</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731,554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728,652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100,540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and common equivalent shares outstanding</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101,671</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101,641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 per common share, 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 per common share,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84"/>
        </w:trPr>
        <w:tc>
          <w:tcPr>
            <w:tcW w:w="70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3"/>
              </w:rPr>
              <w:t>Anti-dilutive stock options and restricted stock excluded from the calculation of diluted earnings</w:t>
            </w:r>
          </w:p>
        </w:tc>
        <w:tc>
          <w:tcPr>
            <w:tcW w:w="3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per share</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15 "Stock-Based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In January 2016, the Financial Accounting Standards Board ("FASB") issued an accounting standards update requiring all equity investments to be measured at fair value with changes in fair value recognized through net income (other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effective date for this guidance is for financial statements issued for fiscal years beginning after December 15, 2017. Early application is permitted as of the beginning of the fiscal year of adoption. The Company is currently assessing the impact the adoption of this standard will have on its consolidated financial statements.</w:t>
      </w:r>
    </w:p>
    <w:p>
      <w:pPr>
        <w:spacing w:after="0" w:line="182"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November 2015, the FASB issued an accounting standards update which changes the presentation of deferred taxes in classified balance sheets. The new guidance requires classification of all deferred tax assets and liabilities as well as applicable valuation allowances as non-current. The effective date for this guidance is for financial statements issued for annual periods beginning after December 15, 2016, and interim periods within those annual periods. Early application is permitted. The guidance may be applied either prospectively to all deferred tax liabilities and assets or retrospectively to all periods presented. The Company applied the guidance in the accompanying consolidated financial statements with retrospective application for the prior year Consolidated Balance Sheet at December 31, 2014. The effect of the accounting change in the prior year resulted in current deferred income taxes, net, of $4.9 million, previously presented separately in current liabilities, to be added to $25.2 million in long-term deferred income taxes, net, for a revised $30.1 million in long-term deferred income taxes, net at December 31, 2014. See Note 16 "Income Taxes" for disclosure of significant temporary differences and respective valuation allowances representing the deferred income taxes, net, of $4.9 million impacted by the accounting change.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July 2015, the FASB issued an accounting standards update, which changes the measurement principle for inventories valued under the first-in, first-out or weighted-average methods from the lower of cost or market to the lower of cost and net realizable value. Net realizable value is defined by FASB as estimated selling prices in the ordinary course of business, less reasonably predictable costs of completion, disposal and transportation. The effective date for this guidance is for financial statements issued for fiscal years beginning after December 15, 2016, and interim periods within those fiscal years. The Company does not anticipate the adoption of this guidance will have a material effect on the Company's financial condition, results of operations or cash flows.</w:t>
      </w:r>
    </w:p>
    <w:p>
      <w:pPr>
        <w:spacing w:after="0" w:line="193"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April 2015, the FASB issued an accounting standards update that requires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update. In August 2015, the FASB issued an accounting standards update which clarifies that the guidance issued in April 2015 does not apply to line-of-credit arrangements. According to the additional guidance, line-of-credit arrangements will continue to present debt issuance costs as an asset and subsequently amortize the deferred debt issuance costs ratably over the term of the arrangement. The effective date for this guidance is for financial statements issued for fiscal years beginning after December 15, 2015, and interim periods within those fiscal years. Early application is permitted. The Company adopted this guidance effective January 1, 2016. The adoption of this guidance did not have a material effect on the Company's financial condition, results of operations or cash flows.</w:t>
      </w:r>
    </w:p>
    <w:p>
      <w:pPr>
        <w:spacing w:after="0" w:line="179"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In August 2015, the FASB issued an accounting standards update which defers the effective date of the new revenue recognition accounting guidance by one year, to annual and interim periods beginning after December 15, 2017. Early application is permitted for annual and interim periods beginning after December 15, 2016. The Company will adopt this standard effective January 1, 2018. The Company is currently assessing the impact the adoption of this standard will have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Income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changes by component, net of tax and noncontrolling interest, in accumulated other comprehensive income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36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loss on</w:t>
            </w:r>
          </w:p>
        </w:tc>
        <w:tc>
          <w:tcPr>
            <w:tcW w:w="240" w:type="dxa"/>
            <w:vAlign w:val="bottom"/>
          </w:tcPr>
          <w:p>
            <w:pPr>
              <w:spacing w:after="0"/>
              <w:rPr>
                <w:sz w:val="12"/>
                <w:szCs w:val="12"/>
                <w:color w:val="auto"/>
              </w:rPr>
            </w:pPr>
          </w:p>
        </w:tc>
        <w:tc>
          <w:tcPr>
            <w:tcW w:w="136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investment securities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Current period other comprehensive loss</w:t>
            </w:r>
          </w:p>
        </w:tc>
        <w:tc>
          <w:tcPr>
            <w:tcW w:w="2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Arial" w:cs="Arial" w:eastAsia="Arial" w:hAnsi="Arial"/>
                <w:sz w:val="18"/>
                <w:szCs w:val="18"/>
                <w:color w:val="auto"/>
              </w:rPr>
              <w:t>78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Investment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Investment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Fair value</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88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(net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(net</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5"/>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Domestic and foreign corporate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243,857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242,614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204,045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203,899</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8,947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46,434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252,804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251,553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250,479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250,313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For investments with unrealized losses as of December 31, 2015,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8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these investment securities at December 31, 2015, by contractual maturity,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Borders>
              <w:bottom w:val="single" w:sz="8" w:color="CCEEFF"/>
            </w:tcBorders>
          </w:tcPr>
          <w:p>
            <w:pPr>
              <w:spacing w:after="0"/>
              <w:rPr>
                <w:sz w:val="16"/>
                <w:szCs w:val="16"/>
                <w:color w:val="auto"/>
              </w:rPr>
            </w:pPr>
          </w:p>
        </w:tc>
        <w:tc>
          <w:tcPr>
            <w:tcW w:w="32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3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Due in one year or less</w:t>
            </w:r>
          </w:p>
        </w:tc>
        <w:tc>
          <w:tcPr>
            <w:tcW w:w="3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115,297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one year through three years</w:t>
            </w:r>
          </w:p>
        </w:tc>
        <w:tc>
          <w:tcPr>
            <w:tcW w:w="3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136,256</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251,553</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Note 5 - Receivables, net</w:t>
            </w: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tcPr>
          <w:p>
            <w:pPr>
              <w:ind w:left="420"/>
              <w:spacing w:after="0"/>
              <w:rPr>
                <w:sz w:val="20"/>
                <w:szCs w:val="20"/>
                <w:color w:val="auto"/>
              </w:rPr>
            </w:pPr>
            <w:r>
              <w:rPr>
                <w:rFonts w:ascii="Arial" w:cs="Arial" w:eastAsia="Arial" w:hAnsi="Arial"/>
                <w:sz w:val="18"/>
                <w:szCs w:val="18"/>
                <w:color w:val="auto"/>
              </w:rPr>
              <w:t>Receivables, net consisted of the following (in thousands):</w:t>
            </w:r>
          </w:p>
        </w:tc>
        <w:tc>
          <w:tcPr>
            <w:tcW w:w="3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3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257,930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Hotel</w:t>
            </w:r>
          </w:p>
        </w:tc>
        <w:tc>
          <w:tcPr>
            <w:tcW w:w="3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20,661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15,474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3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39,231</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254,944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312,635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(74,678)</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187,887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237,957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vMerge w:val="restart"/>
          </w:tcPr>
          <w:p>
            <w:pPr>
              <w:jc w:val="right"/>
              <w:ind w:right="2450"/>
              <w:spacing w:after="0"/>
              <w:rPr>
                <w:sz w:val="20"/>
                <w:szCs w:val="20"/>
                <w:color w:val="auto"/>
              </w:rPr>
            </w:pPr>
            <w:r>
              <w:rPr>
                <w:rFonts w:ascii="Arial" w:cs="Arial" w:eastAsia="Arial" w:hAnsi="Arial"/>
                <w:sz w:val="18"/>
                <w:szCs w:val="18"/>
                <w:color w:val="auto"/>
              </w:rPr>
              <w:t>79</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804,512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734,625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3,975,419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3,883,626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194,412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126,491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1,809,938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1,749,288</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interest in land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316,681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316,431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3,217,117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1,666,326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10,318,079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8,476,787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(2,840,601)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(2,620,945)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7,477,478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5,855,842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Construction in progress consists primarily of costs capitalized, including interest, for the construction of Wynn Palace and the Wynn resort in Massachusetts.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Water rights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indefinite-lived intangible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Macau Gaming Concession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(24,432)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17,868</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Massachusetts Gaming License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86,700</w:t>
            </w:r>
          </w:p>
        </w:tc>
      </w:tr>
      <w:tr>
        <w:trPr>
          <w:trHeight w:val="324"/>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finite-lived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103,185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104,568</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intangible assets,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110,972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112,367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Water rights and trademarks are indefinite-lived assets and, accordingly, not amortized. Water rights reflect the fair value allocation determined in the purchase of the property on which Wynn Las Vegas is located in April 2000. The value of the trademarks primarily represents the costs to acquire the "Le Rêve" name.</w:t>
      </w:r>
    </w:p>
    <w:p>
      <w:pPr>
        <w:spacing w:after="0" w:line="181"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The Macau gaming concession is a finite-lived intangible asset and being amortized over the 20-year life of the concession. The Company expects that amortization of the Macau gaming concession will be $2.4 million each year from 2016 through 2021, and $1.2 million in 2022.</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November 2014, the Company was awarded a license to operate a casino in Massachusetts. The consideration paid to the State of Massachusetts for the license fee and certain costs incurred in connection with and contractually related to obtaining the license will be considered a finite-lived intangible asset. These amounts will be amortized over a period of 15 years beginning upon the opening of the resort.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Senior Term Loan Facility (as amended September 2015), due September 2021; interest at LIBOR or HIBOR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6"/>
        </w:trPr>
        <w:tc>
          <w:tcPr>
            <w:tcW w:w="140" w:type="dxa"/>
            <w:vAlign w:val="bottom"/>
            <w:shd w:val="clear" w:color="auto" w:fill="CCEEFF"/>
          </w:tcPr>
          <w:p>
            <w:pPr>
              <w:spacing w:after="0"/>
              <w:rPr>
                <w:sz w:val="18"/>
                <w:szCs w:val="18"/>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plus 1.50%—2.25% (2.08% at December 31, 2015), net of original issue discount of $34,612 at December 31,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2,272,700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140" w:type="dxa"/>
            <w:vAlign w:val="bottom"/>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w w:val="95"/>
              </w:rPr>
              <w:t>Senior Revolving Credit Facility (as amended September 2015), due September 2020; interest at LIBOR or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HIBOR plus 1.50%—2.25% (2.00% at December 31, 2015)</w:t>
            </w: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431,172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Term Loan Facility, due July 31, 2017 and July 31, 2018; interest at LIBOR or HIBOR plus 1.75%—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2.50%, net of original issue discount of $3,830 at December 31, 2014</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948,823</w:t>
            </w: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July 31, 2017, interest at LIBOR or HIBOR plus 1.75%—2.50%</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132,524</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1/4% Senior Notes, due October 15, 2021, including original issue premium of $4,491 and $5,141 at December</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 2015 and 2014,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1,354,491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1,355,141</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America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29"/>
        </w:trPr>
        <w:tc>
          <w:tcPr>
            <w:tcW w:w="140" w:type="dxa"/>
            <w:vAlign w:val="bottom"/>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w w:val="92"/>
              </w:rPr>
              <w:t>Senior Term Loan Facility, due November 2020; interest at base rate plus 0.75% or LIBOR plus 1.75% (1.99%</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140" w:type="dxa"/>
            <w:vAlign w:val="bottom"/>
          </w:tcPr>
          <w:p>
            <w:pPr>
              <w:spacing w:after="0"/>
              <w:rPr>
                <w:sz w:val="20"/>
                <w:szCs w:val="20"/>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at December 31, 2015)</w:t>
            </w: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 First Mortgage Notes, due March 15, 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1/4% Senior Notes, due May 30, 2023</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 Senior Notes, due March 1, 2025</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gridSpan w:val="2"/>
          </w:tcPr>
          <w:p>
            <w:pPr>
              <w:ind w:left="40"/>
              <w:spacing w:after="0"/>
              <w:rPr>
                <w:sz w:val="20"/>
                <w:szCs w:val="20"/>
                <w:color w:val="auto"/>
              </w:rPr>
            </w:pPr>
            <w:r>
              <w:rPr>
                <w:rFonts w:ascii="Arial" w:cs="Arial" w:eastAsia="Arial" w:hAnsi="Arial"/>
                <w:sz w:val="18"/>
                <w:szCs w:val="18"/>
                <w:color w:val="auto"/>
                <w:w w:val="92"/>
              </w:rPr>
              <w:t>Redemption Price Promissory Note with former stockholder and related party, due February 18, 2022; interest at</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2%, net of fair value adjustment of $52,041 at December 31, 2015</w:t>
            </w: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1,884,402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1,936,443</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7/8% First Mortgage Notes, due May 1, 2020, net of original issue discount of $1,279 at December 31, 2014</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345,731</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3/4% First Mortgage Notes, due August 15, 2020</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1,226,600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9,212,765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7,345,262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9,212,765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7,345,262</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On September 30, 2015, Wynn Resorts (Macau) S.A. ("Wynn Macau SA"), an indirect subsidiary of WML, amended its senior secured credit facilities, dated July 30, 2012 ("Amended Wynn Macau Credit Facilities"), to, among other things, increase borrowing capacity and extend maturity dates. Borrowings under the Amended Wynn Macau Credit Facilities consist of both United States dollar and Hong Kong dollar tranches and were used to refinance Wynn Macau SA's existing indebtedness, and will be used to fund the construction and development of Wynn Palace and for general corporate purposes.</w:t>
      </w:r>
    </w:p>
    <w:p>
      <w:pPr>
        <w:spacing w:after="0" w:line="11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borrowing availability under the Amended Wynn Macau Credit Facilities was increased to $3.05 billion equivalent, representing an increase of $550 million equivalent, consisting of a $2.27 billion equivalent senior secured term loan facility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"Wynn Macau Senior Term Loan Facility") and a $750 million equivalent senior secured revolving credit facility (the "Wynn Macau Senior Revolving Credit Facility"). Wynn Macau SA has the ability to upsize the Amended Wynn Macau Credit Facilities by an additional $1 billion in equivalent senior secured loans upon satisfaction of various conditions.</w:t>
      </w:r>
    </w:p>
    <w:p>
      <w:pPr>
        <w:spacing w:after="0" w:line="14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Wynn Macau Senior Term Loan Facility is repayable in graduating installments of between 2.5% to 7.33% of the principal amount on a quarterly basis commencing December 2018, with a final installment of 50% of the principal amount repayable in September 2021 (extended from July 2018). Any outstanding borrowings from the senior secured revolving credit facility will mature in September 2020 (extended from July 2017) by which time any outstanding borrowings from the senior secured revolving credit facility must be repaid. The Amended Wynn Macau Credit Facilities bear interest at LIBOR or HIBOR plus a margin of 1.50% to 2.25% per annum based on Wynn Macau SA's Leverage Ratio (as defined in the Amended Wynn Macau Credit Facilities). The commitment fee required to pay for unborrowed amounts under the Wynn Macau Senior Revolving Credit Facility, if any, is between 0.52% to 0.79% per annum, based on Wynn Macau SA's Leverage Ratio. The annual commitment fee is payable quarterly in arrears and calculated based on the daily average of the unborrowed amounts.</w:t>
      </w:r>
    </w:p>
    <w:p>
      <w:pPr>
        <w:spacing w:after="0" w:line="15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Amended Wynn Macau Credit Facilities contain a requirement that Wynn Macau SA must make mandatory repayments of indebtedness from specified percentages of excess cash flow. If Wynn Macau SA's Leverage Ratio is greater than 4.5 to 1, then 25% of Excess Cash Flow (as defined in the Amended Wynn Macau Credit Facilities) must be used for prepayment of indebtedness and cancellation of available borrowings under the Amended Wynn Macau Credit Facilities. There is no mandatory prepayment in respect of Excess Cash Flow if Wynn Macau SA's Leverage Ratio is equal to or less than 4.5 to 1.</w:t>
      </w:r>
    </w:p>
    <w:p>
      <w:pPr>
        <w:spacing w:after="0" w:line="14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Amended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is required by the financial covenants to maintain a Leverage Ratio of not greater than 5.25 to 1 for the fiscal year ending December 31, 2015, and an Interest Coverage Ratio (as defined in the Amended Wynn Macau Credit Facilities) of not less than 2.00 to 1 at any time.</w:t>
      </w:r>
    </w:p>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Borrowings under the Amended Wynn Macau Credit Facilities will continue to be guaranteed by Palo Real Estate Company Limited ("Palo"), a subsidiary of Wynn Macau SA, and by certain subsidiaries of the Company that own equity interests in Wynn Macau SA, and are secured by substantially all of the assets of Wynn Macau SA and Palo, and the equity interests in Wynn Macau SA. Borrowings under the Amended Wynn Macau Facilities are not guaranteed by the Company or WML.</w:t>
      </w:r>
    </w:p>
    <w:p>
      <w:pPr>
        <w:spacing w:after="0" w:line="146"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connection with the gaming concession contract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and the payment of any gaming taxes. As of December 31, 2015, the guarantee was in the amount of 300 million Macau patacas ("MOP") (approximately $37.0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Amended Wynn Macau Credit Facilities, Wynn Macau SA is obligated to promptly, upon demand by BNU, repay any claim made on the guarantee by the Macau government. BNU is paid an annual fee for the guarantee of MOP 2.3 million (approximately $0.3 million).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Upon closing of the Amended Wynn Macau Credit Facilities, the Company received proceeds of $2.27 billion from the Wynn Macau Senior Term Loan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Facility. The proceeds were used to repay $953.3 million in outstanding borrowings under the senior secured term loan facility dated July 30, 2012,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$815.8 million in outstanding borrowings under the senior secured revolving credit facility dated July 30, 2012. In connection with Amended Wynn Macau</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Facilities, the Company recorded a loss on extinguishment of debt of $2.1 million related to the write-off of unamortized deferred financing costs.</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December 31, 2015, the Company had $318.8 million of available borrowing capacity under the Wynn Macau Senior Revolving Credit Facility.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1/4% Senior Notes due 2021</w:t>
      </w:r>
    </w:p>
    <w:p>
      <w:pPr>
        <w:spacing w:after="0" w:line="225"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On March 20, 2014, WML, an indirect subsidiary of Wynn Resorts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$591.5 million from the issuance of the Original 2021 Notes and $748.8 million from the issuance of the Additional 2021 Notes after adding the original issue premium and deducting commissions and expenses of the offerings.</w:t>
      </w:r>
    </w:p>
    <w:p>
      <w:pPr>
        <w:spacing w:after="0" w:line="17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 (the "WML Indenture"). In either case, the redemption price would include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7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17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and Corporate Related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November 20, 2014, Wynn America, LLC ("Wynn America"), an indirect wholly owned subsidiary of Wynn Resorts and certain subsidiaries of Wynn America, entered into a $1.25 billion senior secured credit facility. The senior secured credit facility consists of a $375.0 million senior secured revolving credit facility and an $875.0 million delay draw senior secured term loan facility (together, the "Wynn America Credit Facilities"). Borrowings under the Wynn America Credit Facilities will be used by the Company primarily to fund the design, development, construction and pre-opening expenses of the Wynn resort in Massachusetts and for other general corporate purposes.</w:t>
      </w:r>
    </w:p>
    <w:p>
      <w:pPr>
        <w:spacing w:after="0" w:line="18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revolving credit facility matures in November 2019. The term loan facility matures in November 2020 and will require quarterly principal payments, scheduled to begin in June 2018. Subject to certain exceptions, the Wynn America Credit Facilities bear interest at either base rate plus 0.75% per annum or LIBOR plus 1.75% per annum. The annual fee required to</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121" w:right="27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pay for unborrowed amounts, if any, is 0.30% per annum, payable quarterly in arrears, calculated based on the daily average of the unborrowed amounts under such credit facilities.</w:t>
      </w:r>
    </w:p>
    <w:p>
      <w:pPr>
        <w:spacing w:after="0" w:line="1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The Wynn America Credit Facilities contain customary representation and warranties, events of default and negative and affirmative covenants, including, among other things, limitations on: indebtedness; investments; restricted payments; mergers and acquisitions; payments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the Wynn Resort in Massachusetts occurs, the Maximum Consolidated Senior Secured Net Leverage Ratio is not to exceed 2.75 to 1. Commencing with the fiscal quarter ending December 31, 2015, which is the first full fiscal quarter ending in which the Wynn Las Vegas Reorganization (defined below) occurred, the Minimum Consolidated EBITDA is not to be less than $200.0 million.</w:t>
      </w:r>
    </w:p>
    <w:p>
      <w:pPr>
        <w:spacing w:after="0" w:line="192"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Company has provided a completion guaranty in favor of the lenders under the Wynn America Credit Facilities to support the development and opening of the Wynn resort in Massachusetts.</w:t>
      </w:r>
    </w:p>
    <w:p>
      <w:pPr>
        <w:spacing w:after="0" w:line="17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Pursuant to the terms of the Wynn America Credit Facilities, Wynn America agreed to use commercially reasonable efforts to cause a corporate restructuring (the "Wynn Las Vegas Reorganization") that would result in Wynn Las Vegas Holdings, LLC ("WLVH"), a direct wholly owned subsidiary of Wynn America, being the 100% owner of Wynn Las Vegas, LLC ("Wynn Las Vegas"). Approvals required under applicable gaming laws and regulations with respect to the Wynn Las Vegas Reorganization were obtained on August 20, 2015. On September 1, 2015, Wynn Resorts Holdings, LLC transferred its equity interest in Wynn Las Vegas and effectuated the Wynn Las Vegas Reorganization.</w:t>
      </w:r>
    </w:p>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November 5, 2015, Wynn America amended the Wynn America Credit Facilities to extend the available borrowing period from November 20, 2015 to March 30, 2016 and June 30, 2016 for up to $100.3 million and $704.7 million, respectively, of the delay draw senior secured term facility. The available borrowing period for $70 million of the delay draw senior secured term facility was not extended. Wynn America paid customary fees and expenses in connection with the amendment.</w:t>
      </w:r>
    </w:p>
    <w:p>
      <w:pPr>
        <w:spacing w:after="0" w:line="146"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December 31, 2015, the Company has drawn $70 million under the Wynn America Credit Facilities and there were outstanding letters of credit totaling $11.7 million reducing the available borrowing capacity to $1.17 billion.</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In March 2012, Wynn Las Vegas and Wynn Las Vegas Capital Corp. ("Wynn Capital"), an indirect wholly owned subsidiary of Wynn Resorts (together, the "Issuers") issued, in a private offering, $900 million aggregate principal amount of 5 3/8% First Mortgage Notes due 2022 (the "2022 Notes"). A portion of the proceeds were used to repay all amounts outstanding under the Wynn Las Vegas, LLC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2020. The 2022 Notes are senior obligations of the Issuers and are unsecured (except by the first priority pledge by WLVH of its equity interests in Wynn Las Vegas). The Issuers' obligations under the 2022 Notes rank pari passu in right of payment with the 2023 Notes and 2025 Notes (each as defined below).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ind w:right="380" w:firstLine="432"/>
        <w:spacing w:after="0" w:line="255" w:lineRule="auto"/>
        <w:rPr>
          <w:sz w:val="20"/>
          <w:szCs w:val="20"/>
          <w:color w:val="auto"/>
        </w:rPr>
      </w:pPr>
      <w:r>
        <w:rPr>
          <w:rFonts w:ascii="Arial" w:cs="Arial" w:eastAsia="Arial" w:hAnsi="Arial"/>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previously issued notes that were to mature in November 2017. In addition, the Issuers satisfied and discharged the indenture governing the 7 7/8% First Mortgage Notes due 2017 (the "2017 Notes") and, in November 2013, used the remaining net proceeds to redeem any and all of the 2017 Notes not previously tendered.</w:t>
      </w:r>
    </w:p>
    <w:p>
      <w:pPr>
        <w:spacing w:after="0" w:line="193"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2022 Notes and 2025 Notes (as defined below). The 2023 Notes are unsecured (except by the first priority pledge by WLVH of its equity interests in Wynn Las Vegas). Such equity interests in Wynn Las Vegas also secure the Issuers' 2022 Notes and 2025 Notes. If Wynn Resorts receives an investment grade rating from one or more ratings agencies, the first priority pledge securing the 2023 Notes will be released.</w:t>
      </w:r>
    </w:p>
    <w:p>
      <w:pPr>
        <w:spacing w:after="0" w:line="18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Capital,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5 1/2% Senior Notes due 2025</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On February 18, 2015, the Issuers completed the issuance of $1.8 billion aggregate principal amount of 5 1/2% Senior Notes due March 1, 2025 (the "2025 Notes") pursuant to an indenture, dated as of February 18, 2015 (the "2025 Indenture"), among the Issuers, Guarantors and U.S. Bank National Association, as trustee. The 2025 Notes were issued at par. The Company used the net proceeds from the 2025 Notes to cover the cost of purchasing the 7 7/8% First Mortgage Notes due May 1, 2020 (the "7 7/8% 2020 Notes") and the 7 3/4% First Mortgage Notes due August 15, 2020 (the "7 3/4% 2020 Notes" and together with the 7 7/8% 2020 Notes, the "2020 Notes") and for general corporate purposes.</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also are subject to mandatory redemption requirements imposed by gaming laws and regulations of gaming authorities in Nevada.</w:t>
      </w:r>
    </w:p>
    <w:p>
      <w:pPr>
        <w:spacing w:after="0" w:line="10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2022 Notes and 2023 Notes (together, the "Existing Notes"). The 2025 Notes are unsecured (except by the first priority pledge by WLVH of its equity interests in Wynn Las Vegas). Such equity interests in Wynn Las Vegas also secure the Existing Notes. If Wynn Resorts receives an investment grade rating from one or more ratings agencies, the first priority pledge securing the 2025 Notes will be released.</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2025 Notes are jointly and severally guaranteed by all of the Guarantors.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3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2025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27"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any Guarantor, all 2025 Notes then outstanding will become due and payable immediately without further action or notice.</w:t>
      </w:r>
    </w:p>
    <w:p>
      <w:pPr>
        <w:spacing w:after="0" w:line="15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2023 Notes and 2025 Notes were offered pursuant to an exemption under the Securities Act of 1933, as amended (the "Securities Act"). The 2023 Notes and 2025 Notes were offered only to qualified institutional buyers in reliance on Rule 144A under the Securities Act or outside the United States to certain persons in reliance on Regulation S under the Securities Act. The 2023 Notes and 2025 Notes have not been and will not be registered under the Securities Act of 1933 or under any state securities laws. Therefore, the 2023 Notes and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7/8% First Mortgage Notes due 2020</w:t>
      </w:r>
    </w:p>
    <w:p>
      <w:pPr>
        <w:spacing w:after="0" w:line="22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In April 2010, the Issuers issued, in a private offering, $352.0 million aggregate principal amount of the 7 7/8% 2020 Notes. The 7 7/8% 2020 Notes were issued pursuant to an exchange offer for previously issued notes that were to mature in December 2014. Interest was due on the 7 7/8% 2020 Notes on May 1st and November 1st of each year.</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During the year ended December 31, 2014, Wynn Las Vegas repurchased and canceled $5.0 million in principal, plus interest, of its 7 7/8% 2020 Notes through the open market. The Company incurred $0.5 million in expenses associated primarily with the premium paid for the repurchases and unamortized deferred financing costs and original issue discount, which is included in loss on extinguishment of debt in the accompanying Consolidated Statements of Income.</w:t>
      </w:r>
    </w:p>
    <w:p>
      <w:pPr>
        <w:spacing w:after="0" w:line="18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7/8% 2020 Notes. Wynn Las Vegas accepted for purchase valid tenders with respect to approximately $305.8 million of the $377.0 million aggregate principal amount. The note holders who validly tendered their 2020 Notes received the total consideration of $1,054.21 for each $1,000 principal amount of 7 7/8% 2020 Notes. The premium portion of the aggregate total consideration was $14.3 million and was recorded as a loss on extinguishment of debt in the accompanying Consolidated Statements of Income.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cash tender, the Company expensed $4.6 million of unamortized deferred financing costs and original issue discount related to the 7 7/8% 2020 Notes and incurred other fees of $0.1 million that are included in loss on extinguishment of debt in the accompanying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20" w:firstLine="243"/>
        <w:spacing w:after="0" w:line="264" w:lineRule="auto"/>
        <w:rPr>
          <w:sz w:val="20"/>
          <w:szCs w:val="20"/>
          <w:color w:val="auto"/>
        </w:rPr>
      </w:pPr>
      <w:r>
        <w:rPr>
          <w:rFonts w:ascii="Arial" w:cs="Arial" w:eastAsia="Arial" w:hAnsi="Arial"/>
          <w:sz w:val="18"/>
          <w:szCs w:val="18"/>
          <w:color w:val="auto"/>
        </w:rPr>
        <w:t>On May 1, 2015, the Company redeemed the remaining $71.1 million principal amount of the untendered 7 7/8% 2020 Notes. The Company recorded a loss for the premium portion of the consideration of $2.8 million and expensed $1.0 million of unamortized deferred financing costs and original discount that are included in loss on extinguishment of debt in the accompanying Consolidated Statements of Income.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3/4% First Mortgage Notes due 2020</w:t>
      </w:r>
    </w:p>
    <w:p>
      <w:pPr>
        <w:spacing w:after="0" w:line="225" w:lineRule="exact"/>
        <w:rPr>
          <w:sz w:val="20"/>
          <w:szCs w:val="20"/>
          <w:color w:val="auto"/>
        </w:rPr>
      </w:pPr>
    </w:p>
    <w:p>
      <w:pPr>
        <w:ind w:right="140" w:firstLine="243"/>
        <w:spacing w:after="0" w:line="264" w:lineRule="auto"/>
        <w:rPr>
          <w:sz w:val="20"/>
          <w:szCs w:val="20"/>
          <w:color w:val="auto"/>
        </w:rPr>
      </w:pPr>
      <w:r>
        <w:rPr>
          <w:rFonts w:ascii="Arial" w:cs="Arial" w:eastAsia="Arial" w:hAnsi="Arial"/>
          <w:sz w:val="18"/>
          <w:szCs w:val="18"/>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was due on the 7 3/4% 2020 Notes on February 15th and August 15th of each year.</w:t>
      </w:r>
    </w:p>
    <w:p>
      <w:pPr>
        <w:spacing w:after="0" w:line="181" w:lineRule="exact"/>
        <w:rPr>
          <w:sz w:val="20"/>
          <w:szCs w:val="20"/>
          <w:color w:val="auto"/>
        </w:rPr>
      </w:pPr>
    </w:p>
    <w:p>
      <w:pPr>
        <w:jc w:val="both"/>
        <w:ind w:right="180" w:firstLine="243"/>
        <w:spacing w:after="0" w:line="286" w:lineRule="auto"/>
        <w:rPr>
          <w:sz w:val="20"/>
          <w:szCs w:val="20"/>
          <w:color w:val="auto"/>
        </w:rPr>
      </w:pPr>
      <w:r>
        <w:rPr>
          <w:rFonts w:ascii="Arial" w:cs="Arial" w:eastAsia="Arial" w:hAnsi="Arial"/>
          <w:sz w:val="17"/>
          <w:szCs w:val="17"/>
          <w:color w:val="auto"/>
        </w:rPr>
        <w:t>During the year ended December 31, 2014, Wynn Las Vegas repurchased and canceled $93.4 million in principal, plus interest, of its 7 3/4% 2020 Notes through the open market. The Company incurred $9.1 million in expenses associated primarily with the premium paid for the repurchases and unamortized deferred financing costs included in loss on extinguishment of debt in the accompanying Consolidated Statements of Income.</w:t>
      </w:r>
    </w:p>
    <w:p>
      <w:pPr>
        <w:spacing w:after="0" w:line="166"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3/4% 2020 Notes. Wynn Las Vegas accepted for purchase valid tenders with respect to approximately $1,146.5 million of the $1,226.6 million aggregate principal amount. The note holders who validly tendered their 2020 Notes received the total consideration of $1,073.82 for each $1,000 principal amount of 7 3/4% 2020 Notes. The premium portion of the aggregate total consideration was $84.6 million and was recorded as a loss on extinguishment of debt in the accompanying Consolidated Statements of Income.</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cash tender, the Company expensed $12.6 million of unamortized deferred financing costs related to the 7 3/4% 2020 Notes that are included in loss on extinguishment of debt in the accompanying Consolidated Statements of Income.</w:t>
      </w:r>
    </w:p>
    <w:p>
      <w:pPr>
        <w:spacing w:after="0" w:line="170"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On August 15, 2015, the Company redeemed the remaining $80.1 million principal amount of the untendered 7 3/4% 2020 Notes. The Company recorded a loss for the premium portion of the consideration of $3.1 million and expensed $0.8 million of unamortized deferred financing costs that are included in loss on extinguishment of debt in the accompanying Consolidated Statements of Income.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ind w:right="20" w:firstLine="243"/>
        <w:spacing w:after="0" w:line="287"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the Company issued the Redemption Note to Aruze,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16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recorded the Redemption Note at fair value in accordance with applicable accounting guidance. As of December 31, 2015 and 2014, the fair value of the Redemption Note was $1.88 billion and $1.94 billion, respectively.</w:t>
      </w:r>
    </w:p>
    <w:p>
      <w:pPr>
        <w:spacing w:after="0" w:line="170" w:lineRule="exact"/>
        <w:rPr>
          <w:sz w:val="20"/>
          <w:szCs w:val="20"/>
          <w:color w:val="auto"/>
        </w:rPr>
      </w:pPr>
    </w:p>
    <w:p>
      <w:pPr>
        <w:ind w:right="440" w:firstLine="243"/>
        <w:spacing w:after="0" w:line="277" w:lineRule="auto"/>
        <w:rPr>
          <w:sz w:val="20"/>
          <w:szCs w:val="20"/>
          <w:color w:val="auto"/>
        </w:rPr>
      </w:pPr>
      <w:r>
        <w:rPr>
          <w:rFonts w:ascii="Arial" w:cs="Arial" w:eastAsia="Arial" w:hAnsi="Arial"/>
          <w:sz w:val="18"/>
          <w:szCs w:val="18"/>
          <w:color w:val="auto"/>
        </w:rPr>
        <w:t>The Okada Parties have challenged the redemption of Aruze's shares and the Company is currently involved in litigation with those parties as well as related litigation. See further discussion in Note 17 "Commitments and Contingencies".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and February 12, 2016, the Company issued a check for the interest payment due at those times to the clerk of the court for deposit into the clerk's trust account.</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Cross Claim</w:t>
      </w:r>
    </w:p>
    <w:p>
      <w:pPr>
        <w:spacing w:after="0" w:line="22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As further discussed in Note 17 "Commitments and Contingencies," 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 (1) a change of control occurs and (2) at any time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management believes the Company was in compliance with all debt covenants.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120" w:firstLine="243"/>
        <w:spacing w:after="0" w:line="279" w:lineRule="auto"/>
        <w:rPr>
          <w:sz w:val="20"/>
          <w:szCs w:val="20"/>
          <w:color w:val="auto"/>
        </w:rPr>
      </w:pPr>
      <w:r>
        <w:rPr>
          <w:rFonts w:ascii="Arial" w:cs="Arial" w:eastAsia="Arial" w:hAnsi="Arial"/>
          <w:sz w:val="17"/>
          <w:szCs w:val="17"/>
          <w:color w:val="auto"/>
        </w:rPr>
        <w:t>The estimated fair value of the Company's long-term debt, excluding the Redemption Note, as of December 31, 2015 and 2014, was approximately $6.86 billion and $5.37 billion, respectively compared to its carrying value of $7.33 billion and $5.41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Scheduled maturities of long-term debt as of December 31, 2015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5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123,308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2019</w:t>
            </w:r>
          </w:p>
        </w:tc>
        <w:tc>
          <w:tcPr>
            <w:tcW w:w="5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281,253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911,784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7,978,582</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spacing w:after="0"/>
              <w:rPr>
                <w:sz w:val="21"/>
                <w:szCs w:val="21"/>
                <w:color w:val="auto"/>
              </w:rPr>
            </w:pPr>
          </w:p>
        </w:tc>
        <w:tc>
          <w:tcPr>
            <w:tcW w:w="5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9,294,927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Fair value adjustment</w:t>
            </w:r>
          </w:p>
        </w:tc>
        <w:tc>
          <w:tcPr>
            <w:tcW w:w="5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(52,041)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premiums and discounts, net</w:t>
            </w:r>
          </w:p>
        </w:tc>
        <w:tc>
          <w:tcPr>
            <w:tcW w:w="5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9,212,765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5880" w:type="dxa"/>
            <w:vAlign w:val="bottom"/>
            <w:vMerge w:val="restart"/>
          </w:tcPr>
          <w:p>
            <w:pPr>
              <w:jc w:val="right"/>
              <w:ind w:right="4050"/>
              <w:spacing w:after="0"/>
              <w:rPr>
                <w:sz w:val="20"/>
                <w:szCs w:val="20"/>
                <w:color w:val="auto"/>
              </w:rPr>
            </w:pPr>
            <w:r>
              <w:rPr>
                <w:rFonts w:ascii="Arial" w:cs="Arial" w:eastAsia="Arial" w:hAnsi="Arial"/>
                <w:sz w:val="18"/>
                <w:szCs w:val="18"/>
                <w:color w:val="auto"/>
              </w:rPr>
              <w:t>88</w:t>
            </w: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Interest Rate Swaps</w:t>
      </w:r>
    </w:p>
    <w:p>
      <w:pPr>
        <w:spacing w:after="0" w:line="22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 change in swap fair value in the accompanying Consolidated Statements of Income, as the interest rate swaps do not qualify for hedge accounting.</w:t>
      </w:r>
    </w:p>
    <w:p>
      <w:pPr>
        <w:spacing w:after="0" w:line="188"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utilized Level 2 inputs as described in Note 2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w:t>
      </w:r>
    </w:p>
    <w:p>
      <w:pPr>
        <w:spacing w:after="0" w:line="19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As of December 31, 2015, interest rate swaps were recorded as an asset of $0.7 million included in deposits and other assets and as a liability of $0.1 million included in other long-term liabilities in the accompanying Consolidated Balance Sheet. As of December 31, 2014, interest rate swaps were recorded as an asset of $5.9 million included in deposits and other assets in the accompanying Consolidated Balance Sheet.</w:t>
      </w:r>
    </w:p>
    <w:p>
      <w:pPr>
        <w:spacing w:after="0" w:line="16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$509.4 million) incurred under the Amended Wynn Macau Credit Facilities in exchange for receipts on the same amount at a variable interest rate based on the applicable HIBOR at the time of payment. These interest rate swaps fix the all-in interest rate on such amounts at 2.23% to 2.98%. These interest rate swap agreements mature in July 2017.</w:t>
      </w:r>
    </w:p>
    <w:p>
      <w:pPr>
        <w:spacing w:after="0" w:line="158"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Under the third swap agreement, the Company pays a fixed interest rate (excluding the applicable interest margin) of 0.68% on notional amounts corresponding to borrowings of $243.8 million incurred under the Amended Wynn Macau Credit Facilities in exchange for receipts on the same amount at a variable rate based on the applicable LIBOR at the time of payment. This interest rate swap fixes the all-in interest rate on such amounts at 2.18% to 2.93%. This interest rate swap agreement matures in July 2017.</w:t>
      </w:r>
    </w:p>
    <w:p>
      <w:pPr>
        <w:spacing w:after="0" w:line="183" w:lineRule="exact"/>
        <w:rPr>
          <w:sz w:val="20"/>
          <w:szCs w:val="20"/>
          <w:color w:val="auto"/>
        </w:rPr>
      </w:pPr>
    </w:p>
    <w:p>
      <w:pPr>
        <w:jc w:val="center"/>
        <w:ind w:right="8580"/>
        <w:spacing w:after="0"/>
        <w:rPr>
          <w:sz w:val="20"/>
          <w:szCs w:val="20"/>
          <w:color w:val="auto"/>
        </w:rPr>
      </w:pPr>
      <w:r>
        <w:rPr>
          <w:rFonts w:ascii="Arial" w:cs="Arial" w:eastAsia="Arial" w:hAnsi="Arial"/>
          <w:sz w:val="16"/>
          <w:szCs w:val="16"/>
          <w:b w:val="1"/>
          <w:bCs w:val="1"/>
          <w:color w:val="auto"/>
        </w:rPr>
        <w:t>Note 10 - Related Party Transactions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Party Share Redemption</w:t>
      </w:r>
    </w:p>
    <w:p>
      <w:pPr>
        <w:spacing w:after="0" w:line="225"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its articles of incorporation, the Company issued the Redemption Note to Aruze, a former stockholder and related party, in redemption of the shares. The Okada Parties have challenged the redemption of Aruze's shares and the Company is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2015 and 2014, Mr. Wynn and the other officers and directors had a net deposit balance with the Company of $1.0 million and $0.6 million, respectively.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Villa Lease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Mr. Wynn currently leases a villa at Wynn Las Vegas for use as his personal residence. The lease, including each amendment and restatement,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approved by the Audit Committee of the Board of Directors of Wynn Resorts. Beginning in November 2013, pursuant to the 2013 Second Amended and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Restated Agreement of Lease, dated as of November 7, 2013 and amended as of February 25, 2015 (the "SW Lease"), Mr. Wynn pays the Company annual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rent for the villa at its fair market value of the accommodations. Pursuant to the SW Lease, Wynn Las Vegas pays for all capital improvements to the villa.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is based on independent third-party expert opinions of value, which was $525,000 per year through February 28, 2015 and $559,295 per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from March 1, 2015 through February 28, 2017. For the 2013 period prior to the November 2013 effective date of the SW Lease, the annual rent was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$525,000 under a previous version of the lease agreement. The annual rent for the villa will be re-determined every two years during the term of the SW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 by the Audit Committee. Certain services for, and maintenance of, the villa are included in the annual rent.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Home Purchase</w:t>
      </w:r>
    </w:p>
    <w:p>
      <w:pPr>
        <w:spacing w:after="0" w:line="225" w:lineRule="exact"/>
        <w:rPr>
          <w:sz w:val="20"/>
          <w:szCs w:val="20"/>
          <w:color w:val="auto"/>
        </w:rPr>
      </w:pPr>
    </w:p>
    <w:p>
      <w:pPr>
        <w:ind w:right="20" w:firstLine="432"/>
        <w:spacing w:after="0" w:line="284" w:lineRule="auto"/>
        <w:rPr>
          <w:sz w:val="20"/>
          <w:szCs w:val="20"/>
          <w:color w:val="auto"/>
        </w:rPr>
      </w:pPr>
      <w:r>
        <w:rPr>
          <w:rFonts w:ascii="Arial" w:cs="Arial" w:eastAsia="Arial" w:hAnsi="Arial"/>
          <w:sz w:val="16"/>
          <w:szCs w:val="16"/>
          <w:color w:val="auto"/>
        </w:rPr>
        <w:t>In May 2010, the Company entered into an employment agreement with Linda Chen, who is the Chief Operating Officer of Wynn Macau. The term of the employment agreement is through February 24, 2020. Under the terms of the employment agreement, the Company purchased a home in Macau for use by Ms. Chen and has made renovations to the home with total costs of $9.4 million through December 31, 2015.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or (c) at a price based on the applicable Discount Percentage in the event</w:t>
      </w:r>
    </w:p>
    <w:p>
      <w:pPr>
        <w:spacing w:after="0" w:line="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her gaming license), the option will terminate.</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Plane Option Agreement</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121" w:right="2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surname and Mr. Wynn's persona in connection with its casino resorts.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From March 1, 2015 to September 30, 2015, Wynn Resorts Development, LLC, a direct subsidiary of the Company ("WRD"), was party to a consulting agreement with a consulting firm of which Clark T. Randt, Jr., current member of the Company's Board of Directors, is the president and sole owner, pursuant to which Ambassador Randt provided advice to WRD. The consulting agreement was terminated in connection with Ambassador Randt joining the Company's Board of Directors. WRD paid the consulting firm $0.6 million in fees and reimbursed expenses under the consulting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Property Charges and Other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charges and other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on disposal of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7,408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Donation to University of Macau Foundation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3,780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contract termination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6,000</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17,138</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charges and other generally include costs related to the disposal of assets for renovations and asset abandonment at our resorts.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The Company is authorized to issue up to 400,000,000 shares of its common stock, $0.01 par value per share (the "Common Stock"). As of December 31, 2015 and 2014, 101,571,909 shares and 101,439,297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79"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2015, the Company had repurchased a cumulative total of 12,804,954 shares of the Company's Common Stock for a net cost of $1.1 billion under the program. Under the repurchase program, there were no repurchases made during the years ended December 31, 2015, 2014 and 2013.</w:t>
      </w:r>
    </w:p>
    <w:p>
      <w:pPr>
        <w:spacing w:after="0" w:line="15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During 2015, 2014 and 2013, the Company repurchased a total of 50,869 shares, 9,578 shares and 114,355 shares, respectively, in satisfaction of tax withholding obligations on vested restricted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0" w:right="60" w:firstLine="405"/>
        <w:spacing w:after="0" w:line="264" w:lineRule="auto"/>
        <w:rPr>
          <w:sz w:val="20"/>
          <w:szCs w:val="20"/>
          <w:color w:val="auto"/>
        </w:rPr>
      </w:pPr>
      <w:r>
        <w:rPr>
          <w:rFonts w:ascii="Arial" w:cs="Arial" w:eastAsia="Arial" w:hAnsi="Arial"/>
          <w:sz w:val="18"/>
          <w:szCs w:val="18"/>
          <w:color w:val="auto"/>
        </w:rPr>
        <w:t>In February 2015, the Company paid a cash dividend of $1.50 per share. In each of May 2015, August 2015, and November 2015, the Company paid a cash dividend of $0.50 per share. During the year ended December 31, 2015, the Company recorded $304.4 million as a reduction of retained earnings from cash dividends declared.</w:t>
      </w:r>
    </w:p>
    <w:p>
      <w:pPr>
        <w:spacing w:after="0" w:line="18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February 2014, May 2014 and August 2014, the Company paid a cash dividend of $1.25 per common share. In November 2014, the Company paid a cash dividend of $1.50 per common share and an additional cash dividend of $1.00 per share. During the year ended December 31, 2014, the Company recorded $633.2 million as a reduction of retained earnings from cash dividends declared.</w:t>
      </w:r>
    </w:p>
    <w:p>
      <w:pPr>
        <w:spacing w:after="0" w:line="18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February 2013, May 2013, August 2013 and November 2013, the Company paid a dividend of $1.00 per common share. In December 2013, the Company paid a cash dividend of $3.00 per common share. During the year ended December 31, 2013, the Company recorded $707.3 million as a reduction of retained earnings from cash dividends declared.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is authorized to issue up to 40,000,000 shares of undesignated preferred stock, $0.01 par value per share (the "Preferred Stock"). As of December 31, 2015,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of Securities</w:t>
      </w:r>
    </w:p>
    <w:p>
      <w:pPr>
        <w:spacing w:after="0" w:line="22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7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Based on the Board of Directors' finding of "unsuitability," on February 18, 2012, Wynn Resorts redeemed and canceled Aruze's 24,549,222 shares of Wynn Resorts' common stock. For more information, refer to Note 17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Noncontrolling Interest</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October 2009, WML, an indirect wholly owned subsidiary of the Company and the developer, owner and operator of Wynn Macau and Encore at Wynn Macau, listed its ordinary shares of common stock on The Stock Exchange of Hong Kong Limited. Through an initial public offering, including the over allotment, WML sold 1,437,500,000 shares, 27.7% of this subsidiary's common stock. The shares of WML were not and will not be registered under the Securities Act and may not be offered or sold in the United States absent a registration under the Securities Act, or an applicable exception from such registration requirements. Net income attributable to noncontrolling interest was $86.2 million, $231.1 million and $275.5 million for the years ended December 31, 2015, 2014 and 2013, respectively.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1" w:right="25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On March 31, 2015, WML paid a dividend of HK$1.05 per share for a total of $702.6 million. The Company's share of this dividend was $507.1 million with a reduction of $195.5 million to noncontrolling interest in the accompanying Consolidated Balance Sheets.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September 23, 2014, WML paid a dividend of HK$0.70 per share for a total of $469.2 million. The Company's share of this dividend was $338.7 million with a reduction of $130.6 million to noncontrolling interest in the accompanying Consolidated Balance Sheets.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June 6, 2014, WML paid a dividend of HK$0.98 per share for a total of $655.8 million. The Company's share of this dividend was $474.0 million with a reduction of $181.8 million to noncontrolling interest in the accompanying Consolidated Balance Sheets.</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On September 23, 2013, WML paid a dividend of HK$0.50 per share for a total of $334.5 million. The Company's share of this dividend was $241.8 million with a reduction of $92.7 million to noncontrolling interest in the accompanying Consolidated Balance Sheets.</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June 6, 2013, WML paid a dividend of HK$1.24 per share for a total of $828.6 million. The Company's share of this dividend was $599.1 million with a reduction of $229.6 million to noncontrolling interest in the accompanying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220" w:firstLine="432"/>
        <w:spacing w:after="0" w:line="255" w:lineRule="auto"/>
        <w:rPr>
          <w:sz w:val="20"/>
          <w:szCs w:val="20"/>
          <w:color w:val="auto"/>
        </w:rPr>
      </w:pPr>
      <w:r>
        <w:rPr>
          <w:rFonts w:ascii="Arial" w:cs="Arial" w:eastAsia="Arial" w:hAnsi="Arial"/>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with a one-time annual matching cap per employee. For the years ended December 31, 2015, 2014 and 2013, the matching cap per employee was $1,200, $750, and $500, respectively. The Company recorded charges related to these matching contributions of $3.2 million, $2.0 million and $1.2 million for the years ended December 31, 2015, 2014 and 2013, respectively.</w:t>
      </w:r>
    </w:p>
    <w:p>
      <w:pPr>
        <w:spacing w:after="0" w:line="19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During the years ended December 31, 2015, 2014 and 2013, the Company recorded matching contribution expenses of $11.2 million, $8.7 million and $7.5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was set to expire in July 2015. The Company has signed an extension of the agreement and is currently negotiating a new agreement. The legal name of the multi-employer pension plan is the Southern Nevada Culinary and Bartenders Pension Plan (the "Plan") (EIN: 88-6016617 Plan Number: 1). The Company recorded an expense of $9.4 million, $9.2 million and $9.0 million for contributions to the Plan for the years ended December 31, 2015, 2014 and 2013, respectively. For the 2014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2014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Limited</w:t>
      </w:r>
    </w:p>
    <w:p>
      <w:pPr>
        <w:spacing w:after="0" w:line="225"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Company's 2002 Stock Incentive Plan, as amended and restated (the "WRL 2002 Plan"), allowed it to grant stock options and nonvested shares of Wynn Resorts' common stock to eligible directors, officers, employees, and consultants of the Company. Under the WRL 2002 Plan, a maximum of 12,750,000 shares of the Company's common stock was reserved for issuance.</w:t>
      </w:r>
    </w:p>
    <w:p>
      <w:pPr>
        <w:spacing w:after="0" w:line="18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178"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 the exercise price of stock options must be at least equal to the fair market value of the stock on the date of grant and the maximum term of such an award is 10 years.</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December 31, 2015, the Company had an aggregate of 4,234,625 shares of its common stock available for grant as share-based awards under the Omnibus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stock option activity under the plans for the year ended December 31, 2015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1,380,976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40,000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107.63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1,370,260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81.49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14,032,500</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Fully vested and expected to vest at December 31, 2015</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1,359,432</w:t>
            </w:r>
          </w:p>
        </w:tc>
        <w:tc>
          <w:tcPr>
            <w:tcW w:w="4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81.41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jc w:val="right"/>
              <w:ind w:right="39"/>
              <w:spacing w:after="0"/>
              <w:rPr>
                <w:sz w:val="20"/>
                <w:szCs w:val="20"/>
                <w:color w:val="auto"/>
              </w:rPr>
            </w:pPr>
            <w:r>
              <w:rPr>
                <w:rFonts w:ascii="Arial" w:cs="Arial" w:eastAsia="Arial" w:hAnsi="Arial"/>
                <w:sz w:val="18"/>
                <w:szCs w:val="18"/>
                <w:color w:val="auto"/>
              </w:rPr>
              <w:t>13,941,989</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December 31,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456,826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6,528,200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stock options from the plans (in thousands, except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31.83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1,684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30,485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33,830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received from the exercise of stock options</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3,026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of December 31, 2015, there was a total of $16.5 million of unamortized compensation related to stock options, which is expected to be recognized over a weighted-average period of 2.3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Nonvested shares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summary of nonvested share activity under the plans for the year ended December 31, 2015 is presented below:</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2"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6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2015</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132,765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145.92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354,206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the share award vesting from the plans (in thousands, except weighted average grant date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145.92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Fair value of shares vested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22,877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36,328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As of December 31, 2015, there was a total of $15.8 million of unamortized compensation related to nonvested shares, which is expected to be recognized over a weighted-average period of 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Limited</w:t>
      </w:r>
    </w:p>
    <w:p>
      <w:pPr>
        <w:spacing w:after="0" w:line="22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Company's majority-owned subsidiary WML has two stock-based compensation plans which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Option Plan</w:t>
      </w:r>
    </w:p>
    <w:p>
      <w:pPr>
        <w:spacing w:after="0" w:line="225"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WML adopted a stock incentive plan effective September 16, 2009 for the grant of stock options to purchase shares of WML to eligible directors and employees of its subsidiaries (the "Share Option Plan"). The Share Option Plan is administered by WML's Board of Directors, which have the discretion on the vesting and service requirements, exercise price, performance targets to exercise if applicable and other conditions, subject to certain limits. A maximum of 518,750,000 shares have been reserved for issuance under the Share Option Plan.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stock option activity under the plan for the year ended December 31,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3,090,000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1,268,000</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1.99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jc w:val="right"/>
              <w:ind w:right="1308"/>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4,358,000</w:t>
            </w:r>
          </w:p>
        </w:tc>
        <w:tc>
          <w:tcPr>
            <w:tcW w:w="1160" w:type="dxa"/>
            <w:vAlign w:val="bottom"/>
            <w:tcBorders>
              <w:bottom w:val="single" w:sz="8" w:color="CCEEFF"/>
            </w:tcBorders>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5"/>
              </w:rPr>
              <w:t>2.63</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Fully vested and expected to vest at December 31, 2015</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4,358,000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2015</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1,710,800</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2.51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provided for stock options from the Share Option Plan (in thousands, except weighted average grant date fair value):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Intrinsic value of stock options exercised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received from the exercise of stock options</w:t>
            </w: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As of December 31, 2015, there was a total of $1.4 million of unamortized compensation related to stock options, which is expected to be recognized over a weighted-average period of 3.3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Award Plan</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On June 30, 2014, the Company's majority-owned subsidiary WML approved and adopted the WML Employee Ownership Scheme (the "Share Award Plan"). The Share Award Plan allows for the grant of nonvested shares of WML's common stock to eligible employees. The Share Award Plan is administered by WML's Board of Directors and has been mandated under the plan to allot, issue and procedure the transfer of a maximum of 50,000,000 shares. The Board of Directors have discretion on the vesting and service requirements, exercise price and other conditions, subject to certain limits.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summary of nonvested share activity under the Share Award Plan for the year ended December 31, 2015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7,743,000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1,353,082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(649,244)</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8,446,838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weighted average grant date fair value was $1.95 and $3.81 for nonvested shares awarded during 2015 and 2014, respectively. No nonvested shares were granted during 2013. As of December 31, 2015, no shares have vested under the Share Award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are allocated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39,537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38,825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39,732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During 2015 and 2014, the Company recognized $15.1 million and $17.9 million of stock-based compensation expense, respectively, associated with the equity portion of annual performance awards for its executive management. These equity awards consist of immediately vested restricted stock granted in January of the subsequent year. There were no equity awards granted with the annual performance awards in 2013.</w:t>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7" w:name="page98"/>
    <w:bookmarkEnd w:id="97"/>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81"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During the second quarter of 2013, the Company recognized $23.0 million of stock-based compensation expense due to the retirement of the Company's former chief operating officer and the related accelerated vesting of shares previously granted to him.</w:t>
      </w:r>
    </w:p>
    <w:p>
      <w:pPr>
        <w:spacing w:after="0" w:line="170"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During the years ended December 31, 2015, 2014 and 2013, the Company recognized income tax benefits in the Consolidated Statements of Income of $8.3 million, $9.6 million and $12.3 million, respectively, related to stock-based compensation expense. Additionally, during the years ended December 31, 2015, 2014 and 2013, the Company realized tax benefits of $6.7 million, $12.6 million and $28.0 million, respectively, related to stock option exercises and restricted stock vests that occurred in those years.</w:t>
      </w:r>
    </w:p>
    <w:p>
      <w:pPr>
        <w:spacing w:after="0" w:line="146"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Company uses the Black-Scholes valuation model to determine the estimated fair value for stock options with highly subjective assumptions, changes in which could materially affect the estimated fair value.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plans and the Hong Kong Exchange Fund rates for stock options issued under the Share Option Plan, both at the time of grant for the period equal to the expected term. Expected term represents the weighted average time between the option's grant date and its exercise date. The Company used historical award exercise activity and termination activity in estimating the expected term for the Wynn Resorts plans. The Company uses the simplified method for estimating the expected term for WML's Share Option Plan.</w:t>
      </w:r>
    </w:p>
    <w:p>
      <w:pPr>
        <w:spacing w:after="0" w:line="192"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fair value of stock options granted under Wynn Resorts' stock-based compensation plans were estimated on the date of grant using the following weighted-average assumptions: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44.1%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6.7</w:t>
            </w:r>
          </w:p>
        </w:tc>
      </w:tr>
    </w:tbl>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The fair value of stock options granted under WML's Share Option Plan was estimated on the date of grant using the following weighted-average assumptions:</w:t>
      </w:r>
    </w:p>
    <w:p>
      <w:pPr>
        <w:spacing w:after="0" w:line="17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702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gridSpan w:val="2"/>
          </w:tcPr>
          <w:p>
            <w:pPr>
              <w:ind w:left="7220"/>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stock price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41.3%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6.5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income (loss) before taxes for domestic and foreign operations consisted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835,888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996,458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289,247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958,862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986,523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(benefit) provision attributable to income before income taxes is as follows (in thousands):</w:t>
      </w:r>
    </w:p>
    <w:p>
      <w:pPr>
        <w:spacing w:after="0" w:line="230"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29673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2,057</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(19,826)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2"/>
        </w:trPr>
        <w:tc>
          <w:tcPr>
            <w:tcW w:w="6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ectPr>
          <w:pgSz w:w="11900" w:h="16900" w:orient="portrait"/>
          <w:cols w:equalWidth="0" w:num="1">
            <w:col w:w="11420"/>
          </w:cols>
          <w:pgMar w:left="240" w:top="121" w:right="239" w:bottom="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6,498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(19,826)</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7,723</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(17,634)</w:t>
            </w:r>
          </w:p>
        </w:tc>
      </w:tr>
      <w:tr>
        <w:trPr>
          <w:trHeight w:val="27"/>
        </w:trPr>
        <w:tc>
          <w:tcPr>
            <w:tcW w:w="67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(benefit) provision differs from that computed at the federal statutory corporate tax rate as follows:</w:t>
      </w:r>
    </w:p>
    <w:p>
      <w:pPr>
        <w:spacing w:after="0" w:line="230"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23495</wp:posOffset>
            </wp:positionV>
            <wp:extent cx="31299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gridSpan w:val="2"/>
          </w:tcPr>
          <w:p>
            <w:pPr>
              <w:ind w:left="7140"/>
              <w:spacing w:after="0"/>
              <w:rPr>
                <w:sz w:val="20"/>
                <w:szCs w:val="20"/>
                <w:color w:val="auto"/>
              </w:rPr>
            </w:pPr>
            <w:r>
              <w:rPr>
                <w:rFonts w:ascii="Arial" w:cs="Arial" w:eastAsia="Arial" w:hAnsi="Arial"/>
                <w:sz w:val="14"/>
                <w:szCs w:val="14"/>
                <w:b w:val="1"/>
                <w:bCs w:val="1"/>
                <w:color w:val="auto"/>
                <w:w w:val="83"/>
              </w:rPr>
              <w:t>2015</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2013</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Foreign tax rate differential</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(21.0)%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Non-taxable foreign income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Foreign tax credits, net of valuation allowance</w:t>
            </w:r>
          </w:p>
        </w:tc>
        <w:tc>
          <w:tcPr>
            <w:tcW w:w="640" w:type="dxa"/>
            <w:vAlign w:val="bottom"/>
          </w:tcPr>
          <w:p>
            <w:pPr>
              <w:jc w:val="right"/>
              <w:spacing w:after="0"/>
              <w:rPr>
                <w:sz w:val="20"/>
                <w:szCs w:val="20"/>
                <w:color w:val="auto"/>
              </w:rPr>
            </w:pPr>
            <w:r>
              <w:rPr>
                <w:rFonts w:ascii="Arial" w:cs="Arial" w:eastAsia="Arial" w:hAnsi="Arial"/>
                <w:sz w:val="18"/>
                <w:szCs w:val="18"/>
                <w:color w:val="auto"/>
                <w:w w:val="91"/>
              </w:rPr>
              <w:t>(93.2)%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(89.3)%</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Repatriation of foreign earnings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97.9 %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87.2 %</w:t>
            </w: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6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 other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500" w:type="dxa"/>
            <w:vAlign w:val="bottom"/>
          </w:tcPr>
          <w:p>
            <w:pPr>
              <w:ind w:left="380"/>
              <w:spacing w:after="0"/>
              <w:rPr>
                <w:sz w:val="20"/>
                <w:szCs w:val="20"/>
                <w:color w:val="auto"/>
              </w:rPr>
            </w:pPr>
            <w:r>
              <w:rPr>
                <w:rFonts w:ascii="Arial" w:cs="Arial" w:eastAsia="Arial" w:hAnsi="Arial"/>
                <w:sz w:val="18"/>
                <w:szCs w:val="18"/>
                <w:color w:val="auto"/>
              </w:rPr>
              <w:t>Effective tax rate</w:t>
            </w:r>
          </w:p>
        </w:tc>
        <w:tc>
          <w:tcPr>
            <w:tcW w:w="9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November 30, 2010, Wynn Macau SA received an exemption from Macau's 12% Complementary Tax on casino gaming profits, thereby exempting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casino gaming profits of Wynn Macau SA through December 31, 2015. In October 2015, Wynn Macau SA received an additional 5-year exemption,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2016, from Macau's Complementary Tax on casino gaming profits through December 31, 2020. Accordingly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2014, and 2013, the Company was exempted from the payment of $41.6 million, $99.4 million and $107.3 million in such taxes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$0.41, $0.98 and $1.06 per share, respectively. The Company's non-gaming profits remain subject to the Macau Complementary Tax and its casino winnings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 subject to the Macau Special Gaming tax and other levies in accordance with its concession agreement.</w:t>
      </w:r>
    </w:p>
    <w:p>
      <w:pPr>
        <w:spacing w:after="0" w:line="211"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In July of 2011, Wynn Macau SA received an extension of its agreement with the Macau Special Administrative Region that provides for an annual payment of MOP 15.5 million (approximately $1.9 million) as complementary tax otherwise due by shareholders of Wynn Macau SA on dividend distributions through 2015. As a result of the shareholder dividend tax agreements, income tax expense includes $1.9 million for each of the years ended December 31, 2015, 2014 and 2013, respectively. In June 2015, Wynn Macau SA applied for an extension of the agreement for an additional five years effective through December 31, 2020.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40"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Macau special gaming tax is 35% of gross gaming revenue. U.S. tax laws only allow a foreign tax credit ("FTC") up to 35% of foreign source income. In February 2010, the Company and the IRS entered into a Pre-Filing Agreement ("PFA") providing that the Macau Special Gaming Tax qualifies as a tax paid in lieu of an income tax and could be claimed as a U.S. foreign tax credit.</w:t>
      </w:r>
    </w:p>
    <w:p>
      <w:pPr>
        <w:spacing w:after="0" w:line="18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2015, 2014, and 2013, the Company recognized tax benefits of $264.1 million, $895.0 million and $879.7 million, respectively (net of valuation allowance and uncertain tax positions), for FTCs generated applicable to the earnings of Wynn Macau SA.</w:t>
      </w:r>
    </w:p>
    <w:p>
      <w:pPr>
        <w:spacing w:after="0" w:line="170"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Accounting standards require recognition of a future tax benefit to the extent that realization of such benefit is more likely than not; otherwise, a valuation allowance is applied. During 2015 and 2014, the aggregate valuation allowance for deferred tax assets increased by $34.1 million and $709.8 million, respectively. The 2015 and 2014 increases are primarily related to FTC carryforwards and other foreign deferred tax assets that are not considered more likely than not realizable.</w:t>
      </w:r>
    </w:p>
    <w:p>
      <w:pPr>
        <w:spacing w:after="0" w:line="18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recorded tax benefits resulting from the exercise of nonqualified stock options and the value of vested restricted stock and accrued dividends of $0.4 million, $9.4 million and $10.5 million as of December 31, 2015, 2014 and 2013,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tax effects of significant temporary differences representing net deferred tax assets and liabilities consisted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3,315,737</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3,283,669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inventories, accrued liabilities and other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Intangibles and related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25,129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27,201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tax credit carryforwards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3,777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6,763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3,422,722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3,397,351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valuation allowance (2)</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(3,271,173)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1"/>
              </w:rPr>
              <w:t>(3,248,963)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151,549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148,388</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liabilities—U.S.: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(170,405)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Redemption Note fair value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insurance, maintenance and taxes (1)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(187,906)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(177,353)</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27,672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22,740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(1)</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2,103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66,952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49,036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valuation allowance (3)</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(59,705)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(47,826)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97"/>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and retrospective application of new accounting guidance for the classification of all deferred tax assets and liabilities as well as applicable valuation allowances resulted in these temporary differences being classified as long-term at December 31, 2014. See Recently Issued Accounting Standards in Note 2 "Summary of Significant Accounting Policies".</w:t>
      </w:r>
    </w:p>
    <w:p>
      <w:pPr>
        <w:spacing w:after="0" w:line="181" w:lineRule="exact"/>
        <w:rPr>
          <w:rFonts w:ascii="Arial" w:cs="Arial" w:eastAsia="Arial" w:hAnsi="Arial"/>
          <w:sz w:val="18"/>
          <w:szCs w:val="18"/>
          <w:color w:val="auto"/>
        </w:rPr>
      </w:pPr>
    </w:p>
    <w:p>
      <w:pPr>
        <w:ind w:right="8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the adoption and retrospective application of new accounting guidance, the previously presented valuation allowance of $46.0 million provided on U.S. deferred tax assets related to receivables, inventories, and accrued liabilities has been included in the total long-term valuation allowance of $3.25 billion at December 31, 2014.</w:t>
      </w:r>
    </w:p>
    <w:p>
      <w:pPr>
        <w:spacing w:after="0" w:line="181" w:lineRule="exact"/>
        <w:rPr>
          <w:rFonts w:ascii="Arial" w:cs="Arial" w:eastAsia="Arial" w:hAnsi="Arial"/>
          <w:sz w:val="18"/>
          <w:szCs w:val="18"/>
          <w:color w:val="auto"/>
        </w:rPr>
      </w:pPr>
    </w:p>
    <w:p>
      <w:pPr>
        <w:ind w:right="180" w:firstLine="8"/>
        <w:spacing w:after="0" w:line="264" w:lineRule="auto"/>
        <w:tabs>
          <w:tab w:leader="none" w:pos="2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adoption and retrospective application of new accounting guidance, the previously presented valuation allowance of $0.2 million provided on foreign deferred tax assets related to accrued liabilities has been included in the total long-term valuation allowance of $47.8 million at December 31, 2014.</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As of December 31, 2015, the Company had FTC carryforwards (net of uncertain tax positions) of $3.32 billion. Of this amount, $621.1 million will expire in 2018, $110.9 million will expire in 2019, $530.4 million in 2020, $540.3 million in 2021, $756.0 million in 2023, $710.6 million in 2024 and $46.4 million in 2025. The Company has no U.S. tax loss carryforwards. The Company incurred foreign tax losses of $126.9 million, $90.3 million and $75.0 million during the tax years ended December 31, 2015, 2014 and 2013, respectively. These foreign tax loss carryforwards expire in 2018, 2017 and 2016,</w:t>
      </w:r>
    </w:p>
    <w:p>
      <w:pPr>
        <w:sectPr>
          <w:pgSz w:w="11900" w:h="16838" w:orient="portrait"/>
          <w:cols w:equalWidth="0" w:num="1">
            <w:col w:w="11420"/>
          </w:cols>
          <w:pgMar w:left="240" w:top="12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respectively. The Company incurred a U.S. capital loss of $3.6 million during the year ended December 31, 2011, which will expire in 2016.</w:t>
      </w:r>
    </w:p>
    <w:p>
      <w:pPr>
        <w:spacing w:after="0" w:line="22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assessing the need for a valuation allowance, the Company relies solely on the reversal of net taxable temporary differences. The valuation allowance for foreign tax credits was determined by scheduling the existing U.S. taxable temporary differences that are expected to reverse and result in foreign source income during the 10-year foreign tax credit carryover period.</w:t>
      </w:r>
    </w:p>
    <w:p>
      <w:pPr>
        <w:spacing w:after="0" w:line="181"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As of December 31, 2015 and 2014, the Company had valuation allowances of $3.26 billion and $3.24 billion, respectively, provided on FTCs expected to expire unutilized and valuation allowances of $7.8 million and $6.9 million provided on other U.S. deferred tax assets. As of December 31, 2015 and 2014, the Company had a valuation allowance of $59.7 million and $47.8 million, respectively, provided on its foreign deferred tax assets.</w:t>
      </w:r>
    </w:p>
    <w:p>
      <w:pPr>
        <w:spacing w:after="0" w:line="166" w:lineRule="exact"/>
        <w:rPr>
          <w:sz w:val="20"/>
          <w:szCs w:val="20"/>
          <w:color w:val="auto"/>
        </w:rPr>
      </w:pPr>
    </w:p>
    <w:p>
      <w:pPr>
        <w:ind w:right="280" w:firstLine="432"/>
        <w:spacing w:after="0" w:line="272" w:lineRule="auto"/>
        <w:rPr>
          <w:sz w:val="20"/>
          <w:szCs w:val="20"/>
          <w:color w:val="auto"/>
        </w:rPr>
      </w:pPr>
      <w:r>
        <w:rPr>
          <w:rFonts w:ascii="Arial" w:cs="Arial" w:eastAsia="Arial" w:hAnsi="Arial"/>
          <w:sz w:val="17"/>
          <w:szCs w:val="17"/>
          <w:color w:val="auto"/>
        </w:rPr>
        <w:t>The Company has not provided deferred U.S. federal income taxes or foreign withholding taxes on temporary differences in investments in foreign subsidiaries of $336.4 million and $412.1 million as of December 31, 2015 and 2014, respectively. The amount of unrecognized deferred tax liability associated with these temporary differences is approximately $117.7 million and $144.2 million for the years ended December 31, 2015 and 2014, respectively. No additional U.S. tax provision has been made with respect to the temporary difference of $336.4 million as of December 31, 2015. These amounts are not considered permanently reinvested; however, U.S. foreign tax credits should be sufficient to eliminate any U.S federal income tax in the event of repatriation. No additional U.S. tax provision had been made with respect to the temporary difference of $412.1 million as of December 31, 2014, which was considered indefinitely reinvested and was used to fund operations and expansion.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Increases based on tax positions of the current year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8,360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based on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Decreases for tax positions of prior years</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Lapses in statutes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89,544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As of December 31, 2015, 2014, and 2013, unrecognized tax benefits of $88.3 million, $88.9 million and $60.3 million, respectively, were recorded as reductions in deferred income taxes, net. As of December 31, 2013, unrecognized tax benefits of $29.2 million were recorded in other long-term liabilities. The Company had no unrecognized tax benefits recorded in other long-term liabilities as of December 31, 2015 and 2014. As a result of the adoption of accounting guidance in 2014, the Company reclassified unrecognized tax benefits in other long-term liabilities to deferred income taxes, net.</w:t>
      </w:r>
    </w:p>
    <w:p>
      <w:pPr>
        <w:spacing w:after="0" w:line="154"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As of December 31, 2015, 2014 and 2013, $20.9 million, $20.7 million and $20.7 million, respectively, of unrecognized tax benefits would, if recognized, impact the effective tax rate.</w:t>
      </w:r>
    </w:p>
    <w:p>
      <w:pPr>
        <w:spacing w:after="0" w:line="170" w:lineRule="exact"/>
        <w:rPr>
          <w:sz w:val="20"/>
          <w:szCs w:val="20"/>
          <w:color w:val="auto"/>
        </w:rPr>
      </w:pPr>
    </w:p>
    <w:p>
      <w:pPr>
        <w:ind w:right="780" w:firstLine="432"/>
        <w:spacing w:after="0" w:line="277" w:lineRule="auto"/>
        <w:rPr>
          <w:sz w:val="20"/>
          <w:szCs w:val="20"/>
          <w:color w:val="auto"/>
        </w:rPr>
      </w:pPr>
      <w:r>
        <w:rPr>
          <w:rFonts w:ascii="Arial" w:cs="Arial" w:eastAsia="Arial" w:hAnsi="Arial"/>
          <w:sz w:val="18"/>
          <w:szCs w:val="18"/>
          <w:color w:val="auto"/>
        </w:rPr>
        <w:t>The Company recognizes penalties and interest related to unrecognized tax benefits in the provision for income taxes. During the years ended December 31, 2015, 2014, and 2013, the Company recognized no interest and penalties.</w:t>
      </w:r>
    </w:p>
    <w:p>
      <w:pPr>
        <w:spacing w:after="0" w:line="170"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The Company anticipates that the 2011 statute of limitations will expire in the next 12 months for certain foreign tax jurisdictions. Also, the Company's unrecognized tax benefits include certain income tax accounting methods. These accounting methods govern the timing and deductibility of income tax deductions. As a result, the Company's unrecognized tax benefits could increase up to $0.5 million over the next 12 months.</w:t>
      </w:r>
    </w:p>
    <w:p>
      <w:pPr>
        <w:spacing w:after="0" w:line="16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2010 domestic income tax returns remain subject to examination by the IRS to the extent tax attributes carryforward to future years. The Company's 2012 to 2014 domestic income tax returns also remain subject to examination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IRS. The Company's 2011 to 2014 Macau income tax returns remain subject to examination by the Macau Financial Services Bureau.</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Company has participated in the IRS Compliance Assurance Program ("CAP") for the 2013 through 2015 tax years and will continue to participate in the IRS CAP for the 2016 tax year.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June 2015 and February 2016, the Company received notification that the IRS completed its examination of the Company's 2013 and 2014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income tax returns, respectively. There were no changes in its unrecognized tax benefits as a result of the completion of these examinations.</w:t>
      </w:r>
    </w:p>
    <w:p>
      <w:pPr>
        <w:spacing w:after="0" w:line="211"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In March 2013, the Macau Financial Services Bureau commenced an examination of the 2009, 2010, and 2011 Macau income tax returns of Wynn Macau SA. In December 2014, Wynn Macau SA reached an agreement with the Macau Financial Services Bureau regarding issues raised during its examination. While no additional tax was due as a result of the examination, adjustments were made to the Company's foreign net operating loss carryforwards.</w:t>
      </w:r>
    </w:p>
    <w:p>
      <w:pPr>
        <w:spacing w:after="0" w:line="187"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In December 2015, the Financial Services Bureau completed an examination of the 2012 Macau income tax return of Wynn Macau SA. On December 31, 2015, the statute of limitations for the 2010 Macau Complementary tax return expired. As a result of the exam settlement and the expiration of the statute of limitations for the Macau Complementary Tax return, the total amount of unrecognized tax benefits decreased by $3.6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Cotai Development and Land Concession Contract</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Company is currently constructing Wynn Palace, an integrated resort containing a 1,700-room hotel, a performance lake, meeting space, a casino, a spa, retail offerings, and food and beverage outlets in the Cotai area of Macau.</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September 2011, Wynn Macau SA and Palo, formally accepted the terms and conditions of a land concession contract from the Macau government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approximately 51 acres of land in the Cotai area of Macau. On May 2, 2012, the land concession contract was gazetted by the government of Macau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evidencing the final step in the granting of the land concession. The initial term of the land concession contract is 25 years from May 2, 2012, and it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renewed with government approval for successive periods. The total land premium payable, including interest as required by the land concession contract,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$193.4 million. An initial payment of $62.5 million was paid in December 2011, with eight additional semi-annual payments of approximately $16.4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(which includes interest at 5%) due beginning November 2012. As of December 31, 2015 and 2014, the Company has recorded this obligation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$16.0 million and $30.8 million included as a current liability, respectively, and $16.0 million recorded as a long-term liability in 2014. The Company also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make annual lease payments of $0.8 million during the resort construction period and annual payments of approximately $1.1 million once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is completed.</w:t>
      </w:r>
    </w:p>
    <w:p>
      <w:pPr>
        <w:spacing w:after="0" w:line="21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 $20.6 billion (approximately $2.66 billion). On November 18, 2015 we were notified by the general contractor that the Wynn Palace project in the Cotai area of Macau will not be ready to open by the projected early completion date of March 25, 2016. The general contractor has expressed its commitment to the completion of the project by the required date but has advised us that they dispute our assessment of liquidated damages. The Company still expects to open Wynn Palace in the first half of 2016; however, potential construction delays could push the opening date into the second half of 2016. Both the contract time and guaranteed maximum price are subject to further adjustment under certain specified conditions. The performance of the general contractor is backed by a full completion guarantee given by CIMIC Group Limited (formerly Leighton Holdings Limited), the parent company of the general contractor, as well as a performance bond for 5% of the guaranteed maximum price.</w:t>
      </w:r>
    </w:p>
    <w:p>
      <w:pPr>
        <w:spacing w:after="0" w:line="178"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As of December 31, 2015, the Company has incurred approximately $3.5 billion of the approximately $4.1 billion in total project budget costs. The total project budget includes all construction costs, capitalized interest, pre-opening expenses, land costs and financing fees.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1" w:right="25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225"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The Company is the lessor under several retail leases and has entered into license and distribution agreements for several additional retail outlets. The Company also is a party to a joint venture agreement for the operation of the Ferrari and Maserati automobile dealership at Wynn Las Vegas, which permanently closed in October 2015. The lease agreements include minimum base rents with contingent rental clauses.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tcPr>
          <w:p>
            <w:pPr>
              <w:ind w:left="440"/>
              <w:spacing w:after="0"/>
              <w:rPr>
                <w:sz w:val="20"/>
                <w:szCs w:val="20"/>
                <w:color w:val="auto"/>
              </w:rPr>
            </w:pPr>
            <w:r>
              <w:rPr>
                <w:rFonts w:ascii="Arial" w:cs="Arial" w:eastAsia="Arial" w:hAnsi="Arial"/>
                <w:sz w:val="18"/>
                <w:szCs w:val="18"/>
                <w:color w:val="auto"/>
                <w:w w:val="99"/>
              </w:rPr>
              <w:t>The following table presents the future minimum rentals to be received under the operating leases (in thousands):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9"/>
        </w:trPr>
        <w:tc>
          <w:tcPr>
            <w:tcW w:w="94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78,639</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101,244</w:t>
            </w:r>
          </w:p>
        </w:tc>
      </w:tr>
      <w:tr>
        <w:trPr>
          <w:trHeight w:val="27"/>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82,621</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82,352</w:t>
            </w:r>
          </w:p>
        </w:tc>
      </w:tr>
      <w:tr>
        <w:trPr>
          <w:trHeight w:val="27"/>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81,412</w:t>
            </w:r>
          </w:p>
        </w:tc>
      </w:tr>
      <w:tr>
        <w:trPr>
          <w:trHeight w:val="243"/>
        </w:trPr>
        <w:tc>
          <w:tcPr>
            <w:tcW w:w="9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48,935</w:t>
            </w:r>
          </w:p>
        </w:tc>
      </w:tr>
      <w:tr>
        <w:trPr>
          <w:trHeight w:val="27"/>
        </w:trPr>
        <w:tc>
          <w:tcPr>
            <w:tcW w:w="9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475,203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total future minimum rentals do not include contingent rental. Contingent rentals were $48.6 million, $87.8 million and $101.0 million for the years ended December 31, 2015, 2014, and 2013, respectively.</w:t>
      </w:r>
    </w:p>
    <w:p>
      <w:pPr>
        <w:spacing w:after="0" w:line="17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7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At December 31, 2015, the Company was obligated under non-cancelable operating leases to make future minimum lease payments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16,416</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16,706</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15,376</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15,105</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10,523</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64,020</w:t>
            </w:r>
          </w:p>
        </w:tc>
      </w:tr>
      <w:tr>
        <w:trPr>
          <w:trHeight w:val="27"/>
        </w:trPr>
        <w:tc>
          <w:tcPr>
            <w:tcW w:w="9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138,146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2015, 2014 and 2013, was $28.6 million, $26.1 million and $21.9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the Company had outstanding letters of credit of $11.7 million.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121" w:right="25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93"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Aruze's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WML. On February 18, 2012, Mr. Okada was removed from the Board of Directors of Wynn Las Vegas Capital Corp., an indirect wholly owned subsidiary of Wynn Resorts. On February 24, 2012, Mr. Okada was removed from the Board of Directors of WML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75"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Mr. Wynn, and Elaine Wynn (the "Stockholders Agreement").</w:t>
      </w:r>
    </w:p>
    <w:p>
      <w:pPr>
        <w:spacing w:after="0" w:line="169" w:lineRule="exact"/>
        <w:rPr>
          <w:sz w:val="20"/>
          <w:szCs w:val="20"/>
          <w:color w:val="auto"/>
        </w:rPr>
      </w:pPr>
    </w:p>
    <w:p>
      <w:pPr>
        <w:ind w:right="60" w:firstLine="405"/>
        <w:spacing w:after="0" w:line="284" w:lineRule="auto"/>
        <w:rPr>
          <w:sz w:val="20"/>
          <w:szCs w:val="20"/>
          <w:color w:val="auto"/>
        </w:rPr>
      </w:pPr>
      <w:r>
        <w:rPr>
          <w:rFonts w:ascii="Arial" w:cs="Arial" w:eastAsia="Arial" w:hAnsi="Arial"/>
          <w:sz w:val="16"/>
          <w:szCs w:val="16"/>
          <w:color w:val="auto"/>
        </w:rPr>
        <w:t>On June 19, 2012, Elaine Wynn asserted a cross claim against Mr.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2023 Indenture provides that if Mr. Wynn, together with certain related parties, in the aggregate beneficially owns a lesser percentage of the voting power of the outstanding common stock of the Company than is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Mr. Wynn would not beneficially own or control Elaine Wynn's shares, which could increase the likelihood that a change in control may occur under the Wynn Las Vegas debt documents. Under the 2023 Indenture and the 2025 Indenture, if</w:t>
      </w:r>
    </w:p>
    <w:p>
      <w:pPr>
        <w:spacing w:after="0" w:line="1" w:lineRule="exact"/>
        <w:rPr>
          <w:sz w:val="20"/>
          <w:szCs w:val="20"/>
          <w:color w:val="auto"/>
        </w:rPr>
      </w:pPr>
    </w:p>
    <w:p>
      <w:pPr>
        <w:ind w:firstLine="8"/>
        <w:spacing w:after="0" w:line="295"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change of control occurs and (2) at any time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6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 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 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each of February 13, 2015 and February 12, 2016, the Company issued a check for the interest payment due at those times to the clerk of the court for deposit into the clerk's trust account.</w:t>
      </w:r>
    </w:p>
    <w:p>
      <w:pPr>
        <w:spacing w:after="0" w:line="167"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a discovery schedule closing on August 1, 2016.</w:t>
      </w:r>
    </w:p>
    <w:p>
      <w:pPr>
        <w:spacing w:after="0" w:line="38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lawsuit is currently in the discovery phase of litigation. 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the Company's financial condition.</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In February 2016, the Supreme Court of Japan dismissed the appeal as to all of the individuals, including the Company directors, thus upholding the motion for dismissal. The Supreme Court of Japan accepted the appeal as to the Company and will issue its decision on March 10, 2016.</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80" w:firstLine="432"/>
        <w:spacing w:after="0" w:line="284" w:lineRule="auto"/>
        <w:rPr>
          <w:sz w:val="20"/>
          <w:szCs w:val="20"/>
          <w:color w:val="auto"/>
        </w:rPr>
      </w:pPr>
      <w:r>
        <w:rPr>
          <w:rFonts w:ascii="Arial" w:cs="Arial" w:eastAsia="Arial" w:hAnsi="Arial"/>
          <w:sz w:val="16"/>
          <w:szCs w:val="16"/>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stayed the claims asserted by the Company against Mr. Okada pending the resolution of the Redemption Action.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Macau Action:</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July 3, 2015, WML announced that the Okada Parties filed a complaint in the Court of First Instance of Macau ("Macau Court") against Wynn Macau SA and certain individuals who are or were directors of Wynn Macau SA and/or WML (collectively, the "Wynn Macau Parties"). The principal allegations in the lawsuit are that the redemption of the Okada Parties' shares in the Company was improper and undervalued, that the previously disclosed payment by Wynn Macau SA to an unrelated third party in consideration of relinquishment by that party of certain rights in and to any future development on the land in Cotai where the Company is building Wynn Palace was unlawful and that the Company's previously disclosed donation to the University of Macau Development Foundation was unlawful. The plaintiffs seek dissolution of Wynn Macau SA and compensatory damages. The Macau Court has not yet served the complaint on all of the defendants.</w:t>
      </w:r>
    </w:p>
    <w:p>
      <w:pPr>
        <w:spacing w:after="0" w:line="18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believes the actions commenced by Mr. Okada discussed above are without merit and will vigorously defend the Wynn Macau Parties against them.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Development Foundation. The Company has not received any target letter or subpoena in connection with such an investigation. The Company intends to cooperate fully with the government in response to any inquiry related to the donation to the University of Macau Development Foundation.</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Development Foundation.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left="5580" w:right="4680" w:hanging="5572"/>
        <w:spacing w:after="0" w:line="589" w:lineRule="auto"/>
        <w:tabs>
          <w:tab w:leader="none" w:pos="264"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the Company and all 106</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Development Foundation;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The Company filed a response on December 18, 2014 and the Federal Plaintiffs filed a reply brief on January 30, 2015. On January 28, 2016, the Company received notice from the Ninth Circuit that it anticipates setting the appeal for oral argument during the court's May 2016 session.</w:t>
      </w:r>
    </w:p>
    <w:p>
      <w:pPr>
        <w:spacing w:after="0" w:line="172"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also have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25" w:lineRule="exact"/>
        <w:rPr>
          <w:sz w:val="20"/>
          <w:szCs w:val="20"/>
          <w:color w:val="auto"/>
        </w:rPr>
      </w:pPr>
    </w:p>
    <w:p>
      <w:pPr>
        <w:jc w:val="both"/>
        <w:ind w:right="80" w:firstLine="405"/>
        <w:spacing w:after="0" w:line="342" w:lineRule="auto"/>
        <w:rPr>
          <w:sz w:val="20"/>
          <w:szCs w:val="20"/>
          <w:color w:val="auto"/>
        </w:rPr>
      </w:pPr>
      <w:r>
        <w:rPr>
          <w:rFonts w:ascii="Arial" w:cs="Arial" w:eastAsia="Arial" w:hAnsi="Arial"/>
          <w:sz w:val="16"/>
          <w:szCs w:val="16"/>
          <w:color w:val="auto"/>
        </w:rPr>
        <w:t>On September 17, 2014, the Massachusetts Gaming Commission ("MGC") designated Wynn MA, LLC ("Wynn MA"), an indirect wholly owned subsidiary of the Company, the award winner of the Greater Boston (Region A) gaming license. On November 7, 2014, the gaming license became effective.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121" w:right="25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Revere Action: 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the other applicant for the Greater Boston (Region A) gaming license, to intervene in the Revere Action, and on February 23, 2015, Mohegan Sun filed its complaint. The Mohegan complaint challenges the license award to Wynn MA, seeks judicial review of the MGC's decision, and seeks to vacate the MGC's license award to Wynn MA. On July 1, 2015, the MGC filed motions to dismiss Mohegan Sun's and the City of Revere's complaints. Oral argument on these motions was heard on September 22, 2015.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have sought immediate appellate review of the dismissal of their claims and the MGC has requested immediate appellate review of the court's denial of the MGC's motion to dismiss Mohegan's certiorari claim. All three petitions for interlocutory review were denied.</w:t>
      </w:r>
    </w:p>
    <w:p>
      <w:pPr>
        <w:spacing w:after="0" w:line="17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Somerville Action: On December 4, 2014, the City of Somerville filed a complaint similar to the one in the Revere Action against the MGC and each of the five gaming commissioners in Suffolk Superior Court. The City of Somerville filed a motion to stay its case pending the results of the Massachusetts Department of Environmental Protection's review of Wynn MA's proposed project and the required mitigation actions. The motion to stay was not opposed by the MGC and on July 9, 2015, the court granted the City of Somerville's motion to stay. The stay remains in effect.</w:t>
      </w:r>
    </w:p>
    <w:p>
      <w:pPr>
        <w:spacing w:after="0" w:line="171"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Boston Action: 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 On May 20, 2015, the City of Boston filed an amended complaint requesting the court to nullify and vacate all decisions made by the MGC leading to and resulting in MGC's license award to Wynn MA; to declare invalid the MGC's regulations regarding the arbitration of surrounding community agreements; and to issue a declaration disqualifying all gaming commissioners from further participating in the gaming licensing process for Region A. The MGC filed a motion to dismiss Boston's amended complaint. Oral argument was heard on September 22, 2015. On December 3, 2015, the court granted the MGC's motion and dismissed the City of Boston's amended complaint. In January 2016, all actions among the City of Boston, Wynn MA and the MGC were resolved through a settlement set forth in a Surrounding Community Agreement.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Wynn MA is not named in the above complaints. The MGC has retained private legal representation at its own nontaxpayer-funded expense.</w:t>
      </w:r>
    </w:p>
    <w:p>
      <w:pPr>
        <w:spacing w:after="0" w:line="23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On July 6, 2015, twenty-four (24) individuals (taxable inhabitants) and more than ten (10) voters of the Commonwealth of Massachusetts filed a complaint in Suffolk Superior Court against the Massachusetts Bay Transportation Authority ("MBTA"), the Massachusetts Department of Transportation, and Wynn MA seeking a declaration that the proposed conveyance of a parcel of land in Everett, Massachusetts from the MBTA to Wynn MA violates state law. MBTA and Wynn MA filed a motion to dismiss and oral argument was heard on September 4, 2015. On October 19, 2015, the court granted the motion and dismissed the complaint.</w:t>
      </w:r>
    </w:p>
    <w:p>
      <w:pPr>
        <w:spacing w:after="0" w:line="18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On August 28, 2015, the Secretary of Energy and Environmental Affairs issued a certificate determining that Wynn MA's Second Supplemental Final Environmental Impact Report ("Report") submitted with respect to the project "adequately and properly complies" with the Massachusetts environmental and implementing regulations. On September 29, 2015, following the issuance of this certificate, the City of Boston filed a complaint against Wynn MA in Suffolk Superior Court seeking declaratory judgment that the certificate issued to Wynn MA is invalid due to an alleged failure to comply with certain provisions of the state environmental regulations and seeking to restrain Wynn MA from causing damage to the environment. In addition, on September 29, 2015, the City of Somerville filed a complaint against Wynn MA and the MGC in Suffolk Superior Court alleging that Wynn MA's Report failed to comply with certain provisions of the state environmental regulations and seeking declaratory relief with respect to the effect of the issuance of Wynn MA's gaming license. All City of Boston claims have been resolved by settlement between Wynn MA and the City of Boston. Wynn MA has until April 1, 2016 to respond to the City of Somerville's complaint.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On February 11, 2016, City of Somerville filed an appeal challenging the draft waterways license ("Chapter 91 License") issued by the Massachusetts Department of Environmental Protection ("MassDEP") on January 22, 2016. The Chapter 91 License authorized Wynn MA's proposed remediation and redevelopment of the project site. The Petitioner challenges the Chapter 91 License contending that it fails to conform to the Waterways Regulations and that certain prerequisites to its issuance are “...flawed and based on legally untenable grounds and are the subject of pending appeals." The appeal is pending before MassDEP's Office of Appeals and Dispute Resolution and an administrative hearing has been set for June 2, 2016. Until the resolution of this appeal, Wynn MA cannot commence construction activities within the portion of the project site that is within Chapter 91 License jurisdiction.</w:t>
      </w:r>
    </w:p>
    <w:p>
      <w:pPr>
        <w:spacing w:after="0" w:line="165"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Company will vigorously defend Wynn MA against the claims. Management has determined that based on proceedings to date, it is currently unable to determine the probability of the outcome of this action or the range of reasonably possible loss,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 Information</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at Wynn Macau are managed as a single integrated resort and have been aggregated as one reportable segment ("Macau Operations"). Wynn Las Vegas and Encore at Wynn Las Vegas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 The Company's projects under development are Wynn Palace and the Wynn resort in Massachusetts. In the following tables, the assets and capital expenditures of the Wynn resort in Massachusetts are included in Corporate and Other. Other Macau primarily represents cash and investment securities held at the Company's Macau holding company.</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121" w:right="27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2,463,092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3,796,750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4,040,526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1,612,791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1,636,911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1,580,410</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4,075,883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5,433,661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5,620,936</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Property EBITDA</w:t>
            </w:r>
            <w:r>
              <w:rPr>
                <w:rFonts w:ascii="Arial" w:cs="Arial" w:eastAsia="Arial" w:hAnsi="Arial"/>
                <w:sz w:val="18"/>
                <w:szCs w:val="18"/>
                <w:color w:val="auto"/>
              </w:rPr>
              <w:t>(1)</w:t>
            </w:r>
          </w:p>
        </w:tc>
        <w:tc>
          <w:tcPr>
            <w:tcW w:w="1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Macau Operations</w:t>
            </w:r>
          </w:p>
        </w:tc>
        <w:tc>
          <w:tcPr>
            <w:tcW w:w="2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708,623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1,258,082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1,324,119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Las Vegas Operations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477,166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515,196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486,682</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1,185,789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1,773,278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1,810,801</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costs and expenses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77,623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30,146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314,119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371,051</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10,437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17,138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111,795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88,729</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38,286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39,154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39,538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other operating costs and expenses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526,975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507,000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520,710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658,814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1,266,278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1,290,091</w:t>
            </w:r>
          </w:p>
        </w:tc>
        <w:tc>
          <w:tcPr>
            <w:tcW w:w="0" w:type="dxa"/>
            <w:vAlign w:val="bottom"/>
          </w:tcPr>
          <w:p>
            <w:pPr>
              <w:spacing w:after="0"/>
              <w:rPr>
                <w:sz w:val="1"/>
                <w:szCs w:val="1"/>
                <w:color w:val="auto"/>
              </w:rPr>
            </w:pPr>
          </w:p>
        </w:tc>
      </w:tr>
      <w:tr>
        <w:trPr>
          <w:trHeight w:val="223"/>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Non-operating costs and expenses</w:t>
            </w:r>
          </w:p>
        </w:tc>
        <w:tc>
          <w:tcPr>
            <w:tcW w:w="1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15,713</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(300,906)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(315,062)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(299,022)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swap fair value</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14,235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52,041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Arial" w:cs="Arial" w:eastAsia="Arial" w:hAnsi="Arial"/>
                <w:sz w:val="18"/>
                <w:szCs w:val="18"/>
                <w:color w:val="auto"/>
              </w:rPr>
              <w:t>Total other non-operating costs and expenses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(369,567)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(307,416)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(303,568)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289,247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958,862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986,523</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281,524</w:t>
            </w:r>
          </w:p>
        </w:tc>
        <w:tc>
          <w:tcPr>
            <w:tcW w:w="4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962,644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1,004,157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110</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22" w:right="77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400" w:lineRule="exact"/>
        <w:rPr>
          <w:sz w:val="20"/>
          <w:szCs w:val="20"/>
          <w:color w:val="auto"/>
        </w:rPr>
      </w:pPr>
    </w:p>
    <w:p>
      <w:pPr>
        <w:ind w:left="980" w:hanging="972"/>
        <w:spacing w:after="0" w:line="285"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Property EBITDA" is net income before interest, taxes, depreciation and amortization, pre-opening costs, property charges and other, management and license fees, corporate expenses and other, intercompany golf course and water rights leases, stock-based compensation, loss on extinguishment of debt, change in interest rate swap fair value, change in Redemption Note fair value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GAAP. In order to view the operations of their casinos on a more stand-alone basis, gaming companies, including Wynn Resorts,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measures of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Macau</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Macau Operations</w:t>
            </w:r>
          </w:p>
        </w:tc>
        <w:tc>
          <w:tcPr>
            <w:tcW w:w="3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63,284</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1,566,090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982,389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381,365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Macau</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1,634,834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1,074,955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444,649</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Las Vegas Operations</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117,011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62,535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64,954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169,395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1,921,240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1,221,357</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514,802</w:t>
            </w:r>
          </w:p>
        </w:tc>
        <w:tc>
          <w:tcPr>
            <w:tcW w:w="0" w:type="dxa"/>
            <w:vAlign w:val="bottom"/>
          </w:tcPr>
          <w:p>
            <w:pPr>
              <w:spacing w:after="0"/>
              <w:rPr>
                <w:sz w:val="1"/>
                <w:szCs w:val="1"/>
                <w:color w:val="auto"/>
              </w:rPr>
            </w:pPr>
          </w:p>
        </w:tc>
      </w:tr>
      <w:tr>
        <w:trPr>
          <w:trHeight w:val="67"/>
        </w:trPr>
        <w:tc>
          <w:tcPr>
            <w:tcW w:w="364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64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3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Macau</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Macau Operations</w:t>
            </w:r>
          </w:p>
        </w:tc>
        <w:tc>
          <w:tcPr>
            <w:tcW w:w="3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1,331,811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2,510,444</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3,439,041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1,854,521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755,452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3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583,346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974,170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652,267</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Arial" w:cs="Arial" w:eastAsia="Arial" w:hAnsi="Arial"/>
                <w:sz w:val="18"/>
                <w:szCs w:val="18"/>
                <w:color w:val="auto"/>
              </w:rPr>
              <w:t>Total Macau</w:t>
            </w:r>
          </w:p>
        </w:tc>
        <w:tc>
          <w:tcPr>
            <w:tcW w:w="3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5,354,198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4,348,789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3,918,163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3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3,180,214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3,472,931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3,576,649</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1,987,847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1,241,141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882,218</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10,522,259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9,062,861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8,377,030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Arial" w:cs="Arial" w:eastAsia="Arial" w:hAnsi="Arial"/>
                <w:sz w:val="18"/>
                <w:szCs w:val="18"/>
                <w:color w:val="auto"/>
              </w:rPr>
              <w:t>111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Macau</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4,324,743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2,799,781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1,732,485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3,337,356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3,268,576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3,292,965</w:t>
            </w:r>
          </w:p>
        </w:tc>
      </w:tr>
      <w:tr>
        <w:trPr>
          <w:trHeight w:val="237"/>
        </w:trPr>
        <w:tc>
          <w:tcPr>
            <w:tcW w:w="67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7,662,099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6,068,357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5,025,450</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Quarterly Financial Information (Unaudited)</w:t>
      </w:r>
    </w:p>
    <w:p>
      <w:pPr>
        <w:spacing w:after="0" w:line="229"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following tables (in thousands, except per share data) present selected quarterly financial information for 2015 and 2014,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2015</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Third (1)</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4,075,883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185,059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169,121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152,774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151,860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658,814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281,524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2"/>
              </w:rPr>
              <w:t>Net income (loss)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(44,601)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56,460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96,210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87,221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195,290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1.92</w:t>
            </w:r>
          </w:p>
        </w:tc>
      </w:tr>
      <w:tr>
        <w:trPr>
          <w:trHeight w:val="642"/>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 2014</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22"/>
                <w:szCs w:val="22"/>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1,513,613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1,412,063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1,370,010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5,433,661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376,831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341,342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332,575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215,530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1,266,278</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303,043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962,644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Limited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226,896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203,906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191,406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109,346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731,554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7.18</w:t>
            </w:r>
          </w:p>
        </w:tc>
      </w:tr>
    </w:tbl>
    <w:p>
      <w:pPr>
        <w:spacing w:after="0" w:line="229" w:lineRule="exact"/>
        <w:rPr>
          <w:sz w:val="20"/>
          <w:szCs w:val="20"/>
          <w:color w:val="auto"/>
        </w:rPr>
      </w:pPr>
    </w:p>
    <w:p>
      <w:pPr>
        <w:ind w:right="160" w:firstLine="8"/>
        <w:spacing w:after="0" w:line="25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2015 year-end close process, the Company identified a $33.8 million decrease to the Redemption Note fair value, resulting in increases to net income and net income attributable to Wynn Resorts of $22.4 million and basic and diluted net income per common share of $0.22 that should have been recorded during the three months ended September 30, 2015. While the Company has determined these amounts were immaterial to any previously reported financial results, considering both quantitative and qualitative factors, it has elected to revise in this filing the corrected amounts recorded in the three and nine months ended September 30, 2015.</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the effects of the revision on the Company's previously reported unaudited consolidated financial information for the three and nine months ended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revision on our unaudited Condensed Consolidated Balance Sheets are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Previously Reported</w:t>
            </w: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534"/>
              <w:spacing w:after="0"/>
              <w:rPr>
                <w:sz w:val="20"/>
                <w:szCs w:val="20"/>
                <w:color w:val="auto"/>
              </w:rPr>
            </w:pPr>
            <w:r>
              <w:rPr>
                <w:rFonts w:ascii="Arial" w:cs="Arial" w:eastAsia="Arial" w:hAnsi="Arial"/>
                <w:sz w:val="14"/>
                <w:szCs w:val="14"/>
                <w:b w:val="1"/>
                <w:bCs w:val="1"/>
                <w:color w:val="auto"/>
              </w:rPr>
              <w:t>As Revised</w:t>
            </w:r>
          </w:p>
        </w:tc>
      </w:tr>
      <w:tr>
        <w:trPr>
          <w:trHeight w:val="276"/>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2015</w:t>
            </w:r>
          </w:p>
        </w:tc>
        <w:tc>
          <w:tcPr>
            <w:tcW w:w="360" w:type="dxa"/>
            <w:vAlign w:val="bottom"/>
          </w:tcPr>
          <w:p>
            <w:pPr>
              <w:spacing w:after="0"/>
              <w:rPr>
                <w:sz w:val="24"/>
                <w:szCs w:val="24"/>
                <w:color w:val="auto"/>
              </w:rPr>
            </w:pPr>
          </w:p>
        </w:tc>
        <w:tc>
          <w:tcPr>
            <w:tcW w:w="1680" w:type="dxa"/>
            <w:vAlign w:val="bottom"/>
            <w:gridSpan w:val="2"/>
          </w:tcPr>
          <w:p>
            <w:pPr>
              <w:ind w:left="260"/>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24"/>
                <w:szCs w:val="24"/>
                <w:color w:val="auto"/>
              </w:rPr>
            </w:pPr>
          </w:p>
        </w:tc>
        <w:tc>
          <w:tcPr>
            <w:tcW w:w="1700" w:type="dxa"/>
            <w:vAlign w:val="bottom"/>
          </w:tcPr>
          <w:p>
            <w:pPr>
              <w:jc w:val="right"/>
              <w:ind w:right="274"/>
              <w:spacing w:after="0"/>
              <w:rPr>
                <w:sz w:val="20"/>
                <w:szCs w:val="20"/>
                <w:color w:val="auto"/>
              </w:rPr>
            </w:pPr>
            <w:r>
              <w:rPr>
                <w:rFonts w:ascii="Arial" w:cs="Arial" w:eastAsia="Arial" w:hAnsi="Arial"/>
                <w:sz w:val="14"/>
                <w:szCs w:val="14"/>
                <w:b w:val="1"/>
                <w:bCs w:val="1"/>
                <w:color w:val="auto"/>
              </w:rPr>
              <w:t>September 30, 2015</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8,748,449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8,714,681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36,569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47,893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10,041,967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10,019,523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18,884</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Wynn Resorts, Limited 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(38,338)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this revision on our unaudited Condensed Consolidated Statements of Income are as follows (in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jc w:val="right"/>
              <w:ind w:right="554"/>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4"/>
              <w:spacing w:after="0"/>
              <w:rPr>
                <w:sz w:val="20"/>
                <w:szCs w:val="20"/>
                <w:color w:val="auto"/>
              </w:rPr>
            </w:pPr>
            <w:r>
              <w:rPr>
                <w:rFonts w:ascii="Arial" w:cs="Arial" w:eastAsia="Arial" w:hAnsi="Arial"/>
                <w:sz w:val="14"/>
                <w:szCs w:val="14"/>
                <w:b w:val="1"/>
                <w:bCs w:val="1"/>
                <w:color w:val="auto"/>
                <w:w w:val="93"/>
              </w:rPr>
              <w:t>Nine Months Ended September 30, 2015</w:t>
            </w:r>
          </w:p>
        </w:tc>
      </w:tr>
      <w:tr>
        <w:trPr>
          <w:trHeight w:val="258"/>
        </w:trPr>
        <w:tc>
          <w:tcPr>
            <w:tcW w:w="3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Previously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As</w:t>
            </w:r>
          </w:p>
        </w:tc>
      </w:tr>
      <w:tr>
        <w:trPr>
          <w:trHeight w:val="27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Reported</w:t>
            </w: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Revised</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24"/>
                <w:szCs w:val="24"/>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Revised</w:t>
            </w: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Redemption Note fair value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47,488</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33,768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(306,311)</w:t>
            </w: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200,643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(23,913)</w:t>
            </w: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90,985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154,286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176,730</w:t>
            </w:r>
          </w:p>
        </w:tc>
      </w:tr>
      <w:tr>
        <w:trPr>
          <w:trHeight w:val="229"/>
        </w:trPr>
        <w:tc>
          <w:tcPr>
            <w:tcW w:w="3440" w:type="dxa"/>
            <w:vAlign w:val="bottom"/>
          </w:tcPr>
          <w:p>
            <w:pPr>
              <w:ind w:left="40"/>
              <w:spacing w:after="0"/>
              <w:rPr>
                <w:sz w:val="20"/>
                <w:szCs w:val="20"/>
                <w:color w:val="auto"/>
              </w:rPr>
            </w:pPr>
            <w:r>
              <w:rPr>
                <w:rFonts w:ascii="Arial" w:cs="Arial" w:eastAsia="Arial" w:hAnsi="Arial"/>
                <w:sz w:val="18"/>
                <w:szCs w:val="18"/>
                <w:color w:val="auto"/>
              </w:rPr>
              <w:t>Net income attributable to Wynn Resorts,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3440" w:type="dxa"/>
            <w:vAlign w:val="bottom"/>
          </w:tcPr>
          <w:p>
            <w:pPr>
              <w:ind w:left="40"/>
              <w:spacing w:after="0"/>
              <w:rPr>
                <w:sz w:val="20"/>
                <w:szCs w:val="20"/>
                <w:color w:val="auto"/>
              </w:rPr>
            </w:pPr>
            <w:r>
              <w:rPr>
                <w:rFonts w:ascii="Arial" w:cs="Arial" w:eastAsia="Arial" w:hAnsi="Arial"/>
                <w:sz w:val="18"/>
                <w:szCs w:val="18"/>
                <w:color w:val="auto"/>
              </w:rPr>
              <w:t>Limited</w:t>
            </w:r>
          </w:p>
        </w:tc>
        <w:tc>
          <w:tcPr>
            <w:tcW w:w="16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73,766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22,444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96,210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85,625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108,069</w:t>
            </w: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Basic and diluted income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4"/>
          </w:tcPr>
          <w:p>
            <w:pPr>
              <w:ind w:left="200"/>
              <w:spacing w:after="0"/>
              <w:rPr>
                <w:sz w:val="20"/>
                <w:szCs w:val="20"/>
                <w:color w:val="auto"/>
              </w:rPr>
            </w:pPr>
            <w:r>
              <w:rPr>
                <w:rFonts w:ascii="Arial" w:cs="Arial" w:eastAsia="Arial" w:hAnsi="Arial"/>
                <w:sz w:val="18"/>
                <w:szCs w:val="18"/>
                <w:color w:val="auto"/>
              </w:rPr>
              <w:t>Net income attributable to Wynn Resorts, Limited: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43"/>
        </w:trPr>
        <w:tc>
          <w:tcPr>
            <w:tcW w:w="3440" w:type="dxa"/>
            <w:vAlign w:val="bottom"/>
          </w:tcPr>
          <w:p>
            <w:pPr>
              <w:ind w:left="30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revision on our unaudited Condensed Consolidated Statements of Comprehensive Income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rPr>
              <w:t>Three Months Ended September 30, 2015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4"/>
                <w:szCs w:val="14"/>
                <w:b w:val="1"/>
                <w:bCs w:val="1"/>
                <w:color w:val="auto"/>
                <w:w w:val="93"/>
              </w:rPr>
              <w:t>Nine Months Ended September 30, 2015</w:t>
            </w:r>
          </w:p>
        </w:tc>
      </w:tr>
      <w:tr>
        <w:trPr>
          <w:trHeight w:val="258"/>
        </w:trPr>
        <w:tc>
          <w:tcPr>
            <w:tcW w:w="3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As Previously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Previously</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Revised</w:t>
            </w: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6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24"/>
                <w:szCs w:val="24"/>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Revised</w:t>
            </w: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90,985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center"/>
              <w:ind w:left="274"/>
              <w:spacing w:after="0"/>
              <w:rPr>
                <w:sz w:val="20"/>
                <w:szCs w:val="20"/>
                <w:color w:val="auto"/>
              </w:rPr>
            </w:pPr>
            <w:r>
              <w:rPr>
                <w:rFonts w:ascii="Arial" w:cs="Arial" w:eastAsia="Arial" w:hAnsi="Arial"/>
                <w:sz w:val="18"/>
                <w:szCs w:val="18"/>
                <w:color w:val="auto"/>
                <w:w w:val="90"/>
              </w:rPr>
              <w:t>22,444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176,730</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Pr>
          <w:p>
            <w:pPr>
              <w:spacing w:after="0"/>
              <w:rPr>
                <w:sz w:val="21"/>
                <w:szCs w:val="21"/>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rPr>
              <w:t>90,782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left="274"/>
              <w:spacing w:after="0"/>
              <w:rPr>
                <w:sz w:val="20"/>
                <w:szCs w:val="20"/>
                <w:color w:val="auto"/>
              </w:rPr>
            </w:pPr>
            <w:r>
              <w:rPr>
                <w:rFonts w:ascii="Arial" w:cs="Arial" w:eastAsia="Arial" w:hAnsi="Arial"/>
                <w:sz w:val="18"/>
                <w:szCs w:val="18"/>
                <w:color w:val="auto"/>
                <w:w w:val="90"/>
              </w:rPr>
              <w:t>22,444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113,226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153,416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22,444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175,860</w:t>
            </w: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Comprehensive income attributable to Wynn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Resorts, Limited</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73,546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ind w:left="274"/>
              <w:spacing w:after="0"/>
              <w:rPr>
                <w:sz w:val="20"/>
                <w:szCs w:val="20"/>
                <w:color w:val="auto"/>
              </w:rPr>
            </w:pPr>
            <w:r>
              <w:rPr>
                <w:rFonts w:ascii="Arial" w:cs="Arial" w:eastAsia="Arial" w:hAnsi="Arial"/>
                <w:sz w:val="18"/>
                <w:szCs w:val="18"/>
                <w:color w:val="auto"/>
                <w:w w:val="90"/>
              </w:rPr>
              <w:t>22,444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95,990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84,863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107,307</w:t>
            </w:r>
          </w:p>
        </w:tc>
      </w:tr>
      <w:tr>
        <w:trPr>
          <w:trHeight w:val="432"/>
        </w:trPr>
        <w:tc>
          <w:tcPr>
            <w:tcW w:w="9060" w:type="dxa"/>
            <w:vAlign w:val="bottom"/>
            <w:gridSpan w:val="14"/>
          </w:tcPr>
          <w:p>
            <w:pPr>
              <w:spacing w:after="0"/>
              <w:rPr>
                <w:sz w:val="20"/>
                <w:szCs w:val="20"/>
                <w:color w:val="auto"/>
              </w:rPr>
            </w:pPr>
            <w:r>
              <w:rPr>
                <w:rFonts w:ascii="Arial" w:cs="Arial" w:eastAsia="Arial" w:hAnsi="Arial"/>
                <w:sz w:val="18"/>
                <w:szCs w:val="18"/>
                <w:color w:val="auto"/>
                <w:w w:val="90"/>
              </w:rPr>
              <w:t>The effects of this revision on our unaudited Condensed Consolidated Statement of Cash Flows are as follows (in thousands):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99"/>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center"/>
              <w:ind w:right="57"/>
              <w:spacing w:after="0"/>
              <w:rPr>
                <w:sz w:val="20"/>
                <w:szCs w:val="20"/>
                <w:color w:val="auto"/>
              </w:rPr>
            </w:pPr>
            <w:r>
              <w:rPr>
                <w:rFonts w:ascii="Arial" w:cs="Arial" w:eastAsia="Arial" w:hAnsi="Arial"/>
                <w:sz w:val="14"/>
                <w:szCs w:val="14"/>
                <w:b w:val="1"/>
                <w:bCs w:val="1"/>
                <w:color w:val="auto"/>
                <w:w w:val="93"/>
              </w:rPr>
              <w:t>Nine Months Ended September 30, 2015</w:t>
            </w:r>
          </w:p>
        </w:tc>
      </w:tr>
      <w:tr>
        <w:trPr>
          <w:trHeight w:val="258"/>
        </w:trPr>
        <w:tc>
          <w:tcPr>
            <w:tcW w:w="3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As Previously</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As</w:t>
            </w:r>
          </w:p>
        </w:tc>
      </w:tr>
      <w:tr>
        <w:trPr>
          <w:trHeight w:val="27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60" w:type="dxa"/>
            <w:vAlign w:val="bottom"/>
          </w:tcPr>
          <w:p>
            <w:pPr>
              <w:spacing w:after="0"/>
              <w:rPr>
                <w:sz w:val="24"/>
                <w:szCs w:val="2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Adjustment</w:t>
            </w:r>
          </w:p>
        </w:tc>
        <w:tc>
          <w:tcPr>
            <w:tcW w:w="260" w:type="dxa"/>
            <w:vAlign w:val="bottom"/>
          </w:tcPr>
          <w:p>
            <w:pPr>
              <w:spacing w:after="0"/>
              <w:rPr>
                <w:sz w:val="24"/>
                <w:szCs w:val="24"/>
                <w:color w:val="auto"/>
              </w:rPr>
            </w:pPr>
          </w:p>
        </w:tc>
        <w:tc>
          <w:tcPr>
            <w:tcW w:w="100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Revised</w:t>
            </w: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154,286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176,730</w:t>
            </w:r>
          </w:p>
        </w:tc>
      </w:tr>
      <w:tr>
        <w:trPr>
          <w:trHeight w:val="243"/>
        </w:trPr>
        <w:tc>
          <w:tcPr>
            <w:tcW w:w="6200" w:type="dxa"/>
            <w:vAlign w:val="bottom"/>
            <w:gridSpan w:val="7"/>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23,357</w:t>
            </w: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Decrease in Redemption Note fair value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(47,488)</w:t>
            </w:r>
          </w:p>
        </w:tc>
      </w:tr>
      <w:tr>
        <w:trPr>
          <w:trHeight w:val="70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234"/>
              <w:spacing w:after="0"/>
              <w:rPr>
                <w:sz w:val="20"/>
                <w:szCs w:val="20"/>
                <w:color w:val="auto"/>
              </w:rPr>
            </w:pPr>
            <w:r>
              <w:rPr>
                <w:rFonts w:ascii="Arial" w:cs="Arial" w:eastAsia="Arial" w:hAnsi="Arial"/>
                <w:sz w:val="18"/>
                <w:szCs w:val="18"/>
                <w:color w:val="auto"/>
                <w:w w:val="86"/>
              </w:rPr>
              <w:t>113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February 11, 2016, the Company announced a cash dividend of $0.50 per share, payable on March 2, 2016 to stockholders of record as of February 23,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240" w:top="122" w:right="35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440"/>
        <w:spacing w:after="0" w:line="269" w:lineRule="auto"/>
        <w:tabs>
          <w:tab w:leader="none" w:pos="85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2015,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82" w:lineRule="exact"/>
        <w:rPr>
          <w:rFonts w:ascii="Arial" w:cs="Arial" w:eastAsia="Arial" w:hAnsi="Arial"/>
          <w:sz w:val="17"/>
          <w:szCs w:val="17"/>
          <w:color w:val="auto"/>
        </w:rPr>
      </w:pPr>
    </w:p>
    <w:p>
      <w:pPr>
        <w:ind w:right="220" w:firstLine="440"/>
        <w:spacing w:after="0" w:line="277" w:lineRule="auto"/>
        <w:tabs>
          <w:tab w:leader="none" w:pos="687"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2015. In making this assessment, management used the criteria set forth by the Committee of Sponsoring Organizations of the Treadway Commission (2013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our assessment, management believes that, as of December 31, 2015, the Company's internal control over financial reporting was effective.</w:t>
      </w:r>
    </w:p>
    <w:p>
      <w:pPr>
        <w:spacing w:after="0" w:line="248"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The Company's independent registered public accounting firm has issued an audit report on our internal control over financial reporting. This report appears under "Report of Independent Registered Public Accounting Firm on Internal Control Over Financial Reporting" on page 64.</w:t>
      </w:r>
    </w:p>
    <w:p>
      <w:pPr>
        <w:spacing w:after="0" w:line="147" w:lineRule="exact"/>
        <w:rPr>
          <w:sz w:val="20"/>
          <w:szCs w:val="20"/>
          <w:color w:val="auto"/>
        </w:rPr>
      </w:pPr>
    </w:p>
    <w:p>
      <w:pPr>
        <w:ind w:right="180" w:firstLine="440"/>
        <w:spacing w:after="0" w:line="312" w:lineRule="auto"/>
        <w:tabs>
          <w:tab w:leader="none" w:pos="857"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Except as described below, there have not been any changes in the Company's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4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As summarized in Item 8—"Financial Statements and Supplementary Data", Note 19 "Quarterly Financial Information (Unaudited)," during the 2015 year end close process, the Company identified an error in its valuation process related to the Redemption Note. Management determined the controls applied at September 30, 2015 regarding the valuation of the Redemption Note were not effective and this control deficiency represented a material weakness in internal control over financial reporting at that date. Subsequent to the identification of this control deficiency, management changed the design of its related controls. Specifically, the same controls utilized in the year end annual close process will be applied to all interim reporting periods, including the use of a third party specialist to validate the Redemption Note fair value. As reported above, management has concluded the Company's internal control over financial reporting is effective as of December 31, 2015.</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121" w:right="27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2016 Annual Stockholder Meeting to be filed with the Securities and Exchange Commission within 120 days after December 31, 2015 (the "2016 Proxy Statement") under the captions "Election of Directors," "Executive Officers," "Corporate Governance" and "Section 16(a) Beneficial Ownership Reporting Compliance," and is incorporated herein by reference.</w:t>
      </w:r>
    </w:p>
    <w:p>
      <w:pPr>
        <w:spacing w:after="0" w:line="187" w:lineRule="exact"/>
        <w:rPr>
          <w:sz w:val="20"/>
          <w:szCs w:val="20"/>
          <w:color w:val="auto"/>
        </w:rPr>
      </w:pPr>
    </w:p>
    <w:p>
      <w:pPr>
        <w:ind w:right="360" w:firstLine="432"/>
        <w:spacing w:after="0" w:line="257" w:lineRule="auto"/>
        <w:rPr>
          <w:sz w:val="20"/>
          <w:szCs w:val="20"/>
          <w:color w:val="auto"/>
        </w:rPr>
      </w:pPr>
      <w:r>
        <w:rPr>
          <w:rFonts w:ascii="Arial" w:cs="Arial" w:eastAsia="Arial" w:hAnsi="Arial"/>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http://www.wynnresorts.com under the heading "Corporate Governance" within four business days following such amendment or waiver or as otherwise required by the NASDAQ listing standards.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2016 Proxy Statement under the captions "Director Compensation," "Compensation Discussion and Analysis" and "Executive Compensation Tables,"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Securities to</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 Issued</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 of</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Options,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Options,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Warrants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Warrants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64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and Rights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Rights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6420" w:type="dxa"/>
            <w:vAlign w:val="bottom"/>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50"/>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4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1,370,260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4,234,625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1,370,260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81.49</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8"/>
                <w:szCs w:val="18"/>
                <w:color w:val="auto"/>
              </w:rPr>
              <w:t>4,234,625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Certain information required by this item will be contained in the 2016 Proxy Statement under the caption "Certain Beneficial Ownership and Management,"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2016 Proxy Statement under the caption "Certain Relationships and Related Transactions," and "Corporate Governance,"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information required by this item will be contained in the 2016 Proxy Statement under the caption "Ratification of Appointment of Independent Auditors," and is incorporated herein by reference.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121" w:right="29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Item15. Exhibits, Financial Statement Schedules</w:t>
      </w:r>
    </w:p>
    <w:p>
      <w:pPr>
        <w:spacing w:after="0" w:line="22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1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Balance Sheets as of December 31, 2015 and 2014</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2015, 2014 and 2013</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years ended December 31, 2015, 2014 and 2013</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2015, 2014 and 2013</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2015, 2014 and 2013</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 filed in Part IV of this report:</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121" w:right="29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II</w:t>
      </w:r>
      <w:r>
        <w:rPr>
          <w:rFonts w:ascii="Arial" w:cs="Arial" w:eastAsia="Arial" w:hAnsi="Arial"/>
          <w:sz w:val="18"/>
          <w:szCs w:val="18"/>
          <w:color w:val="auto"/>
        </w:rPr>
        <w:t>—</w:t>
      </w: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Provisions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Write-offs,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w:t>
            </w: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Doubtful</w:t>
            </w: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Net of</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Accounts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Recoveries</w:t>
            </w: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74,678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67,057</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74,678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102,213</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11,877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73,991</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Additions</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Deductions</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126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15"/>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 valuation</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2015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3,296,789</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52,759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3,330,878</w:t>
            </w:r>
          </w:p>
        </w:tc>
        <w:tc>
          <w:tcPr>
            <w:tcW w:w="0" w:type="dxa"/>
            <w:vAlign w:val="bottom"/>
          </w:tcPr>
          <w:p>
            <w:pPr>
              <w:spacing w:after="0"/>
              <w:rPr>
                <w:sz w:val="1"/>
                <w:szCs w:val="1"/>
                <w:color w:val="auto"/>
              </w:rPr>
            </w:pPr>
          </w:p>
        </w:tc>
      </w:tr>
      <w:tr>
        <w:trPr>
          <w:trHeight w:val="67"/>
        </w:trPr>
        <w:tc>
          <w:tcPr>
            <w:tcW w:w="34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2,587,025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745,112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3,296,789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1,831,545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773,509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2,587,025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1" w:right="1440"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1580" w:right="240" w:hanging="386"/>
        <w:spacing w:after="0" w:line="277" w:lineRule="auto"/>
        <w:tabs>
          <w:tab w:leader="none" w:pos="1560" w:val="left"/>
        </w:tabs>
        <w:rPr>
          <w:sz w:val="20"/>
          <w:szCs w:val="20"/>
          <w:color w:val="auto"/>
        </w:rPr>
      </w:pPr>
      <w:r>
        <w:rPr>
          <w:rFonts w:ascii="Arial" w:cs="Arial" w:eastAsia="Arial" w:hAnsi="Arial"/>
          <w:sz w:val="18"/>
          <w:szCs w:val="18"/>
          <w:color w:val="auto"/>
        </w:rPr>
        <w:t>3.1</w:t>
        <w:tab/>
        <w:t>Third Amended and Restated Articles of Incorporation of the Registrant. (Incorporated by reference from the Quarterly Report on Form 10-Q filed by the Registrant on May 8, 2015.)</w:t>
      </w:r>
    </w:p>
    <w:p>
      <w:pPr>
        <w:spacing w:after="0" w:line="8" w:lineRule="exact"/>
        <w:rPr>
          <w:sz w:val="20"/>
          <w:szCs w:val="20"/>
          <w:color w:val="auto"/>
        </w:rPr>
      </w:pPr>
    </w:p>
    <w:p>
      <w:pPr>
        <w:ind w:left="1580" w:right="200" w:hanging="386"/>
        <w:spacing w:after="0" w:line="277" w:lineRule="auto"/>
        <w:tabs>
          <w:tab w:leader="none" w:pos="1560" w:val="left"/>
        </w:tabs>
        <w:rPr>
          <w:sz w:val="20"/>
          <w:szCs w:val="20"/>
          <w:color w:val="auto"/>
        </w:rPr>
      </w:pPr>
      <w:r>
        <w:rPr>
          <w:rFonts w:ascii="Arial" w:cs="Arial" w:eastAsia="Arial" w:hAnsi="Arial"/>
          <w:sz w:val="18"/>
          <w:szCs w:val="18"/>
          <w:color w:val="auto"/>
        </w:rPr>
        <w:t>3.2</w:t>
        <w:tab/>
        <w:t>Eighth Amended and Restated Bylaws of the Registrant. (Incorporated by reference from the Quarterly Report on Form 10-Q filed by the Registrant on November 6, 2015.)</w:t>
      </w:r>
    </w:p>
    <w:p>
      <w:pPr>
        <w:spacing w:after="0" w:line="8" w:lineRule="exact"/>
        <w:rPr>
          <w:sz w:val="20"/>
          <w:szCs w:val="20"/>
          <w:color w:val="auto"/>
        </w:rPr>
      </w:pPr>
    </w:p>
    <w:p>
      <w:pPr>
        <w:ind w:left="1580" w:right="460" w:hanging="386"/>
        <w:spacing w:after="0" w:line="298" w:lineRule="auto"/>
        <w:tabs>
          <w:tab w:leader="none" w:pos="1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Specimen certificate for shares of Common Stock, $0.01 par value per share of the Registrant. (Incorporated by reference from Amendment No. 4 to the Form S-1 filed by the Registrant on October 7, 2002 (File No. 333-90600).)</w:t>
      </w:r>
    </w:p>
    <w:p>
      <w:pPr>
        <w:spacing w:after="0" w:line="1" w:lineRule="exact"/>
        <w:rPr>
          <w:sz w:val="20"/>
          <w:szCs w:val="20"/>
          <w:color w:val="auto"/>
        </w:rPr>
      </w:pPr>
    </w:p>
    <w:p>
      <w:pPr>
        <w:ind w:left="1580" w:right="40" w:hanging="386"/>
        <w:spacing w:after="0" w:line="264" w:lineRule="auto"/>
        <w:tabs>
          <w:tab w:leader="none" w:pos="1560" w:val="left"/>
        </w:tabs>
        <w:rPr>
          <w:sz w:val="20"/>
          <w:szCs w:val="20"/>
          <w:color w:val="auto"/>
        </w:rPr>
      </w:pPr>
      <w:r>
        <w:rPr>
          <w:rFonts w:ascii="Arial" w:cs="Arial" w:eastAsia="Arial" w:hAnsi="Arial"/>
          <w:sz w:val="18"/>
          <w:szCs w:val="18"/>
          <w:color w:val="auto"/>
        </w:rPr>
        <w:t>4.2</w:t>
        <w:tab/>
        <w:t>Indenture, dated as of April 28, 2010, by and among Wynn Las Vegas, LLC, Wynn Las Vegas Capital Corp., the Guarantors named therein and U.S. Bank National Association, as trustee. (Incorporated by reference from the Current Report on Form 8-K filed by the Registrant on April 28, 2010.)</w:t>
      </w:r>
    </w:p>
    <w:p>
      <w:pPr>
        <w:spacing w:after="0" w:line="19" w:lineRule="exact"/>
        <w:rPr>
          <w:sz w:val="20"/>
          <w:szCs w:val="20"/>
          <w:color w:val="auto"/>
        </w:rPr>
      </w:pPr>
    </w:p>
    <w:p>
      <w:pPr>
        <w:jc w:val="both"/>
        <w:ind w:left="1580" w:right="40" w:hanging="386"/>
        <w:spacing w:after="0" w:line="264" w:lineRule="auto"/>
        <w:tabs>
          <w:tab w:leader="none" w:pos="1560" w:val="left"/>
        </w:tabs>
        <w:rPr>
          <w:sz w:val="20"/>
          <w:szCs w:val="20"/>
          <w:color w:val="auto"/>
        </w:rPr>
      </w:pPr>
      <w:r>
        <w:rPr>
          <w:rFonts w:ascii="Arial" w:cs="Arial" w:eastAsia="Arial" w:hAnsi="Arial"/>
          <w:sz w:val="18"/>
          <w:szCs w:val="18"/>
          <w:color w:val="auto"/>
        </w:rPr>
        <w:t>4.3</w:t>
        <w:tab/>
        <w:t>Indenture, dated as of August 4, 2010, by and among Wynn Las Vegas, LLC, Wynn Las Vegas Capital Corp., the Guarantors named therein and U.S. Bank National Association, as trustee. (Incorporated by reference from the Current Report on Form 8-K filed by the Registrant on August 5, 2010.)</w:t>
      </w:r>
    </w:p>
    <w:p>
      <w:pPr>
        <w:spacing w:after="0" w:line="19" w:lineRule="exact"/>
        <w:rPr>
          <w:sz w:val="20"/>
          <w:szCs w:val="20"/>
          <w:color w:val="auto"/>
        </w:rPr>
      </w:pPr>
    </w:p>
    <w:p>
      <w:pPr>
        <w:jc w:val="both"/>
        <w:ind w:left="1580" w:right="40" w:hanging="386"/>
        <w:spacing w:after="0" w:line="264" w:lineRule="auto"/>
        <w:tabs>
          <w:tab w:leader="none" w:pos="1560" w:val="left"/>
        </w:tabs>
        <w:rPr>
          <w:sz w:val="20"/>
          <w:szCs w:val="20"/>
          <w:color w:val="auto"/>
        </w:rPr>
      </w:pPr>
      <w:r>
        <w:rPr>
          <w:rFonts w:ascii="Arial" w:cs="Arial" w:eastAsia="Arial" w:hAnsi="Arial"/>
          <w:sz w:val="18"/>
          <w:szCs w:val="18"/>
          <w:color w:val="auto"/>
        </w:rPr>
        <w:t>4.4</w:t>
        <w:tab/>
        <w:t>Indenture, dated as of March 12, 2012, by and among Wynn Las Vegas, LLC, Wynn Las Vegas Capital Corp., the Guarantors named therein and U.S. Bank National Association, as trustee. (Incorporated by reference from the Current Report on Form 8-K filed by the Registrant on March 13, 2012.)</w:t>
      </w:r>
    </w:p>
    <w:p>
      <w:pPr>
        <w:spacing w:after="0" w:line="19" w:lineRule="exact"/>
        <w:rPr>
          <w:sz w:val="20"/>
          <w:szCs w:val="20"/>
          <w:color w:val="auto"/>
        </w:rPr>
      </w:pPr>
    </w:p>
    <w:p>
      <w:pPr>
        <w:ind w:left="1580" w:right="40" w:hanging="386"/>
        <w:spacing w:after="0" w:line="264" w:lineRule="auto"/>
        <w:tabs>
          <w:tab w:leader="none" w:pos="1560" w:val="left"/>
        </w:tabs>
        <w:rPr>
          <w:sz w:val="20"/>
          <w:szCs w:val="20"/>
          <w:color w:val="auto"/>
        </w:rPr>
      </w:pPr>
      <w:r>
        <w:rPr>
          <w:rFonts w:ascii="Arial" w:cs="Arial" w:eastAsia="Arial" w:hAnsi="Arial"/>
          <w:sz w:val="18"/>
          <w:szCs w:val="18"/>
          <w:color w:val="auto"/>
        </w:rPr>
        <w:t>4.5</w:t>
        <w:tab/>
        <w:t>Indenture, dated as of May 22, 2013, by and among Wynn Las Vegas, LLC, Wynn Las Vegas Capital Corp., the Guarantors named therein and U.S. Bank National Association, as trustee. (Incorporated by reference from the Current Report on Form 8-K filed by the Registrant on May 22, 2013.)</w:t>
      </w:r>
    </w:p>
    <w:p>
      <w:pPr>
        <w:spacing w:after="0" w:line="19" w:lineRule="exact"/>
        <w:rPr>
          <w:sz w:val="20"/>
          <w:szCs w:val="20"/>
          <w:color w:val="auto"/>
        </w:rPr>
      </w:pPr>
    </w:p>
    <w:p>
      <w:pPr>
        <w:ind w:left="1580" w:hanging="386"/>
        <w:spacing w:after="0" w:line="264" w:lineRule="auto"/>
        <w:tabs>
          <w:tab w:leader="none" w:pos="1560" w:val="left"/>
        </w:tabs>
        <w:rPr>
          <w:sz w:val="20"/>
          <w:szCs w:val="20"/>
          <w:color w:val="auto"/>
        </w:rPr>
      </w:pPr>
      <w:r>
        <w:rPr>
          <w:rFonts w:ascii="Arial" w:cs="Arial" w:eastAsia="Arial" w:hAnsi="Arial"/>
          <w:sz w:val="18"/>
          <w:szCs w:val="18"/>
          <w:color w:val="auto"/>
        </w:rPr>
        <w:t>4.6</w:t>
        <w:tab/>
        <w:t>Indenture, dated as of February 18, 2015, by and among Wynn Las Vegas, LLC, Wynn Las Vegas Capital Corp., the Guarantors named therein and U.S. Bank National Association, as trustee. (Incorporated by reference from the Current Report on Form 8-K filed by the Registrant on February 18, 2015.)</w:t>
      </w:r>
    </w:p>
    <w:p>
      <w:pPr>
        <w:spacing w:after="0" w:line="19" w:lineRule="exact"/>
        <w:rPr>
          <w:sz w:val="20"/>
          <w:szCs w:val="20"/>
          <w:color w:val="auto"/>
        </w:rPr>
      </w:pPr>
    </w:p>
    <w:p>
      <w:pPr>
        <w:ind w:left="1580" w:right="20" w:hanging="386"/>
        <w:spacing w:after="0" w:line="264" w:lineRule="auto"/>
        <w:tabs>
          <w:tab w:leader="none" w:pos="1560" w:val="left"/>
        </w:tabs>
        <w:rPr>
          <w:sz w:val="20"/>
          <w:szCs w:val="20"/>
          <w:color w:val="auto"/>
        </w:rPr>
      </w:pPr>
      <w:r>
        <w:rPr>
          <w:rFonts w:ascii="Arial" w:cs="Arial" w:eastAsia="Arial" w:hAnsi="Arial"/>
          <w:sz w:val="18"/>
          <w:szCs w:val="18"/>
          <w:color w:val="auto"/>
        </w:rPr>
        <w:t>4.7</w:t>
        <w:tab/>
        <w:t>Supplemental Indenture, dated as of February 18, 2015, to Indenture, dated as of April 28, 2010, by and among Wynn Las Vegas, LLC, Wynn Las Vegas Capital Corp., the Guarantors named therein and U.S. Bank National Association, as trustee. (Incorporated by reference from the Annual Report on Form 10-K filed by the Registrant on March 2, 2015.)</w:t>
      </w:r>
    </w:p>
    <w:p>
      <w:pPr>
        <w:spacing w:after="0" w:line="19" w:lineRule="exact"/>
        <w:rPr>
          <w:sz w:val="20"/>
          <w:szCs w:val="20"/>
          <w:color w:val="auto"/>
        </w:rPr>
      </w:pPr>
    </w:p>
    <w:p>
      <w:pPr>
        <w:ind w:left="1580" w:right="20" w:hanging="386"/>
        <w:spacing w:after="0" w:line="264" w:lineRule="auto"/>
        <w:tabs>
          <w:tab w:leader="none" w:pos="1560" w:val="left"/>
        </w:tabs>
        <w:rPr>
          <w:sz w:val="20"/>
          <w:szCs w:val="20"/>
          <w:color w:val="auto"/>
        </w:rPr>
      </w:pPr>
      <w:r>
        <w:rPr>
          <w:rFonts w:ascii="Arial" w:cs="Arial" w:eastAsia="Arial" w:hAnsi="Arial"/>
          <w:sz w:val="18"/>
          <w:szCs w:val="18"/>
          <w:color w:val="auto"/>
        </w:rPr>
        <w:t>4.8</w:t>
        <w:tab/>
        <w:t>Supplemental Indenture, dated as of February 18, 2015, to Indenture, dated as of August 4, 2010, by and among Wynn Las Vegas, LLC, Wynn Las Vegas Capital Corp., the Guarantors named therein and U.S. Bank National Association, as trustee. (Incorporated by reference from the Annual Report on Form 10-K filed by the Registrant on March 2, 2015.)</w:t>
      </w:r>
    </w:p>
    <w:p>
      <w:pPr>
        <w:spacing w:after="0" w:line="19" w:lineRule="exact"/>
        <w:rPr>
          <w:sz w:val="20"/>
          <w:szCs w:val="20"/>
          <w:color w:val="auto"/>
        </w:rPr>
      </w:pPr>
    </w:p>
    <w:p>
      <w:pPr>
        <w:ind w:left="1580" w:right="20" w:hanging="386"/>
        <w:spacing w:after="0" w:line="264" w:lineRule="auto"/>
        <w:tabs>
          <w:tab w:leader="none" w:pos="1560" w:val="left"/>
        </w:tabs>
        <w:rPr>
          <w:sz w:val="20"/>
          <w:szCs w:val="20"/>
          <w:color w:val="auto"/>
        </w:rPr>
      </w:pPr>
      <w:r>
        <w:rPr>
          <w:rFonts w:ascii="Arial" w:cs="Arial" w:eastAsia="Arial" w:hAnsi="Arial"/>
          <w:sz w:val="18"/>
          <w:szCs w:val="18"/>
          <w:color w:val="auto"/>
        </w:rPr>
        <w:t>4.9</w:t>
        <w:tab/>
        <w:t>Supplemental Indenture, dated as of February 18, 2015, to Indenture, dated as of March 12, 2012, by and among Wynn Las Vegas, LLC, Wynn Las Vegas Capital Corp., the Guarantors named therein and U.S. Bank National Association, as trustee. (Incorporated by reference from the Annual Report on Form 10-K filed by the Registrant on March 2, 2015.)</w:t>
      </w:r>
    </w:p>
    <w:p>
      <w:pPr>
        <w:spacing w:after="0" w:line="19" w:lineRule="exact"/>
        <w:rPr>
          <w:sz w:val="20"/>
          <w:szCs w:val="20"/>
          <w:color w:val="auto"/>
        </w:rPr>
      </w:pPr>
    </w:p>
    <w:p>
      <w:pPr>
        <w:ind w:left="1580" w:right="20" w:hanging="476"/>
        <w:spacing w:after="0" w:line="264" w:lineRule="auto"/>
        <w:tabs>
          <w:tab w:leader="none" w:pos="1560" w:val="left"/>
        </w:tabs>
        <w:rPr>
          <w:sz w:val="20"/>
          <w:szCs w:val="20"/>
          <w:color w:val="auto"/>
        </w:rPr>
      </w:pPr>
      <w:r>
        <w:rPr>
          <w:rFonts w:ascii="Arial" w:cs="Arial" w:eastAsia="Arial" w:hAnsi="Arial"/>
          <w:sz w:val="18"/>
          <w:szCs w:val="18"/>
          <w:color w:val="auto"/>
        </w:rPr>
        <w:t>4.10</w:t>
        <w:tab/>
        <w:t>Supplemental Indenture, dated as of February 18, 2015, to Indenture, dated as of May 22, 2013, by and among Wynn Las Vegas, LLC, Wynn Las Vegas Capital Corp., the Guarantors named therein and U.S. Bank National Association, as trustee. (Incorporated by reference from the Annual Report on Form 10-K filed by the Registrant on March 2, 2015.)</w:t>
      </w:r>
    </w:p>
    <w:p>
      <w:pPr>
        <w:spacing w:after="0" w:line="19" w:lineRule="exact"/>
        <w:rPr>
          <w:sz w:val="20"/>
          <w:szCs w:val="20"/>
          <w:color w:val="auto"/>
        </w:rPr>
      </w:pPr>
    </w:p>
    <w:p>
      <w:pPr>
        <w:jc w:val="center"/>
        <w:ind w:left="840" w:right="120"/>
        <w:spacing w:after="0" w:line="298" w:lineRule="auto"/>
        <w:rPr>
          <w:sz w:val="20"/>
          <w:szCs w:val="20"/>
          <w:color w:val="auto"/>
        </w:rPr>
      </w:pPr>
      <w:r>
        <w:rPr>
          <w:rFonts w:ascii="Arial" w:cs="Arial" w:eastAsia="Arial" w:hAnsi="Arial"/>
          <w:sz w:val="17"/>
          <w:szCs w:val="17"/>
          <w:color w:val="auto"/>
        </w:rPr>
        <w:t>+10.1.1.0  Employment Agreement, dated as of October 4, 2002, by and between Wynn Resorts, Limited and Stephen A. Wynn. (Incorporated by reference from Amendment No. 4 to the Form S-1 filed by the Registrant on October 7, 2002 (File No. 333-90600).)</w:t>
      </w:r>
    </w:p>
    <w:p>
      <w:pPr>
        <w:spacing w:after="0" w:line="1" w:lineRule="exact"/>
        <w:rPr>
          <w:sz w:val="20"/>
          <w:szCs w:val="20"/>
          <w:color w:val="auto"/>
        </w:rPr>
      </w:pPr>
    </w:p>
    <w:p>
      <w:pPr>
        <w:ind w:left="1580" w:right="360" w:hanging="847"/>
        <w:spacing w:after="0" w:line="317" w:lineRule="auto"/>
        <w:tabs>
          <w:tab w:leader="none" w:pos="1560" w:val="left"/>
        </w:tabs>
        <w:rPr>
          <w:sz w:val="20"/>
          <w:szCs w:val="20"/>
          <w:color w:val="auto"/>
        </w:rPr>
      </w:pPr>
      <w:r>
        <w:rPr>
          <w:rFonts w:ascii="Arial" w:cs="Arial" w:eastAsia="Arial" w:hAnsi="Arial"/>
          <w:sz w:val="18"/>
          <w:szCs w:val="18"/>
          <w:color w:val="auto"/>
        </w:rPr>
        <w:t>+10.1.1.1</w:t>
      </w:r>
      <w:r>
        <w:rPr>
          <w:sz w:val="20"/>
          <w:szCs w:val="20"/>
          <w:color w:val="auto"/>
        </w:rPr>
        <w:tab/>
      </w:r>
      <w:r>
        <w:rPr>
          <w:rFonts w:ascii="Arial" w:cs="Arial" w:eastAsia="Arial" w:hAnsi="Arial"/>
          <w:sz w:val="16"/>
          <w:szCs w:val="16"/>
          <w:color w:val="auto"/>
        </w:rPr>
        <w:t>First Amendment to Employment Agreement, dated as of August 6, 2004, by and between Stephen A. Wynn and Wynn Resorts, Limited. (Incorporated by reference from the Quarterly Report on Form 10-Q filed by the Registrant on November 4, 2004.)</w:t>
      </w:r>
    </w:p>
    <w:p>
      <w:pPr>
        <w:ind w:left="1580" w:right="380" w:hanging="847"/>
        <w:spacing w:after="0" w:line="298" w:lineRule="auto"/>
        <w:tabs>
          <w:tab w:leader="none" w:pos="1560" w:val="left"/>
        </w:tabs>
        <w:rPr>
          <w:sz w:val="20"/>
          <w:szCs w:val="20"/>
          <w:color w:val="auto"/>
        </w:rPr>
      </w:pPr>
      <w:r>
        <w:rPr>
          <w:rFonts w:ascii="Arial" w:cs="Arial" w:eastAsia="Arial" w:hAnsi="Arial"/>
          <w:sz w:val="18"/>
          <w:szCs w:val="18"/>
          <w:color w:val="auto"/>
        </w:rPr>
        <w:t>+10.1.1.2</w:t>
      </w:r>
      <w:r>
        <w:rPr>
          <w:sz w:val="20"/>
          <w:szCs w:val="20"/>
          <w:color w:val="auto"/>
        </w:rPr>
        <w:tab/>
      </w:r>
      <w:r>
        <w:rPr>
          <w:rFonts w:ascii="Arial" w:cs="Arial" w:eastAsia="Arial" w:hAnsi="Arial"/>
          <w:sz w:val="17"/>
          <w:szCs w:val="17"/>
          <w:color w:val="auto"/>
        </w:rPr>
        <w:t>Second Amendment to Employment Agreement between Wynn Resorts, Limited and Stephen A. Wynn dated January 31, 2007. (Incorporated by reference from the Annual Report on Form 10-K filed by the Registrant on March 1, 2007.)</w:t>
      </w:r>
    </w:p>
    <w:p>
      <w:pPr>
        <w:spacing w:after="0" w:line="1" w:lineRule="exact"/>
        <w:rPr>
          <w:sz w:val="20"/>
          <w:szCs w:val="20"/>
          <w:color w:val="auto"/>
        </w:rPr>
      </w:pPr>
    </w:p>
    <w:p>
      <w:pPr>
        <w:ind w:left="1580" w:right="360" w:hanging="847"/>
        <w:spacing w:after="0" w:line="317" w:lineRule="auto"/>
        <w:tabs>
          <w:tab w:leader="none" w:pos="1560" w:val="left"/>
        </w:tabs>
        <w:rPr>
          <w:sz w:val="20"/>
          <w:szCs w:val="20"/>
          <w:color w:val="auto"/>
        </w:rPr>
      </w:pPr>
      <w:r>
        <w:rPr>
          <w:rFonts w:ascii="Arial" w:cs="Arial" w:eastAsia="Arial" w:hAnsi="Arial"/>
          <w:sz w:val="18"/>
          <w:szCs w:val="18"/>
          <w:color w:val="auto"/>
        </w:rPr>
        <w:t>+10.1.1.3</w:t>
      </w:r>
      <w:r>
        <w:rPr>
          <w:sz w:val="20"/>
          <w:szCs w:val="20"/>
          <w:color w:val="auto"/>
        </w:rPr>
        <w:tab/>
      </w:r>
      <w:r>
        <w:rPr>
          <w:rFonts w:ascii="Arial" w:cs="Arial" w:eastAsia="Arial" w:hAnsi="Arial"/>
          <w:sz w:val="16"/>
          <w:szCs w:val="16"/>
          <w:color w:val="auto"/>
        </w:rPr>
        <w:t>Third Amendment to Employment Agreement, dated as of September 11, 2008, between Wynn Resorts, Limited and Stephen A. Wynn. (Incorporated by reference from the Current Report on Form 8-K filed by the Registrant on September 15, 2008.)</w:t>
      </w:r>
    </w:p>
    <w:p>
      <w:pPr>
        <w:ind w:left="1580" w:right="300" w:hanging="847"/>
        <w:spacing w:after="0" w:line="342" w:lineRule="auto"/>
        <w:tabs>
          <w:tab w:leader="none" w:pos="1560" w:val="left"/>
        </w:tabs>
        <w:rPr>
          <w:sz w:val="20"/>
          <w:szCs w:val="20"/>
          <w:color w:val="auto"/>
        </w:rPr>
      </w:pPr>
      <w:r>
        <w:rPr>
          <w:rFonts w:ascii="Arial" w:cs="Arial" w:eastAsia="Arial" w:hAnsi="Arial"/>
          <w:sz w:val="18"/>
          <w:szCs w:val="18"/>
          <w:color w:val="auto"/>
        </w:rPr>
        <w:t>+10.1.1.4</w:t>
      </w:r>
      <w:r>
        <w:rPr>
          <w:sz w:val="20"/>
          <w:szCs w:val="20"/>
          <w:color w:val="auto"/>
        </w:rPr>
        <w:tab/>
      </w:r>
      <w:r>
        <w:rPr>
          <w:rFonts w:ascii="Arial" w:cs="Arial" w:eastAsia="Arial" w:hAnsi="Arial"/>
          <w:sz w:val="16"/>
          <w:szCs w:val="16"/>
          <w:color w:val="auto"/>
        </w:rPr>
        <w:t>Fourth Amendment to Employment Agreement, dated as of December 31, 2008, between Wynn Resorts, Limited and Stephen A. Wynn. (Incorporated by reference from the Annual Report on Form 10-K filed by the Registrant on March 2, 2009.)</w:t>
      </w:r>
    </w:p>
    <w:p>
      <w:pPr>
        <w:spacing w:after="0" w:line="1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80"/>
          </w:cols>
          <w:pgMar w:left="240" w:top="121" w:right="47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580" w:right="380" w:hanging="847"/>
        <w:spacing w:after="0" w:line="317" w:lineRule="auto"/>
        <w:tabs>
          <w:tab w:leader="none" w:pos="1560" w:val="left"/>
        </w:tabs>
        <w:rPr>
          <w:sz w:val="20"/>
          <w:szCs w:val="20"/>
          <w:color w:val="auto"/>
        </w:rPr>
      </w:pPr>
      <w:r>
        <w:rPr>
          <w:rFonts w:ascii="Arial" w:cs="Arial" w:eastAsia="Arial" w:hAnsi="Arial"/>
          <w:sz w:val="18"/>
          <w:szCs w:val="18"/>
          <w:color w:val="auto"/>
        </w:rPr>
        <w:t>+10.1.1.5</w:t>
      </w:r>
      <w:r>
        <w:rPr>
          <w:sz w:val="20"/>
          <w:szCs w:val="20"/>
          <w:color w:val="auto"/>
        </w:rPr>
        <w:tab/>
      </w:r>
      <w:r>
        <w:rPr>
          <w:rFonts w:ascii="Arial" w:cs="Arial" w:eastAsia="Arial" w:hAnsi="Arial"/>
          <w:sz w:val="16"/>
          <w:szCs w:val="16"/>
          <w:color w:val="auto"/>
        </w:rPr>
        <w:t>Amendment to Employment Agreement, dated as of February 16, 2009, by and between Wynn Resorts, Limited and Stephen A. Wynn. (Incorporated by reference from the Quarterly Report on Form 10-Q filed by the Registrant on May 11, 2009.)</w:t>
      </w:r>
    </w:p>
    <w:p>
      <w:pPr>
        <w:ind w:left="1580" w:right="500" w:hanging="847"/>
        <w:spacing w:after="0" w:line="317" w:lineRule="auto"/>
        <w:tabs>
          <w:tab w:leader="none" w:pos="1560" w:val="left"/>
        </w:tabs>
        <w:rPr>
          <w:sz w:val="20"/>
          <w:szCs w:val="20"/>
          <w:color w:val="auto"/>
        </w:rPr>
      </w:pPr>
      <w:r>
        <w:rPr>
          <w:rFonts w:ascii="Arial" w:cs="Arial" w:eastAsia="Arial" w:hAnsi="Arial"/>
          <w:sz w:val="18"/>
          <w:szCs w:val="18"/>
          <w:color w:val="auto"/>
        </w:rPr>
        <w:t>+10.1.1.6</w:t>
      </w:r>
      <w:r>
        <w:rPr>
          <w:sz w:val="20"/>
          <w:szCs w:val="20"/>
          <w:color w:val="auto"/>
        </w:rPr>
        <w:tab/>
      </w:r>
      <w:r>
        <w:rPr>
          <w:rFonts w:ascii="Arial" w:cs="Arial" w:eastAsia="Arial" w:hAnsi="Arial"/>
          <w:sz w:val="16"/>
          <w:szCs w:val="16"/>
          <w:color w:val="auto"/>
        </w:rPr>
        <w:t>Sixth Amendment to Employment Agreement, dated as of February 24, 2011, between Wynn Resorts, Limited and Stephen A. Wynn. (Incorporated by reference from the Current Report on Form 8-K filed by the Registrant on February 28, 2011.)</w:t>
      </w:r>
    </w:p>
    <w:p>
      <w:pPr>
        <w:jc w:val="center"/>
        <w:ind w:left="580" w:right="380"/>
        <w:spacing w:after="0" w:line="298" w:lineRule="auto"/>
        <w:rPr>
          <w:sz w:val="20"/>
          <w:szCs w:val="20"/>
          <w:color w:val="auto"/>
        </w:rPr>
      </w:pPr>
      <w:r>
        <w:rPr>
          <w:rFonts w:ascii="Arial" w:cs="Arial" w:eastAsia="Arial" w:hAnsi="Arial"/>
          <w:sz w:val="17"/>
          <w:szCs w:val="17"/>
          <w:color w:val="auto"/>
        </w:rPr>
        <w:t>+10.1.1.7  Seventh Amendment to Employment Agreement, dated as of January 15, 2015, between Wynn Resorts, Limited and Stephen A. Wynn. (Incorporated by reference from the Annual Report on Form 10-K filed by the Registrant on March 2, 2015.)</w:t>
      </w:r>
    </w:p>
    <w:p>
      <w:pPr>
        <w:spacing w:after="0" w:line="1" w:lineRule="exact"/>
        <w:rPr>
          <w:sz w:val="20"/>
          <w:szCs w:val="20"/>
          <w:color w:val="auto"/>
        </w:rPr>
      </w:pPr>
    </w:p>
    <w:p>
      <w:pPr>
        <w:ind w:left="1580" w:right="140" w:hanging="847"/>
        <w:spacing w:after="0" w:line="277" w:lineRule="auto"/>
        <w:tabs>
          <w:tab w:leader="none" w:pos="1560" w:val="left"/>
        </w:tabs>
        <w:rPr>
          <w:sz w:val="20"/>
          <w:szCs w:val="20"/>
          <w:color w:val="auto"/>
        </w:rPr>
      </w:pPr>
      <w:r>
        <w:rPr>
          <w:rFonts w:ascii="Arial" w:cs="Arial" w:eastAsia="Arial" w:hAnsi="Arial"/>
          <w:sz w:val="18"/>
          <w:szCs w:val="18"/>
          <w:color w:val="auto"/>
        </w:rPr>
        <w:t>+10.1.2.0</w:t>
        <w:tab/>
        <w:t>Employment Agreement, dated as of November 18, 2013, by and between Wynn Resorts, Limited and Matt Maddox. (Incorporated by reference from the Annual Report on Form 10-K filed by the Registrant on February 28, 2014.)</w:t>
      </w:r>
    </w:p>
    <w:p>
      <w:pPr>
        <w:spacing w:after="0" w:line="8" w:lineRule="exact"/>
        <w:rPr>
          <w:sz w:val="20"/>
          <w:szCs w:val="20"/>
          <w:color w:val="auto"/>
        </w:rPr>
      </w:pPr>
    </w:p>
    <w:p>
      <w:pPr>
        <w:ind w:left="1580" w:right="460" w:hanging="847"/>
        <w:spacing w:after="0" w:line="277" w:lineRule="auto"/>
        <w:tabs>
          <w:tab w:leader="none" w:pos="1560" w:val="left"/>
        </w:tabs>
        <w:rPr>
          <w:sz w:val="20"/>
          <w:szCs w:val="20"/>
          <w:color w:val="auto"/>
        </w:rPr>
      </w:pPr>
      <w:r>
        <w:rPr>
          <w:rFonts w:ascii="Arial" w:cs="Arial" w:eastAsia="Arial" w:hAnsi="Arial"/>
          <w:sz w:val="18"/>
          <w:szCs w:val="18"/>
          <w:color w:val="auto"/>
        </w:rPr>
        <w:t>+10.1.3.0</w:t>
        <w:tab/>
        <w:t>Employment Agreement, dated as of May 12, 2010, by and between Worldwide Wynn, LLC and Linda Chen. (Incorporated by reference from the Current Report on Form 8-K filed by the Registrant on May 18, 2010.)</w:t>
      </w:r>
    </w:p>
    <w:p>
      <w:pPr>
        <w:spacing w:after="0" w:line="8" w:lineRule="exact"/>
        <w:rPr>
          <w:sz w:val="20"/>
          <w:szCs w:val="20"/>
          <w:color w:val="auto"/>
        </w:rPr>
      </w:pPr>
    </w:p>
    <w:p>
      <w:pPr>
        <w:ind w:left="1580" w:right="20" w:hanging="847"/>
        <w:spacing w:after="0" w:line="277" w:lineRule="auto"/>
        <w:tabs>
          <w:tab w:leader="none" w:pos="1560" w:val="left"/>
        </w:tabs>
        <w:rPr>
          <w:sz w:val="20"/>
          <w:szCs w:val="20"/>
          <w:color w:val="auto"/>
        </w:rPr>
      </w:pPr>
      <w:r>
        <w:rPr>
          <w:rFonts w:ascii="Arial" w:cs="Arial" w:eastAsia="Arial" w:hAnsi="Arial"/>
          <w:sz w:val="18"/>
          <w:szCs w:val="18"/>
          <w:color w:val="auto"/>
        </w:rPr>
        <w:t>+10.1.3.1</w:t>
        <w:tab/>
        <w:t>Retention Agreement, dated as of July 27, 2011, by and between Worldwide Wynn, LLC and Linda Chen. (Incorporated by reference from the Current Report on Form 8-K filed by the Registrant on August 18, 2011.)</w:t>
      </w:r>
    </w:p>
    <w:p>
      <w:pPr>
        <w:spacing w:after="0" w:line="8" w:lineRule="exact"/>
        <w:rPr>
          <w:sz w:val="20"/>
          <w:szCs w:val="20"/>
          <w:color w:val="auto"/>
        </w:rPr>
      </w:pPr>
    </w:p>
    <w:p>
      <w:pPr>
        <w:ind w:left="1580" w:right="260" w:hanging="847"/>
        <w:spacing w:after="0" w:line="298" w:lineRule="auto"/>
        <w:tabs>
          <w:tab w:leader="none" w:pos="1560" w:val="left"/>
        </w:tabs>
        <w:rPr>
          <w:sz w:val="20"/>
          <w:szCs w:val="20"/>
          <w:color w:val="auto"/>
        </w:rPr>
      </w:pPr>
      <w:r>
        <w:rPr>
          <w:rFonts w:ascii="Arial" w:cs="Arial" w:eastAsia="Arial" w:hAnsi="Arial"/>
          <w:sz w:val="18"/>
          <w:szCs w:val="18"/>
          <w:color w:val="auto"/>
        </w:rPr>
        <w:t>+10.1.3.2</w:t>
      </w:r>
      <w:r>
        <w:rPr>
          <w:sz w:val="20"/>
          <w:szCs w:val="20"/>
          <w:color w:val="auto"/>
        </w:rPr>
        <w:tab/>
      </w:r>
      <w:r>
        <w:rPr>
          <w:rFonts w:ascii="Arial" w:cs="Arial" w:eastAsia="Arial" w:hAnsi="Arial"/>
          <w:sz w:val="17"/>
          <w:szCs w:val="17"/>
          <w:color w:val="auto"/>
        </w:rPr>
        <w:t>First Amendment to Employment Agreement, dated as of November 26, 2012, by and between Worldwide Wynn, LLC and Linda Chen. (Incorporated by reference from the Annual Report on Form 10-K filed by the Registrant on March 1, 2013.)</w:t>
      </w:r>
    </w:p>
    <w:p>
      <w:pPr>
        <w:spacing w:after="0" w:line="1" w:lineRule="exact"/>
        <w:rPr>
          <w:sz w:val="20"/>
          <w:szCs w:val="20"/>
          <w:color w:val="auto"/>
        </w:rPr>
      </w:pPr>
    </w:p>
    <w:p>
      <w:pPr>
        <w:jc w:val="center"/>
        <w:ind w:left="620" w:right="340"/>
        <w:spacing w:after="0" w:line="298" w:lineRule="auto"/>
        <w:rPr>
          <w:sz w:val="20"/>
          <w:szCs w:val="20"/>
          <w:color w:val="auto"/>
        </w:rPr>
      </w:pPr>
      <w:r>
        <w:rPr>
          <w:rFonts w:ascii="Arial" w:cs="Arial" w:eastAsia="Arial" w:hAnsi="Arial"/>
          <w:sz w:val="17"/>
          <w:szCs w:val="17"/>
          <w:color w:val="auto"/>
        </w:rPr>
        <w:t>+10.1.3.3  Second Amendment to Employment Agreement, dated as of January 2, 2014, by and between Worldwide Wynn, LLC and Linda Chen. (Incorporated by reference from the Quarterly Report on Form 10-Q filed by the Registrant on May 9, 2014.)</w:t>
      </w:r>
    </w:p>
    <w:p>
      <w:pPr>
        <w:spacing w:after="0" w:line="1" w:lineRule="exact"/>
        <w:rPr>
          <w:sz w:val="20"/>
          <w:szCs w:val="20"/>
          <w:color w:val="auto"/>
        </w:rPr>
      </w:pPr>
    </w:p>
    <w:p>
      <w:pPr>
        <w:ind w:left="1580" w:right="400" w:hanging="847"/>
        <w:spacing w:after="0" w:line="277" w:lineRule="auto"/>
        <w:tabs>
          <w:tab w:leader="none" w:pos="1560" w:val="left"/>
        </w:tabs>
        <w:rPr>
          <w:sz w:val="20"/>
          <w:szCs w:val="20"/>
          <w:color w:val="auto"/>
        </w:rPr>
      </w:pPr>
      <w:r>
        <w:rPr>
          <w:rFonts w:ascii="Arial" w:cs="Arial" w:eastAsia="Arial" w:hAnsi="Arial"/>
          <w:sz w:val="18"/>
          <w:szCs w:val="18"/>
          <w:color w:val="auto"/>
        </w:rPr>
        <w:t>+10.1.4.0</w:t>
        <w:tab/>
        <w:t>Employment Agreement, dated as of April 24, 2007, by and between Wynn Resorts, Limited and Kim Sinatra. (Incorporated by reference from the Annual Report on Form 10-K filed by the Registrant on March 1, 2010.)</w:t>
      </w:r>
    </w:p>
    <w:p>
      <w:pPr>
        <w:spacing w:after="0" w:line="8" w:lineRule="exact"/>
        <w:rPr>
          <w:sz w:val="20"/>
          <w:szCs w:val="20"/>
          <w:color w:val="auto"/>
        </w:rPr>
      </w:pPr>
    </w:p>
    <w:p>
      <w:pPr>
        <w:jc w:val="center"/>
        <w:ind w:left="560" w:right="400"/>
        <w:spacing w:after="0" w:line="298" w:lineRule="auto"/>
        <w:rPr>
          <w:sz w:val="20"/>
          <w:szCs w:val="20"/>
          <w:color w:val="auto"/>
        </w:rPr>
      </w:pPr>
      <w:r>
        <w:rPr>
          <w:rFonts w:ascii="Arial" w:cs="Arial" w:eastAsia="Arial" w:hAnsi="Arial"/>
          <w:sz w:val="17"/>
          <w:szCs w:val="17"/>
          <w:color w:val="auto"/>
        </w:rPr>
        <w:t>+10.1.4.1  First Amendment to Employment Agreement, dated as of December 31, 2008, by and between Wynn Resorts, Limited and Kim Sinatra. (Incorporated by reference from the Annual Report on Form 10-K filed by the Registrant on March 1, 2010.)</w:t>
      </w:r>
    </w:p>
    <w:p>
      <w:pPr>
        <w:spacing w:after="0" w:line="1" w:lineRule="exact"/>
        <w:rPr>
          <w:sz w:val="20"/>
          <w:szCs w:val="20"/>
          <w:color w:val="auto"/>
        </w:rPr>
      </w:pPr>
    </w:p>
    <w:p>
      <w:pPr>
        <w:ind w:left="1580" w:right="260" w:hanging="847"/>
        <w:spacing w:after="0" w:line="298" w:lineRule="auto"/>
        <w:tabs>
          <w:tab w:leader="none" w:pos="1560" w:val="left"/>
        </w:tabs>
        <w:rPr>
          <w:sz w:val="20"/>
          <w:szCs w:val="20"/>
          <w:color w:val="auto"/>
        </w:rPr>
      </w:pPr>
      <w:r>
        <w:rPr>
          <w:rFonts w:ascii="Arial" w:cs="Arial" w:eastAsia="Arial" w:hAnsi="Arial"/>
          <w:sz w:val="18"/>
          <w:szCs w:val="18"/>
          <w:color w:val="auto"/>
        </w:rPr>
        <w:t>+10.1.4.2</w:t>
      </w:r>
      <w:r>
        <w:rPr>
          <w:sz w:val="20"/>
          <w:szCs w:val="20"/>
          <w:color w:val="auto"/>
        </w:rPr>
        <w:tab/>
      </w:r>
      <w:r>
        <w:rPr>
          <w:rFonts w:ascii="Arial" w:cs="Arial" w:eastAsia="Arial" w:hAnsi="Arial"/>
          <w:sz w:val="17"/>
          <w:szCs w:val="17"/>
          <w:color w:val="auto"/>
        </w:rPr>
        <w:t>Amendment to Employment Agreement, dated as of February 12, 2009, by and between Wynn Resorts, Limited and Kim Sinatra. (Incorporated by reference from the Annual Report on Form 10-K filed by the Registrant on March 1, 2010.)</w:t>
      </w:r>
    </w:p>
    <w:p>
      <w:pPr>
        <w:spacing w:after="0" w:line="1" w:lineRule="exact"/>
        <w:rPr>
          <w:sz w:val="20"/>
          <w:szCs w:val="20"/>
          <w:color w:val="auto"/>
        </w:rPr>
      </w:pPr>
    </w:p>
    <w:p>
      <w:pPr>
        <w:ind w:left="1580" w:right="180" w:hanging="847"/>
        <w:spacing w:after="0" w:line="298" w:lineRule="auto"/>
        <w:tabs>
          <w:tab w:leader="none" w:pos="1560" w:val="left"/>
        </w:tabs>
        <w:rPr>
          <w:sz w:val="20"/>
          <w:szCs w:val="20"/>
          <w:color w:val="auto"/>
        </w:rPr>
      </w:pPr>
      <w:r>
        <w:rPr>
          <w:rFonts w:ascii="Arial" w:cs="Arial" w:eastAsia="Arial" w:hAnsi="Arial"/>
          <w:sz w:val="18"/>
          <w:szCs w:val="18"/>
          <w:color w:val="auto"/>
        </w:rPr>
        <w:t>+10.1.4.3</w:t>
      </w:r>
      <w:r>
        <w:rPr>
          <w:sz w:val="20"/>
          <w:szCs w:val="20"/>
          <w:color w:val="auto"/>
        </w:rPr>
        <w:tab/>
      </w:r>
      <w:r>
        <w:rPr>
          <w:rFonts w:ascii="Arial" w:cs="Arial" w:eastAsia="Arial" w:hAnsi="Arial"/>
          <w:sz w:val="17"/>
          <w:szCs w:val="17"/>
          <w:color w:val="auto"/>
        </w:rPr>
        <w:t>Second Amendment to Employment Agreement, dated as of November 30, 2009, by and between Wynn Resorts, Limited and Kim Sinatra. (Incorporated by reference from the Annual Report on Form 10-K filed by the Registrant on March 1, 2010.)</w:t>
      </w:r>
    </w:p>
    <w:p>
      <w:pPr>
        <w:spacing w:after="0" w:line="1" w:lineRule="exact"/>
        <w:rPr>
          <w:sz w:val="20"/>
          <w:szCs w:val="20"/>
          <w:color w:val="auto"/>
        </w:rPr>
      </w:pPr>
    </w:p>
    <w:p>
      <w:pPr>
        <w:ind w:left="1580" w:right="220" w:hanging="847"/>
        <w:spacing w:after="0" w:line="298" w:lineRule="auto"/>
        <w:tabs>
          <w:tab w:leader="none" w:pos="1560" w:val="left"/>
        </w:tabs>
        <w:rPr>
          <w:sz w:val="20"/>
          <w:szCs w:val="20"/>
          <w:color w:val="auto"/>
        </w:rPr>
      </w:pPr>
      <w:r>
        <w:rPr>
          <w:rFonts w:ascii="Arial" w:cs="Arial" w:eastAsia="Arial" w:hAnsi="Arial"/>
          <w:sz w:val="18"/>
          <w:szCs w:val="18"/>
          <w:color w:val="auto"/>
        </w:rPr>
        <w:t>+10.1.4.4</w:t>
      </w:r>
      <w:r>
        <w:rPr>
          <w:sz w:val="20"/>
          <w:szCs w:val="20"/>
          <w:color w:val="auto"/>
        </w:rPr>
        <w:tab/>
      </w:r>
      <w:r>
        <w:rPr>
          <w:rFonts w:ascii="Arial" w:cs="Arial" w:eastAsia="Arial" w:hAnsi="Arial"/>
          <w:sz w:val="17"/>
          <w:szCs w:val="17"/>
          <w:color w:val="auto"/>
        </w:rPr>
        <w:t>Third Amendment to Employment Agreement, dated as of May 5, 2014, by and between Wynn Resorts, Limited and Kim Sinatra. (Incorporated by reference from the Quarterly Report on Form 10-Q filed by the Registrant on August 8, 2014.)</w:t>
      </w:r>
    </w:p>
    <w:p>
      <w:pPr>
        <w:spacing w:after="0" w:line="1" w:lineRule="exact"/>
        <w:rPr>
          <w:sz w:val="20"/>
          <w:szCs w:val="20"/>
          <w:color w:val="auto"/>
        </w:rPr>
      </w:pPr>
    </w:p>
    <w:p>
      <w:pPr>
        <w:ind w:left="1580" w:hanging="847"/>
        <w:spacing w:after="0" w:line="298" w:lineRule="auto"/>
        <w:tabs>
          <w:tab w:leader="none" w:pos="1560" w:val="left"/>
        </w:tabs>
        <w:rPr>
          <w:sz w:val="20"/>
          <w:szCs w:val="20"/>
          <w:color w:val="auto"/>
        </w:rPr>
      </w:pPr>
      <w:r>
        <w:rPr>
          <w:rFonts w:ascii="Arial" w:cs="Arial" w:eastAsia="Arial" w:hAnsi="Arial"/>
          <w:sz w:val="18"/>
          <w:szCs w:val="18"/>
          <w:color w:val="auto"/>
        </w:rPr>
        <w:t>+10.1.4.5</w:t>
      </w:r>
      <w:r>
        <w:rPr>
          <w:sz w:val="20"/>
          <w:szCs w:val="20"/>
          <w:color w:val="auto"/>
        </w:rPr>
        <w:tab/>
      </w:r>
      <w:r>
        <w:rPr>
          <w:rFonts w:ascii="Arial" w:cs="Arial" w:eastAsia="Arial" w:hAnsi="Arial"/>
          <w:sz w:val="17"/>
          <w:szCs w:val="17"/>
          <w:color w:val="auto"/>
        </w:rPr>
        <w:t>Fourth Amendment to Employment Agreement, dated as of April 27, 2015, by and between Wynn Resorts, Limited and Kim Sinatra. (Incorporated by reference from the Quarterly Report on Form 10-Q filed by the Registrant on August 7, 2015.)</w:t>
      </w:r>
    </w:p>
    <w:p>
      <w:pPr>
        <w:spacing w:after="0" w:line="1" w:lineRule="exact"/>
        <w:rPr>
          <w:sz w:val="20"/>
          <w:szCs w:val="20"/>
          <w:color w:val="auto"/>
        </w:rPr>
      </w:pPr>
    </w:p>
    <w:p>
      <w:pPr>
        <w:ind w:left="1580" w:right="160" w:hanging="847"/>
        <w:spacing w:after="0" w:line="277" w:lineRule="auto"/>
        <w:tabs>
          <w:tab w:leader="none" w:pos="1560" w:val="left"/>
        </w:tabs>
        <w:rPr>
          <w:sz w:val="20"/>
          <w:szCs w:val="20"/>
          <w:color w:val="auto"/>
        </w:rPr>
      </w:pPr>
      <w:r>
        <w:rPr>
          <w:rFonts w:ascii="Arial" w:cs="Arial" w:eastAsia="Arial" w:hAnsi="Arial"/>
          <w:sz w:val="18"/>
          <w:szCs w:val="18"/>
          <w:color w:val="auto"/>
        </w:rPr>
        <w:t>+10.1.5.0</w:t>
        <w:tab/>
        <w:t>Employment Agreement, dated as of August 31, 2005, by and between Wynn Resorts, Limited and John Strzemp. (Incorporated by reference from the Annual Report on Form 10-K filed by the Registrant on February 28, 2014.)</w:t>
      </w:r>
    </w:p>
    <w:p>
      <w:pPr>
        <w:spacing w:after="0" w:line="8"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+10.1.5.1</w:t>
      </w:r>
      <w:r>
        <w:rPr>
          <w:sz w:val="20"/>
          <w:szCs w:val="20"/>
          <w:color w:val="auto"/>
        </w:rPr>
        <w:tab/>
      </w:r>
      <w:r>
        <w:rPr>
          <w:rFonts w:ascii="Arial" w:cs="Arial" w:eastAsia="Arial" w:hAnsi="Arial"/>
          <w:sz w:val="16"/>
          <w:szCs w:val="16"/>
          <w:color w:val="auto"/>
        </w:rPr>
        <w:t>First Amendment to Employment Agreement, dated as of March 26, 2008, by and between Wynn</w:t>
      </w:r>
    </w:p>
    <w:p>
      <w:pPr>
        <w:spacing w:after="0" w:line="23" w:lineRule="exact"/>
        <w:rPr>
          <w:sz w:val="20"/>
          <w:szCs w:val="20"/>
          <w:color w:val="auto"/>
        </w:rPr>
      </w:pPr>
    </w:p>
    <w:p>
      <w:pPr>
        <w:ind w:left="1580" w:right="340"/>
        <w:spacing w:after="0" w:line="261" w:lineRule="auto"/>
        <w:rPr>
          <w:sz w:val="20"/>
          <w:szCs w:val="20"/>
          <w:color w:val="auto"/>
        </w:rPr>
      </w:pPr>
      <w:r>
        <w:rPr>
          <w:rFonts w:ascii="Arial" w:cs="Arial" w:eastAsia="Arial" w:hAnsi="Arial"/>
          <w:sz w:val="18"/>
          <w:szCs w:val="18"/>
          <w:color w:val="auto"/>
        </w:rPr>
        <w:t>Resorts, Limited and John Strzemp. (Incorporated by reference from the Annual Report on Form 10-K filed by the Registrant on February 28, 2014.)</w:t>
      </w:r>
    </w:p>
    <w:p>
      <w:pPr>
        <w:spacing w:after="0" w:line="22"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+10.1.5.2</w:t>
      </w:r>
      <w:r>
        <w:rPr>
          <w:sz w:val="20"/>
          <w:szCs w:val="20"/>
          <w:color w:val="auto"/>
        </w:rPr>
        <w:tab/>
      </w:r>
      <w:r>
        <w:rPr>
          <w:rFonts w:ascii="Arial" w:cs="Arial" w:eastAsia="Arial" w:hAnsi="Arial"/>
          <w:sz w:val="16"/>
          <w:szCs w:val="16"/>
          <w:color w:val="auto"/>
        </w:rPr>
        <w:t>Second Amendment to Employment Agreement, dated as of December 31, 2008, by and between</w:t>
      </w:r>
    </w:p>
    <w:p>
      <w:pPr>
        <w:spacing w:after="0" w:line="23" w:lineRule="exact"/>
        <w:rPr>
          <w:sz w:val="20"/>
          <w:szCs w:val="20"/>
          <w:color w:val="auto"/>
        </w:rPr>
      </w:pPr>
    </w:p>
    <w:p>
      <w:pPr>
        <w:ind w:left="1580" w:right="100"/>
        <w:spacing w:after="0" w:line="261" w:lineRule="auto"/>
        <w:rPr>
          <w:sz w:val="20"/>
          <w:szCs w:val="20"/>
          <w:color w:val="auto"/>
        </w:rPr>
      </w:pPr>
      <w:r>
        <w:rPr>
          <w:rFonts w:ascii="Arial" w:cs="Arial" w:eastAsia="Arial" w:hAnsi="Arial"/>
          <w:sz w:val="18"/>
          <w:szCs w:val="18"/>
          <w:color w:val="auto"/>
        </w:rPr>
        <w:t>Wynn Resorts, Limited and John Strzemp. (Incorporated by reference from the Annual Report on Form 10-K filed by the Registrant on February 28, 2014.)</w:t>
      </w:r>
    </w:p>
    <w:p>
      <w:pPr>
        <w:spacing w:after="0" w:line="22"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+10.1.5.3</w:t>
      </w:r>
      <w:r>
        <w:rPr>
          <w:sz w:val="20"/>
          <w:szCs w:val="20"/>
          <w:color w:val="auto"/>
        </w:rPr>
        <w:tab/>
      </w:r>
      <w:r>
        <w:rPr>
          <w:rFonts w:ascii="Arial" w:cs="Arial" w:eastAsia="Arial" w:hAnsi="Arial"/>
          <w:sz w:val="16"/>
          <w:szCs w:val="16"/>
          <w:color w:val="auto"/>
        </w:rPr>
        <w:t>Amendment to Employment Agreement, dated as of February 12, 2009, by and between Wynn</w:t>
      </w:r>
    </w:p>
    <w:p>
      <w:pPr>
        <w:spacing w:after="0" w:line="23" w:lineRule="exact"/>
        <w:rPr>
          <w:sz w:val="20"/>
          <w:szCs w:val="20"/>
          <w:color w:val="auto"/>
        </w:rPr>
      </w:pPr>
    </w:p>
    <w:p>
      <w:pPr>
        <w:ind w:left="1580" w:right="340"/>
        <w:spacing w:after="0" w:line="261" w:lineRule="auto"/>
        <w:rPr>
          <w:sz w:val="20"/>
          <w:szCs w:val="20"/>
          <w:color w:val="auto"/>
        </w:rPr>
      </w:pPr>
      <w:r>
        <w:rPr>
          <w:rFonts w:ascii="Arial" w:cs="Arial" w:eastAsia="Arial" w:hAnsi="Arial"/>
          <w:sz w:val="18"/>
          <w:szCs w:val="18"/>
          <w:color w:val="auto"/>
        </w:rPr>
        <w:t>Resorts, Limited and John Strzemp. (Incorporated by reference from the Annual Report on Form 10-K filed by the Registrant on February 28, 2014.)</w:t>
      </w:r>
    </w:p>
    <w:p>
      <w:pPr>
        <w:spacing w:after="0" w:line="22"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+10.1.5.4</w:t>
      </w:r>
      <w:r>
        <w:rPr>
          <w:sz w:val="20"/>
          <w:szCs w:val="20"/>
          <w:color w:val="auto"/>
        </w:rPr>
        <w:tab/>
      </w:r>
      <w:r>
        <w:rPr>
          <w:rFonts w:ascii="Arial" w:cs="Arial" w:eastAsia="Arial" w:hAnsi="Arial"/>
          <w:sz w:val="16"/>
          <w:szCs w:val="16"/>
          <w:color w:val="auto"/>
        </w:rPr>
        <w:t>Fourth Amendment to Employment Agreement, dated as of March 23, 2009, by and between Wynn</w:t>
      </w:r>
    </w:p>
    <w:p>
      <w:pPr>
        <w:spacing w:after="0" w:line="23" w:lineRule="exact"/>
        <w:rPr>
          <w:sz w:val="20"/>
          <w:szCs w:val="20"/>
          <w:color w:val="auto"/>
        </w:rPr>
      </w:pPr>
    </w:p>
    <w:p>
      <w:pPr>
        <w:ind w:left="1580" w:right="340"/>
        <w:spacing w:after="0" w:line="261" w:lineRule="auto"/>
        <w:rPr>
          <w:sz w:val="20"/>
          <w:szCs w:val="20"/>
          <w:color w:val="auto"/>
        </w:rPr>
      </w:pPr>
      <w:r>
        <w:rPr>
          <w:rFonts w:ascii="Arial" w:cs="Arial" w:eastAsia="Arial" w:hAnsi="Arial"/>
          <w:sz w:val="18"/>
          <w:szCs w:val="18"/>
          <w:color w:val="auto"/>
        </w:rPr>
        <w:t>Resorts, Limited and John Strzemp. (Incorporated by reference from the Annual Report on Form 10-K filed by the Registrant on February 28, 2014.)</w:t>
      </w:r>
    </w:p>
    <w:p>
      <w:pPr>
        <w:spacing w:after="0" w:line="2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122" w:right="47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+10.1.5.5</w:t>
      </w:r>
      <w:r>
        <w:rPr>
          <w:sz w:val="20"/>
          <w:szCs w:val="20"/>
          <w:color w:val="auto"/>
        </w:rPr>
        <w:tab/>
      </w:r>
      <w:r>
        <w:rPr>
          <w:rFonts w:ascii="Arial" w:cs="Arial" w:eastAsia="Arial" w:hAnsi="Arial"/>
          <w:sz w:val="16"/>
          <w:szCs w:val="16"/>
          <w:color w:val="auto"/>
        </w:rPr>
        <w:t>Fifth Amendment to Employment Agreement, dated as of February 25, 2013, by and between</w:t>
      </w:r>
    </w:p>
    <w:p>
      <w:pPr>
        <w:spacing w:after="0" w:line="23" w:lineRule="exact"/>
        <w:rPr>
          <w:sz w:val="20"/>
          <w:szCs w:val="20"/>
          <w:color w:val="auto"/>
        </w:rPr>
      </w:pPr>
    </w:p>
    <w:p>
      <w:pPr>
        <w:ind w:left="1580" w:right="80"/>
        <w:spacing w:after="0" w:line="261" w:lineRule="auto"/>
        <w:rPr>
          <w:sz w:val="20"/>
          <w:szCs w:val="20"/>
          <w:color w:val="auto"/>
        </w:rPr>
      </w:pPr>
      <w:r>
        <w:rPr>
          <w:rFonts w:ascii="Arial" w:cs="Arial" w:eastAsia="Arial" w:hAnsi="Arial"/>
          <w:sz w:val="18"/>
          <w:szCs w:val="18"/>
          <w:color w:val="auto"/>
        </w:rPr>
        <w:t>Wynn Resorts, Limited and John Strzemp. (Incorporated by reference from the Annual Report on Form 10-K filed by the Registrant on February 28, 2014.)</w:t>
      </w:r>
    </w:p>
    <w:p>
      <w:pPr>
        <w:spacing w:after="0" w:line="22" w:lineRule="exact"/>
        <w:rPr>
          <w:sz w:val="20"/>
          <w:szCs w:val="20"/>
          <w:color w:val="auto"/>
        </w:rPr>
      </w:pPr>
    </w:p>
    <w:p>
      <w:pPr>
        <w:ind w:left="720"/>
        <w:spacing w:after="0"/>
        <w:tabs>
          <w:tab w:leader="none" w:pos="1560" w:val="left"/>
        </w:tabs>
        <w:rPr>
          <w:sz w:val="20"/>
          <w:szCs w:val="20"/>
          <w:color w:val="auto"/>
        </w:rPr>
      </w:pPr>
      <w:r>
        <w:rPr>
          <w:rFonts w:ascii="Arial" w:cs="Arial" w:eastAsia="Arial" w:hAnsi="Arial"/>
          <w:sz w:val="18"/>
          <w:szCs w:val="18"/>
          <w:color w:val="auto"/>
        </w:rPr>
        <w:t>+10.1.5.6</w:t>
      </w:r>
      <w:r>
        <w:rPr>
          <w:sz w:val="20"/>
          <w:szCs w:val="20"/>
          <w:color w:val="auto"/>
        </w:rPr>
        <w:tab/>
      </w:r>
      <w:r>
        <w:rPr>
          <w:rFonts w:ascii="Arial" w:cs="Arial" w:eastAsia="Arial" w:hAnsi="Arial"/>
          <w:sz w:val="16"/>
          <w:szCs w:val="16"/>
          <w:color w:val="auto"/>
        </w:rPr>
        <w:t>Sixth Amendment to Employment Agreement, dated as of September 10, 2013, by and between</w:t>
      </w:r>
    </w:p>
    <w:p>
      <w:pPr>
        <w:spacing w:after="0" w:line="23" w:lineRule="exact"/>
        <w:rPr>
          <w:sz w:val="20"/>
          <w:szCs w:val="20"/>
          <w:color w:val="auto"/>
        </w:rPr>
      </w:pPr>
    </w:p>
    <w:p>
      <w:pPr>
        <w:ind w:left="1580" w:right="80"/>
        <w:spacing w:after="0" w:line="261" w:lineRule="auto"/>
        <w:rPr>
          <w:sz w:val="20"/>
          <w:szCs w:val="20"/>
          <w:color w:val="auto"/>
        </w:rPr>
      </w:pPr>
      <w:r>
        <w:rPr>
          <w:rFonts w:ascii="Arial" w:cs="Arial" w:eastAsia="Arial" w:hAnsi="Arial"/>
          <w:sz w:val="18"/>
          <w:szCs w:val="18"/>
          <w:color w:val="auto"/>
        </w:rPr>
        <w:t>Wynn Resorts, Limited and John Strzemp. (Incorporated by reference from the Annual Report on Form 10-K filed by the Registrant on February 28, 2014.)</w:t>
      </w:r>
    </w:p>
    <w:p>
      <w:pPr>
        <w:spacing w:after="0" w:line="22" w:lineRule="exact"/>
        <w:rPr>
          <w:sz w:val="20"/>
          <w:szCs w:val="20"/>
          <w:color w:val="auto"/>
        </w:rPr>
      </w:pPr>
    </w:p>
    <w:p>
      <w:pPr>
        <w:ind w:left="1580" w:right="60" w:hanging="847"/>
        <w:spacing w:after="0" w:line="277" w:lineRule="auto"/>
        <w:tabs>
          <w:tab w:leader="none" w:pos="1560" w:val="left"/>
        </w:tabs>
        <w:rPr>
          <w:sz w:val="20"/>
          <w:szCs w:val="20"/>
          <w:color w:val="auto"/>
        </w:rPr>
      </w:pPr>
      <w:r>
        <w:rPr>
          <w:rFonts w:ascii="Arial" w:cs="Arial" w:eastAsia="Arial" w:hAnsi="Arial"/>
          <w:sz w:val="18"/>
          <w:szCs w:val="18"/>
          <w:color w:val="auto"/>
        </w:rPr>
        <w:t>+10.1.6.0</w:t>
        <w:tab/>
        <w:t>Employment Agreement, dated as of November 7, 2013, by and between Wynn Resorts, Limited and Stephen Cootey. (Incorporated by reference from the Quarterly Report on Form 10-Q filed by the Registrant on August 8, 2014.)</w:t>
      </w:r>
    </w:p>
    <w:p>
      <w:pPr>
        <w:spacing w:after="0" w:line="8" w:lineRule="exact"/>
        <w:rPr>
          <w:sz w:val="20"/>
          <w:szCs w:val="20"/>
          <w:color w:val="auto"/>
        </w:rPr>
      </w:pPr>
    </w:p>
    <w:p>
      <w:pPr>
        <w:ind w:left="1580" w:right="380" w:hanging="847"/>
        <w:spacing w:after="0" w:line="317" w:lineRule="auto"/>
        <w:tabs>
          <w:tab w:leader="none" w:pos="1560" w:val="left"/>
        </w:tabs>
        <w:rPr>
          <w:sz w:val="20"/>
          <w:szCs w:val="20"/>
          <w:color w:val="auto"/>
        </w:rPr>
      </w:pPr>
      <w:r>
        <w:rPr>
          <w:rFonts w:ascii="Arial" w:cs="Arial" w:eastAsia="Arial" w:hAnsi="Arial"/>
          <w:sz w:val="18"/>
          <w:szCs w:val="18"/>
          <w:color w:val="auto"/>
        </w:rPr>
        <w:t>+10.1.6.1</w:t>
      </w:r>
      <w:r>
        <w:rPr>
          <w:sz w:val="20"/>
          <w:szCs w:val="20"/>
          <w:color w:val="auto"/>
        </w:rPr>
        <w:tab/>
      </w:r>
      <w:r>
        <w:rPr>
          <w:rFonts w:ascii="Arial" w:cs="Arial" w:eastAsia="Arial" w:hAnsi="Arial"/>
          <w:sz w:val="16"/>
          <w:szCs w:val="16"/>
          <w:color w:val="auto"/>
        </w:rPr>
        <w:t>First Amendment to Employment Agreement, dated as of January 6, 2014, by and between Wynn Resorts, Limited and Stephen Cootey. (Incorporated by reference from the Quarterly Report on Form 10-Q filed by the Registrant on August 8, 2014.)</w:t>
      </w:r>
    </w:p>
    <w:p>
      <w:pPr>
        <w:ind w:left="1580" w:hanging="847"/>
        <w:spacing w:after="0" w:line="298" w:lineRule="auto"/>
        <w:tabs>
          <w:tab w:leader="none" w:pos="1560" w:val="left"/>
        </w:tabs>
        <w:rPr>
          <w:sz w:val="20"/>
          <w:szCs w:val="20"/>
          <w:color w:val="auto"/>
        </w:rPr>
      </w:pPr>
      <w:r>
        <w:rPr>
          <w:rFonts w:ascii="Arial" w:cs="Arial" w:eastAsia="Arial" w:hAnsi="Arial"/>
          <w:sz w:val="18"/>
          <w:szCs w:val="18"/>
          <w:color w:val="auto"/>
        </w:rPr>
        <w:t>+10.1.6.2</w:t>
      </w:r>
      <w:r>
        <w:rPr>
          <w:sz w:val="20"/>
          <w:szCs w:val="20"/>
          <w:color w:val="auto"/>
        </w:rPr>
        <w:tab/>
      </w:r>
      <w:r>
        <w:rPr>
          <w:rFonts w:ascii="Arial" w:cs="Arial" w:eastAsia="Arial" w:hAnsi="Arial"/>
          <w:sz w:val="17"/>
          <w:szCs w:val="17"/>
          <w:color w:val="auto"/>
        </w:rPr>
        <w:t>Second Amendment to Employment Agreement, dated as of February 24, 2015, by and between Wynn Resorts, Limited and Stephen Cootey. (Incorporated by reference from the Annual Report on Form 10-K filed by the Registrant on March 2, 2015.)</w:t>
      </w:r>
    </w:p>
    <w:p>
      <w:pPr>
        <w:spacing w:after="0" w:line="1" w:lineRule="exact"/>
        <w:rPr>
          <w:sz w:val="20"/>
          <w:szCs w:val="20"/>
          <w:color w:val="auto"/>
        </w:rPr>
      </w:pPr>
    </w:p>
    <w:p>
      <w:pPr>
        <w:ind w:left="1580" w:right="40" w:hanging="712"/>
        <w:spacing w:after="0" w:line="277" w:lineRule="auto"/>
        <w:tabs>
          <w:tab w:leader="none" w:pos="1560" w:val="left"/>
        </w:tabs>
        <w:rPr>
          <w:sz w:val="20"/>
          <w:szCs w:val="20"/>
          <w:color w:val="auto"/>
        </w:rPr>
      </w:pPr>
      <w:r>
        <w:rPr>
          <w:rFonts w:ascii="Arial" w:cs="Arial" w:eastAsia="Arial" w:hAnsi="Arial"/>
          <w:sz w:val="18"/>
          <w:szCs w:val="18"/>
          <w:color w:val="auto"/>
        </w:rPr>
        <w:t>+10.2.0</w:t>
        <w:tab/>
        <w:t>2014 Omnibus Incentive Plan effective May 16, 2014. (Incorporated by reference from the Form S-8 Registration Statement filed by the Registrant on May 20, 2014 (File No. 333-196113).)</w:t>
      </w:r>
    </w:p>
    <w:p>
      <w:pPr>
        <w:spacing w:after="0" w:line="8" w:lineRule="exact"/>
        <w:rPr>
          <w:sz w:val="20"/>
          <w:szCs w:val="20"/>
          <w:color w:val="auto"/>
        </w:rPr>
      </w:pPr>
    </w:p>
    <w:p>
      <w:pPr>
        <w:ind w:left="1580" w:right="80" w:hanging="746"/>
        <w:spacing w:after="0" w:line="317" w:lineRule="auto"/>
        <w:tabs>
          <w:tab w:leader="none" w:pos="1560" w:val="left"/>
        </w:tabs>
        <w:rPr>
          <w:sz w:val="20"/>
          <w:szCs w:val="20"/>
          <w:color w:val="auto"/>
        </w:rPr>
      </w:pPr>
      <w:r>
        <w:rPr>
          <w:rFonts w:ascii="Arial" w:cs="Arial" w:eastAsia="Arial" w:hAnsi="Arial"/>
          <w:sz w:val="18"/>
          <w:szCs w:val="18"/>
          <w:color w:val="auto"/>
        </w:rPr>
        <w:t>10.3.1.0</w:t>
      </w:r>
      <w:r>
        <w:rPr>
          <w:sz w:val="20"/>
          <w:szCs w:val="20"/>
          <w:color w:val="auto"/>
        </w:rPr>
        <w:tab/>
      </w:r>
      <w:r>
        <w:rPr>
          <w:rFonts w:ascii="Arial" w:cs="Arial" w:eastAsia="Arial" w:hAnsi="Arial"/>
          <w:sz w:val="16"/>
          <w:szCs w:val="16"/>
          <w:color w:val="auto"/>
        </w:rPr>
        <w:t>Amended and Restated Stockholder Agreement, dated January 6, 2010, by and among Stephen A. Wynn, Elaine P. Wynn and Aruze USA, Inc. (Incorporated by reference from the Current Report on Form 8-K filed by the Registrant on January 6, 2010.)</w:t>
      </w:r>
    </w:p>
    <w:p>
      <w:pPr>
        <w:ind w:left="1580" w:right="940" w:hanging="746"/>
        <w:spacing w:after="0" w:line="317" w:lineRule="auto"/>
        <w:tabs>
          <w:tab w:leader="none" w:pos="1560" w:val="left"/>
        </w:tabs>
        <w:rPr>
          <w:sz w:val="20"/>
          <w:szCs w:val="20"/>
          <w:color w:val="auto"/>
        </w:rPr>
      </w:pPr>
      <w:r>
        <w:rPr>
          <w:rFonts w:ascii="Arial" w:cs="Arial" w:eastAsia="Arial" w:hAnsi="Arial"/>
          <w:sz w:val="18"/>
          <w:szCs w:val="18"/>
          <w:color w:val="auto"/>
        </w:rPr>
        <w:t>10.3.1.1</w:t>
      </w:r>
      <w:r>
        <w:rPr>
          <w:sz w:val="20"/>
          <w:szCs w:val="20"/>
          <w:color w:val="auto"/>
        </w:rPr>
        <w:tab/>
      </w:r>
      <w:r>
        <w:rPr>
          <w:rFonts w:ascii="Arial" w:cs="Arial" w:eastAsia="Arial" w:hAnsi="Arial"/>
          <w:sz w:val="16"/>
          <w:szCs w:val="16"/>
          <w:color w:val="auto"/>
        </w:rPr>
        <w:t>Waiver and Consent, dated November 24, 2010, by and among Aruze USA, Inc., Stephen A. Wynn and Elaine P. Wynn. (Incorporated by reference from the Current Report on Form 8-K filed by the Registrant on November 26, 2010.)</w:t>
      </w:r>
    </w:p>
    <w:p>
      <w:pPr>
        <w:ind w:left="1580" w:right="960" w:hanging="746"/>
        <w:spacing w:after="0" w:line="317" w:lineRule="auto"/>
        <w:tabs>
          <w:tab w:leader="none" w:pos="1560" w:val="left"/>
        </w:tabs>
        <w:rPr>
          <w:sz w:val="20"/>
          <w:szCs w:val="20"/>
          <w:color w:val="auto"/>
        </w:rPr>
      </w:pPr>
      <w:r>
        <w:rPr>
          <w:rFonts w:ascii="Arial" w:cs="Arial" w:eastAsia="Arial" w:hAnsi="Arial"/>
          <w:sz w:val="18"/>
          <w:szCs w:val="18"/>
          <w:color w:val="auto"/>
        </w:rPr>
        <w:t>10.3.1.2</w:t>
      </w:r>
      <w:r>
        <w:rPr>
          <w:sz w:val="20"/>
          <w:szCs w:val="20"/>
          <w:color w:val="auto"/>
        </w:rPr>
        <w:tab/>
      </w:r>
      <w:r>
        <w:rPr>
          <w:rFonts w:ascii="Arial" w:cs="Arial" w:eastAsia="Arial" w:hAnsi="Arial"/>
          <w:sz w:val="16"/>
          <w:szCs w:val="16"/>
          <w:color w:val="auto"/>
        </w:rPr>
        <w:t>Waiver and Consent, dated December 15, 2010, by and among Aruze USA, Inc., Stephen A. Wynn and Elaine P. Wynn. (Incorporated by reference from the Current Report on Form 8-K filed by the Registrant on December 15, 2010.)</w:t>
      </w:r>
    </w:p>
    <w:p>
      <w:pPr>
        <w:ind w:left="1580" w:hanging="746"/>
        <w:spacing w:after="0" w:line="264" w:lineRule="auto"/>
        <w:tabs>
          <w:tab w:leader="none" w:pos="1560" w:val="left"/>
        </w:tabs>
        <w:rPr>
          <w:sz w:val="20"/>
          <w:szCs w:val="20"/>
          <w:color w:val="auto"/>
        </w:rPr>
      </w:pPr>
      <w:r>
        <w:rPr>
          <w:rFonts w:ascii="Arial" w:cs="Arial" w:eastAsia="Arial" w:hAnsi="Arial"/>
          <w:sz w:val="18"/>
          <w:szCs w:val="18"/>
          <w:color w:val="auto"/>
        </w:rPr>
        <w:t>10.3.2.0</w:t>
        <w:tab/>
        <w:t>Amended and Restated Shareholders Agreement, dated as of September 16, 2004, by and among Wynn Resorts (Macau), Ltd., Wong Chi Seng and Wynn Resorts (Macau), S.A. (Incorporated by reference from the Quarterly Report on Form 10-Q filed by the Registrant on November 4, 2004.)</w:t>
      </w:r>
    </w:p>
    <w:p>
      <w:pPr>
        <w:spacing w:after="0" w:line="19" w:lineRule="exact"/>
        <w:rPr>
          <w:sz w:val="20"/>
          <w:szCs w:val="20"/>
          <w:color w:val="auto"/>
        </w:rPr>
      </w:pPr>
    </w:p>
    <w:p>
      <w:pPr>
        <w:ind w:left="1580" w:hanging="746"/>
        <w:spacing w:after="0" w:line="259" w:lineRule="auto"/>
        <w:tabs>
          <w:tab w:leader="none" w:pos="1560" w:val="left"/>
        </w:tabs>
        <w:rPr>
          <w:sz w:val="20"/>
          <w:szCs w:val="20"/>
          <w:color w:val="auto"/>
        </w:rPr>
      </w:pPr>
      <w:r>
        <w:rPr>
          <w:rFonts w:ascii="Arial" w:cs="Arial" w:eastAsia="Arial" w:hAnsi="Arial"/>
          <w:sz w:val="18"/>
          <w:szCs w:val="18"/>
          <w:color w:val="auto"/>
        </w:rPr>
        <w:t>10.4.1.0</w:t>
        <w:tab/>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 (Incorporated by reference from Amendment No. 1 to the Form S-1 filed by the Registrant on August 20, 2002 (File No. 333-90600).)</w:t>
      </w:r>
    </w:p>
    <w:p>
      <w:pPr>
        <w:spacing w:after="0" w:line="25" w:lineRule="exact"/>
        <w:rPr>
          <w:sz w:val="20"/>
          <w:szCs w:val="20"/>
          <w:color w:val="auto"/>
        </w:rPr>
      </w:pPr>
    </w:p>
    <w:p>
      <w:pPr>
        <w:ind w:left="1580" w:right="120" w:hanging="746"/>
        <w:spacing w:after="0" w:line="259" w:lineRule="auto"/>
        <w:tabs>
          <w:tab w:leader="none" w:pos="1560" w:val="left"/>
        </w:tabs>
        <w:rPr>
          <w:sz w:val="20"/>
          <w:szCs w:val="20"/>
          <w:color w:val="auto"/>
        </w:rPr>
      </w:pPr>
      <w:r>
        <w:rPr>
          <w:rFonts w:ascii="Arial" w:cs="Arial" w:eastAsia="Arial" w:hAnsi="Arial"/>
          <w:sz w:val="18"/>
          <w:szCs w:val="18"/>
          <w:color w:val="auto"/>
        </w:rPr>
        <w:t>10.4.1.1</w:t>
        <w:tab/>
        <w:t>Concession Contract for Operating Casino Gaming or Other Forms of Gaming in the Macao Special Administrative Region, dated June 24, 2002, between the Macau Special Administrative Region and Wynn Resorts (Macau), S.A. (English translation of Chinese version of Concession Agreement). (Incorporated by reference from Amendment No. 3 to the Form S-1 filed by the Registrant on September 18, 2002 (File No. 333-90600).)</w:t>
      </w:r>
    </w:p>
    <w:p>
      <w:pPr>
        <w:spacing w:after="0" w:line="25" w:lineRule="exact"/>
        <w:rPr>
          <w:sz w:val="20"/>
          <w:szCs w:val="20"/>
          <w:color w:val="auto"/>
        </w:rPr>
      </w:pPr>
    </w:p>
    <w:p>
      <w:pPr>
        <w:ind w:left="1580" w:right="220" w:hanging="746"/>
        <w:spacing w:after="0" w:line="317" w:lineRule="auto"/>
        <w:tabs>
          <w:tab w:leader="none" w:pos="1560" w:val="left"/>
        </w:tabs>
        <w:rPr>
          <w:sz w:val="20"/>
          <w:szCs w:val="20"/>
          <w:color w:val="auto"/>
        </w:rPr>
      </w:pPr>
      <w:r>
        <w:rPr>
          <w:rFonts w:ascii="Arial" w:cs="Arial" w:eastAsia="Arial" w:hAnsi="Arial"/>
          <w:sz w:val="18"/>
          <w:szCs w:val="18"/>
          <w:color w:val="auto"/>
        </w:rPr>
        <w:t>10.4.1.2</w:t>
      </w:r>
      <w:r>
        <w:rPr>
          <w:sz w:val="20"/>
          <w:szCs w:val="20"/>
          <w:color w:val="auto"/>
        </w:rPr>
        <w:tab/>
      </w:r>
      <w:r>
        <w:rPr>
          <w:rFonts w:ascii="Arial" w:cs="Arial" w:eastAsia="Arial" w:hAnsi="Arial"/>
          <w:sz w:val="16"/>
          <w:szCs w:val="16"/>
          <w:color w:val="auto"/>
        </w:rPr>
        <w:t>Unofficial English translation of Land Concession Contract between the Macau Special Administrative Region and Wynn Resorts (Macau), S.A. (Incorporated by reference from the Quarterly Report on Form 10-Q filed by the Registrant on August 3, 2004.)</w:t>
      </w:r>
    </w:p>
    <w:p>
      <w:pPr>
        <w:ind w:left="1580" w:right="40" w:hanging="746"/>
        <w:spacing w:after="0" w:line="305" w:lineRule="auto"/>
        <w:tabs>
          <w:tab w:leader="none" w:pos="1560" w:val="left"/>
        </w:tabs>
        <w:rPr>
          <w:sz w:val="20"/>
          <w:szCs w:val="20"/>
          <w:color w:val="auto"/>
        </w:rPr>
      </w:pPr>
      <w:r>
        <w:rPr>
          <w:rFonts w:ascii="Arial" w:cs="Arial" w:eastAsia="Arial" w:hAnsi="Arial"/>
          <w:sz w:val="18"/>
          <w:szCs w:val="18"/>
          <w:color w:val="auto"/>
        </w:rPr>
        <w:t>10.4.1.3</w:t>
      </w:r>
      <w:r>
        <w:rPr>
          <w:sz w:val="20"/>
          <w:szCs w:val="20"/>
          <w:color w:val="auto"/>
        </w:rPr>
        <w:tab/>
      </w:r>
      <w:r>
        <w:rPr>
          <w:rFonts w:ascii="Arial" w:cs="Arial" w:eastAsia="Arial" w:hAnsi="Arial"/>
          <w:sz w:val="16"/>
          <w:szCs w:val="16"/>
          <w:color w:val="auto"/>
        </w:rPr>
        <w:t>Land Concession Contract, published on May 2, 2012, by and among Palo Real Estate Company Limited, Wynn Resorts (Macau), S.A. and the Macau Special Administrative Region of the People's Republic of China (translated to English from traditional Chinese and Portuguese). (Incorporated by reference from the Current Report on Form 8-K filed by the Registrant on May 2, 2012.)</w:t>
      </w:r>
    </w:p>
    <w:p>
      <w:pPr>
        <w:spacing w:after="0" w:line="1" w:lineRule="exact"/>
        <w:rPr>
          <w:sz w:val="20"/>
          <w:szCs w:val="20"/>
          <w:color w:val="auto"/>
        </w:rPr>
      </w:pPr>
    </w:p>
    <w:p>
      <w:pPr>
        <w:jc w:val="center"/>
        <w:ind w:left="580" w:right="480"/>
        <w:spacing w:after="0" w:line="298" w:lineRule="auto"/>
        <w:rPr>
          <w:sz w:val="20"/>
          <w:szCs w:val="20"/>
          <w:color w:val="auto"/>
        </w:rPr>
      </w:pPr>
      <w:r>
        <w:rPr>
          <w:rFonts w:ascii="Arial" w:cs="Arial" w:eastAsia="Arial" w:hAnsi="Arial"/>
          <w:sz w:val="17"/>
          <w:szCs w:val="17"/>
          <w:color w:val="auto"/>
        </w:rPr>
        <w:t>10.5.1.0  Surname Rights Agreement, dated as of August 6, 2004, by and between Stephen A. Wynn and Wynn Resorts Holdings, LLC. (Incorporated by reference from the Quarterly Report on Form 10-Q filed by the Registrant on November 4, 2004.)</w:t>
      </w:r>
    </w:p>
    <w:p>
      <w:pPr>
        <w:spacing w:after="0" w:line="1" w:lineRule="exact"/>
        <w:rPr>
          <w:sz w:val="20"/>
          <w:szCs w:val="20"/>
          <w:color w:val="auto"/>
        </w:rPr>
      </w:pPr>
    </w:p>
    <w:p>
      <w:pPr>
        <w:jc w:val="center"/>
        <w:ind w:left="540" w:right="520"/>
        <w:spacing w:after="0" w:line="298" w:lineRule="auto"/>
        <w:rPr>
          <w:sz w:val="20"/>
          <w:szCs w:val="20"/>
          <w:color w:val="auto"/>
        </w:rPr>
      </w:pPr>
      <w:r>
        <w:rPr>
          <w:rFonts w:ascii="Arial" w:cs="Arial" w:eastAsia="Arial" w:hAnsi="Arial"/>
          <w:sz w:val="17"/>
          <w:szCs w:val="17"/>
          <w:color w:val="auto"/>
        </w:rPr>
        <w:t>10.5.1.1  Rights of Publicity License, dated as of August 6, 2004, by and between Stephen A. Wynn and Wynn Resorts Holdings, LLC. (Incorporated by reference from the Quarterly Report on Form 10-Q filed by the Registrant on November 4, 2004.)</w:t>
      </w:r>
    </w:p>
    <w:p>
      <w:pPr>
        <w:spacing w:after="0" w:line="1" w:lineRule="exact"/>
        <w:rPr>
          <w:sz w:val="20"/>
          <w:szCs w:val="20"/>
          <w:color w:val="auto"/>
        </w:rPr>
      </w:pPr>
    </w:p>
    <w:p>
      <w:pPr>
        <w:ind w:left="1580" w:right="800" w:hanging="746"/>
        <w:spacing w:after="0" w:line="317" w:lineRule="auto"/>
        <w:tabs>
          <w:tab w:leader="none" w:pos="1560" w:val="left"/>
        </w:tabs>
        <w:rPr>
          <w:sz w:val="20"/>
          <w:szCs w:val="20"/>
          <w:color w:val="auto"/>
        </w:rPr>
      </w:pPr>
      <w:r>
        <w:rPr>
          <w:rFonts w:ascii="Arial" w:cs="Arial" w:eastAsia="Arial" w:hAnsi="Arial"/>
          <w:sz w:val="18"/>
          <w:szCs w:val="18"/>
          <w:color w:val="auto"/>
        </w:rPr>
        <w:t>10.5.1.2</w:t>
      </w:r>
      <w:r>
        <w:rPr>
          <w:sz w:val="20"/>
          <w:szCs w:val="20"/>
          <w:color w:val="auto"/>
        </w:rPr>
        <w:tab/>
      </w:r>
      <w:r>
        <w:rPr>
          <w:rFonts w:ascii="Arial" w:cs="Arial" w:eastAsia="Arial" w:hAnsi="Arial"/>
          <w:sz w:val="16"/>
          <w:szCs w:val="16"/>
          <w:color w:val="auto"/>
        </w:rPr>
        <w:t>Trademark Assignment, dated as of August 6, 2004, by and between Stephen A. Wynn and Wynn Resorts Holdings, LLC. (Incorporated by reference from the Quarterly Report on Form 10-Q filed by the Registrant on November 4, 2004.)</w:t>
      </w:r>
    </w:p>
    <w:p>
      <w:pPr>
        <w:jc w:val="both"/>
        <w:ind w:left="1580" w:right="300" w:hanging="746"/>
        <w:spacing w:after="0" w:line="264" w:lineRule="auto"/>
        <w:tabs>
          <w:tab w:leader="none" w:pos="1560" w:val="left"/>
        </w:tabs>
        <w:rPr>
          <w:sz w:val="20"/>
          <w:szCs w:val="20"/>
          <w:color w:val="auto"/>
        </w:rPr>
      </w:pPr>
      <w:r>
        <w:rPr>
          <w:rFonts w:ascii="Arial" w:cs="Arial" w:eastAsia="Arial" w:hAnsi="Arial"/>
          <w:sz w:val="18"/>
          <w:szCs w:val="18"/>
          <w:color w:val="auto"/>
        </w:rPr>
        <w:t>10.5.2.0</w:t>
        <w:tab/>
        <w:t>Intellectual Property License Agreement, dated as of December 14, 2004, by and among Wynn Resorts Holdings, Wynn Resorts, Limited and Wynn Las Vegas, LLC. (Incorporated by reference from the Annual Report on Form 10-K filed by the Registrant on March 15, 2005.)</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60"/>
          </w:cols>
          <w:pgMar w:left="240" w:top="122" w:right="49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580" w:right="500" w:hanging="746"/>
        <w:spacing w:after="0" w:line="264" w:lineRule="auto"/>
        <w:tabs>
          <w:tab w:leader="none" w:pos="1560" w:val="left"/>
        </w:tabs>
        <w:rPr>
          <w:sz w:val="20"/>
          <w:szCs w:val="20"/>
          <w:color w:val="auto"/>
        </w:rPr>
      </w:pPr>
      <w:r>
        <w:rPr>
          <w:rFonts w:ascii="Arial" w:cs="Arial" w:eastAsia="Arial" w:hAnsi="Arial"/>
          <w:sz w:val="18"/>
          <w:szCs w:val="18"/>
          <w:color w:val="auto"/>
        </w:rPr>
        <w:t>10.5.2.1</w:t>
        <w:tab/>
        <w:t>Intellectual Property License Agreement, dated as of September 19, 2009, by and among Wynn Resorts Holdings, LLC, Wynn Resorts, Limited and Wynn Macau, Limited. (Incorporated by reference from the Annual Report on Form 10-K filed by the Registrant on March 2, 2015.)</w:t>
      </w:r>
    </w:p>
    <w:p>
      <w:pPr>
        <w:spacing w:after="0" w:line="19" w:lineRule="exact"/>
        <w:rPr>
          <w:sz w:val="20"/>
          <w:szCs w:val="20"/>
          <w:color w:val="auto"/>
        </w:rPr>
      </w:pPr>
    </w:p>
    <w:p>
      <w:pPr>
        <w:jc w:val="both"/>
        <w:ind w:left="1580" w:right="360" w:hanging="746"/>
        <w:spacing w:after="0" w:line="264" w:lineRule="auto"/>
        <w:tabs>
          <w:tab w:leader="none" w:pos="1560" w:val="left"/>
        </w:tabs>
        <w:rPr>
          <w:sz w:val="20"/>
          <w:szCs w:val="20"/>
          <w:color w:val="auto"/>
        </w:rPr>
      </w:pPr>
      <w:r>
        <w:rPr>
          <w:rFonts w:ascii="Arial" w:cs="Arial" w:eastAsia="Arial" w:hAnsi="Arial"/>
          <w:sz w:val="18"/>
          <w:szCs w:val="18"/>
          <w:color w:val="auto"/>
        </w:rPr>
        <w:t>10.5.2.2</w:t>
        <w:tab/>
        <w:t>Amended and Restated Intellectual Property License Agreement, dated as of September 19, 2009, by and among Wynn Resorts Holdings, LLC, Wynn Resorts, Limited and Wynn Resorts (Macau), S.A. (Incorporated by reference from the Annual Report on Form 10-K filed by the Registrant on March 2, 2015.)</w:t>
      </w:r>
    </w:p>
    <w:p>
      <w:pPr>
        <w:spacing w:after="0" w:line="19" w:lineRule="exact"/>
        <w:rPr>
          <w:sz w:val="20"/>
          <w:szCs w:val="20"/>
          <w:color w:val="auto"/>
        </w:rPr>
      </w:pPr>
    </w:p>
    <w:p>
      <w:pPr>
        <w:ind w:left="1580" w:right="100" w:hanging="746"/>
        <w:spacing w:after="0" w:line="264" w:lineRule="auto"/>
        <w:tabs>
          <w:tab w:leader="none" w:pos="1560" w:val="left"/>
        </w:tabs>
        <w:rPr>
          <w:sz w:val="20"/>
          <w:szCs w:val="20"/>
          <w:color w:val="auto"/>
        </w:rPr>
      </w:pPr>
      <w:r>
        <w:rPr>
          <w:rFonts w:ascii="Arial" w:cs="Arial" w:eastAsia="Arial" w:hAnsi="Arial"/>
          <w:sz w:val="18"/>
          <w:szCs w:val="18"/>
          <w:color w:val="auto"/>
        </w:rPr>
        <w:t>10.5.2.3</w:t>
        <w:tab/>
        <w:t>2015 Intellectual Property License Agreement, dated as of February 26, 2015, by and between Wynn Resorts Holdings, LLC, Wynn Resorts, Limited and Wynn Las Vegas, LLC. (Incorporated by reference from the Quarterly Report on Form 10-Q filed by the Registrant on May 8, 2015.)</w:t>
      </w:r>
    </w:p>
    <w:p>
      <w:pPr>
        <w:spacing w:after="0" w:line="19" w:lineRule="exact"/>
        <w:rPr>
          <w:sz w:val="20"/>
          <w:szCs w:val="20"/>
          <w:color w:val="auto"/>
        </w:rPr>
      </w:pPr>
    </w:p>
    <w:p>
      <w:pPr>
        <w:ind w:left="1580" w:right="460" w:hanging="836"/>
        <w:spacing w:after="0" w:line="277" w:lineRule="auto"/>
        <w:tabs>
          <w:tab w:leader="none" w:pos="1560" w:val="left"/>
        </w:tabs>
        <w:rPr>
          <w:sz w:val="20"/>
          <w:szCs w:val="20"/>
          <w:color w:val="auto"/>
        </w:rPr>
      </w:pPr>
      <w:r>
        <w:rPr>
          <w:rFonts w:ascii="Arial" w:cs="Arial" w:eastAsia="Arial" w:hAnsi="Arial"/>
          <w:sz w:val="18"/>
          <w:szCs w:val="18"/>
          <w:color w:val="auto"/>
        </w:rPr>
        <w:t>*10.5.2.4</w:t>
        <w:tab/>
        <w:t>2014 Intellectual Property License Agreement, dated as of November 20, 2014, by and between Wynn Resorts Holdings, LLC, Wynn Resorts, Limited and Wynn MA, LLC.</w:t>
      </w:r>
    </w:p>
    <w:p>
      <w:pPr>
        <w:spacing w:after="0" w:line="8" w:lineRule="exact"/>
        <w:rPr>
          <w:sz w:val="20"/>
          <w:szCs w:val="20"/>
          <w:color w:val="auto"/>
        </w:rPr>
      </w:pPr>
    </w:p>
    <w:p>
      <w:pPr>
        <w:ind w:left="1580" w:right="140" w:hanging="746"/>
        <w:spacing w:after="0" w:line="257" w:lineRule="auto"/>
        <w:tabs>
          <w:tab w:leader="none" w:pos="1560" w:val="left"/>
        </w:tabs>
        <w:rPr>
          <w:sz w:val="20"/>
          <w:szCs w:val="20"/>
          <w:color w:val="auto"/>
        </w:rPr>
      </w:pPr>
      <w:r>
        <w:rPr>
          <w:rFonts w:ascii="Arial" w:cs="Arial" w:eastAsia="Arial" w:hAnsi="Arial"/>
          <w:sz w:val="18"/>
          <w:szCs w:val="18"/>
          <w:color w:val="auto"/>
        </w:rPr>
        <w:t>10.6.1.0</w:t>
        <w:tab/>
        <w:t>Common Terms Agreement, dated as of September 14, 2004, by and among Wynn Resorts (Macau), S.A., certain financial institutions as Hotel Facility Lenders, Project Facility Lenders and Revolving Credit Facility Lenders, Deutsche Bank AG, Hong Kong Branch and Societe Generale Asia Limited as Global Coordinating Lead Arrangers and Societe Generale Asia Limited as Hotel Facility Agent, Project Facility Agent, Intercreditor Agent and Security Agent. (Incorporated by reference from the Quarterly Report on Form 10-Q filed by the Registrant on November 4, 2004.)</w:t>
      </w:r>
    </w:p>
    <w:p>
      <w:pPr>
        <w:spacing w:after="0" w:line="26" w:lineRule="exact"/>
        <w:rPr>
          <w:sz w:val="20"/>
          <w:szCs w:val="20"/>
          <w:color w:val="auto"/>
        </w:rPr>
      </w:pPr>
    </w:p>
    <w:p>
      <w:pPr>
        <w:ind w:left="1580" w:right="180" w:hanging="746"/>
        <w:spacing w:after="0" w:line="293" w:lineRule="auto"/>
        <w:tabs>
          <w:tab w:leader="none" w:pos="1560" w:val="left"/>
        </w:tabs>
        <w:rPr>
          <w:sz w:val="20"/>
          <w:szCs w:val="20"/>
          <w:color w:val="auto"/>
        </w:rPr>
      </w:pPr>
      <w:r>
        <w:rPr>
          <w:rFonts w:ascii="Arial" w:cs="Arial" w:eastAsia="Arial" w:hAnsi="Arial"/>
          <w:sz w:val="18"/>
          <w:szCs w:val="18"/>
          <w:color w:val="auto"/>
        </w:rPr>
        <w:t>10.6.1.1</w:t>
      </w:r>
      <w:r>
        <w:rPr>
          <w:sz w:val="20"/>
          <w:szCs w:val="20"/>
          <w:color w:val="auto"/>
        </w:rPr>
        <w:tab/>
      </w:r>
      <w:r>
        <w:rPr>
          <w:rFonts w:ascii="Arial" w:cs="Arial" w:eastAsia="Arial" w:hAnsi="Arial"/>
          <w:sz w:val="16"/>
          <w:szCs w:val="16"/>
          <w:color w:val="auto"/>
        </w:rPr>
        <w:t>Common Terms Agreement Amendment Agreement, dated as of September 14, 2005, between Wynn Resorts (Macau), S.A. as the Company, Certain Financial Institutions as Hotel Facility Lenders, Project Facility Lenders, Revolving Credit Facility Lenders and Hedging Counterparties, Bank of America Securities Asia Limited, Deutsche Bank AG, Hong Kong Branch and Societe Generale Asia Limited as Global Coordinating Lead Arrangers, Societe Generale Asia Limited as Hotel Facility Agent and Project Facility Agent, Societe Generale Asia Limited as Intercreditor Agent, and Societe Generale, Hong Kong Branch as Security Agent. (Incorporated by reference from the Quarterly Report on Form 10-Q filed by the Registrant on November 8, 2005.)</w:t>
      </w:r>
    </w:p>
    <w:p>
      <w:pPr>
        <w:spacing w:after="0" w:line="3" w:lineRule="exact"/>
        <w:rPr>
          <w:sz w:val="20"/>
          <w:szCs w:val="20"/>
          <w:color w:val="auto"/>
        </w:rPr>
      </w:pPr>
    </w:p>
    <w:p>
      <w:pPr>
        <w:ind w:left="1580" w:hanging="746"/>
        <w:spacing w:after="0" w:line="255" w:lineRule="auto"/>
        <w:tabs>
          <w:tab w:leader="none" w:pos="1560" w:val="left"/>
        </w:tabs>
        <w:rPr>
          <w:sz w:val="20"/>
          <w:szCs w:val="20"/>
          <w:color w:val="auto"/>
        </w:rPr>
      </w:pPr>
      <w:r>
        <w:rPr>
          <w:rFonts w:ascii="Arial" w:cs="Arial" w:eastAsia="Arial" w:hAnsi="Arial"/>
          <w:sz w:val="18"/>
          <w:szCs w:val="18"/>
          <w:color w:val="auto"/>
        </w:rPr>
        <w:t>10.6.1.2</w:t>
        <w:tab/>
        <w:t>Common Terms Agreement Second Amendment Agreement, dated June 27, 2007, by and among Wynn Resorts (Macau), S.A., certain financial institutions as Hotel Facility Lenders, Project Facility Lenders, and Revolving Credit Facility Lenders, Banc of America Securities Asia Limited, Deutsche Bank A.G. Hong Kong Branch, and Societe Generale Asia Limited as Global Lead Arrangers and Societe Generale Asia Limited as Hotel Facility Agent and Project Facility Agent and Societe Generale Hong Kong Branch as Intercreditor Agent. (Incorporated by reference from the Quarterly Report on Form 10-Q filed by the Registrant on August 9, 2007.)</w:t>
      </w:r>
    </w:p>
    <w:p>
      <w:pPr>
        <w:spacing w:after="0" w:line="31" w:lineRule="exact"/>
        <w:rPr>
          <w:sz w:val="20"/>
          <w:szCs w:val="20"/>
          <w:color w:val="auto"/>
        </w:rPr>
      </w:pPr>
    </w:p>
    <w:p>
      <w:pPr>
        <w:ind w:left="1580" w:right="440" w:hanging="746"/>
        <w:spacing w:after="0" w:line="264" w:lineRule="auto"/>
        <w:tabs>
          <w:tab w:leader="none" w:pos="1560" w:val="left"/>
        </w:tabs>
        <w:rPr>
          <w:sz w:val="20"/>
          <w:szCs w:val="20"/>
          <w:color w:val="auto"/>
        </w:rPr>
      </w:pPr>
      <w:r>
        <w:rPr>
          <w:rFonts w:ascii="Arial" w:cs="Arial" w:eastAsia="Arial" w:hAnsi="Arial"/>
          <w:sz w:val="18"/>
          <w:szCs w:val="18"/>
          <w:color w:val="auto"/>
        </w:rPr>
        <w:t>10.6.1.3</w:t>
        <w:tab/>
        <w:t>Common Terms Agreement Third Amendment Agreement, dated September 8, 2009, between, among others, Wynn Resorts (Macau), S.A. as the company and Société Générale, Hong Kong Branch as security agent. (Incorporated by reference from the Annual Report on Form 10-K filed by the Registrant on March 1, 2010.)</w:t>
      </w:r>
    </w:p>
    <w:p>
      <w:pPr>
        <w:spacing w:after="0" w:line="19" w:lineRule="exact"/>
        <w:rPr>
          <w:sz w:val="20"/>
          <w:szCs w:val="20"/>
          <w:color w:val="auto"/>
        </w:rPr>
      </w:pPr>
    </w:p>
    <w:p>
      <w:pPr>
        <w:ind w:left="1580" w:right="400" w:hanging="746"/>
        <w:spacing w:after="0" w:line="264" w:lineRule="auto"/>
        <w:tabs>
          <w:tab w:leader="none" w:pos="1560" w:val="left"/>
        </w:tabs>
        <w:rPr>
          <w:sz w:val="20"/>
          <w:szCs w:val="20"/>
          <w:color w:val="auto"/>
        </w:rPr>
      </w:pPr>
      <w:r>
        <w:rPr>
          <w:rFonts w:ascii="Arial" w:cs="Arial" w:eastAsia="Arial" w:hAnsi="Arial"/>
          <w:sz w:val="18"/>
          <w:szCs w:val="18"/>
          <w:color w:val="auto"/>
        </w:rPr>
        <w:t>10.6.1.4</w:t>
        <w:tab/>
        <w:t>Common Terms Agreement Fourth Amendment Agreement, dated as of July 31, 2012, between, among others, Wynn Resorts (Macau), S.A. as the company and Bank of China Limited Macau Branch as security agent. (Incorporated by reference from the Quarterly Report on Form 10-Q filed by the Registrant on November 9, 2012.)</w:t>
      </w:r>
    </w:p>
    <w:p>
      <w:pPr>
        <w:spacing w:after="0" w:line="19" w:lineRule="exact"/>
        <w:rPr>
          <w:sz w:val="20"/>
          <w:szCs w:val="20"/>
          <w:color w:val="auto"/>
        </w:rPr>
      </w:pPr>
    </w:p>
    <w:p>
      <w:pPr>
        <w:ind w:left="1580" w:right="400" w:hanging="746"/>
        <w:spacing w:after="0" w:line="264" w:lineRule="auto"/>
        <w:tabs>
          <w:tab w:leader="none" w:pos="1560" w:val="left"/>
        </w:tabs>
        <w:rPr>
          <w:sz w:val="20"/>
          <w:szCs w:val="20"/>
          <w:color w:val="auto"/>
        </w:rPr>
      </w:pPr>
      <w:r>
        <w:rPr>
          <w:rFonts w:ascii="Arial" w:cs="Arial" w:eastAsia="Arial" w:hAnsi="Arial"/>
          <w:sz w:val="18"/>
          <w:szCs w:val="18"/>
          <w:color w:val="auto"/>
        </w:rPr>
        <w:t>10.6.1.5</w:t>
        <w:tab/>
        <w:t>Common Terms Agreement Fifth Amendment Agreement, dated September 30, 2015, between, among others, Wynn Resorts (Macau), S.A. as the company and Bank of China Limited Macau Branch as security agent. (Incorporated by reference from the Quarterly Report on Form 10-Q filed by the Registrant on November 6, 2015.)</w:t>
      </w:r>
    </w:p>
    <w:p>
      <w:pPr>
        <w:spacing w:after="0" w:line="19" w:lineRule="exact"/>
        <w:rPr>
          <w:sz w:val="20"/>
          <w:szCs w:val="20"/>
          <w:color w:val="auto"/>
        </w:rPr>
      </w:pPr>
    </w:p>
    <w:p>
      <w:pPr>
        <w:ind w:left="1580" w:right="60" w:hanging="746"/>
        <w:spacing w:after="0" w:line="264" w:lineRule="auto"/>
        <w:tabs>
          <w:tab w:leader="none" w:pos="1560" w:val="left"/>
        </w:tabs>
        <w:rPr>
          <w:sz w:val="20"/>
          <w:szCs w:val="20"/>
          <w:color w:val="auto"/>
        </w:rPr>
      </w:pPr>
      <w:r>
        <w:rPr>
          <w:rFonts w:ascii="Arial" w:cs="Arial" w:eastAsia="Arial" w:hAnsi="Arial"/>
          <w:sz w:val="18"/>
          <w:szCs w:val="18"/>
          <w:color w:val="auto"/>
        </w:rPr>
        <w:t>10.6.2.0</w:t>
        <w:tab/>
        <w:t>Hotel Facility Agreement, dated as of September 14, 2004, by and among Wynn Resorts (Macau), S.A., Societe Generale Asia Limited as Hotel Facility Agent and the several Hotel Facility Lenders named therein. (Incorporated by reference from the Quarterly Report on Form 10-Q filed by the Registrant on November 4, 2004.)</w:t>
      </w:r>
    </w:p>
    <w:p>
      <w:pPr>
        <w:spacing w:after="0" w:line="19" w:lineRule="exact"/>
        <w:rPr>
          <w:sz w:val="20"/>
          <w:szCs w:val="20"/>
          <w:color w:val="auto"/>
        </w:rPr>
      </w:pPr>
    </w:p>
    <w:p>
      <w:pPr>
        <w:jc w:val="both"/>
        <w:ind w:left="1580" w:right="580" w:hanging="746"/>
        <w:spacing w:after="0" w:line="305" w:lineRule="auto"/>
        <w:tabs>
          <w:tab w:leader="none" w:pos="1560" w:val="left"/>
        </w:tabs>
        <w:rPr>
          <w:sz w:val="20"/>
          <w:szCs w:val="20"/>
          <w:color w:val="auto"/>
        </w:rPr>
      </w:pPr>
      <w:r>
        <w:rPr>
          <w:rFonts w:ascii="Arial" w:cs="Arial" w:eastAsia="Arial" w:hAnsi="Arial"/>
          <w:sz w:val="18"/>
          <w:szCs w:val="18"/>
          <w:color w:val="auto"/>
        </w:rPr>
        <w:t>10.6.2.1</w:t>
      </w:r>
      <w:r>
        <w:rPr>
          <w:sz w:val="20"/>
          <w:szCs w:val="20"/>
          <w:color w:val="auto"/>
        </w:rPr>
        <w:tab/>
      </w:r>
      <w:r>
        <w:rPr>
          <w:rFonts w:ascii="Arial" w:cs="Arial" w:eastAsia="Arial" w:hAnsi="Arial"/>
          <w:sz w:val="16"/>
          <w:szCs w:val="16"/>
          <w:color w:val="auto"/>
        </w:rPr>
        <w:t>Hotel Facility Agreement Amendment Agreement, dated as of September 14, 2005, between Wynn Resorts (Macau), S.A. as Company, Societe Generale Asia Limited, as Hotel Facility Agent and certain financial institutions as Hotel Facility Lenders. (Incorporated by reference from the Quarterly Report on Form 10-Q filed by the Registrant on November 8, 2005.)</w:t>
      </w:r>
    </w:p>
    <w:p>
      <w:pPr>
        <w:spacing w:after="0" w:line="1" w:lineRule="exact"/>
        <w:rPr>
          <w:sz w:val="20"/>
          <w:szCs w:val="20"/>
          <w:color w:val="auto"/>
        </w:rPr>
      </w:pPr>
    </w:p>
    <w:p>
      <w:pPr>
        <w:ind w:left="1580" w:right="20" w:hanging="746"/>
        <w:spacing w:after="0" w:line="264" w:lineRule="auto"/>
        <w:tabs>
          <w:tab w:leader="none" w:pos="1560" w:val="left"/>
        </w:tabs>
        <w:rPr>
          <w:sz w:val="20"/>
          <w:szCs w:val="20"/>
          <w:color w:val="auto"/>
        </w:rPr>
      </w:pPr>
      <w:r>
        <w:rPr>
          <w:rFonts w:ascii="Arial" w:cs="Arial" w:eastAsia="Arial" w:hAnsi="Arial"/>
          <w:sz w:val="18"/>
          <w:szCs w:val="18"/>
          <w:color w:val="auto"/>
        </w:rPr>
        <w:t>10.6.2.2</w:t>
        <w:tab/>
        <w:t>Hotel Facility Agreement Second Amendment Agreement, dated June 27, 2007, by and among Wynn Resorts (Macau), S.A., Societe Generale Asia Limited as Hotel Facility Agent, and certain financial institutions as Hotel Facility Lenders. (Incorporated by reference from the Quarterly Report on Form 10-Q filed by the Registrant on August 9, 2007.)</w:t>
      </w:r>
    </w:p>
    <w:p>
      <w:pPr>
        <w:spacing w:after="0" w:line="19" w:lineRule="exact"/>
        <w:rPr>
          <w:sz w:val="20"/>
          <w:szCs w:val="20"/>
          <w:color w:val="auto"/>
        </w:rPr>
      </w:pPr>
    </w:p>
    <w:p>
      <w:pPr>
        <w:ind w:left="1580" w:right="100" w:hanging="746"/>
        <w:spacing w:after="0" w:line="264" w:lineRule="auto"/>
        <w:tabs>
          <w:tab w:leader="none" w:pos="1560" w:val="left"/>
        </w:tabs>
        <w:rPr>
          <w:sz w:val="20"/>
          <w:szCs w:val="20"/>
          <w:color w:val="auto"/>
        </w:rPr>
      </w:pPr>
      <w:r>
        <w:rPr>
          <w:rFonts w:ascii="Arial" w:cs="Arial" w:eastAsia="Arial" w:hAnsi="Arial"/>
          <w:sz w:val="18"/>
          <w:szCs w:val="18"/>
          <w:color w:val="auto"/>
        </w:rPr>
        <w:t>10.6.2.3</w:t>
        <w:tab/>
        <w:t>Hotel Facility Agreement Third Amendment Agreement, dated July 31, 2012, by and among Wynn Resorts, (Macau), S.A., Bank of China Limited Macau Branch, and certain financial institutions as Hotel Facility Lenders. (Incorporated by reference from the Quarterly Report on Form 10-Q filed by the Registrant on November 9, 2012.)</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240" w:top="121" w:right="47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1580" w:right="240" w:hanging="746"/>
        <w:spacing w:after="0" w:line="264" w:lineRule="auto"/>
        <w:tabs>
          <w:tab w:leader="none" w:pos="1560" w:val="left"/>
        </w:tabs>
        <w:rPr>
          <w:sz w:val="20"/>
          <w:szCs w:val="20"/>
          <w:color w:val="auto"/>
        </w:rPr>
      </w:pPr>
      <w:r>
        <w:rPr>
          <w:rFonts w:ascii="Arial" w:cs="Arial" w:eastAsia="Arial" w:hAnsi="Arial"/>
          <w:sz w:val="18"/>
          <w:szCs w:val="18"/>
          <w:color w:val="auto"/>
        </w:rPr>
        <w:t>10.6.2.4</w:t>
        <w:tab/>
        <w:t>Hotel Facility Agreement Fourth Amendment Agreement, dated September 30, 2015, by and among Wynn Resorts (Macau), S.A. and Bank of China Limited Macau Branch as Hotel Facility Agent and Hotel Facility Lender. (Incorporated by reference from the Quarterly Report on Form 10-Q filed by the Registrant on November 6, 2015.)</w:t>
      </w:r>
    </w:p>
    <w:p>
      <w:pPr>
        <w:spacing w:after="0" w:line="19" w:lineRule="exact"/>
        <w:rPr>
          <w:sz w:val="20"/>
          <w:szCs w:val="20"/>
          <w:color w:val="auto"/>
        </w:rPr>
      </w:pPr>
    </w:p>
    <w:p>
      <w:pPr>
        <w:ind w:left="1580" w:right="360" w:hanging="746"/>
        <w:spacing w:after="0" w:line="264" w:lineRule="auto"/>
        <w:tabs>
          <w:tab w:leader="none" w:pos="1560" w:val="left"/>
        </w:tabs>
        <w:rPr>
          <w:sz w:val="20"/>
          <w:szCs w:val="20"/>
          <w:color w:val="auto"/>
        </w:rPr>
      </w:pPr>
      <w:r>
        <w:rPr>
          <w:rFonts w:ascii="Arial" w:cs="Arial" w:eastAsia="Arial" w:hAnsi="Arial"/>
          <w:sz w:val="18"/>
          <w:szCs w:val="18"/>
          <w:color w:val="auto"/>
        </w:rPr>
        <w:t>10.6.3.0</w:t>
        <w:tab/>
        <w:t>Project Facility Agreement, dated as of September 14, 2004, by and among Wynn Resorts (Macau), S.A., Societe Generale Asia Limited as Project Facility Agent and the several Project Facility Lenders named therein. (Incorporated by reference from the Quarterly Report on Form 10-Q filed by the Registrant on November 4, 2004.)</w:t>
      </w:r>
    </w:p>
    <w:p>
      <w:pPr>
        <w:spacing w:after="0" w:line="19" w:lineRule="exact"/>
        <w:rPr>
          <w:sz w:val="20"/>
          <w:szCs w:val="20"/>
          <w:color w:val="auto"/>
        </w:rPr>
      </w:pPr>
    </w:p>
    <w:p>
      <w:pPr>
        <w:ind w:left="1580" w:right="340" w:hanging="746"/>
        <w:spacing w:after="0" w:line="305" w:lineRule="auto"/>
        <w:tabs>
          <w:tab w:leader="none" w:pos="1560" w:val="left"/>
        </w:tabs>
        <w:rPr>
          <w:sz w:val="20"/>
          <w:szCs w:val="20"/>
          <w:color w:val="auto"/>
        </w:rPr>
      </w:pPr>
      <w:r>
        <w:rPr>
          <w:rFonts w:ascii="Arial" w:cs="Arial" w:eastAsia="Arial" w:hAnsi="Arial"/>
          <w:sz w:val="18"/>
          <w:szCs w:val="18"/>
          <w:color w:val="auto"/>
        </w:rPr>
        <w:t>10.6.3.1</w:t>
      </w:r>
      <w:r>
        <w:rPr>
          <w:sz w:val="20"/>
          <w:szCs w:val="20"/>
          <w:color w:val="auto"/>
        </w:rPr>
        <w:tab/>
      </w:r>
      <w:r>
        <w:rPr>
          <w:rFonts w:ascii="Arial" w:cs="Arial" w:eastAsia="Arial" w:hAnsi="Arial"/>
          <w:sz w:val="16"/>
          <w:szCs w:val="16"/>
          <w:color w:val="auto"/>
        </w:rPr>
        <w:t>Project Facility Agreement Amendment Agreement, dated as of September 14, 2005, between Wynn Resorts (Macau), S.A. as Company, Societe Generale Asia Limited, as Project Facility Agent and certain financial institutions as Project Facility Lenders. (Incorporated by reference from the Quarterly Report on Form 10-Q filed by the Registrant on November 8, 2005.)</w:t>
      </w:r>
    </w:p>
    <w:p>
      <w:pPr>
        <w:spacing w:after="0" w:line="1" w:lineRule="exact"/>
        <w:rPr>
          <w:sz w:val="20"/>
          <w:szCs w:val="20"/>
          <w:color w:val="auto"/>
        </w:rPr>
      </w:pPr>
    </w:p>
    <w:p>
      <w:pPr>
        <w:jc w:val="both"/>
        <w:ind w:left="1580" w:right="40" w:hanging="746"/>
        <w:spacing w:after="0" w:line="286" w:lineRule="auto"/>
        <w:tabs>
          <w:tab w:leader="none" w:pos="1560" w:val="left"/>
        </w:tabs>
        <w:rPr>
          <w:sz w:val="20"/>
          <w:szCs w:val="20"/>
          <w:color w:val="auto"/>
        </w:rPr>
      </w:pPr>
      <w:r>
        <w:rPr>
          <w:rFonts w:ascii="Arial" w:cs="Arial" w:eastAsia="Arial" w:hAnsi="Arial"/>
          <w:sz w:val="18"/>
          <w:szCs w:val="18"/>
          <w:color w:val="auto"/>
        </w:rPr>
        <w:t>10.6.3.2</w:t>
      </w:r>
      <w:r>
        <w:rPr>
          <w:sz w:val="20"/>
          <w:szCs w:val="20"/>
          <w:color w:val="auto"/>
        </w:rPr>
        <w:tab/>
      </w:r>
      <w:r>
        <w:rPr>
          <w:rFonts w:ascii="Arial" w:cs="Arial" w:eastAsia="Arial" w:hAnsi="Arial"/>
          <w:sz w:val="17"/>
          <w:szCs w:val="17"/>
          <w:color w:val="auto"/>
        </w:rPr>
        <w:t>Project Facility Agreement, Second Amendment Agreement, dated as of June 27, 2007, by and among Wynn Resorts (Macau), S.A., Societe Generale Asia Limited as Project Facility Agent, and certain financial institutions as Project Facility Lenders. (Incorporated by reference from the quarterly report on Form 10-Q filed by the Registrant on August 9, 2007.)</w:t>
      </w:r>
    </w:p>
    <w:p>
      <w:pPr>
        <w:spacing w:after="0" w:line="3" w:lineRule="exact"/>
        <w:rPr>
          <w:sz w:val="20"/>
          <w:szCs w:val="20"/>
          <w:color w:val="auto"/>
        </w:rPr>
      </w:pPr>
    </w:p>
    <w:p>
      <w:pPr>
        <w:jc w:val="both"/>
        <w:ind w:left="1580" w:right="180" w:hanging="746"/>
        <w:spacing w:after="0" w:line="264" w:lineRule="auto"/>
        <w:tabs>
          <w:tab w:leader="none" w:pos="1560" w:val="left"/>
        </w:tabs>
        <w:rPr>
          <w:sz w:val="20"/>
          <w:szCs w:val="20"/>
          <w:color w:val="auto"/>
        </w:rPr>
      </w:pPr>
      <w:r>
        <w:rPr>
          <w:rFonts w:ascii="Arial" w:cs="Arial" w:eastAsia="Arial" w:hAnsi="Arial"/>
          <w:sz w:val="18"/>
          <w:szCs w:val="18"/>
          <w:color w:val="auto"/>
        </w:rPr>
        <w:t>10.6.4.0</w:t>
        <w:tab/>
        <w:t>Revolving Credit Facility Agreement, dated as of September 14, 2004, by and among Wynn Resorts (Macau), S.A. and the several Revolving Credit Facility Lenders named therein. (Incorporated by reference from the quarterly report on Form 10-Q filed by the Registrant on November 4, 2004.)</w:t>
      </w:r>
    </w:p>
    <w:p>
      <w:pPr>
        <w:spacing w:after="0" w:line="19" w:lineRule="exact"/>
        <w:rPr>
          <w:sz w:val="20"/>
          <w:szCs w:val="20"/>
          <w:color w:val="auto"/>
        </w:rPr>
      </w:pPr>
    </w:p>
    <w:p>
      <w:pPr>
        <w:ind w:left="1580" w:right="320" w:hanging="746"/>
        <w:spacing w:after="0" w:line="264" w:lineRule="auto"/>
        <w:tabs>
          <w:tab w:leader="none" w:pos="1560" w:val="left"/>
        </w:tabs>
        <w:rPr>
          <w:sz w:val="20"/>
          <w:szCs w:val="20"/>
          <w:color w:val="auto"/>
        </w:rPr>
      </w:pPr>
      <w:r>
        <w:rPr>
          <w:rFonts w:ascii="Arial" w:cs="Arial" w:eastAsia="Arial" w:hAnsi="Arial"/>
          <w:sz w:val="18"/>
          <w:szCs w:val="18"/>
          <w:color w:val="auto"/>
        </w:rPr>
        <w:t>10.6.4.1</w:t>
        <w:tab/>
        <w:t>Revolving Credit Facility Agreement Amendment Agreement, dated as of September 14, 2005, between Wynn Resorts (Macau), S.A. as Company and certain financial institutions as Revolving Credit Facility Lenders. (Incorporated by reference from the Quarterly Report on Form 10-Q filed by the Registrant on November 8, 2005.)</w:t>
      </w:r>
    </w:p>
    <w:p>
      <w:pPr>
        <w:spacing w:after="0" w:line="19" w:lineRule="exact"/>
        <w:rPr>
          <w:sz w:val="20"/>
          <w:szCs w:val="20"/>
          <w:color w:val="auto"/>
        </w:rPr>
      </w:pPr>
    </w:p>
    <w:p>
      <w:pPr>
        <w:jc w:val="both"/>
        <w:ind w:left="1580" w:right="240" w:hanging="746"/>
        <w:spacing w:after="0" w:line="305" w:lineRule="auto"/>
        <w:tabs>
          <w:tab w:leader="none" w:pos="1560" w:val="left"/>
        </w:tabs>
        <w:rPr>
          <w:sz w:val="20"/>
          <w:szCs w:val="20"/>
          <w:color w:val="auto"/>
        </w:rPr>
      </w:pPr>
      <w:r>
        <w:rPr>
          <w:rFonts w:ascii="Arial" w:cs="Arial" w:eastAsia="Arial" w:hAnsi="Arial"/>
          <w:sz w:val="18"/>
          <w:szCs w:val="18"/>
          <w:color w:val="auto"/>
        </w:rPr>
        <w:t>10.6.4.2</w:t>
      </w:r>
      <w:r>
        <w:rPr>
          <w:sz w:val="20"/>
          <w:szCs w:val="20"/>
          <w:color w:val="auto"/>
        </w:rPr>
        <w:tab/>
      </w:r>
      <w:r>
        <w:rPr>
          <w:rFonts w:ascii="Arial" w:cs="Arial" w:eastAsia="Arial" w:hAnsi="Arial"/>
          <w:sz w:val="16"/>
          <w:szCs w:val="16"/>
          <w:color w:val="auto"/>
        </w:rPr>
        <w:t>Revolving Credit Facility Second Amendment Agreement, dated as of June 27, 2007, by and among Wynn Resorts (Macau), S.A. and Societe Generale, Hong Kong Branch as Revolving Credit Facility Agent and certain financial institutions as revolving credit facility lenders. (Incorporated by reference from the Quarterly Report on Form 10-Q filed by the Registrant on August 9, 2007.)</w:t>
      </w:r>
    </w:p>
    <w:p>
      <w:pPr>
        <w:spacing w:after="0" w:line="1" w:lineRule="exact"/>
        <w:rPr>
          <w:sz w:val="20"/>
          <w:szCs w:val="20"/>
          <w:color w:val="auto"/>
        </w:rPr>
      </w:pPr>
    </w:p>
    <w:p>
      <w:pPr>
        <w:ind w:left="1580" w:right="140" w:hanging="746"/>
        <w:spacing w:after="0" w:line="264" w:lineRule="auto"/>
        <w:tabs>
          <w:tab w:leader="none" w:pos="1560" w:val="left"/>
        </w:tabs>
        <w:rPr>
          <w:sz w:val="20"/>
          <w:szCs w:val="20"/>
          <w:color w:val="auto"/>
        </w:rPr>
      </w:pPr>
      <w:r>
        <w:rPr>
          <w:rFonts w:ascii="Arial" w:cs="Arial" w:eastAsia="Arial" w:hAnsi="Arial"/>
          <w:sz w:val="18"/>
          <w:szCs w:val="18"/>
          <w:color w:val="auto"/>
        </w:rPr>
        <w:t>10.6.4.3</w:t>
        <w:tab/>
        <w:t>Revolving Credit Facility Agreement, dated as of July 31, 2012, by and among Wynn Resorts (Macau), S.A., Bank of China, Limited Macau Branch, and certain financial institutions as Project Facility Lenders. (Incorporated by reference from the Quarterly Report on Form 10-Q filed by the Registrant on November 9, 2012.)</w:t>
      </w:r>
    </w:p>
    <w:p>
      <w:pPr>
        <w:spacing w:after="0" w:line="19" w:lineRule="exact"/>
        <w:rPr>
          <w:sz w:val="20"/>
          <w:szCs w:val="20"/>
          <w:color w:val="auto"/>
        </w:rPr>
      </w:pPr>
    </w:p>
    <w:p>
      <w:pPr>
        <w:ind w:left="1580" w:right="100" w:hanging="746"/>
        <w:spacing w:after="0" w:line="286" w:lineRule="auto"/>
        <w:tabs>
          <w:tab w:leader="none" w:pos="1560" w:val="left"/>
        </w:tabs>
        <w:rPr>
          <w:sz w:val="20"/>
          <w:szCs w:val="20"/>
          <w:color w:val="auto"/>
        </w:rPr>
      </w:pPr>
      <w:r>
        <w:rPr>
          <w:rFonts w:ascii="Arial" w:cs="Arial" w:eastAsia="Arial" w:hAnsi="Arial"/>
          <w:sz w:val="18"/>
          <w:szCs w:val="18"/>
          <w:color w:val="auto"/>
        </w:rPr>
        <w:t>10.6.4.4</w:t>
      </w:r>
      <w:r>
        <w:rPr>
          <w:sz w:val="20"/>
          <w:szCs w:val="20"/>
          <w:color w:val="auto"/>
        </w:rPr>
        <w:tab/>
      </w:r>
      <w:r>
        <w:rPr>
          <w:rFonts w:ascii="Arial" w:cs="Arial" w:eastAsia="Arial" w:hAnsi="Arial"/>
          <w:sz w:val="17"/>
          <w:szCs w:val="17"/>
          <w:color w:val="auto"/>
        </w:rPr>
        <w:t>Revolving Credit Facility Agreement Amendment Agreement, dated as of September 30, 2015, by and among Wynn Resorts (Macau), S.A. and Bank of China Limited Macau Branch as Revolving Credit Facility Agent and Revolving Credit Facility Lender. (Incorporated by reference from the Quarterly Report on Form 10-Q filed by the Registrant on November 6, 2015.)</w:t>
      </w:r>
    </w:p>
    <w:p>
      <w:pPr>
        <w:spacing w:after="0" w:line="3" w:lineRule="exact"/>
        <w:rPr>
          <w:sz w:val="20"/>
          <w:szCs w:val="20"/>
          <w:color w:val="auto"/>
        </w:rPr>
      </w:pPr>
    </w:p>
    <w:p>
      <w:pPr>
        <w:ind w:left="1580" w:hanging="746"/>
        <w:spacing w:after="0" w:line="257" w:lineRule="auto"/>
        <w:tabs>
          <w:tab w:leader="none" w:pos="1560" w:val="left"/>
        </w:tabs>
        <w:rPr>
          <w:sz w:val="20"/>
          <w:szCs w:val="20"/>
          <w:color w:val="auto"/>
        </w:rPr>
      </w:pPr>
      <w:r>
        <w:rPr>
          <w:rFonts w:ascii="Arial" w:cs="Arial" w:eastAsia="Arial" w:hAnsi="Arial"/>
          <w:sz w:val="18"/>
          <w:szCs w:val="18"/>
          <w:color w:val="auto"/>
        </w:rPr>
        <w:t>10.6.5.0</w:t>
        <w:tab/>
        <w:t>Deed of Appointment and Priority, dated as of September 14, 2004, among Wynn Resorts (Macau), S.A., certain financial institutions as Original First Ranking Lenders, Banco Nacional Ultramarino, S.A. as Second Ranking Finance Party, Wynn Group Asia, Inc. as Third Ranking Finance Party, Societe Generale, Hong Kong Branch as Security Agent, Societe Generale Asia Limited as Intercreditor Agent and Hotel Facility Agent and Project Facility Agent, and others. (Incorporated by reference from the Quarterly Report on Form 10-Q filed by the Registrant on November 4, 2004.)</w:t>
      </w:r>
    </w:p>
    <w:p>
      <w:pPr>
        <w:spacing w:after="0" w:line="26" w:lineRule="exact"/>
        <w:rPr>
          <w:sz w:val="20"/>
          <w:szCs w:val="20"/>
          <w:color w:val="auto"/>
        </w:rPr>
      </w:pPr>
    </w:p>
    <w:p>
      <w:pPr>
        <w:ind w:left="1580" w:right="240" w:hanging="746"/>
        <w:spacing w:after="0" w:line="273" w:lineRule="auto"/>
        <w:tabs>
          <w:tab w:leader="none" w:pos="1560" w:val="left"/>
        </w:tabs>
        <w:rPr>
          <w:sz w:val="20"/>
          <w:szCs w:val="20"/>
          <w:color w:val="auto"/>
        </w:rPr>
      </w:pPr>
      <w:r>
        <w:rPr>
          <w:rFonts w:ascii="Arial" w:cs="Arial" w:eastAsia="Arial" w:hAnsi="Arial"/>
          <w:sz w:val="18"/>
          <w:szCs w:val="18"/>
          <w:color w:val="auto"/>
        </w:rPr>
        <w:t>10.6.5.1</w:t>
      </w:r>
      <w:r>
        <w:rPr>
          <w:sz w:val="20"/>
          <w:szCs w:val="20"/>
          <w:color w:val="auto"/>
        </w:rPr>
        <w:tab/>
      </w:r>
      <w:r>
        <w:rPr>
          <w:rFonts w:ascii="Arial" w:cs="Arial" w:eastAsia="Arial" w:hAnsi="Arial"/>
          <w:sz w:val="17"/>
          <w:szCs w:val="17"/>
          <w:color w:val="auto"/>
        </w:rPr>
        <w:t>Deed of Appointment and Priority Deed of Amendment, dated as of September 14, 2005, between Wynn Resorts (Macau), S.A., certain financial institutions as Original First Ranking Lenders, Certain Financial Institutions as Original Hedging Counterparties, Banco Nacional Ultramarino, S.A. as Second Ranking Finance Party, Wynn Group Asia, Inc. as Third Ranking Finance Party, Societe Generale Asia Limited as Security Agent, Societe Generale Asia Limited as Intercreditor Agent, Societe Generale Asia Limited as Hotel Facility Agent and Project Facility Agent, and others. (Incorporated by reference from the Quarterly Report on Form 10-Q filed by the Registrant on November 8, 2005.)</w:t>
      </w:r>
    </w:p>
    <w:p>
      <w:pPr>
        <w:spacing w:after="0" w:line="16" w:lineRule="exact"/>
        <w:rPr>
          <w:sz w:val="20"/>
          <w:szCs w:val="20"/>
          <w:color w:val="auto"/>
        </w:rPr>
      </w:pPr>
    </w:p>
    <w:p>
      <w:pPr>
        <w:ind w:left="1580" w:right="60" w:hanging="611"/>
        <w:spacing w:after="0" w:line="264" w:lineRule="auto"/>
        <w:tabs>
          <w:tab w:leader="none" w:pos="1560" w:val="left"/>
        </w:tabs>
        <w:rPr>
          <w:sz w:val="20"/>
          <w:szCs w:val="20"/>
          <w:color w:val="auto"/>
        </w:rPr>
      </w:pPr>
      <w:r>
        <w:rPr>
          <w:rFonts w:ascii="Arial" w:cs="Arial" w:eastAsia="Arial" w:hAnsi="Arial"/>
          <w:sz w:val="18"/>
          <w:szCs w:val="18"/>
          <w:color w:val="auto"/>
        </w:rPr>
        <w:t>10.6.6</w:t>
        <w:tab/>
        <w:t>Floating Charge (unofficial English Translation), dated as of September 14, 2004, between Wynn Resorts (Macau), S.A. and Societe Generale, Hong Kong Branch as the Security Agent. (Incorporated by reference from the Quarterly Report on Form 10-Q filed by the Registrant on November 4, 2004.)</w:t>
      </w:r>
    </w:p>
    <w:p>
      <w:pPr>
        <w:spacing w:after="0" w:line="19" w:lineRule="exact"/>
        <w:rPr>
          <w:sz w:val="20"/>
          <w:szCs w:val="20"/>
          <w:color w:val="auto"/>
        </w:rPr>
      </w:pPr>
    </w:p>
    <w:p>
      <w:pPr>
        <w:jc w:val="right"/>
        <w:ind w:left="960" w:right="120"/>
        <w:spacing w:after="0" w:line="317" w:lineRule="auto"/>
        <w:rPr>
          <w:sz w:val="20"/>
          <w:szCs w:val="20"/>
          <w:color w:val="auto"/>
        </w:rPr>
      </w:pPr>
      <w:r>
        <w:rPr>
          <w:rFonts w:ascii="Arial" w:cs="Arial" w:eastAsia="Arial" w:hAnsi="Arial"/>
          <w:sz w:val="16"/>
          <w:szCs w:val="16"/>
          <w:color w:val="auto"/>
        </w:rPr>
        <w:t>10.6.7  Debenture, dated as of September 14, 2004, between Wynn Resorts (Macau), S.A. and Societe Generale, Hong Kong Branch as the Security Agent. (Incorporated by reference from the Quarterly Report on Form 10-Q filed by the Registrant on November 4, 2004.)</w:t>
      </w:r>
    </w:p>
    <w:p>
      <w:pPr>
        <w:jc w:val="both"/>
        <w:ind w:left="1580" w:right="80" w:hanging="746"/>
        <w:spacing w:after="0" w:line="264" w:lineRule="auto"/>
        <w:tabs>
          <w:tab w:leader="none" w:pos="1560" w:val="left"/>
        </w:tabs>
        <w:rPr>
          <w:sz w:val="20"/>
          <w:szCs w:val="20"/>
          <w:color w:val="auto"/>
        </w:rPr>
      </w:pPr>
      <w:r>
        <w:rPr>
          <w:rFonts w:ascii="Arial" w:cs="Arial" w:eastAsia="Arial" w:hAnsi="Arial"/>
          <w:sz w:val="18"/>
          <w:szCs w:val="18"/>
          <w:color w:val="auto"/>
        </w:rPr>
        <w:t>10.6.8.0</w:t>
        <w:tab/>
        <w:t>Wynn Resorts Support Agreement, dated as of September 14, 2004, between Wynn Resorts, Limited, Wynn Resorts (Macau), S.A. and Societe Generale, Hong Kong Branch as the Security Agent. (Incorporated by reference from the Quarterly Report on Form 10-Q filed by the Registrant on November 4, 2004.)</w:t>
      </w:r>
    </w:p>
    <w:p>
      <w:pPr>
        <w:spacing w:after="0" w:line="19" w:lineRule="exact"/>
        <w:rPr>
          <w:sz w:val="20"/>
          <w:szCs w:val="20"/>
          <w:color w:val="auto"/>
        </w:rPr>
      </w:pPr>
    </w:p>
    <w:p>
      <w:pPr>
        <w:ind w:left="1580" w:right="80" w:hanging="746"/>
        <w:spacing w:after="0" w:line="264" w:lineRule="auto"/>
        <w:tabs>
          <w:tab w:leader="none" w:pos="1560" w:val="left"/>
        </w:tabs>
        <w:rPr>
          <w:sz w:val="20"/>
          <w:szCs w:val="20"/>
          <w:color w:val="auto"/>
        </w:rPr>
      </w:pPr>
      <w:r>
        <w:rPr>
          <w:rFonts w:ascii="Arial" w:cs="Arial" w:eastAsia="Arial" w:hAnsi="Arial"/>
          <w:sz w:val="18"/>
          <w:szCs w:val="18"/>
          <w:color w:val="auto"/>
        </w:rPr>
        <w:t>10.6.8.1</w:t>
        <w:tab/>
        <w:t>Wynn Resorts Support Agreement Deed of Amendment, dated as of September 14, 2005, between Wynn Resorts (Macau), S.A. and Societe Generale, Hong Kong Branch as the Security Agent. (Incorporated by reference from the Quarterly Report on Form 10-Q filed by the Registrant on November 8, 2005.)</w:t>
      </w: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60"/>
          </w:cols>
          <w:pgMar w:left="240" w:top="121" w:right="49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580" w:right="40" w:hanging="611"/>
        <w:spacing w:after="0" w:line="259" w:lineRule="auto"/>
        <w:tabs>
          <w:tab w:leader="none" w:pos="1560" w:val="left"/>
        </w:tabs>
        <w:rPr>
          <w:sz w:val="20"/>
          <w:szCs w:val="20"/>
          <w:color w:val="auto"/>
        </w:rPr>
      </w:pPr>
      <w:r>
        <w:rPr>
          <w:rFonts w:ascii="Arial" w:cs="Arial" w:eastAsia="Arial" w:hAnsi="Arial"/>
          <w:sz w:val="18"/>
          <w:szCs w:val="18"/>
          <w:color w:val="auto"/>
        </w:rPr>
        <w:t>10.6.9</w:t>
        <w:tab/>
        <w:t>Wynn Pledgors' Guarantee, dated as of September 14, 2004, between Wynn Group Asia, Inc., Wynn Resorts International, Ltd., Wynn Resorts (Macau) Holdings, Ltd., and Wynn Resorts (Macau), Ltd. as Guarantors; and Societe Generale, Hong Kong Branch as the Security Agent. (Incorporated by reference from the Quarterly Report on Form 10-Q filed by the Registrant on November 4, 2004.)</w:t>
      </w:r>
    </w:p>
    <w:p>
      <w:pPr>
        <w:spacing w:after="0" w:line="25" w:lineRule="exact"/>
        <w:rPr>
          <w:sz w:val="20"/>
          <w:szCs w:val="20"/>
          <w:color w:val="auto"/>
        </w:rPr>
      </w:pPr>
    </w:p>
    <w:p>
      <w:pPr>
        <w:ind w:left="1580" w:right="160" w:hanging="701"/>
        <w:spacing w:after="0" w:line="264" w:lineRule="auto"/>
        <w:tabs>
          <w:tab w:leader="none" w:pos="1560" w:val="left"/>
        </w:tabs>
        <w:rPr>
          <w:sz w:val="20"/>
          <w:szCs w:val="20"/>
          <w:color w:val="auto"/>
        </w:rPr>
      </w:pPr>
      <w:r>
        <w:rPr>
          <w:rFonts w:ascii="Arial" w:cs="Arial" w:eastAsia="Arial" w:hAnsi="Arial"/>
          <w:sz w:val="18"/>
          <w:szCs w:val="18"/>
          <w:color w:val="auto"/>
        </w:rPr>
        <w:t>10.6.10</w:t>
        <w:tab/>
        <w:t>Bank Guarantee Reimbursement Agreement, dated as of September 14, 2004, between Wynn Resorts (Macau), S.A. and Banco Nacional Ultramarino. (Incorporated by reference from the Quarterly Report on Form 10-Q filed by the Registrant on November 4, 2004.)</w:t>
      </w:r>
    </w:p>
    <w:p>
      <w:pPr>
        <w:spacing w:after="0" w:line="19" w:lineRule="exact"/>
        <w:rPr>
          <w:sz w:val="20"/>
          <w:szCs w:val="20"/>
          <w:color w:val="auto"/>
        </w:rPr>
      </w:pPr>
    </w:p>
    <w:p>
      <w:pPr>
        <w:ind w:left="1580" w:right="100" w:hanging="694"/>
        <w:spacing w:after="0" w:line="259" w:lineRule="auto"/>
        <w:tabs>
          <w:tab w:leader="none" w:pos="1560" w:val="left"/>
        </w:tabs>
        <w:rPr>
          <w:sz w:val="20"/>
          <w:szCs w:val="20"/>
          <w:color w:val="auto"/>
        </w:rPr>
      </w:pPr>
      <w:r>
        <w:rPr>
          <w:rFonts w:ascii="Arial" w:cs="Arial" w:eastAsia="Arial" w:hAnsi="Arial"/>
          <w:sz w:val="18"/>
          <w:szCs w:val="18"/>
          <w:color w:val="auto"/>
        </w:rPr>
        <w:t>10.6.11</w:t>
        <w:tab/>
        <w:t>Sponsors' Subordination Deed, dated as of September 14, 2004, between Wynn Resorts (Macau), S.A., Wynn Group Asia, Inc., Wynn Resorts International, Ltd., Wynn Resorts (Macau) Holdings, Ltd. and Wynn Resorts (Macau), Ltd. as the Wynn Companies and Societe Generale, Hong Kong Branch as the Security Agent. (Incorporated by reference from the Quarterly Report on Form 10-Q filed by the Registrant on November 4, 2004.)</w:t>
      </w:r>
    </w:p>
    <w:p>
      <w:pPr>
        <w:spacing w:after="0" w:line="25" w:lineRule="exact"/>
        <w:rPr>
          <w:sz w:val="20"/>
          <w:szCs w:val="20"/>
          <w:color w:val="auto"/>
        </w:rPr>
      </w:pPr>
    </w:p>
    <w:p>
      <w:pPr>
        <w:ind w:left="1580" w:right="60" w:hanging="611"/>
        <w:spacing w:after="0" w:line="305" w:lineRule="auto"/>
        <w:tabs>
          <w:tab w:leader="none" w:pos="1560" w:val="left"/>
        </w:tabs>
        <w:rPr>
          <w:sz w:val="20"/>
          <w:szCs w:val="20"/>
          <w:color w:val="auto"/>
        </w:rPr>
      </w:pPr>
      <w:r>
        <w:rPr>
          <w:rFonts w:ascii="Arial" w:cs="Arial" w:eastAsia="Arial" w:hAnsi="Arial"/>
          <w:sz w:val="18"/>
          <w:szCs w:val="18"/>
          <w:color w:val="auto"/>
        </w:rPr>
        <w:t>10.7.0</w:t>
      </w:r>
      <w:r>
        <w:rPr>
          <w:sz w:val="20"/>
          <w:szCs w:val="20"/>
          <w:color w:val="auto"/>
        </w:rPr>
        <w:tab/>
      </w:r>
      <w:r>
        <w:rPr>
          <w:rFonts w:ascii="Arial" w:cs="Arial" w:eastAsia="Arial" w:hAnsi="Arial"/>
          <w:sz w:val="16"/>
          <w:szCs w:val="16"/>
          <w:color w:val="auto"/>
        </w:rPr>
        <w:t>Amended and Restated Master Disbursement Agreement, dated as of October 25, 2007, by and among Wynn Las Vegas, LLC, Deutsche Bank Trust Company Americas, as the initial Bank Agent, and Deutsche Bank Trust Company Americas, as the initial Disbursement Agent. (Incorporated by reference from the Current Report on Form 8-K filed by the Registrant on October 31, 2007.)</w:t>
      </w:r>
    </w:p>
    <w:p>
      <w:pPr>
        <w:spacing w:after="0" w:line="1" w:lineRule="exact"/>
        <w:rPr>
          <w:sz w:val="20"/>
          <w:szCs w:val="20"/>
          <w:color w:val="auto"/>
        </w:rPr>
      </w:pPr>
    </w:p>
    <w:p>
      <w:pPr>
        <w:ind w:left="1580" w:right="40" w:hanging="611"/>
        <w:spacing w:after="0" w:line="259" w:lineRule="auto"/>
        <w:tabs>
          <w:tab w:leader="none" w:pos="1560" w:val="left"/>
        </w:tabs>
        <w:rPr>
          <w:sz w:val="20"/>
          <w:szCs w:val="20"/>
          <w:color w:val="auto"/>
        </w:rPr>
      </w:pPr>
      <w:r>
        <w:rPr>
          <w:rFonts w:ascii="Arial" w:cs="Arial" w:eastAsia="Arial" w:hAnsi="Arial"/>
          <w:sz w:val="18"/>
          <w:szCs w:val="18"/>
          <w:color w:val="auto"/>
        </w:rPr>
        <w:t>10.7.1</w:t>
        <w:tab/>
        <w:t>First Amendment to Amended and Restated Master Disbursement Agreement, dated as of October 31, 2007, by and among Wynn Las Vegas, LLC, Deutsche Bank Trust Company Americas, as the initial Bank Agent, and Deutsche Bank Trust Company Americas, as the initial Disbursement Agent. (Incorporated by reference from the Current Report on Form 8-K filed by the Registrant on November 1, 2007.)</w:t>
      </w:r>
    </w:p>
    <w:p>
      <w:pPr>
        <w:spacing w:after="0" w:line="25" w:lineRule="exact"/>
        <w:rPr>
          <w:sz w:val="20"/>
          <w:szCs w:val="20"/>
          <w:color w:val="auto"/>
        </w:rPr>
      </w:pPr>
    </w:p>
    <w:p>
      <w:pPr>
        <w:ind w:left="1580" w:right="40" w:hanging="611"/>
        <w:spacing w:after="0" w:line="259" w:lineRule="auto"/>
        <w:tabs>
          <w:tab w:leader="none" w:pos="1560" w:val="left"/>
        </w:tabs>
        <w:rPr>
          <w:sz w:val="20"/>
          <w:szCs w:val="20"/>
          <w:color w:val="auto"/>
        </w:rPr>
      </w:pPr>
      <w:r>
        <w:rPr>
          <w:rFonts w:ascii="Arial" w:cs="Arial" w:eastAsia="Arial" w:hAnsi="Arial"/>
          <w:sz w:val="18"/>
          <w:szCs w:val="18"/>
          <w:color w:val="auto"/>
        </w:rPr>
        <w:t>10.7.2</w:t>
        <w:tab/>
        <w:t>Second Amendment to Amended and Restated Master Disbursement Agreement, dated as of November 6, 2007, by and among Wynn Las Vegas, LLC, Deutsche Bank Trust Company Americas, as the Bank Agent, and Deutsche Bank Trust Company Americas, as the Disbursement Agent. (Incorporated by reference from the Current Report on Form 8-K filed by the Registrant on November 13, 2007.)</w:t>
      </w:r>
    </w:p>
    <w:p>
      <w:pPr>
        <w:spacing w:after="0" w:line="25" w:lineRule="exact"/>
        <w:rPr>
          <w:sz w:val="20"/>
          <w:szCs w:val="20"/>
          <w:color w:val="auto"/>
        </w:rPr>
      </w:pPr>
    </w:p>
    <w:p>
      <w:pPr>
        <w:ind w:left="1580" w:right="60" w:hanging="611"/>
        <w:spacing w:after="0" w:line="305" w:lineRule="auto"/>
        <w:tabs>
          <w:tab w:leader="none" w:pos="156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6"/>
          <w:szCs w:val="16"/>
          <w:color w:val="auto"/>
        </w:rPr>
        <w:t>Third Amendment to Amended and Restated Master Disbursement Agreement, dated as of October 19, 2009, by and among Wynn Las Vegas, LLC, Deutsche Bank Trust Company Americas, as the Bank Agent, and Deutsche Bank Trust Company Americas, as the Disbursement Agent. (Incorporated by reference from the Current Report on Form 8-K filed by the Registrant on October 20, 2009.)</w:t>
      </w:r>
    </w:p>
    <w:p>
      <w:pPr>
        <w:spacing w:after="0" w:line="1" w:lineRule="exact"/>
        <w:rPr>
          <w:sz w:val="20"/>
          <w:szCs w:val="20"/>
          <w:color w:val="auto"/>
        </w:rPr>
      </w:pPr>
    </w:p>
    <w:p>
      <w:pPr>
        <w:ind w:left="1580" w:right="60" w:hanging="611"/>
        <w:spacing w:after="0" w:line="305" w:lineRule="auto"/>
        <w:tabs>
          <w:tab w:leader="none" w:pos="156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6"/>
          <w:szCs w:val="16"/>
          <w:color w:val="auto"/>
        </w:rPr>
        <w:t>Fourth Amendment to Amended and Restated Master Disbursement Agreement, dated as of April 28, 2010, by and among Wynn Las Vegas, LLC, Deutsche Bank Trust Company Americas, as the Bank Agent, and Deutsche Bank Trust Company Americas, as the Disbursement Agent. (Incorporated by reference from the Current Report on Form 8-K filed by the Registrant on April 28, 2010.)</w:t>
      </w:r>
    </w:p>
    <w:p>
      <w:pPr>
        <w:spacing w:after="0" w:line="1" w:lineRule="exact"/>
        <w:rPr>
          <w:sz w:val="20"/>
          <w:szCs w:val="20"/>
          <w:color w:val="auto"/>
        </w:rPr>
      </w:pPr>
    </w:p>
    <w:p>
      <w:pPr>
        <w:jc w:val="both"/>
        <w:ind w:left="1580" w:right="60" w:hanging="611"/>
        <w:spacing w:after="0" w:line="305" w:lineRule="auto"/>
        <w:tabs>
          <w:tab w:leader="none" w:pos="1560" w:val="left"/>
        </w:tabs>
        <w:rPr>
          <w:sz w:val="20"/>
          <w:szCs w:val="20"/>
          <w:color w:val="auto"/>
        </w:rPr>
      </w:pPr>
      <w:r>
        <w:rPr>
          <w:rFonts w:ascii="Arial" w:cs="Arial" w:eastAsia="Arial" w:hAnsi="Arial"/>
          <w:sz w:val="18"/>
          <w:szCs w:val="18"/>
          <w:color w:val="auto"/>
        </w:rPr>
        <w:t>10.7.5</w:t>
      </w:r>
      <w:r>
        <w:rPr>
          <w:sz w:val="20"/>
          <w:szCs w:val="20"/>
          <w:color w:val="auto"/>
        </w:rPr>
        <w:tab/>
      </w:r>
      <w:r>
        <w:rPr>
          <w:rFonts w:ascii="Arial" w:cs="Arial" w:eastAsia="Arial" w:hAnsi="Arial"/>
          <w:sz w:val="16"/>
          <w:szCs w:val="16"/>
          <w:color w:val="auto"/>
        </w:rPr>
        <w:t>Fifth Amendment to the Amended and Restated Master Disbursement Agreement, dated as of August 4, 2010, by and among Wynn Las Vegas, LLC, Deutsche Bank Trust Company Americas, as the Bank Agent, and Deutsche Bank Trust Company Americas, as the Disbursement Agent. (Incorporated by reference from the Annual Report on Form 10-K filed by the Registrant on March 1, 2013.)</w:t>
      </w:r>
    </w:p>
    <w:p>
      <w:pPr>
        <w:spacing w:after="0" w:line="1" w:lineRule="exact"/>
        <w:rPr>
          <w:sz w:val="20"/>
          <w:szCs w:val="20"/>
          <w:color w:val="auto"/>
        </w:rPr>
      </w:pPr>
    </w:p>
    <w:p>
      <w:pPr>
        <w:ind w:left="1580" w:hanging="611"/>
        <w:spacing w:after="0" w:line="305" w:lineRule="auto"/>
        <w:tabs>
          <w:tab w:leader="none" w:pos="1560" w:val="left"/>
        </w:tabs>
        <w:rPr>
          <w:sz w:val="20"/>
          <w:szCs w:val="20"/>
          <w:color w:val="auto"/>
        </w:rPr>
      </w:pPr>
      <w:r>
        <w:rPr>
          <w:rFonts w:ascii="Arial" w:cs="Arial" w:eastAsia="Arial" w:hAnsi="Arial"/>
          <w:sz w:val="18"/>
          <w:szCs w:val="18"/>
          <w:color w:val="auto"/>
        </w:rPr>
        <w:t>10.7.6</w:t>
      </w:r>
      <w:r>
        <w:rPr>
          <w:sz w:val="20"/>
          <w:szCs w:val="20"/>
          <w:color w:val="auto"/>
        </w:rPr>
        <w:tab/>
      </w:r>
      <w:r>
        <w:rPr>
          <w:rFonts w:ascii="Arial" w:cs="Arial" w:eastAsia="Arial" w:hAnsi="Arial"/>
          <w:sz w:val="16"/>
          <w:szCs w:val="16"/>
          <w:color w:val="auto"/>
        </w:rPr>
        <w:t>Sixth Amendment to Amended and Restated Master Disbursement Agreement, dated as of March 12, 2012, by and among Wynn Las Vegas, LLC, Deutsche Bank Trust Company Americas, as the Bank Agent, and Deutsche Bank Trust Company Americas, as the Disbursement Agent. (Incorporated by reference from the Current Report on Form 8-K filed by the Registrant on March 13, 2012.)</w:t>
      </w:r>
    </w:p>
    <w:p>
      <w:pPr>
        <w:spacing w:after="0" w:line="1" w:lineRule="exact"/>
        <w:rPr>
          <w:sz w:val="20"/>
          <w:szCs w:val="20"/>
          <w:color w:val="auto"/>
        </w:rPr>
      </w:pPr>
    </w:p>
    <w:p>
      <w:pPr>
        <w:jc w:val="both"/>
        <w:ind w:left="1580" w:right="280" w:hanging="611"/>
        <w:spacing w:after="0" w:line="264" w:lineRule="auto"/>
        <w:tabs>
          <w:tab w:leader="none" w:pos="1560" w:val="left"/>
        </w:tabs>
        <w:rPr>
          <w:sz w:val="20"/>
          <w:szCs w:val="20"/>
          <w:color w:val="auto"/>
        </w:rPr>
      </w:pPr>
      <w:r>
        <w:rPr>
          <w:rFonts w:ascii="Arial" w:cs="Arial" w:eastAsia="Arial" w:hAnsi="Arial"/>
          <w:sz w:val="18"/>
          <w:szCs w:val="18"/>
          <w:color w:val="auto"/>
        </w:rPr>
        <w:t>10.8.1</w:t>
        <w:tab/>
        <w:t>2013 Second Amended and Restated Agreement of Lease, dated as of November 7, 2013, by and between Wynn Las Vegas, LLC and Stephen A. Wynn. (Incorporated by reference from the Current Report on Form 8-K filed by the Registrant on November 14, 2013.)</w:t>
      </w:r>
    </w:p>
    <w:p>
      <w:pPr>
        <w:spacing w:after="0" w:line="19" w:lineRule="exact"/>
        <w:rPr>
          <w:sz w:val="20"/>
          <w:szCs w:val="20"/>
          <w:color w:val="auto"/>
        </w:rPr>
      </w:pPr>
    </w:p>
    <w:p>
      <w:pPr>
        <w:jc w:val="both"/>
        <w:ind w:left="1580" w:right="20" w:hanging="611"/>
        <w:spacing w:after="0" w:line="264" w:lineRule="auto"/>
        <w:tabs>
          <w:tab w:leader="none" w:pos="1560" w:val="left"/>
        </w:tabs>
        <w:rPr>
          <w:sz w:val="20"/>
          <w:szCs w:val="20"/>
          <w:color w:val="auto"/>
        </w:rPr>
      </w:pPr>
      <w:r>
        <w:rPr>
          <w:rFonts w:ascii="Arial" w:cs="Arial" w:eastAsia="Arial" w:hAnsi="Arial"/>
          <w:sz w:val="18"/>
          <w:szCs w:val="18"/>
          <w:color w:val="auto"/>
        </w:rPr>
        <w:t>10.8.2</w:t>
        <w:tab/>
        <w:t>First Amendment to 2013 Second Amended and Restated Agreement of Lease, dated as of February 25, 2015, by and between Wynn Las Vegas, LLC and Stephen A. Wynn. (Incorporated by reference from the Annual Report on Form 10-K filed by the Registrant on March 2, 2015.)</w:t>
      </w:r>
    </w:p>
    <w:p>
      <w:pPr>
        <w:spacing w:after="0" w:line="19" w:lineRule="exact"/>
        <w:rPr>
          <w:sz w:val="20"/>
          <w:szCs w:val="20"/>
          <w:color w:val="auto"/>
        </w:rPr>
      </w:pPr>
    </w:p>
    <w:p>
      <w:pPr>
        <w:ind w:left="1580" w:right="260" w:hanging="611"/>
        <w:spacing w:after="0" w:line="264" w:lineRule="auto"/>
        <w:tabs>
          <w:tab w:leader="none" w:pos="1560" w:val="left"/>
        </w:tabs>
        <w:rPr>
          <w:sz w:val="20"/>
          <w:szCs w:val="20"/>
          <w:color w:val="auto"/>
        </w:rPr>
      </w:pPr>
      <w:r>
        <w:rPr>
          <w:rFonts w:ascii="Arial" w:cs="Arial" w:eastAsia="Arial" w:hAnsi="Arial"/>
          <w:sz w:val="18"/>
          <w:szCs w:val="18"/>
          <w:color w:val="auto"/>
        </w:rPr>
        <w:t>10.8.3</w:t>
        <w:tab/>
        <w:t>Sixth Amended and Restated Art Rental and Licensing Agreement, dated as of July 1, 2012, between Stephen A. Wynn, as lessor, Wynn Las Vegas, LLC, as lessee. (Incorporated by reference from the Quarterly Report on Form 10-Q filed by the Registrant on November 9, 2012.)</w:t>
      </w:r>
    </w:p>
    <w:p>
      <w:pPr>
        <w:spacing w:after="0" w:line="19" w:lineRule="exact"/>
        <w:rPr>
          <w:sz w:val="20"/>
          <w:szCs w:val="20"/>
          <w:color w:val="auto"/>
        </w:rPr>
      </w:pPr>
    </w:p>
    <w:p>
      <w:pPr>
        <w:jc w:val="right"/>
        <w:ind w:left="820" w:right="100"/>
        <w:spacing w:after="0" w:line="298" w:lineRule="auto"/>
        <w:rPr>
          <w:sz w:val="20"/>
          <w:szCs w:val="20"/>
          <w:color w:val="auto"/>
        </w:rPr>
      </w:pPr>
      <w:r>
        <w:rPr>
          <w:rFonts w:ascii="Arial" w:cs="Arial" w:eastAsia="Arial" w:hAnsi="Arial"/>
          <w:sz w:val="17"/>
          <w:szCs w:val="17"/>
          <w:color w:val="auto"/>
        </w:rPr>
        <w:t>10.9.1.0  Termination Agreement to the Aircraft Time Sharing Agreement, dated as of January 15, 2015, by and between Las Vegas Jet, LLC and Stephen A. Wynn. (Incorporated by reference from the Annual Report on Form 10-K filed by the Registrant on March 2, 2015.)</w:t>
      </w:r>
    </w:p>
    <w:p>
      <w:pPr>
        <w:spacing w:after="0" w:line="1" w:lineRule="exact"/>
        <w:rPr>
          <w:sz w:val="20"/>
          <w:szCs w:val="20"/>
          <w:color w:val="auto"/>
        </w:rPr>
      </w:pPr>
    </w:p>
    <w:p>
      <w:pPr>
        <w:ind w:left="1580" w:right="420" w:hanging="746"/>
        <w:spacing w:after="0" w:line="298" w:lineRule="auto"/>
        <w:tabs>
          <w:tab w:leader="none" w:pos="1560" w:val="left"/>
        </w:tabs>
        <w:rPr>
          <w:sz w:val="20"/>
          <w:szCs w:val="20"/>
          <w:color w:val="auto"/>
        </w:rPr>
      </w:pPr>
      <w:r>
        <w:rPr>
          <w:rFonts w:ascii="Arial" w:cs="Arial" w:eastAsia="Arial" w:hAnsi="Arial"/>
          <w:sz w:val="18"/>
          <w:szCs w:val="18"/>
          <w:color w:val="auto"/>
        </w:rPr>
        <w:t>10.9.1.1</w:t>
      </w:r>
      <w:r>
        <w:rPr>
          <w:sz w:val="20"/>
          <w:szCs w:val="20"/>
          <w:color w:val="auto"/>
        </w:rPr>
        <w:tab/>
      </w:r>
      <w:r>
        <w:rPr>
          <w:rFonts w:ascii="Arial" w:cs="Arial" w:eastAsia="Arial" w:hAnsi="Arial"/>
          <w:sz w:val="17"/>
          <w:szCs w:val="17"/>
          <w:color w:val="auto"/>
        </w:rPr>
        <w:t>Aircraft Time Sharing Agreement, dated as of January 15, 2015, by and between Wynn Resorts, Limited and Stephen A. Wynn. (Incorporated by reference from the Annual Report on Form 10-K filed by the Registrant on March 2, 2015.)</w:t>
      </w:r>
    </w:p>
    <w:p>
      <w:pPr>
        <w:spacing w:after="0" w:line="1" w:lineRule="exact"/>
        <w:rPr>
          <w:sz w:val="20"/>
          <w:szCs w:val="20"/>
          <w:color w:val="auto"/>
        </w:rPr>
      </w:pPr>
    </w:p>
    <w:p>
      <w:pPr>
        <w:ind w:left="1580" w:right="820" w:hanging="746"/>
        <w:spacing w:after="0" w:line="298" w:lineRule="auto"/>
        <w:tabs>
          <w:tab w:leader="none" w:pos="1560" w:val="left"/>
        </w:tabs>
        <w:rPr>
          <w:sz w:val="20"/>
          <w:szCs w:val="20"/>
          <w:color w:val="auto"/>
        </w:rPr>
      </w:pPr>
      <w:r>
        <w:rPr>
          <w:rFonts w:ascii="Arial" w:cs="Arial" w:eastAsia="Arial" w:hAnsi="Arial"/>
          <w:sz w:val="18"/>
          <w:szCs w:val="18"/>
          <w:color w:val="auto"/>
        </w:rPr>
        <w:t>10.9.2.0</w:t>
      </w:r>
      <w:r>
        <w:rPr>
          <w:sz w:val="20"/>
          <w:szCs w:val="20"/>
          <w:color w:val="auto"/>
        </w:rPr>
        <w:tab/>
      </w:r>
      <w:r>
        <w:rPr>
          <w:rFonts w:ascii="Arial" w:cs="Arial" w:eastAsia="Arial" w:hAnsi="Arial"/>
          <w:sz w:val="17"/>
          <w:szCs w:val="17"/>
          <w:color w:val="auto"/>
        </w:rPr>
        <w:t>Aircraft Purchase Option Agreement, dated as of January 3, 2013, between Wynn Resorts, Limited and Stephen A. Wynn. (Incorporated by reference from the Annual Report on Form 10-K filed by the Registrant on March 1, 2013.)</w:t>
      </w:r>
    </w:p>
    <w:p>
      <w:pPr>
        <w:spacing w:after="0" w:line="1" w:lineRule="exact"/>
        <w:rPr>
          <w:sz w:val="20"/>
          <w:szCs w:val="20"/>
          <w:color w:val="auto"/>
        </w:rPr>
      </w:pPr>
    </w:p>
    <w:p>
      <w:pPr>
        <w:ind w:left="1580" w:right="560" w:hanging="701"/>
        <w:spacing w:after="0" w:line="277" w:lineRule="auto"/>
        <w:tabs>
          <w:tab w:leader="none" w:pos="1560" w:val="left"/>
        </w:tabs>
        <w:rPr>
          <w:sz w:val="20"/>
          <w:szCs w:val="20"/>
          <w:color w:val="auto"/>
        </w:rPr>
      </w:pPr>
      <w:r>
        <w:rPr>
          <w:rFonts w:ascii="Arial" w:cs="Arial" w:eastAsia="Arial" w:hAnsi="Arial"/>
          <w:sz w:val="18"/>
          <w:szCs w:val="18"/>
          <w:color w:val="auto"/>
        </w:rPr>
        <w:t>10.10.0</w:t>
        <w:tab/>
        <w:t>Form of Indemnity Agreement. (Incorporated by reference from Amendment No. 3 to the Form S-1 filed by the Registrant on September 18, 2002 (File No. 333-90600).)</w:t>
      </w:r>
    </w:p>
    <w:p>
      <w:pPr>
        <w:spacing w:after="0" w:line="22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121" w:right="47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580" w:right="80" w:hanging="701"/>
        <w:spacing w:after="0" w:line="286" w:lineRule="auto"/>
        <w:tabs>
          <w:tab w:leader="none" w:pos="156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7"/>
          <w:szCs w:val="17"/>
          <w:color w:val="auto"/>
        </w:rPr>
        <w:t>Management Agreement, made as of December 14, 2004, by and among Wynn Las Vegas, LLC, Wynn Show Performers, LLC, Wynn Las Vegas Capital Corp., Wynn Golf, LLC, World Travel, LLC, Las Vegas Jet, LLC, Wynn Sunrise, LLC, and Wynn Resorts, Limited. (Incorporated by reference from the Annual Report on Form 10-K filed by the Registrant on March 15, 2005.)</w:t>
      </w:r>
    </w:p>
    <w:p>
      <w:pPr>
        <w:spacing w:after="0" w:line="3" w:lineRule="exact"/>
        <w:rPr>
          <w:sz w:val="20"/>
          <w:szCs w:val="20"/>
          <w:color w:val="auto"/>
        </w:rPr>
      </w:pPr>
    </w:p>
    <w:p>
      <w:pPr>
        <w:jc w:val="both"/>
        <w:ind w:left="1580" w:right="140" w:hanging="701"/>
        <w:spacing w:after="0" w:line="259" w:lineRule="auto"/>
        <w:tabs>
          <w:tab w:leader="none" w:pos="1560" w:val="left"/>
        </w:tabs>
        <w:rPr>
          <w:sz w:val="20"/>
          <w:szCs w:val="20"/>
          <w:color w:val="auto"/>
        </w:rPr>
      </w:pPr>
      <w:r>
        <w:rPr>
          <w:rFonts w:ascii="Arial" w:cs="Arial" w:eastAsia="Arial" w:hAnsi="Arial"/>
          <w:sz w:val="18"/>
          <w:szCs w:val="18"/>
          <w:color w:val="auto"/>
        </w:rPr>
        <w:t>10.10.2</w:t>
        <w:tab/>
        <w:t>First Amendment to Management Agreement, dated as of December 12, 2014, by and among Wynn Las Vegas, LLC, Wynn Show Performers, LLC, Wynn Las Vegas Capital Corp., Wynn Golf, LLC, World Travel, LLC, Las Vegas Jet, LLC, Wynn Sunrise, LLC, and Wynn Resorts, Limited. (Incorporated by reference from the Current Report on Form 8-K filed by the Registrant on November 20, 2014.)</w:t>
      </w:r>
    </w:p>
    <w:p>
      <w:pPr>
        <w:spacing w:after="0" w:line="25" w:lineRule="exact"/>
        <w:rPr>
          <w:sz w:val="20"/>
          <w:szCs w:val="20"/>
          <w:color w:val="auto"/>
        </w:rPr>
      </w:pPr>
    </w:p>
    <w:p>
      <w:pPr>
        <w:ind w:left="1580" w:right="160" w:hanging="701"/>
        <w:spacing w:after="0" w:line="264" w:lineRule="auto"/>
        <w:tabs>
          <w:tab w:leader="none" w:pos="1560" w:val="left"/>
        </w:tabs>
        <w:rPr>
          <w:sz w:val="20"/>
          <w:szCs w:val="20"/>
          <w:color w:val="auto"/>
        </w:rPr>
      </w:pPr>
      <w:r>
        <w:rPr>
          <w:rFonts w:ascii="Arial" w:cs="Arial" w:eastAsia="Arial" w:hAnsi="Arial"/>
          <w:sz w:val="18"/>
          <w:szCs w:val="18"/>
          <w:color w:val="auto"/>
        </w:rPr>
        <w:t>10.10.3</w:t>
        <w:tab/>
        <w:t>Termination Agreement, dated as of February 26, 2015, to the Management Agreement, dated as of December 14, 2004, by and among Wynn Las Vegas, LLC, and related entities named therein, and Wynn Resorts, Limited. (Incorporated by reference from the Quarterly Report on Form 10-Q filed by the Registrant on May 8, 2015.)</w:t>
      </w:r>
    </w:p>
    <w:p>
      <w:pPr>
        <w:spacing w:after="0" w:line="19" w:lineRule="exact"/>
        <w:rPr>
          <w:sz w:val="20"/>
          <w:szCs w:val="20"/>
          <w:color w:val="auto"/>
        </w:rPr>
      </w:pPr>
    </w:p>
    <w:p>
      <w:pPr>
        <w:ind w:left="1580" w:right="840" w:hanging="694"/>
        <w:spacing w:after="0" w:line="298" w:lineRule="auto"/>
        <w:tabs>
          <w:tab w:leader="none" w:pos="1560" w:val="left"/>
        </w:tabs>
        <w:rPr>
          <w:sz w:val="20"/>
          <w:szCs w:val="20"/>
          <w:color w:val="auto"/>
        </w:rPr>
      </w:pPr>
      <w:r>
        <w:rPr>
          <w:rFonts w:ascii="Arial" w:cs="Arial" w:eastAsia="Arial" w:hAnsi="Arial"/>
          <w:sz w:val="18"/>
          <w:szCs w:val="18"/>
          <w:color w:val="auto"/>
        </w:rPr>
        <w:t>10.11.0</w:t>
      </w:r>
      <w:r>
        <w:rPr>
          <w:sz w:val="20"/>
          <w:szCs w:val="20"/>
          <w:color w:val="auto"/>
        </w:rPr>
        <w:tab/>
      </w:r>
      <w:r>
        <w:rPr>
          <w:rFonts w:ascii="Arial" w:cs="Arial" w:eastAsia="Arial" w:hAnsi="Arial"/>
          <w:sz w:val="17"/>
          <w:szCs w:val="17"/>
          <w:color w:val="auto"/>
        </w:rPr>
        <w:t>Corporate Allocation Agreement, dated as of September 19, 2009, by Wynn Macau, Limited and Wynn Resorts, Limited. (Incorporated by reference from the Annual Report on Form 10-K filed by the Registrant on March 2, 2015.)</w:t>
      </w:r>
    </w:p>
    <w:p>
      <w:pPr>
        <w:spacing w:after="0" w:line="1" w:lineRule="exact"/>
        <w:rPr>
          <w:sz w:val="20"/>
          <w:szCs w:val="20"/>
          <w:color w:val="auto"/>
        </w:rPr>
      </w:pPr>
    </w:p>
    <w:p>
      <w:pPr>
        <w:jc w:val="both"/>
        <w:ind w:left="1580" w:right="400" w:hanging="694"/>
        <w:spacing w:after="0" w:line="264" w:lineRule="auto"/>
        <w:tabs>
          <w:tab w:leader="none" w:pos="1560" w:val="left"/>
        </w:tabs>
        <w:rPr>
          <w:sz w:val="20"/>
          <w:szCs w:val="20"/>
          <w:color w:val="auto"/>
        </w:rPr>
      </w:pPr>
      <w:r>
        <w:rPr>
          <w:rFonts w:ascii="Arial" w:cs="Arial" w:eastAsia="Arial" w:hAnsi="Arial"/>
          <w:sz w:val="18"/>
          <w:szCs w:val="18"/>
          <w:color w:val="auto"/>
        </w:rPr>
        <w:t>10.11.1</w:t>
        <w:tab/>
        <w:t>Amended and Restated Corporate Allocation Agreement, dated as of September 19, 2009, by Wynn Resorts (Macau), S.A., and Wynn Resorts, Limited. (Incorporated by reference from the Annual Report on Form 10-K filed by the Registrant on March 2, 2015.)</w:t>
      </w:r>
    </w:p>
    <w:p>
      <w:pPr>
        <w:spacing w:after="0" w:line="19" w:lineRule="exact"/>
        <w:rPr>
          <w:sz w:val="20"/>
          <w:szCs w:val="20"/>
          <w:color w:val="auto"/>
        </w:rPr>
      </w:pPr>
    </w:p>
    <w:p>
      <w:pPr>
        <w:ind w:left="1580" w:right="180" w:hanging="694"/>
        <w:spacing w:after="0" w:line="264" w:lineRule="auto"/>
        <w:tabs>
          <w:tab w:leader="none" w:pos="1560" w:val="left"/>
        </w:tabs>
        <w:rPr>
          <w:sz w:val="20"/>
          <w:szCs w:val="20"/>
          <w:color w:val="auto"/>
        </w:rPr>
      </w:pPr>
      <w:r>
        <w:rPr>
          <w:rFonts w:ascii="Arial" w:cs="Arial" w:eastAsia="Arial" w:hAnsi="Arial"/>
          <w:sz w:val="18"/>
          <w:szCs w:val="18"/>
          <w:color w:val="auto"/>
        </w:rPr>
        <w:t>10.11.2</w:t>
        <w:tab/>
        <w:t>Management Fee and Corporate Allocation Agreement, dated as of February 26, 2015, by and between Wynn Las Vegas, LLC and Wynn Resorts, Limited. (Incorporated by reference from the Annual Report on Form 10-K filed by the Registrant on March 2, 2015.)</w:t>
      </w:r>
    </w:p>
    <w:p>
      <w:pPr>
        <w:spacing w:after="0" w:line="19" w:lineRule="exact"/>
        <w:rPr>
          <w:sz w:val="20"/>
          <w:szCs w:val="20"/>
          <w:color w:val="auto"/>
        </w:rPr>
      </w:pPr>
    </w:p>
    <w:p>
      <w:pPr>
        <w:ind w:left="1580" w:right="140" w:hanging="784"/>
        <w:spacing w:after="0" w:line="277" w:lineRule="auto"/>
        <w:tabs>
          <w:tab w:leader="none" w:pos="1560" w:val="left"/>
        </w:tabs>
        <w:rPr>
          <w:sz w:val="20"/>
          <w:szCs w:val="20"/>
          <w:color w:val="auto"/>
        </w:rPr>
      </w:pPr>
      <w:r>
        <w:rPr>
          <w:rFonts w:ascii="Arial" w:cs="Arial" w:eastAsia="Arial" w:hAnsi="Arial"/>
          <w:sz w:val="18"/>
          <w:szCs w:val="18"/>
          <w:color w:val="auto"/>
        </w:rPr>
        <w:t>*10.11.3</w:t>
        <w:tab/>
        <w:t>Management Fee and Corporate Allocation Agreement, dated as of November 20, 2014, by and among Wynn MA, LLC and Wynn Resorts, Limited.</w:t>
      </w:r>
    </w:p>
    <w:p>
      <w:pPr>
        <w:spacing w:after="0" w:line="8" w:lineRule="exact"/>
        <w:rPr>
          <w:sz w:val="20"/>
          <w:szCs w:val="20"/>
          <w:color w:val="auto"/>
        </w:rPr>
      </w:pPr>
    </w:p>
    <w:p>
      <w:pPr>
        <w:ind w:left="1580" w:right="300" w:hanging="694"/>
        <w:spacing w:after="0" w:line="277" w:lineRule="auto"/>
        <w:tabs>
          <w:tab w:leader="none" w:pos="1560" w:val="left"/>
        </w:tabs>
        <w:rPr>
          <w:sz w:val="20"/>
          <w:szCs w:val="20"/>
          <w:color w:val="auto"/>
        </w:rPr>
      </w:pPr>
      <w:r>
        <w:rPr>
          <w:rFonts w:ascii="Arial" w:cs="Arial" w:eastAsia="Arial" w:hAnsi="Arial"/>
          <w:sz w:val="18"/>
          <w:szCs w:val="18"/>
          <w:color w:val="auto"/>
        </w:rPr>
        <w:t>10.11.4</w:t>
        <w:tab/>
        <w:t>Promissory Note, dated as of February 18, 2012, made by Wynn Resorts, Limited to Aruze USA, Inc. (Incorporated by reference from the Current Report on Form 8-K filed by the Registrant on February 21, 2012.)</w:t>
      </w:r>
    </w:p>
    <w:p>
      <w:pPr>
        <w:spacing w:after="0" w:line="8" w:lineRule="exact"/>
        <w:rPr>
          <w:sz w:val="20"/>
          <w:szCs w:val="20"/>
          <w:color w:val="auto"/>
        </w:rPr>
      </w:pPr>
    </w:p>
    <w:p>
      <w:pPr>
        <w:ind w:left="1580" w:right="160" w:hanging="694"/>
        <w:spacing w:after="0" w:line="279" w:lineRule="auto"/>
        <w:tabs>
          <w:tab w:leader="none" w:pos="1560" w:val="left"/>
        </w:tabs>
        <w:rPr>
          <w:sz w:val="20"/>
          <w:szCs w:val="20"/>
          <w:color w:val="auto"/>
        </w:rPr>
      </w:pPr>
      <w:r>
        <w:rPr>
          <w:rFonts w:ascii="Arial" w:cs="Arial" w:eastAsia="Arial" w:hAnsi="Arial"/>
          <w:sz w:val="18"/>
          <w:szCs w:val="18"/>
          <w:color w:val="auto"/>
        </w:rPr>
        <w:t>10.11.5</w:t>
      </w:r>
      <w:r>
        <w:rPr>
          <w:sz w:val="20"/>
          <w:szCs w:val="20"/>
          <w:color w:val="auto"/>
        </w:rPr>
        <w:tab/>
      </w:r>
      <w:r>
        <w:rPr>
          <w:rFonts w:ascii="Arial" w:cs="Arial" w:eastAsia="Arial" w:hAnsi="Arial"/>
          <w:sz w:val="17"/>
          <w:szCs w:val="17"/>
          <w:color w:val="auto"/>
        </w:rPr>
        <w:t>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 (Incorporated by reference from the Current Report on Form 8-K filed by the Registrant on March 13, 2012.)</w:t>
      </w:r>
    </w:p>
    <w:p>
      <w:pPr>
        <w:spacing w:after="0" w:line="9" w:lineRule="exact"/>
        <w:rPr>
          <w:sz w:val="20"/>
          <w:szCs w:val="20"/>
          <w:color w:val="auto"/>
        </w:rPr>
      </w:pPr>
    </w:p>
    <w:p>
      <w:pPr>
        <w:ind w:left="1580" w:hanging="701"/>
        <w:spacing w:after="0" w:line="271" w:lineRule="auto"/>
        <w:tabs>
          <w:tab w:leader="none" w:pos="1560" w:val="left"/>
        </w:tabs>
        <w:rPr>
          <w:sz w:val="20"/>
          <w:szCs w:val="20"/>
          <w:color w:val="auto"/>
        </w:rPr>
      </w:pPr>
      <w:r>
        <w:rPr>
          <w:rFonts w:ascii="Arial" w:cs="Arial" w:eastAsia="Arial" w:hAnsi="Arial"/>
          <w:sz w:val="18"/>
          <w:szCs w:val="18"/>
          <w:color w:val="auto"/>
        </w:rPr>
        <w:t>10.12.0</w:t>
      </w:r>
      <w:r>
        <w:rPr>
          <w:sz w:val="20"/>
          <w:szCs w:val="20"/>
          <w:color w:val="auto"/>
        </w:rPr>
        <w:tab/>
      </w:r>
      <w:r>
        <w:rPr>
          <w:rFonts w:ascii="Arial" w:cs="Arial" w:eastAsia="Arial" w:hAnsi="Arial"/>
          <w:sz w:val="17"/>
          <w:szCs w:val="17"/>
          <w:color w:val="auto"/>
        </w:rPr>
        <w:t>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 (Incorporated by reference from the Annual Report on Form 10-K filed by the Registrant on March 2, 2015.)</w:t>
      </w:r>
    </w:p>
    <w:p>
      <w:pPr>
        <w:spacing w:after="0" w:line="17" w:lineRule="exact"/>
        <w:rPr>
          <w:sz w:val="20"/>
          <w:szCs w:val="20"/>
          <w:color w:val="auto"/>
        </w:rPr>
      </w:pPr>
    </w:p>
    <w:p>
      <w:pPr>
        <w:ind w:left="1580" w:right="40" w:hanging="701"/>
        <w:spacing w:after="0" w:line="279" w:lineRule="auto"/>
        <w:tabs>
          <w:tab w:leader="none" w:pos="1560" w:val="left"/>
        </w:tabs>
        <w:rPr>
          <w:sz w:val="20"/>
          <w:szCs w:val="20"/>
          <w:color w:val="auto"/>
        </w:rPr>
      </w:pPr>
      <w:r>
        <w:rPr>
          <w:rFonts w:ascii="Arial" w:cs="Arial" w:eastAsia="Arial" w:hAnsi="Arial"/>
          <w:sz w:val="18"/>
          <w:szCs w:val="18"/>
          <w:color w:val="auto"/>
        </w:rPr>
        <w:t>10.12.1</w:t>
      </w:r>
      <w:r>
        <w:rPr>
          <w:sz w:val="20"/>
          <w:szCs w:val="20"/>
          <w:color w:val="auto"/>
        </w:rPr>
        <w:tab/>
      </w:r>
      <w:r>
        <w:rPr>
          <w:rFonts w:ascii="Arial" w:cs="Arial" w:eastAsia="Arial" w:hAnsi="Arial"/>
          <w:sz w:val="17"/>
          <w:szCs w:val="17"/>
          <w:color w:val="auto"/>
        </w:rPr>
        <w:t>First Amendment to Credit Agreement, dated as of November 5, 2015,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 (Incorporated by reference from the Quarterly Report on Form 10-Q filed by the Registrant on November 6, 2015.)</w:t>
      </w:r>
    </w:p>
    <w:p>
      <w:pPr>
        <w:spacing w:after="0" w:line="9" w:lineRule="exact"/>
        <w:rPr>
          <w:sz w:val="20"/>
          <w:szCs w:val="20"/>
          <w:color w:val="auto"/>
        </w:rPr>
      </w:pPr>
    </w:p>
    <w:p>
      <w:pPr>
        <w:ind w:left="1580" w:right="40" w:hanging="791"/>
        <w:spacing w:after="0" w:line="305" w:lineRule="auto"/>
        <w:tabs>
          <w:tab w:leader="none" w:pos="1560" w:val="left"/>
        </w:tabs>
        <w:rPr>
          <w:sz w:val="20"/>
          <w:szCs w:val="20"/>
          <w:color w:val="auto"/>
        </w:rPr>
      </w:pPr>
      <w:r>
        <w:rPr>
          <w:rFonts w:ascii="Arial" w:cs="Arial" w:eastAsia="Arial" w:hAnsi="Arial"/>
          <w:sz w:val="18"/>
          <w:szCs w:val="18"/>
          <w:color w:val="auto"/>
        </w:rPr>
        <w:t>*10.12.2</w:t>
      </w:r>
      <w:r>
        <w:rPr>
          <w:sz w:val="20"/>
          <w:szCs w:val="20"/>
          <w:color w:val="auto"/>
        </w:rPr>
        <w:tab/>
      </w:r>
      <w:r>
        <w:rPr>
          <w:rFonts w:ascii="Arial" w:cs="Arial" w:eastAsia="Arial" w:hAnsi="Arial"/>
          <w:sz w:val="16"/>
          <w:szCs w:val="16"/>
          <w:color w:val="auto"/>
        </w:rPr>
        <w:t>Second Amendment to Credit Agreement, dated as of December 21, 2015, by and among Wynn America, LLC, as borrower, the Guarantors named therein, Deutsche Bank AG New York Branch, as administrative agent on behalf of the several banks and other financial institutions or entities from time to time party to Wynn America, LLC's Credit Agreement, dated as of November 20, 2014.</w:t>
      </w:r>
    </w:p>
    <w:p>
      <w:pPr>
        <w:spacing w:after="0" w:line="1" w:lineRule="exact"/>
        <w:rPr>
          <w:sz w:val="20"/>
          <w:szCs w:val="20"/>
          <w:color w:val="auto"/>
        </w:rPr>
      </w:pPr>
    </w:p>
    <w:p>
      <w:pPr>
        <w:ind w:left="1580" w:right="80" w:hanging="701"/>
        <w:spacing w:after="0" w:line="264" w:lineRule="auto"/>
        <w:tabs>
          <w:tab w:leader="none" w:pos="1560" w:val="left"/>
        </w:tabs>
        <w:rPr>
          <w:sz w:val="20"/>
          <w:szCs w:val="20"/>
          <w:color w:val="auto"/>
        </w:rPr>
      </w:pPr>
      <w:r>
        <w:rPr>
          <w:rFonts w:ascii="Arial" w:cs="Arial" w:eastAsia="Arial" w:hAnsi="Arial"/>
          <w:sz w:val="18"/>
          <w:szCs w:val="18"/>
          <w:color w:val="auto"/>
        </w:rPr>
        <w:t>10.12.3</w:t>
        <w:tab/>
        <w:t>Completion Guaranty, dated as of November 20, 2014, by and between Wynn Resorts, Limited, and Deutsche Bank AG New York Branch, as administrative agent. (Incorporated by reference from the Annual Report on Form 10-K filed by the Registrant on March 2, 2015.)</w:t>
      </w:r>
    </w:p>
    <w:p>
      <w:pPr>
        <w:spacing w:after="0" w:line="19" w:lineRule="exact"/>
        <w:rPr>
          <w:sz w:val="20"/>
          <w:szCs w:val="20"/>
          <w:color w:val="auto"/>
        </w:rPr>
      </w:pPr>
    </w:p>
    <w:p>
      <w:pPr>
        <w:ind w:left="1580" w:right="60" w:hanging="701"/>
        <w:spacing w:after="0" w:line="264" w:lineRule="auto"/>
        <w:tabs>
          <w:tab w:leader="none" w:pos="1560" w:val="left"/>
        </w:tabs>
        <w:rPr>
          <w:sz w:val="20"/>
          <w:szCs w:val="20"/>
          <w:color w:val="auto"/>
        </w:rPr>
      </w:pPr>
      <w:r>
        <w:rPr>
          <w:rFonts w:ascii="Arial" w:cs="Arial" w:eastAsia="Arial" w:hAnsi="Arial"/>
          <w:sz w:val="18"/>
          <w:szCs w:val="18"/>
          <w:color w:val="auto"/>
        </w:rPr>
        <w:t>10.12.4</w:t>
        <w:tab/>
        <w:t>Security Agreement, dated as of November 20, 2014, by and among Wynn America, LLC, Wynn Las Vegas Holdings, LLC, Everett Property, LLC and Wynn MA, LLC, as pledgors, and Deutsche Bank AG New York Branch, as collateral agent. (Incorporated by reference from the Annual Report on Form 10-K filed by the Registrant on March 2, 2015.)</w:t>
      </w:r>
    </w:p>
    <w:p>
      <w:pPr>
        <w:spacing w:after="0" w:line="19"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the Registrant.</w:t>
      </w:r>
    </w:p>
    <w:p>
      <w:pPr>
        <w:spacing w:after="0" w:line="63"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63"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63"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122" w:right="49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000"/>
        <w:spacing w:after="0"/>
        <w:tabs>
          <w:tab w:leader="none" w:pos="1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w:t>
      </w:r>
    </w:p>
    <w:p>
      <w:pPr>
        <w:spacing w:after="0" w:line="63" w:lineRule="exact"/>
        <w:rPr>
          <w:sz w:val="20"/>
          <w:szCs w:val="20"/>
          <w:color w:val="auto"/>
        </w:rPr>
      </w:pPr>
    </w:p>
    <w:p>
      <w:pPr>
        <w:ind w:left="1580" w:hanging="519"/>
        <w:spacing w:after="0" w:line="255" w:lineRule="auto"/>
        <w:tabs>
          <w:tab w:leader="none" w:pos="1560" w:val="left"/>
        </w:tabs>
        <w:rPr>
          <w:sz w:val="20"/>
          <w:szCs w:val="20"/>
          <w:color w:val="auto"/>
        </w:rPr>
      </w:pPr>
      <w:r>
        <w:rPr>
          <w:rFonts w:ascii="Arial" w:cs="Arial" w:eastAsia="Arial" w:hAnsi="Arial"/>
          <w:sz w:val="18"/>
          <w:szCs w:val="18"/>
          <w:color w:val="auto"/>
        </w:rPr>
        <w:t>*101</w:t>
        <w:tab/>
        <w:t>The following financial information from the Company's Annual Report on Form 10-K for the year ended December 31, 2015, filed with the SEC on February 29, 2016 formatted in Extensible Business Reporting Language (XBRL): (i) the Consolidated Balance Sheets at December 31, 2015 and December 31 2014, (ii) the Consolidated Statements of Income for the years ended December 31, 2015, 2014 and 2013, (iii) the Consolidated Statements of Cash Flows for the years ended December 31, 2015, 2014 and 2013, (iv) the Consolidated Statements of Stockholders' Equity at December 31, 2015, 2014 and 2013, (v) the Consolidated Statements of Comprehensive Income for the years ended December 31, 2015, 2014 and 2013 and (vi) Notes to Consolidated Financial Statements.</w:t>
      </w:r>
    </w:p>
    <w:p>
      <w:pPr>
        <w:spacing w:after="0" w:line="54" w:lineRule="exact"/>
        <w:rPr>
          <w:sz w:val="20"/>
          <w:szCs w:val="20"/>
          <w:color w:val="auto"/>
        </w:rPr>
      </w:pPr>
    </w:p>
    <w:p>
      <w:pPr>
        <w:ind w:left="980" w:hanging="972"/>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63" w:lineRule="exact"/>
        <w:rPr>
          <w:sz w:val="20"/>
          <w:szCs w:val="20"/>
          <w:color w:val="auto"/>
        </w:rPr>
      </w:pPr>
    </w:p>
    <w:p>
      <w:pPr>
        <w:ind w:left="5580" w:right="5140" w:hanging="5572"/>
        <w:spacing w:after="0" w:line="941" w:lineRule="auto"/>
        <w:tabs>
          <w:tab w:leader="none" w:pos="9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Denotes management contract or compensatory plan or arrangement. 126</w:t>
      </w:r>
    </w:p>
    <w:p>
      <w:pPr>
        <w:sectPr>
          <w:pgSz w:w="11900" w:h="16838" w:orient="portrait"/>
          <w:cols w:equalWidth="0" w:num="1">
            <w:col w:w="11080"/>
          </w:cols>
          <w:pgMar w:left="240" w:top="121" w:right="57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40" w:firstLine="97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4260" w:val="left"/>
          <w:tab w:leader="none" w:pos="4940" w:val="left"/>
        </w:tabs>
        <w:rPr>
          <w:sz w:val="20"/>
          <w:szCs w:val="20"/>
          <w:color w:val="auto"/>
        </w:rPr>
      </w:pPr>
      <w:r>
        <w:rPr>
          <w:rFonts w:ascii="Arial" w:cs="Arial" w:eastAsia="Arial" w:hAnsi="Arial"/>
          <w:sz w:val="18"/>
          <w:szCs w:val="18"/>
          <w:color w:val="auto"/>
        </w:rPr>
        <w:t>Dated: February 29,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Stephen A. Wynn</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Chairman of the Board and Chief Executive Officer (Principal Executive Officer)</w:t>
      </w:r>
    </w:p>
    <w:p>
      <w:pPr>
        <w:spacing w:after="0" w:line="198"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Signature</w:t>
            </w:r>
          </w:p>
        </w:tc>
        <w:tc>
          <w:tcPr>
            <w:tcW w:w="20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Title</w:t>
            </w:r>
          </w:p>
        </w:tc>
        <w:tc>
          <w:tcPr>
            <w:tcW w:w="1960" w:type="dxa"/>
            <w:vAlign w:val="bottom"/>
            <w:gridSpan w:val="3"/>
          </w:tcPr>
          <w:p>
            <w:pPr>
              <w:jc w:val="center"/>
              <w:ind w:left="552"/>
              <w:spacing w:after="0"/>
              <w:rPr>
                <w:sz w:val="20"/>
                <w:szCs w:val="20"/>
                <w:color w:val="auto"/>
              </w:rPr>
            </w:pPr>
            <w:r>
              <w:rPr>
                <w:rFonts w:ascii="Arial" w:cs="Arial" w:eastAsia="Arial" w:hAnsi="Arial"/>
                <w:sz w:val="14"/>
                <w:szCs w:val="14"/>
                <w:color w:val="auto"/>
                <w:w w:val="94"/>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71"/>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Chief Executive</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Stephen A. Wynn</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Officer (Principal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Stephen A. Wynn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John J. Hagenbuch</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John J. Hagenbuch</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Dr. Ray R. Irani</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Patricia Mulroy</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Patricia Mulroy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Clark T. Randt, Jr.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Clark T. Randt, Jr.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and Treasurer</w:t>
            </w:r>
          </w:p>
        </w:tc>
        <w:tc>
          <w:tcPr>
            <w:tcW w:w="1960" w:type="dxa"/>
            <w:vAlign w:val="bottom"/>
            <w:gridSpan w:val="3"/>
          </w:tcPr>
          <w:p>
            <w:pPr>
              <w:jc w:val="center"/>
              <w:ind w:left="552"/>
              <w:spacing w:after="0"/>
              <w:rPr>
                <w:sz w:val="20"/>
                <w:szCs w:val="20"/>
                <w:color w:val="auto"/>
              </w:rPr>
            </w:pPr>
            <w:r>
              <w:rPr>
                <w:rFonts w:ascii="Arial" w:cs="Arial" w:eastAsia="Arial" w:hAnsi="Arial"/>
                <w:sz w:val="18"/>
                <w:szCs w:val="18"/>
                <w:color w:val="auto"/>
                <w:w w:val="89"/>
              </w:rPr>
              <w:t>February 29, 2016</w:t>
            </w:r>
          </w:p>
        </w:tc>
      </w:tr>
      <w:tr>
        <w:trPr>
          <w:trHeight w:val="230"/>
        </w:trPr>
        <w:tc>
          <w:tcPr>
            <w:tcW w:w="4800" w:type="dxa"/>
            <w:vAlign w:val="bottom"/>
            <w:gridSpan w:val="3"/>
          </w:tcPr>
          <w:p>
            <w:pPr>
              <w:ind w:left="280"/>
              <w:spacing w:after="0"/>
              <w:rPr>
                <w:sz w:val="20"/>
                <w:szCs w:val="20"/>
                <w:color w:val="auto"/>
              </w:rPr>
            </w:pPr>
            <w:r>
              <w:rPr>
                <w:rFonts w:ascii="Arial" w:cs="Arial" w:eastAsia="Arial" w:hAnsi="Arial"/>
                <w:sz w:val="18"/>
                <w:szCs w:val="18"/>
                <w:color w:val="auto"/>
              </w:rPr>
              <w:t>/s/ Stephen Cootey</w:t>
            </w:r>
          </w:p>
        </w:tc>
        <w:tc>
          <w:tcPr>
            <w:tcW w:w="424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Stephen Cootey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86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78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60"/>
          </w:cols>
          <w:pgMar w:left="240" w:top="121" w:right="49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10.11.3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FEE AND CORPORATE ALLOCATION AGREEMENT</w:t>
      </w:r>
    </w:p>
    <w:p>
      <w:pPr>
        <w:spacing w:after="0" w:line="22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THIS MANAGEMENT FEE AND CORPORATE ALLOCATION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as of November 20, 2014, (the “</w:t>
      </w:r>
      <w:r>
        <w:rPr>
          <w:rFonts w:ascii="Arial" w:cs="Arial" w:eastAsia="Arial" w:hAnsi="Arial"/>
          <w:sz w:val="22"/>
          <w:szCs w:val="22"/>
          <w:u w:val="single" w:color="auto"/>
          <w:color w:val="auto"/>
        </w:rPr>
        <w:t>Execution Date</w:t>
      </w:r>
      <w:r>
        <w:rPr>
          <w:rFonts w:ascii="Arial" w:cs="Arial" w:eastAsia="Arial" w:hAnsi="Arial"/>
          <w:sz w:val="22"/>
          <w:szCs w:val="22"/>
          <w:color w:val="auto"/>
        </w:rPr>
        <w:t>”) by and among Wynn MA, LLC, a Nevada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Wynn Resorts, Limited, a Nevada corporation (the “</w:t>
      </w:r>
      <w:r>
        <w:rPr>
          <w:rFonts w:ascii="Arial" w:cs="Arial" w:eastAsia="Arial" w:hAnsi="Arial"/>
          <w:sz w:val="22"/>
          <w:szCs w:val="22"/>
          <w:u w:val="single" w:color="auto"/>
          <w:color w:val="auto"/>
        </w:rPr>
        <w:t>Resorts</w:t>
      </w:r>
      <w:r>
        <w:rPr>
          <w:rFonts w:ascii="Arial" w:cs="Arial" w:eastAsia="Arial" w:hAnsi="Arial"/>
          <w:sz w:val="22"/>
          <w:szCs w:val="22"/>
          <w:color w:val="auto"/>
        </w:rPr>
        <w:t>), with reference to the following:</w:t>
      </w:r>
    </w:p>
    <w:p>
      <w:pPr>
        <w:spacing w:after="0" w:line="186" w:lineRule="exact"/>
        <w:rPr>
          <w:sz w:val="20"/>
          <w:szCs w:val="20"/>
          <w:color w:val="auto"/>
        </w:rPr>
      </w:pPr>
    </w:p>
    <w:p>
      <w:pPr>
        <w:ind w:right="240" w:firstLine="648"/>
        <w:spacing w:after="0" w:line="287" w:lineRule="auto"/>
        <w:rPr>
          <w:sz w:val="20"/>
          <w:szCs w:val="20"/>
          <w:color w:val="auto"/>
        </w:rPr>
      </w:pPr>
      <w:r>
        <w:rPr>
          <w:rFonts w:ascii="Arial" w:cs="Arial" w:eastAsia="Arial" w:hAnsi="Arial"/>
          <w:sz w:val="21"/>
          <w:szCs w:val="21"/>
          <w:color w:val="auto"/>
        </w:rPr>
        <w:t>WHEREAS, the Company is in the process of developing and constructing a fully integrated hotel and casino resort, with related parking structure and related facilities, in Everett, Massachusetts (collectively, the “</w:t>
      </w:r>
      <w:r>
        <w:rPr>
          <w:rFonts w:ascii="Arial" w:cs="Arial" w:eastAsia="Arial" w:hAnsi="Arial"/>
          <w:sz w:val="21"/>
          <w:szCs w:val="21"/>
          <w:u w:val="single" w:color="auto"/>
          <w:color w:val="auto"/>
        </w:rPr>
        <w:t>Business</w:t>
      </w:r>
      <w:r>
        <w:rPr>
          <w:rFonts w:ascii="Arial" w:cs="Arial" w:eastAsia="Arial" w:hAnsi="Arial"/>
          <w:sz w:val="21"/>
          <w:szCs w:val="21"/>
          <w:color w:val="auto"/>
        </w:rPr>
        <w:t>”);</w:t>
      </w:r>
    </w:p>
    <w:p>
      <w:pPr>
        <w:spacing w:after="0" w:line="152" w:lineRule="exact"/>
        <w:rPr>
          <w:sz w:val="20"/>
          <w:szCs w:val="20"/>
          <w:color w:val="auto"/>
        </w:rPr>
      </w:pPr>
    </w:p>
    <w:p>
      <w:pPr>
        <w:jc w:val="both"/>
        <w:ind w:right="360" w:firstLine="648"/>
        <w:spacing w:after="0" w:line="253" w:lineRule="auto"/>
        <w:rPr>
          <w:sz w:val="20"/>
          <w:szCs w:val="20"/>
          <w:color w:val="auto"/>
        </w:rPr>
      </w:pPr>
      <w:r>
        <w:rPr>
          <w:rFonts w:ascii="Arial" w:cs="Arial" w:eastAsia="Arial" w:hAnsi="Arial"/>
          <w:sz w:val="22"/>
          <w:szCs w:val="22"/>
          <w:color w:val="auto"/>
        </w:rPr>
        <w:t>WHEREAS, the Company desires to engage Resorts to provide the management and advisory services for development, construction and eventual operation of the Business and Resorts desires to accept such engagement to provide such services, all upon the terms and conditions hereinafter set forth.</w:t>
      </w:r>
    </w:p>
    <w:p>
      <w:pPr>
        <w:spacing w:after="0" w:line="186"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05" w:lineRule="exact"/>
        <w:rPr>
          <w:sz w:val="20"/>
          <w:szCs w:val="20"/>
          <w:color w:val="auto"/>
        </w:rPr>
      </w:pPr>
    </w:p>
    <w:p>
      <w:pPr>
        <w:ind w:right="460" w:firstLine="656"/>
        <w:spacing w:after="0" w:line="253" w:lineRule="auto"/>
        <w:tabs>
          <w:tab w:leader="none" w:pos="145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Retention of Resorts</w:t>
      </w:r>
      <w:r>
        <w:rPr>
          <w:rFonts w:ascii="Arial" w:cs="Arial" w:eastAsia="Arial" w:hAnsi="Arial"/>
          <w:sz w:val="22"/>
          <w:szCs w:val="22"/>
          <w:color w:val="auto"/>
        </w:rPr>
        <w:t>. The Company hereby appoints Resorts as manager for the Business, and Resorts hereby agrees to provide the management and advisory services described herein for the Business, in accordance with the terms and subject to the conditions hereinafter set forth.</w:t>
      </w:r>
    </w:p>
    <w:p>
      <w:pPr>
        <w:spacing w:after="0" w:line="185" w:lineRule="exact"/>
        <w:rPr>
          <w:rFonts w:ascii="Arial" w:cs="Arial" w:eastAsia="Arial" w:hAnsi="Arial"/>
          <w:sz w:val="22"/>
          <w:szCs w:val="22"/>
          <w:color w:val="auto"/>
        </w:rPr>
      </w:pPr>
    </w:p>
    <w:p>
      <w:pPr>
        <w:ind w:right="20" w:firstLine="656"/>
        <w:spacing w:after="0" w:line="291" w:lineRule="auto"/>
        <w:tabs>
          <w:tab w:leader="none" w:pos="990"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Services to be Provided by Resorts</w:t>
      </w:r>
      <w:r>
        <w:rPr>
          <w:rFonts w:ascii="Arial" w:cs="Arial" w:eastAsia="Arial" w:hAnsi="Arial"/>
          <w:sz w:val="19"/>
          <w:szCs w:val="19"/>
          <w:color w:val="auto"/>
        </w:rPr>
        <w:t>. Resorts shall make the personnel from its Corporate Executives, Corporate Treasury, Corporate Legal, Public Relations, Information Systems, Corporate Security &amp; Governmental Affairs, Community Relations, Investor Relations, Development, Risk Management, Internal Audit, Financial Accounting and Analysis, Corporate Tax and any departments that may be established in the future (hereinafter collectively referred to as, the “</w:t>
      </w:r>
      <w:r>
        <w:rPr>
          <w:rFonts w:ascii="Arial" w:cs="Arial" w:eastAsia="Arial" w:hAnsi="Arial"/>
          <w:sz w:val="19"/>
          <w:szCs w:val="19"/>
          <w:u w:val="single" w:color="auto"/>
          <w:color w:val="auto"/>
        </w:rPr>
        <w:t>Corporate Departments</w:t>
      </w:r>
      <w:r>
        <w:rPr>
          <w:rFonts w:ascii="Arial" w:cs="Arial" w:eastAsia="Arial" w:hAnsi="Arial"/>
          <w:sz w:val="19"/>
          <w:szCs w:val="19"/>
          <w:color w:val="auto"/>
        </w:rPr>
        <w:t>”) available to the Company to provide customary management and advisory services with respect to the operation of the Business. Further, in accordance with the terms and subject to the conditions hereof, Resorts agrees to provide the following management and advisory services (referred to herein after collectively, together with any services necessary or incidental thereto, “</w:t>
      </w:r>
      <w:r>
        <w:rPr>
          <w:rFonts w:ascii="Arial" w:cs="Arial" w:eastAsia="Arial" w:hAnsi="Arial"/>
          <w:sz w:val="19"/>
          <w:szCs w:val="19"/>
          <w:u w:val="single" w:color="auto"/>
          <w:color w:val="auto"/>
        </w:rPr>
        <w:t>Services</w:t>
      </w:r>
      <w:r>
        <w:rPr>
          <w:rFonts w:ascii="Arial" w:cs="Arial" w:eastAsia="Arial" w:hAnsi="Arial"/>
          <w:sz w:val="19"/>
          <w:szCs w:val="19"/>
          <w:color w:val="auto"/>
        </w:rPr>
        <w:t>”) to the Company on an ongoing basis in connection with the development, construction, ownership and operation (both pre-opening and post-opening) of the Business by the Company during the term of this Agreement:</w:t>
      </w:r>
    </w:p>
    <w:p>
      <w:pPr>
        <w:spacing w:after="0" w:line="154" w:lineRule="exact"/>
        <w:rPr>
          <w:rFonts w:ascii="Arial" w:cs="Arial" w:eastAsia="Arial" w:hAnsi="Arial"/>
          <w:sz w:val="19"/>
          <w:szCs w:val="19"/>
          <w:color w:val="auto"/>
        </w:rPr>
      </w:pPr>
    </w:p>
    <w:p>
      <w:pPr>
        <w:ind w:left="1720" w:hanging="415"/>
        <w:spacing w:after="0"/>
        <w:tabs>
          <w:tab w:leader="none" w:pos="172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advice concerning the hiring, termination, performance and training of personnel;</w:t>
      </w:r>
    </w:p>
    <w:p>
      <w:pPr>
        <w:spacing w:after="0" w:line="233" w:lineRule="exact"/>
        <w:rPr>
          <w:rFonts w:ascii="Arial" w:cs="Arial" w:eastAsia="Arial" w:hAnsi="Arial"/>
          <w:sz w:val="22"/>
          <w:szCs w:val="22"/>
          <w:color w:val="auto"/>
        </w:rPr>
      </w:pPr>
    </w:p>
    <w:p>
      <w:pPr>
        <w:ind w:right="480" w:firstLine="1305"/>
        <w:spacing w:after="0" w:line="276" w:lineRule="auto"/>
        <w:tabs>
          <w:tab w:leader="none" w:pos="1728" w:val="left"/>
        </w:tabs>
        <w:numPr>
          <w:ilvl w:val="1"/>
          <w:numId w:val="41"/>
        </w:numPr>
        <w:rPr>
          <w:rFonts w:ascii="Arial" w:cs="Arial" w:eastAsia="Arial" w:hAnsi="Arial"/>
          <w:sz w:val="22"/>
          <w:szCs w:val="22"/>
          <w:color w:val="auto"/>
        </w:rPr>
      </w:pPr>
      <w:r>
        <w:rPr>
          <w:rFonts w:ascii="Arial" w:cs="Arial" w:eastAsia="Arial" w:hAnsi="Arial"/>
          <w:sz w:val="22"/>
          <w:szCs w:val="22"/>
          <w:color w:val="auto"/>
        </w:rPr>
        <w:t>review, consultation and advice concerning pre-opening and post-opening personnel, operations, and other management and operating policies and procedures;</w:t>
      </w:r>
    </w:p>
    <w:p>
      <w:pPr>
        <w:spacing w:after="0" w:line="160" w:lineRule="exact"/>
        <w:rPr>
          <w:rFonts w:ascii="Arial" w:cs="Arial" w:eastAsia="Arial" w:hAnsi="Arial"/>
          <w:sz w:val="22"/>
          <w:szCs w:val="22"/>
          <w:color w:val="auto"/>
        </w:rPr>
      </w:pPr>
    </w:p>
    <w:p>
      <w:pPr>
        <w:ind w:right="320" w:firstLine="1305"/>
        <w:spacing w:after="0" w:line="276" w:lineRule="auto"/>
        <w:tabs>
          <w:tab w:leader="none" w:pos="1716" w:val="left"/>
        </w:tabs>
        <w:numPr>
          <w:ilvl w:val="1"/>
          <w:numId w:val="41"/>
        </w:numPr>
        <w:rPr>
          <w:rFonts w:ascii="Arial" w:cs="Arial" w:eastAsia="Arial" w:hAnsi="Arial"/>
          <w:sz w:val="22"/>
          <w:szCs w:val="22"/>
          <w:color w:val="auto"/>
        </w:rPr>
      </w:pPr>
      <w:r>
        <w:rPr>
          <w:rFonts w:ascii="Arial" w:cs="Arial" w:eastAsia="Arial" w:hAnsi="Arial"/>
          <w:sz w:val="22"/>
          <w:szCs w:val="22"/>
          <w:color w:val="auto"/>
        </w:rPr>
        <w:t>recommendations on all necessary action to keep the operation of the Business in compliance, in all material respects, with the conditions of all licenses (including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3" w:right="239" w:bottom="1440" w:gutter="0" w:footer="0" w:header="0"/>
        </w:sectPr>
      </w:pPr>
    </w:p>
    <w:bookmarkStart w:id="130" w:name="page131"/>
    <w:bookmarkEnd w:id="130"/>
    <w:p>
      <w:pPr>
        <w:ind w:right="700"/>
        <w:spacing w:after="0" w:line="263" w:lineRule="auto"/>
        <w:rPr>
          <w:sz w:val="20"/>
          <w:szCs w:val="20"/>
          <w:color w:val="auto"/>
        </w:rPr>
      </w:pPr>
      <w:r>
        <w:rPr>
          <w:rFonts w:ascii="Arial" w:cs="Arial" w:eastAsia="Arial" w:hAnsi="Arial"/>
          <w:sz w:val="22"/>
          <w:szCs w:val="22"/>
          <w:color w:val="auto"/>
        </w:rPr>
        <w:t>gaming licenses) and all applicable rules, regulations and orders of any governmental authority having jurisdiction over the Business;</w:t>
      </w:r>
    </w:p>
    <w:p>
      <w:pPr>
        <w:spacing w:after="0" w:line="175" w:lineRule="exact"/>
        <w:rPr>
          <w:sz w:val="20"/>
          <w:szCs w:val="20"/>
          <w:color w:val="auto"/>
        </w:rPr>
      </w:pPr>
    </w:p>
    <w:p>
      <w:pPr>
        <w:ind w:right="280" w:firstLine="1305"/>
        <w:spacing w:after="0" w:line="276" w:lineRule="auto"/>
        <w:tabs>
          <w:tab w:leader="none" w:pos="1728" w:val="left"/>
        </w:tabs>
        <w:numPr>
          <w:ilvl w:val="1"/>
          <w:numId w:val="42"/>
        </w:numPr>
        <w:rPr>
          <w:rFonts w:ascii="Arial" w:cs="Arial" w:eastAsia="Arial" w:hAnsi="Arial"/>
          <w:sz w:val="22"/>
          <w:szCs w:val="22"/>
          <w:color w:val="auto"/>
        </w:rPr>
      </w:pPr>
      <w:r>
        <w:rPr>
          <w:rFonts w:ascii="Arial" w:cs="Arial" w:eastAsia="Arial" w:hAnsi="Arial"/>
          <w:sz w:val="22"/>
          <w:szCs w:val="22"/>
          <w:color w:val="auto"/>
        </w:rPr>
        <w:t>development of recommendations for, and negotiate the acquisition and maintenance of, insurance coverage with respect to the Business;</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guidance on all marketing, sales promotions and advertising for the Business;</w:t>
      </w:r>
    </w:p>
    <w:p>
      <w:pPr>
        <w:spacing w:after="0" w:line="233" w:lineRule="exact"/>
        <w:rPr>
          <w:rFonts w:ascii="Arial" w:cs="Arial" w:eastAsia="Arial" w:hAnsi="Arial"/>
          <w:sz w:val="22"/>
          <w:szCs w:val="22"/>
          <w:color w:val="auto"/>
        </w:rPr>
      </w:pPr>
    </w:p>
    <w:p>
      <w:pPr>
        <w:ind w:right="540" w:firstLine="1305"/>
        <w:spacing w:after="0" w:line="276" w:lineRule="auto"/>
        <w:tabs>
          <w:tab w:leader="none" w:pos="1692" w:val="left"/>
        </w:tabs>
        <w:numPr>
          <w:ilvl w:val="1"/>
          <w:numId w:val="42"/>
        </w:numPr>
        <w:rPr>
          <w:rFonts w:ascii="Arial" w:cs="Arial" w:eastAsia="Arial" w:hAnsi="Arial"/>
          <w:sz w:val="22"/>
          <w:szCs w:val="22"/>
          <w:color w:val="auto"/>
        </w:rPr>
      </w:pPr>
      <w:r>
        <w:rPr>
          <w:rFonts w:ascii="Arial" w:cs="Arial" w:eastAsia="Arial" w:hAnsi="Arial"/>
          <w:sz w:val="22"/>
          <w:szCs w:val="22"/>
          <w:color w:val="auto"/>
        </w:rPr>
        <w:t>assistance in the financial budgeting process and the implementation of appropriate accounting, financial, administrative and managerial controls for the Business;</w:t>
      </w:r>
    </w:p>
    <w:p>
      <w:pPr>
        <w:spacing w:after="0" w:line="160" w:lineRule="exact"/>
        <w:rPr>
          <w:rFonts w:ascii="Arial" w:cs="Arial" w:eastAsia="Arial" w:hAnsi="Arial"/>
          <w:sz w:val="22"/>
          <w:szCs w:val="22"/>
          <w:color w:val="auto"/>
        </w:rPr>
      </w:pPr>
    </w:p>
    <w:p>
      <w:pPr>
        <w:ind w:right="300" w:firstLine="1305"/>
        <w:spacing w:after="0" w:line="276" w:lineRule="auto"/>
        <w:tabs>
          <w:tab w:leader="none" w:pos="1728" w:val="left"/>
        </w:tabs>
        <w:numPr>
          <w:ilvl w:val="1"/>
          <w:numId w:val="42"/>
        </w:numPr>
        <w:rPr>
          <w:rFonts w:ascii="Arial" w:cs="Arial" w:eastAsia="Arial" w:hAnsi="Arial"/>
          <w:sz w:val="22"/>
          <w:szCs w:val="22"/>
          <w:color w:val="auto"/>
        </w:rPr>
      </w:pPr>
      <w:r>
        <w:rPr>
          <w:rFonts w:ascii="Arial" w:cs="Arial" w:eastAsia="Arial" w:hAnsi="Arial"/>
          <w:sz w:val="22"/>
          <w:szCs w:val="22"/>
          <w:color w:val="auto"/>
        </w:rPr>
        <w:t>assistance with refinancing and borrowing (and any other forms of capital raising) and compliance with any covenants associated therewith;</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assistance with income tax compliance and planning;</w:t>
      </w:r>
    </w:p>
    <w:p>
      <w:pPr>
        <w:spacing w:after="0" w:line="233" w:lineRule="exact"/>
        <w:rPr>
          <w:rFonts w:ascii="Arial" w:cs="Arial" w:eastAsia="Arial" w:hAnsi="Arial"/>
          <w:sz w:val="22"/>
          <w:szCs w:val="22"/>
          <w:color w:val="auto"/>
        </w:rPr>
      </w:pPr>
    </w:p>
    <w:p>
      <w:pPr>
        <w:jc w:val="both"/>
        <w:ind w:right="240" w:firstLine="1305"/>
        <w:spacing w:after="0" w:line="320" w:lineRule="auto"/>
        <w:tabs>
          <w:tab w:leader="none" w:pos="1680" w:val="left"/>
        </w:tabs>
        <w:numPr>
          <w:ilvl w:val="1"/>
          <w:numId w:val="42"/>
        </w:numPr>
        <w:rPr>
          <w:rFonts w:ascii="Arial" w:cs="Arial" w:eastAsia="Arial" w:hAnsi="Arial"/>
          <w:sz w:val="19"/>
          <w:szCs w:val="19"/>
          <w:color w:val="auto"/>
        </w:rPr>
      </w:pPr>
      <w:r>
        <w:rPr>
          <w:rFonts w:ascii="Arial" w:cs="Arial" w:eastAsia="Arial" w:hAnsi="Arial"/>
          <w:sz w:val="19"/>
          <w:szCs w:val="19"/>
          <w:color w:val="auto"/>
        </w:rPr>
        <w:t>assistance with the preparation of the Company’s financial reports and maintenance of books of accounts and other records reflecting the results of operation of the Business (which at all times shall be maintained in a manner prescribed by Resorts in order to comply with the regulatory requirements imposed on both Resorts and the Company);</w:t>
      </w:r>
    </w:p>
    <w:p>
      <w:pPr>
        <w:spacing w:after="0" w:line="125" w:lineRule="exact"/>
        <w:rPr>
          <w:rFonts w:ascii="Arial" w:cs="Arial" w:eastAsia="Arial" w:hAnsi="Arial"/>
          <w:sz w:val="19"/>
          <w:szCs w:val="19"/>
          <w:color w:val="auto"/>
        </w:rPr>
      </w:pPr>
    </w:p>
    <w:p>
      <w:pPr>
        <w:ind w:left="1680" w:hanging="375"/>
        <w:spacing w:after="0"/>
        <w:tabs>
          <w:tab w:leader="none" w:pos="16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assistance with investor relations, community relations and development projects;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42"/>
        </w:numPr>
        <w:rPr>
          <w:rFonts w:ascii="Arial" w:cs="Arial" w:eastAsia="Arial" w:hAnsi="Arial"/>
          <w:sz w:val="21"/>
          <w:szCs w:val="21"/>
          <w:color w:val="auto"/>
        </w:rPr>
      </w:pPr>
      <w:r>
        <w:rPr>
          <w:rFonts w:ascii="Arial" w:cs="Arial" w:eastAsia="Arial" w:hAnsi="Arial"/>
          <w:sz w:val="21"/>
          <w:szCs w:val="21"/>
          <w:color w:val="auto"/>
        </w:rPr>
        <w:t>consultation with the Company with respect to the selection of attorneys, consultants and accountants;</w:t>
      </w:r>
    </w:p>
    <w:p>
      <w:pPr>
        <w:spacing w:after="0" w:line="244" w:lineRule="exact"/>
        <w:rPr>
          <w:rFonts w:ascii="Arial" w:cs="Arial" w:eastAsia="Arial" w:hAnsi="Arial"/>
          <w:sz w:val="21"/>
          <w:szCs w:val="21"/>
          <w:color w:val="auto"/>
        </w:rPr>
      </w:pPr>
    </w:p>
    <w:p>
      <w:pPr>
        <w:ind w:firstLine="1305"/>
        <w:spacing w:after="0" w:line="276" w:lineRule="auto"/>
        <w:tabs>
          <w:tab w:leader="none" w:pos="168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advice and consultation with the Company in connection with any and all aspects of the Business and the day to day operation thereof; and</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any other service performed by Resorts and requested by Company.</w:t>
      </w:r>
    </w:p>
    <w:p>
      <w:pPr>
        <w:spacing w:after="0" w:line="233" w:lineRule="exact"/>
        <w:rPr>
          <w:rFonts w:ascii="Arial" w:cs="Arial" w:eastAsia="Arial" w:hAnsi="Arial"/>
          <w:sz w:val="22"/>
          <w:szCs w:val="22"/>
          <w:color w:val="auto"/>
        </w:rPr>
      </w:pPr>
    </w:p>
    <w:p>
      <w:pPr>
        <w:ind w:left="1000" w:hanging="344"/>
        <w:spacing w:after="0"/>
        <w:tabs>
          <w:tab w:leader="none" w:pos="100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Corporate Allocation; Expenses: Management Fee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1"/>
          <w:numId w:val="43"/>
        </w:numPr>
        <w:rPr>
          <w:rFonts w:ascii="Arial" w:cs="Arial" w:eastAsia="Arial" w:hAnsi="Arial"/>
          <w:sz w:val="19"/>
          <w:szCs w:val="19"/>
          <w:color w:val="auto"/>
        </w:rPr>
      </w:pPr>
      <w:r>
        <w:rPr>
          <w:rFonts w:ascii="Arial" w:cs="Arial" w:eastAsia="Arial" w:hAnsi="Arial"/>
          <w:sz w:val="19"/>
          <w:szCs w:val="19"/>
          <w:color w:val="auto"/>
        </w:rPr>
        <w:t>Commencing on the Execution Date, the Company agrees to pay Resorts a corporate allocations fee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Allocations Fee</w:t>
      </w:r>
      <w:r>
        <w:rPr>
          <w:rFonts w:ascii="Arial" w:cs="Arial" w:eastAsia="Arial" w:hAnsi="Arial"/>
          <w:sz w:val="22"/>
          <w:szCs w:val="22"/>
          <w:color w:val="auto"/>
        </w:rPr>
        <w:t>”) to be determined as follows:</w:t>
      </w:r>
    </w:p>
    <w:p>
      <w:pPr>
        <w:spacing w:after="0" w:line="215" w:lineRule="exact"/>
        <w:rPr>
          <w:sz w:val="20"/>
          <w:szCs w:val="20"/>
          <w:color w:val="auto"/>
        </w:rPr>
      </w:pPr>
    </w:p>
    <w:p>
      <w:pPr>
        <w:ind w:right="560" w:firstLine="1953"/>
        <w:spacing w:after="0" w:line="276" w:lineRule="auto"/>
        <w:tabs>
          <w:tab w:leader="none" w:pos="2329" w:val="left"/>
        </w:tabs>
        <w:numPr>
          <w:ilvl w:val="0"/>
          <w:numId w:val="44"/>
        </w:numPr>
        <w:rPr>
          <w:rFonts w:ascii="Arial" w:cs="Arial" w:eastAsia="Arial" w:hAnsi="Arial"/>
          <w:sz w:val="22"/>
          <w:szCs w:val="22"/>
          <w:color w:val="auto"/>
        </w:rPr>
      </w:pPr>
      <w:r>
        <w:rPr>
          <w:rFonts w:ascii="Arial" w:cs="Arial" w:eastAsia="Arial" w:hAnsi="Arial"/>
          <w:sz w:val="22"/>
          <w:szCs w:val="22"/>
          <w:color w:val="auto"/>
        </w:rPr>
        <w:t>On or before the last business day of each month, Resorts will provide an invoice to the Company representing one-twelfth of the estimated Corporate Allocations Fee.</w:t>
      </w:r>
    </w:p>
    <w:p>
      <w:pPr>
        <w:spacing w:after="0" w:line="160" w:lineRule="exact"/>
        <w:rPr>
          <w:rFonts w:ascii="Arial" w:cs="Arial" w:eastAsia="Arial" w:hAnsi="Arial"/>
          <w:sz w:val="22"/>
          <w:szCs w:val="22"/>
          <w:color w:val="auto"/>
        </w:rPr>
      </w:pPr>
    </w:p>
    <w:p>
      <w:pPr>
        <w:ind w:right="60" w:firstLine="1953"/>
        <w:spacing w:after="0" w:line="297" w:lineRule="auto"/>
        <w:tabs>
          <w:tab w:leader="none" w:pos="238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estimated annual costs associated with the provision of the Services allocated to the Company will be the sum of each Corporate Department’s budgeted executive personnel costs (such costs, the “</w:t>
      </w:r>
      <w:r>
        <w:rPr>
          <w:rFonts w:ascii="Arial" w:cs="Arial" w:eastAsia="Arial" w:hAnsi="Arial"/>
          <w:sz w:val="19"/>
          <w:szCs w:val="19"/>
          <w:u w:val="single" w:color="auto"/>
          <w:color w:val="auto"/>
        </w:rPr>
        <w:t>Departmental Executive Costs</w:t>
      </w:r>
      <w:r>
        <w:rPr>
          <w:rFonts w:ascii="Arial" w:cs="Arial" w:eastAsia="Arial" w:hAnsi="Arial"/>
          <w:sz w:val="19"/>
          <w:szCs w:val="19"/>
          <w:color w:val="auto"/>
        </w:rPr>
        <w:t>”) allocated to the Company plus the sum of each Corporate Department’s other operating costs (such costs, the “</w:t>
      </w:r>
      <w:r>
        <w:rPr>
          <w:rFonts w:ascii="Arial" w:cs="Arial" w:eastAsia="Arial" w:hAnsi="Arial"/>
          <w:sz w:val="19"/>
          <w:szCs w:val="19"/>
          <w:u w:val="single" w:color="auto"/>
          <w:color w:val="auto"/>
        </w:rPr>
        <w:t>Departmental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Residual Costs</w:t>
      </w:r>
      <w:r>
        <w:rPr>
          <w:rFonts w:ascii="Arial" w:cs="Arial" w:eastAsia="Arial" w:hAnsi="Arial"/>
          <w:sz w:val="19"/>
          <w:szCs w:val="19"/>
          <w:color w:val="auto"/>
        </w:rPr>
        <w:t>”) allocated to the Company. The Departmental Executive Costs shall include all Corporate Department executive compensation, including, without limitation, salaries, bonuses, any forms of deferred compensation, vacation pay, fringe benefits and ASC 718 costs for equity based compensation. The annual allocation of the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631" w:right="299" w:bottom="1440" w:gutter="0" w:footer="0" w:header="0"/>
        </w:sectPr>
      </w:pPr>
    </w:p>
    <w:bookmarkStart w:id="131" w:name="page132"/>
    <w:bookmarkEnd w:id="131"/>
    <w:p>
      <w:pPr>
        <w:spacing w:after="0" w:line="287" w:lineRule="auto"/>
        <w:rPr>
          <w:sz w:val="20"/>
          <w:szCs w:val="20"/>
          <w:color w:val="auto"/>
        </w:rPr>
      </w:pPr>
      <w:r>
        <w:rPr>
          <w:rFonts w:ascii="Arial" w:cs="Arial" w:eastAsia="Arial" w:hAnsi="Arial"/>
          <w:sz w:val="19"/>
          <w:szCs w:val="19"/>
          <w:color w:val="auto"/>
        </w:rPr>
        <w:t>Departmental Executive’s Costs and the Departmental Residual Costs allocated to the Company will be based on each Corporate Department head’s annual estimate, made using commercially reasonable judgment, of the time to be spent by the Corporate Department’s executives providing the Services for the Company during the year (such allocation, the “</w:t>
      </w:r>
      <w:r>
        <w:rPr>
          <w:rFonts w:ascii="Arial" w:cs="Arial" w:eastAsia="Arial" w:hAnsi="Arial"/>
          <w:sz w:val="19"/>
          <w:szCs w:val="19"/>
          <w:u w:val="single" w:color="auto"/>
          <w:color w:val="auto"/>
        </w:rPr>
        <w:t>Executive’s Percentage</w:t>
      </w:r>
      <w:r>
        <w:rPr>
          <w:rFonts w:ascii="Arial" w:cs="Arial" w:eastAsia="Arial" w:hAnsi="Arial"/>
          <w:sz w:val="19"/>
          <w:szCs w:val="19"/>
          <w:color w:val="auto"/>
        </w:rPr>
        <w:t>”). In the event no estimate is provided, the Executive’s Percentage for the immediately preceding year will be used. The Departmental Executive Costs allocated to the Company will be the sum of the products resulting from the multiplication of each Corporate Department’s Executive’s Percentage and the applicable Departmental Executive Cost. The Departmental Residual Costs allocated to the Company will be the sum of the products obtained by multiplying each Corporate Department’s Departmental Residual Costs by the ratio of its total Departmental Executive Costs allocated to the Company to its total Departmental Executive Costs. Annually, the actual costs of the Corporate Departments will be compared with the estimated costs of the Corporate Departments used in determining the preliminary allocation for the year and any under or over allocation shall be charged or returned to the Company by the last day of February of the succeeding year; any variance between the estimated and actual Executive’s Percentage will also be taken into account as part of this annual reconciliation.</w:t>
      </w:r>
    </w:p>
    <w:p>
      <w:pPr>
        <w:spacing w:after="0" w:line="160" w:lineRule="exact"/>
        <w:rPr>
          <w:sz w:val="20"/>
          <w:szCs w:val="20"/>
          <w:color w:val="auto"/>
        </w:rPr>
      </w:pPr>
    </w:p>
    <w:p>
      <w:pPr>
        <w:ind w:right="80" w:firstLine="1305"/>
        <w:spacing w:after="0" w:line="294" w:lineRule="auto"/>
        <w:tabs>
          <w:tab w:leader="none" w:pos="1728" w:val="left"/>
        </w:tabs>
        <w:numPr>
          <w:ilvl w:val="0"/>
          <w:numId w:val="45"/>
        </w:numPr>
        <w:rPr>
          <w:rFonts w:ascii="Arial" w:cs="Arial" w:eastAsia="Arial" w:hAnsi="Arial"/>
          <w:sz w:val="19"/>
          <w:szCs w:val="19"/>
          <w:color w:val="auto"/>
        </w:rPr>
      </w:pPr>
      <w:r>
        <w:rPr>
          <w:rFonts w:ascii="Arial" w:cs="Arial" w:eastAsia="Arial" w:hAnsi="Arial"/>
          <w:sz w:val="19"/>
          <w:szCs w:val="19"/>
          <w:color w:val="auto"/>
        </w:rPr>
        <w:t>As and when incurred, all expenses, costs, losses, liabilities or damages incurred with respect to the ownership or operation of the Company, including, without limitation, wages, salaries and other labor costs incurred in the construction, maintenance, expansion or operation of the Company, or personnel working on special projects or services for the Company, will be paid by the Company. To the extent that the Resorts pays or incurs any obligation for any such expenses, costs, losses, liabilities or damages, the Company, subject to the limitations set forth in Section 3(d), will pay or reimburse the Resorts therefor, as well as for any reasonable out-of-pocket expenses incurred by the Resorts in the performance of its obligations under this Agreement. Reimbursement of all such expenses, costs, losses, liabilities and damages shall commence as of the Execution Date.</w:t>
      </w:r>
    </w:p>
    <w:p>
      <w:pPr>
        <w:spacing w:after="0" w:line="152" w:lineRule="exact"/>
        <w:rPr>
          <w:rFonts w:ascii="Arial" w:cs="Arial" w:eastAsia="Arial" w:hAnsi="Arial"/>
          <w:sz w:val="19"/>
          <w:szCs w:val="19"/>
          <w:color w:val="auto"/>
        </w:rPr>
      </w:pPr>
    </w:p>
    <w:p>
      <w:pPr>
        <w:ind w:right="240" w:firstLine="1305"/>
        <w:spacing w:after="0" w:line="307" w:lineRule="auto"/>
        <w:tabs>
          <w:tab w:leader="none" w:pos="1770"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addition, the Company agrees to pay Resorts, as Resorts’ compensation for the Services to be rendered hereunder, a yearly management fee (the “</w:t>
      </w:r>
      <w:r>
        <w:rPr>
          <w:rFonts w:ascii="Arial" w:cs="Arial" w:eastAsia="Arial" w:hAnsi="Arial"/>
          <w:sz w:val="19"/>
          <w:szCs w:val="19"/>
          <w:u w:val="single" w:color="auto"/>
          <w:color w:val="auto"/>
        </w:rPr>
        <w:t>Management Fee</w:t>
      </w:r>
      <w:r>
        <w:rPr>
          <w:rFonts w:ascii="Arial" w:cs="Arial" w:eastAsia="Arial" w:hAnsi="Arial"/>
          <w:sz w:val="19"/>
          <w:szCs w:val="19"/>
          <w:color w:val="auto"/>
        </w:rPr>
        <w:t>”) equal to one and one-half percent (1.5%) of the net revenues of the Company (as determined in accordance with generally accepted accounting principles as applicable to companies in the gaming business), payable monthly in arrears. Payment of the Management Fee shall commence upon the Execution Date.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parties agree that the Corporate Allocations Fee and the Management Fee (collectively, the “</w:t>
      </w:r>
      <w:r>
        <w:rPr>
          <w:rFonts w:ascii="Arial" w:cs="Arial" w:eastAsia="Arial" w:hAnsi="Arial"/>
          <w:sz w:val="19"/>
          <w:szCs w:val="19"/>
          <w:u w:val="single" w:color="auto"/>
          <w:color w:val="auto"/>
        </w:rPr>
        <w:t>Resorts’</w:t>
      </w:r>
    </w:p>
    <w:p>
      <w:pPr>
        <w:spacing w:after="0" w:line="56"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due and payable as provided in this Section 3 shall not be paid at any time that such payment is not then permitted under any financing or regulatory agreement to which the Company is a party. In the event any Resorts’ Fees is unpaid, whether in whole or in part, as a consequence of the provisions of this Section 3, Resorts nonetheless shall continue to perform hereunder and any such unpaid amounts shall be accrued as a liability of the Company and shall be payable as soon as such payment is permitted. The deferred portion of the Resorts’ Fee will bear interest at the rate of ten percent (10 %) per annum, compounded annually, from the date otherwise due and payable until the payment thereof.</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32" w:name="page133"/>
    <w:bookmarkEnd w:id="132"/>
    <w:p>
      <w:pPr>
        <w:ind w:left="-20" w:right="160" w:firstLine="1305"/>
        <w:spacing w:after="0" w:line="300" w:lineRule="auto"/>
        <w:tabs>
          <w:tab w:leader="none" w:pos="1696" w:val="left"/>
        </w:tabs>
        <w:numPr>
          <w:ilvl w:val="1"/>
          <w:numId w:val="46"/>
        </w:numPr>
        <w:rPr>
          <w:rFonts w:ascii="Arial" w:cs="Arial" w:eastAsia="Arial" w:hAnsi="Arial"/>
          <w:sz w:val="19"/>
          <w:szCs w:val="19"/>
          <w:color w:val="auto"/>
        </w:rPr>
      </w:pPr>
      <w:r>
        <w:rPr>
          <w:rFonts w:ascii="Arial" w:cs="Arial" w:eastAsia="Arial" w:hAnsi="Arial"/>
          <w:sz w:val="19"/>
          <w:szCs w:val="19"/>
          <w:color w:val="auto"/>
        </w:rPr>
        <w:t>Notwithstanding any termination of this Agreement, Resorts shall, subject to the limitations set forth in this Section 3, remain entitled: (i) to receive the Resorts’ Fees for the remaining portion of the semi-monthly period in which such termination occurred (payable in the same manner and at the same time as if Resorts were entitled to receive such fee with respect to the entire monthly period); and (ii) to receive payment of any deferred Resorts’ Fee at the time of such termination, and to the extent that payment thereof is not then permitted under this Section 3, as soon as such payment is permitted.</w:t>
      </w:r>
    </w:p>
    <w:p>
      <w:pPr>
        <w:spacing w:after="0" w:line="147" w:lineRule="exact"/>
        <w:rPr>
          <w:rFonts w:ascii="Arial" w:cs="Arial" w:eastAsia="Arial" w:hAnsi="Arial"/>
          <w:sz w:val="19"/>
          <w:szCs w:val="19"/>
          <w:color w:val="auto"/>
        </w:rPr>
      </w:pPr>
    </w:p>
    <w:p>
      <w:pPr>
        <w:ind w:left="-20" w:right="700" w:firstLine="1305"/>
        <w:spacing w:after="0" w:line="276" w:lineRule="auto"/>
        <w:tabs>
          <w:tab w:leader="none" w:pos="1672"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parties acknowledge that Resorts may be subject to applicable jurisdictional requirements regarding licensure as a result of its receipt of the Resorts’ Fee.</w:t>
      </w:r>
    </w:p>
    <w:p>
      <w:pPr>
        <w:spacing w:after="0" w:line="160" w:lineRule="exact"/>
        <w:rPr>
          <w:rFonts w:ascii="Arial" w:cs="Arial" w:eastAsia="Arial" w:hAnsi="Arial"/>
          <w:sz w:val="22"/>
          <w:szCs w:val="22"/>
          <w:color w:val="auto"/>
        </w:rPr>
      </w:pPr>
    </w:p>
    <w:p>
      <w:pPr>
        <w:ind w:left="-20" w:firstLine="656"/>
        <w:spacing w:after="0" w:line="261" w:lineRule="auto"/>
        <w:tabs>
          <w:tab w:leader="none" w:pos="97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Use of Aircraft and Related Assets</w:t>
      </w:r>
      <w:r>
        <w:rPr>
          <w:rFonts w:ascii="Arial" w:cs="Arial" w:eastAsia="Arial" w:hAnsi="Arial"/>
          <w:sz w:val="21"/>
          <w:szCs w:val="21"/>
          <w:color w:val="auto"/>
        </w:rPr>
        <w:t>. From time to time, Resorts may make available to the Company and its affiliates and their employees use of the aircraft and related assets owned by Resorts and its subsidiaries (other than the Company) (the “</w:t>
      </w:r>
      <w:r>
        <w:rPr>
          <w:rFonts w:ascii="Arial" w:cs="Arial" w:eastAsia="Arial" w:hAnsi="Arial"/>
          <w:sz w:val="21"/>
          <w:szCs w:val="21"/>
          <w:u w:val="single" w:color="auto"/>
          <w:color w:val="auto"/>
        </w:rPr>
        <w:t>Resorts Aircraft Assets</w:t>
      </w:r>
      <w:r>
        <w:rPr>
          <w:rFonts w:ascii="Arial" w:cs="Arial" w:eastAsia="Arial" w:hAnsi="Arial"/>
          <w:sz w:val="21"/>
          <w:szCs w:val="21"/>
          <w:color w:val="auto"/>
        </w:rPr>
        <w:t>”), and the Company may make available to Resorts and its subsidiaries (other than the Company) and their employees use of the aircraft and related assets owned by the Company (the “</w:t>
      </w:r>
      <w:r>
        <w:rPr>
          <w:rFonts w:ascii="Arial" w:cs="Arial" w:eastAsia="Arial" w:hAnsi="Arial"/>
          <w:sz w:val="21"/>
          <w:szCs w:val="21"/>
          <w:u w:val="single" w:color="auto"/>
          <w:color w:val="auto"/>
        </w:rPr>
        <w:t>WMA Aircraft Assets</w:t>
      </w:r>
      <w:r>
        <w:rPr>
          <w:rFonts w:ascii="Arial" w:cs="Arial" w:eastAsia="Arial" w:hAnsi="Arial"/>
          <w:sz w:val="21"/>
          <w:szCs w:val="21"/>
          <w:color w:val="auto"/>
        </w:rPr>
        <w:t>” and, together with Resorts Aircraft Assets, the “</w:t>
      </w:r>
      <w:r>
        <w:rPr>
          <w:rFonts w:ascii="Arial" w:cs="Arial" w:eastAsia="Arial" w:hAnsi="Arial"/>
          <w:sz w:val="21"/>
          <w:szCs w:val="21"/>
          <w:u w:val="single" w:color="auto"/>
          <w:color w:val="auto"/>
        </w:rPr>
        <w:t>Aircraft Assets</w:t>
      </w:r>
      <w:r>
        <w:rPr>
          <w:rFonts w:ascii="Arial" w:cs="Arial" w:eastAsia="Arial" w:hAnsi="Arial"/>
          <w:sz w:val="21"/>
          <w:szCs w:val="21"/>
          <w:color w:val="auto"/>
        </w:rPr>
        <w:t>”). The Resorts shall cause to be paid to the owner of any WMA Aircraft Assets used by Resorts, its subsidiaries (other than the Company) or any of their employees, and the Company shall pay to the owner of any Resorts Aircraft Assets used by any of the Companies or any of their employees, reasonable amounts for the use thereof, as determined from time to time by Resorts and the Company.</w:t>
      </w:r>
    </w:p>
    <w:p>
      <w:pPr>
        <w:spacing w:after="0" w:line="181" w:lineRule="exact"/>
        <w:rPr>
          <w:rFonts w:ascii="Arial" w:cs="Arial" w:eastAsia="Arial" w:hAnsi="Arial"/>
          <w:sz w:val="21"/>
          <w:szCs w:val="21"/>
          <w:color w:val="auto"/>
        </w:rPr>
      </w:pPr>
    </w:p>
    <w:p>
      <w:pPr>
        <w:ind w:left="-20" w:right="320" w:firstLine="656"/>
        <w:spacing w:after="0" w:line="262" w:lineRule="auto"/>
        <w:tabs>
          <w:tab w:leader="none" w:pos="97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Use of Company Employees</w:t>
      </w:r>
      <w:r>
        <w:rPr>
          <w:rFonts w:ascii="Arial" w:cs="Arial" w:eastAsia="Arial" w:hAnsi="Arial"/>
          <w:sz w:val="21"/>
          <w:szCs w:val="21"/>
          <w:color w:val="auto"/>
        </w:rPr>
        <w:t>. From time to time, the Company and its subsidiaries may make available to Resorts, in connection with Resorts’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Resorts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w:t>
      </w:r>
    </w:p>
    <w:p>
      <w:pPr>
        <w:spacing w:after="0" w:line="180" w:lineRule="exact"/>
        <w:rPr>
          <w:rFonts w:ascii="Arial" w:cs="Arial" w:eastAsia="Arial" w:hAnsi="Arial"/>
          <w:sz w:val="21"/>
          <w:szCs w:val="21"/>
          <w:color w:val="auto"/>
        </w:rPr>
      </w:pPr>
    </w:p>
    <w:p>
      <w:pPr>
        <w:ind w:left="-20" w:right="20" w:firstLine="656"/>
        <w:spacing w:after="0" w:line="294" w:lineRule="auto"/>
        <w:tabs>
          <w:tab w:leader="none" w:pos="97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The Effective Date of this Agreement shall be November 20, 2014 (the “</w:t>
      </w:r>
      <w:r>
        <w:rPr>
          <w:rFonts w:ascii="Arial" w:cs="Arial" w:eastAsia="Arial" w:hAnsi="Arial"/>
          <w:sz w:val="19"/>
          <w:szCs w:val="19"/>
          <w:u w:val="single" w:color="auto"/>
          <w:color w:val="auto"/>
        </w:rPr>
        <w:t>Effective Date</w:t>
      </w:r>
      <w:r>
        <w:rPr>
          <w:rFonts w:ascii="Arial" w:cs="Arial" w:eastAsia="Arial" w:hAnsi="Arial"/>
          <w:sz w:val="19"/>
          <w:szCs w:val="19"/>
          <w:color w:val="auto"/>
        </w:rPr>
        <w:t>”) and shall terminate on November 20, 2024 unless earlier terminated pursuant to the terms of this Agreement. This Agreement may be terminated as follows: (a) by the mutual written consent of the Company and Resorts, (b) by the Company upon 60 days prior written notice to Resorts, or by Resorts upon 60 days prior written notice to the Company, in either case for any reason or no reason at all, or (c) by Resorts immediately upon written notice to the Company following the occurrence of any default by the Company under any promissory note, indenture, loan agreement or other instrument or evidence of indebtedness. Notwithstanding any other provision of this Agreement, the provisions of Section 7 shall survive any termination of this Agreement.</w:t>
      </w:r>
    </w:p>
    <w:p>
      <w:pPr>
        <w:spacing w:after="0" w:line="152" w:lineRule="exact"/>
        <w:rPr>
          <w:rFonts w:ascii="Arial" w:cs="Arial" w:eastAsia="Arial" w:hAnsi="Arial"/>
          <w:sz w:val="19"/>
          <w:szCs w:val="19"/>
          <w:color w:val="auto"/>
        </w:rPr>
      </w:pPr>
    </w:p>
    <w:p>
      <w:pPr>
        <w:ind w:left="-20" w:firstLine="656"/>
        <w:spacing w:after="0" w:line="254" w:lineRule="auto"/>
        <w:tabs>
          <w:tab w:leader="none" w:pos="97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Liability</w:t>
      </w:r>
      <w:r>
        <w:rPr>
          <w:rFonts w:ascii="Arial" w:cs="Arial" w:eastAsia="Arial" w:hAnsi="Arial"/>
          <w:sz w:val="22"/>
          <w:szCs w:val="22"/>
          <w:color w:val="auto"/>
        </w:rPr>
        <w:t>. The Company shall bear any and all expenses, liabilities, losses or damages resulting from the operation of the Business, and Resorts and its officers, directors, shareholders and employees shall not, under any circumstances, be held liable therefor, except that Resorts shall be liable for any loss or damage which results from its own gross negligence or willful misconduct. Neither Resorts nor any of its officers, directors,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60" w:top="631" w:right="239" w:bottom="1440" w:gutter="0" w:footer="0" w:header="0"/>
        </w:sectPr>
      </w:pPr>
    </w:p>
    <w:bookmarkStart w:id="133" w:name="page134"/>
    <w:bookmarkEnd w:id="133"/>
    <w:p>
      <w:pPr>
        <w:ind w:right="120"/>
        <w:spacing w:after="0" w:line="297" w:lineRule="auto"/>
        <w:rPr>
          <w:sz w:val="20"/>
          <w:szCs w:val="20"/>
          <w:color w:val="auto"/>
        </w:rPr>
      </w:pPr>
      <w:r>
        <w:rPr>
          <w:rFonts w:ascii="Arial" w:cs="Arial" w:eastAsia="Arial" w:hAnsi="Arial"/>
          <w:sz w:val="19"/>
          <w:szCs w:val="19"/>
          <w:color w:val="auto"/>
        </w:rPr>
        <w:t>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Resorts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147" w:lineRule="exact"/>
        <w:rPr>
          <w:sz w:val="20"/>
          <w:szCs w:val="20"/>
          <w:color w:val="auto"/>
        </w:rPr>
      </w:pPr>
    </w:p>
    <w:p>
      <w:pPr>
        <w:ind w:left="1000" w:hanging="344"/>
        <w:spacing w:after="0"/>
        <w:tabs>
          <w:tab w:leader="none" w:pos="100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ind w:right="60" w:firstLine="1305"/>
        <w:spacing w:after="0" w:line="270" w:lineRule="auto"/>
        <w:tabs>
          <w:tab w:leader="none" w:pos="1716" w:val="left"/>
        </w:tabs>
        <w:numPr>
          <w:ilvl w:val="1"/>
          <w:numId w:val="48"/>
        </w:numPr>
        <w:rPr>
          <w:rFonts w:ascii="Arial" w:cs="Arial" w:eastAsia="Arial" w:hAnsi="Arial"/>
          <w:sz w:val="21"/>
          <w:szCs w:val="21"/>
          <w:color w:val="auto"/>
        </w:rPr>
      </w:pPr>
      <w:r>
        <w:rPr>
          <w:rFonts w:ascii="Arial" w:cs="Arial" w:eastAsia="Arial" w:hAnsi="Arial"/>
          <w:sz w:val="21"/>
          <w:szCs w:val="21"/>
          <w:i w:val="1"/>
          <w:iCs w:val="1"/>
          <w:color w:val="auto"/>
        </w:rPr>
        <w:t xml:space="preserve">Nonassignability of Agreement. </w:t>
      </w:r>
      <w:r>
        <w:rPr>
          <w:rFonts w:ascii="Arial" w:cs="Arial" w:eastAsia="Arial" w:hAnsi="Arial"/>
          <w:sz w:val="21"/>
          <w:szCs w:val="21"/>
          <w:color w:val="auto"/>
        </w:rPr>
        <w:t>This Agreement shall not be assignable, in whole or in part, directly or</w:t>
      </w:r>
      <w:r>
        <w:rPr>
          <w:rFonts w:ascii="Arial" w:cs="Arial" w:eastAsia="Arial" w:hAnsi="Arial"/>
          <w:sz w:val="21"/>
          <w:szCs w:val="21"/>
          <w:i w:val="1"/>
          <w:iCs w:val="1"/>
          <w:color w:val="auto"/>
        </w:rPr>
        <w:t xml:space="preserve"> </w:t>
      </w:r>
      <w:r>
        <w:rPr>
          <w:rFonts w:ascii="Arial" w:cs="Arial" w:eastAsia="Arial" w:hAnsi="Arial"/>
          <w:sz w:val="21"/>
          <w:szCs w:val="21"/>
          <w:color w:val="auto"/>
        </w:rPr>
        <w:t>indirectly, whether by operation of law 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w:t>
      </w:r>
    </w:p>
    <w:p>
      <w:pPr>
        <w:spacing w:after="0" w:line="169" w:lineRule="exact"/>
        <w:rPr>
          <w:rFonts w:ascii="Arial" w:cs="Arial" w:eastAsia="Arial" w:hAnsi="Arial"/>
          <w:sz w:val="21"/>
          <w:szCs w:val="21"/>
          <w:color w:val="auto"/>
        </w:rPr>
      </w:pPr>
    </w:p>
    <w:p>
      <w:pPr>
        <w:ind w:right="20" w:firstLine="1305"/>
        <w:spacing w:after="0" w:line="251" w:lineRule="auto"/>
        <w:tabs>
          <w:tab w:leader="none" w:pos="1728" w:val="left"/>
        </w:tabs>
        <w:numPr>
          <w:ilvl w:val="1"/>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Further Assurances. </w:t>
      </w:r>
      <w:r>
        <w:rPr>
          <w:rFonts w:ascii="Arial" w:cs="Arial" w:eastAsia="Arial" w:hAnsi="Arial"/>
          <w:sz w:val="22"/>
          <w:szCs w:val="22"/>
          <w:color w:val="auto"/>
        </w:rPr>
        <w:t>Subject to the provisions hereof, each of the parties hereto shall execute, acknowledge and</w:t>
      </w:r>
      <w:r>
        <w:rPr>
          <w:rFonts w:ascii="Arial" w:cs="Arial" w:eastAsia="Arial" w:hAnsi="Arial"/>
          <w:sz w:val="22"/>
          <w:szCs w:val="22"/>
          <w:i w:val="1"/>
          <w:iCs w:val="1"/>
          <w:color w:val="auto"/>
        </w:rPr>
        <w:t xml:space="preserve"> </w:t>
      </w:r>
      <w:r>
        <w:rPr>
          <w:rFonts w:ascii="Arial" w:cs="Arial" w:eastAsia="Arial" w:hAnsi="Arial"/>
          <w:sz w:val="22"/>
          <w:szCs w:val="22"/>
          <w:color w:val="auto"/>
        </w:rPr>
        <w:t>deliver such other documents, 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189" w:lineRule="exact"/>
        <w:rPr>
          <w:rFonts w:ascii="Arial" w:cs="Arial" w:eastAsia="Arial" w:hAnsi="Arial"/>
          <w:sz w:val="22"/>
          <w:szCs w:val="22"/>
          <w:color w:val="auto"/>
        </w:rPr>
      </w:pPr>
    </w:p>
    <w:p>
      <w:pPr>
        <w:ind w:right="120" w:firstLine="1305"/>
        <w:spacing w:after="0" w:line="264" w:lineRule="auto"/>
        <w:tabs>
          <w:tab w:leader="none" w:pos="1716" w:val="left"/>
        </w:tabs>
        <w:numPr>
          <w:ilvl w:val="1"/>
          <w:numId w:val="48"/>
        </w:numPr>
        <w:rPr>
          <w:rFonts w:ascii="Arial" w:cs="Arial" w:eastAsia="Arial" w:hAnsi="Arial"/>
          <w:sz w:val="21"/>
          <w:szCs w:val="21"/>
          <w:color w:val="auto"/>
        </w:rPr>
      </w:pPr>
      <w:r>
        <w:rPr>
          <w:rFonts w:ascii="Arial" w:cs="Arial" w:eastAsia="Arial" w:hAnsi="Arial"/>
          <w:sz w:val="21"/>
          <w:szCs w:val="21"/>
          <w:i w:val="1"/>
          <w:iCs w:val="1"/>
          <w:color w:val="auto"/>
        </w:rPr>
        <w:t xml:space="preserve">Waivers. </w:t>
      </w:r>
      <w:r>
        <w:rPr>
          <w:rFonts w:ascii="Arial" w:cs="Arial" w:eastAsia="Arial" w:hAnsi="Arial"/>
          <w:sz w:val="21"/>
          <w:szCs w:val="21"/>
          <w:color w:val="auto"/>
        </w:rPr>
        <w:t>No failure or delay on the part of Resorts or the Company in exercising any right hereunder shall</w:t>
      </w:r>
      <w:r>
        <w:rPr>
          <w:rFonts w:ascii="Arial" w:cs="Arial" w:eastAsia="Arial" w:hAnsi="Arial"/>
          <w:sz w:val="21"/>
          <w:szCs w:val="21"/>
          <w:i w:val="1"/>
          <w:iCs w:val="1"/>
          <w:color w:val="auto"/>
        </w:rPr>
        <w:t xml:space="preserve"> </w:t>
      </w:r>
      <w:r>
        <w:rPr>
          <w:rFonts w:ascii="Arial" w:cs="Arial" w:eastAsia="Arial" w:hAnsi="Arial"/>
          <w:sz w:val="21"/>
          <w:szCs w:val="21"/>
          <w:color w:val="auto"/>
        </w:rPr>
        <w:t>operate as a waiver thereof, nor shall any single or partial exercise of any such right, or any abandonment or discontinuance of steps to enforce such a right, preclude any other or further exercise thereof or the exercise of any other right. No waiver of any provision of this Agreement nor any consent to any departure by Resorts or the Company therefrom shall in any event be effective unless the same shall be in writing, and then such waiver or consent shall be effective only in the specific instance and for the specific purpose for which it has been given.</w:t>
      </w:r>
    </w:p>
    <w:p>
      <w:pPr>
        <w:spacing w:after="0" w:line="175" w:lineRule="exact"/>
        <w:rPr>
          <w:rFonts w:ascii="Arial" w:cs="Arial" w:eastAsia="Arial" w:hAnsi="Arial"/>
          <w:sz w:val="21"/>
          <w:szCs w:val="21"/>
          <w:color w:val="auto"/>
        </w:rPr>
      </w:pPr>
    </w:p>
    <w:p>
      <w:pPr>
        <w:ind w:right="20" w:firstLine="1305"/>
        <w:spacing w:after="0" w:line="260" w:lineRule="auto"/>
        <w:tabs>
          <w:tab w:leader="none" w:pos="1728" w:val="left"/>
        </w:tabs>
        <w:numPr>
          <w:ilvl w:val="1"/>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Entire Agreement. </w:t>
      </w:r>
      <w:r>
        <w:rPr>
          <w:rFonts w:ascii="Arial" w:cs="Arial" w:eastAsia="Arial" w:hAnsi="Arial"/>
          <w:sz w:val="22"/>
          <w:szCs w:val="22"/>
          <w:color w:val="auto"/>
        </w:rPr>
        <w:t>This Agreement sets forth the entire understanding of the parties hereto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matter hereof, and supersede all previous agreements, negotiations, memoranda and understandings, whether written or oral respecting the subject matter hereof.</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1"/>
          <w:numId w:val="48"/>
        </w:numPr>
        <w:rPr>
          <w:rFonts w:ascii="Arial" w:cs="Arial" w:eastAsia="Arial" w:hAnsi="Arial"/>
          <w:sz w:val="19"/>
          <w:szCs w:val="19"/>
          <w:color w:val="auto"/>
        </w:rPr>
      </w:pPr>
      <w:r>
        <w:rPr>
          <w:rFonts w:ascii="Arial" w:cs="Arial" w:eastAsia="Arial" w:hAnsi="Arial"/>
          <w:sz w:val="19"/>
          <w:szCs w:val="19"/>
          <w:i w:val="1"/>
          <w:iCs w:val="1"/>
          <w:color w:val="auto"/>
        </w:rPr>
        <w:t xml:space="preserve">Amendments. </w:t>
      </w:r>
      <w:r>
        <w:rPr>
          <w:rFonts w:ascii="Arial" w:cs="Arial" w:eastAsia="Arial" w:hAnsi="Arial"/>
          <w:sz w:val="19"/>
          <w:szCs w:val="19"/>
          <w:color w:val="auto"/>
        </w:rPr>
        <w:t>This Agreement may be amended only by an agreement in writing executed by each of the parties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215" w:lineRule="exact"/>
        <w:rPr>
          <w:rFonts w:ascii="Arial" w:cs="Arial" w:eastAsia="Arial" w:hAnsi="Arial"/>
          <w:sz w:val="19"/>
          <w:szCs w:val="19"/>
          <w:color w:val="auto"/>
        </w:rPr>
      </w:pPr>
    </w:p>
    <w:p>
      <w:pPr>
        <w:ind w:right="20" w:firstLine="1305"/>
        <w:spacing w:after="0" w:line="320" w:lineRule="auto"/>
        <w:tabs>
          <w:tab w:leader="none" w:pos="1692" w:val="left"/>
        </w:tabs>
        <w:numPr>
          <w:ilvl w:val="1"/>
          <w:numId w:val="48"/>
        </w:numPr>
        <w:rPr>
          <w:rFonts w:ascii="Arial" w:cs="Arial" w:eastAsia="Arial" w:hAnsi="Arial"/>
          <w:sz w:val="19"/>
          <w:szCs w:val="19"/>
          <w:color w:val="auto"/>
        </w:rPr>
      </w:pPr>
      <w:r>
        <w:rPr>
          <w:rFonts w:ascii="Arial" w:cs="Arial" w:eastAsia="Arial" w:hAnsi="Arial"/>
          <w:sz w:val="19"/>
          <w:szCs w:val="19"/>
          <w:i w:val="1"/>
          <w:iCs w:val="1"/>
          <w:color w:val="auto"/>
        </w:rPr>
        <w:t xml:space="preserve">Notices. </w:t>
      </w:r>
      <w:r>
        <w:rPr>
          <w:rFonts w:ascii="Arial" w:cs="Arial" w:eastAsia="Arial" w:hAnsi="Arial"/>
          <w:sz w:val="19"/>
          <w:szCs w:val="19"/>
          <w:color w:val="auto"/>
        </w:rPr>
        <w:t>Any and all notices and demands required or desired to be given hereunder shall be in writing and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validly given or made if served personally, delivered by a nationally recognized overnight courier service, or deposited in the United States mail, certified or registered, postage prepaid, return receipt requested, to the following addresses: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31" w:right="259" w:bottom="1440" w:gutter="0" w:footer="0" w:header="0"/>
        </w:sectPr>
      </w:pPr>
    </w:p>
    <w:bookmarkStart w:id="134" w:name="page135"/>
    <w:bookmarkEnd w:id="134"/>
    <w:p>
      <w:pPr>
        <w:ind w:left="44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Wynn MA,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5160" w:space="720"/>
            <w:col w:w="5480"/>
          </w:cols>
          <w:pgMar w:left="240" w:top="780" w:right="299" w:bottom="1440" w:gutter="0" w:footer="0" w:header="0"/>
        </w:sectPr>
      </w:pPr>
    </w:p>
    <w:p>
      <w:pPr>
        <w:spacing w:after="0" w:line="12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If to Resorts: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5160" w:space="720"/>
            <w:col w:w="5480"/>
          </w:cols>
          <w:pgMar w:left="240" w:top="780" w:right="299" w:bottom="1440" w:gutter="0" w:footer="0" w:header="0"/>
          <w:type w:val="continuous"/>
        </w:sectPr>
      </w:pPr>
    </w:p>
    <w:p>
      <w:pPr>
        <w:spacing w:after="0" w:line="19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each case, with a copy to: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5160" w:space="720"/>
            <w:col w:w="5480"/>
          </w:cols>
          <w:pgMar w:left="240" w:top="780" w:right="299" w:bottom="1440" w:gutter="0" w:footer="0" w:header="0"/>
          <w:type w:val="continuous"/>
        </w:sectPr>
      </w:pP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and shall become effective upon receipt. Any party hereto may change its address for the purpose of receiving notices by providing written notice to the other party hereto.</w:t>
      </w:r>
    </w:p>
    <w:p>
      <w:pPr>
        <w:spacing w:after="0" w:line="175" w:lineRule="exact"/>
        <w:rPr>
          <w:sz w:val="20"/>
          <w:szCs w:val="20"/>
          <w:color w:val="auto"/>
        </w:rPr>
      </w:pPr>
    </w:p>
    <w:p>
      <w:pPr>
        <w:ind w:right="440" w:firstLine="1305"/>
        <w:spacing w:after="0" w:line="358" w:lineRule="auto"/>
        <w:tabs>
          <w:tab w:leader="none" w:pos="1728"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The laws of the State of Nevada applicable to contracts made in that state, without giving</w:t>
      </w:r>
      <w:r>
        <w:rPr>
          <w:rFonts w:ascii="Arial" w:cs="Arial" w:eastAsia="Arial" w:hAnsi="Arial"/>
          <w:sz w:val="19"/>
          <w:szCs w:val="19"/>
          <w:i w:val="1"/>
          <w:iCs w:val="1"/>
          <w:color w:val="auto"/>
        </w:rPr>
        <w:t xml:space="preserve"> </w:t>
      </w:r>
      <w:r>
        <w:rPr>
          <w:rFonts w:ascii="Arial" w:cs="Arial" w:eastAsia="Arial" w:hAnsi="Arial"/>
          <w:sz w:val="19"/>
          <w:szCs w:val="19"/>
          <w:color w:val="auto"/>
        </w:rPr>
        <w:t>effect to its conflict of laws rules, shall govern the validity, construction, performance and effect of this Agreement.</w:t>
      </w:r>
    </w:p>
    <w:p>
      <w:pPr>
        <w:spacing w:after="0" w:line="90" w:lineRule="exact"/>
        <w:rPr>
          <w:rFonts w:ascii="Arial" w:cs="Arial" w:eastAsia="Arial" w:hAnsi="Arial"/>
          <w:sz w:val="19"/>
          <w:szCs w:val="19"/>
          <w:color w:val="auto"/>
        </w:rPr>
      </w:pPr>
    </w:p>
    <w:p>
      <w:pPr>
        <w:ind w:right="180" w:firstLine="1305"/>
        <w:spacing w:after="0" w:line="307" w:lineRule="auto"/>
        <w:tabs>
          <w:tab w:leader="none" w:pos="1728"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 xml:space="preserve">Invalidity. </w:t>
      </w:r>
      <w:r>
        <w:rPr>
          <w:rFonts w:ascii="Arial" w:cs="Arial" w:eastAsia="Arial" w:hAnsi="Arial"/>
          <w:sz w:val="19"/>
          <w:szCs w:val="19"/>
          <w:color w:val="auto"/>
        </w:rPr>
        <w:t>If any term, provision, covenant or condition of this Agreement, or any application thereof, should</w:t>
      </w:r>
      <w:r>
        <w:rPr>
          <w:rFonts w:ascii="Arial" w:cs="Arial" w:eastAsia="Arial" w:hAnsi="Arial"/>
          <w:sz w:val="19"/>
          <w:szCs w:val="19"/>
          <w:i w:val="1"/>
          <w:iCs w:val="1"/>
          <w:color w:val="auto"/>
        </w:rPr>
        <w:t xml:space="preserve"> </w:t>
      </w:r>
      <w:r>
        <w:rPr>
          <w:rFonts w:ascii="Arial" w:cs="Arial" w:eastAsia="Arial" w:hAnsi="Arial"/>
          <w:sz w:val="19"/>
          <w:szCs w:val="19"/>
          <w:color w:val="auto"/>
        </w:rPr>
        <w:t>be held by a court of competent 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138" w:lineRule="exact"/>
        <w:rPr>
          <w:rFonts w:ascii="Arial" w:cs="Arial" w:eastAsia="Arial" w:hAnsi="Arial"/>
          <w:sz w:val="19"/>
          <w:szCs w:val="19"/>
          <w:color w:val="auto"/>
        </w:rPr>
      </w:pPr>
    </w:p>
    <w:p>
      <w:pPr>
        <w:ind w:right="120" w:firstLine="1305"/>
        <w:spacing w:after="0" w:line="358" w:lineRule="auto"/>
        <w:tabs>
          <w:tab w:leader="none" w:pos="1680"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 xml:space="preserve">Headings. </w:t>
      </w:r>
      <w:r>
        <w:rPr>
          <w:rFonts w:ascii="Arial" w:cs="Arial" w:eastAsia="Arial" w:hAnsi="Arial"/>
          <w:sz w:val="19"/>
          <w:szCs w:val="19"/>
          <w:color w:val="auto"/>
        </w:rPr>
        <w:t>The headings in this Agreement are included for purposes of reference only, do not constitute a part</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Agreement, and shall not be deemed to limit, characterize or in any way affect any term or provision of this Agreement.</w:t>
      </w:r>
    </w:p>
    <w:p>
      <w:pPr>
        <w:spacing w:after="0" w:line="90" w:lineRule="exact"/>
        <w:rPr>
          <w:rFonts w:ascii="Arial" w:cs="Arial" w:eastAsia="Arial" w:hAnsi="Arial"/>
          <w:sz w:val="19"/>
          <w:szCs w:val="19"/>
          <w:color w:val="auto"/>
        </w:rPr>
      </w:pPr>
    </w:p>
    <w:p>
      <w:pPr>
        <w:ind w:right="80" w:firstLine="1305"/>
        <w:spacing w:after="0" w:line="301" w:lineRule="auto"/>
        <w:tabs>
          <w:tab w:leader="none" w:pos="1680" w:val="left"/>
        </w:tabs>
        <w:numPr>
          <w:ilvl w:val="0"/>
          <w:numId w:val="49"/>
        </w:numPr>
        <w:rPr>
          <w:rFonts w:ascii="Arial" w:cs="Arial" w:eastAsia="Arial" w:hAnsi="Arial"/>
          <w:sz w:val="21"/>
          <w:szCs w:val="21"/>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Agreement may be executed in any number of counterparts, each of which, when executed,</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deemed to be an original and all of which together shall constitute one and the same instrument.</w:t>
      </w:r>
    </w:p>
    <w:p>
      <w:pPr>
        <w:spacing w:after="0" w:line="137" w:lineRule="exact"/>
        <w:rPr>
          <w:rFonts w:ascii="Arial" w:cs="Arial" w:eastAsia="Arial" w:hAnsi="Arial"/>
          <w:sz w:val="21"/>
          <w:szCs w:val="21"/>
          <w:color w:val="auto"/>
        </w:rPr>
      </w:pPr>
    </w:p>
    <w:p>
      <w:pPr>
        <w:ind w:right="160" w:firstLine="1305"/>
        <w:spacing w:after="0" w:line="260" w:lineRule="auto"/>
        <w:tabs>
          <w:tab w:leader="none" w:pos="1728"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 xml:space="preserve">Negotiated Agreement. </w:t>
      </w:r>
      <w:r>
        <w:rPr>
          <w:rFonts w:ascii="Arial" w:cs="Arial" w:eastAsia="Arial" w:hAnsi="Arial"/>
          <w:sz w:val="22"/>
          <w:szCs w:val="22"/>
          <w:color w:val="auto"/>
        </w:rPr>
        <w:t>This is a negotiated agreement. All parties have participated in its preparation. In the</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any dispute regarding its interpretation, it shall not be construed for or against any party based upon the grounds that this Agreement was prepared by any one of the parties hereto.</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780" w:right="2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ectPr>
          <w:pgSz w:w="11900" w:h="16838" w:orient="portrait"/>
          <w:cols w:equalWidth="0" w:num="1">
            <w:col w:w="9559"/>
          </w:cols>
          <w:pgMar w:left="900" w:top="631" w:right="1440" w:bottom="1440" w:gutter="0" w:footer="0" w:header="0"/>
        </w:sectPr>
      </w:pPr>
    </w:p>
    <w:p>
      <w:pPr>
        <w:spacing w:after="0" w:line="397"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WYNN MA, LLC,</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Wynn America, LLC,</w:t>
      </w:r>
    </w:p>
    <w:p>
      <w:pPr>
        <w:spacing w:after="0" w:line="8"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a Nevada limited liability company its sole member</w:t>
      </w:r>
    </w:p>
    <w:p>
      <w:pPr>
        <w:spacing w:after="0" w:line="28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By: Wynn Resorts Holdings, LLC,</w:t>
      </w:r>
    </w:p>
    <w:p>
      <w:pPr>
        <w:spacing w:after="0" w:line="23"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 Nevada limited liability company, its sole member</w:t>
      </w:r>
    </w:p>
    <w:p>
      <w:pPr>
        <w:spacing w:after="0" w:line="26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By: Wynn Resorts, Limited</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 Nevada corporation, its sole member</w:t>
      </w:r>
    </w:p>
    <w:p>
      <w:pPr>
        <w:spacing w:after="0" w:line="26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Stephen Cootey</w:t>
      </w:r>
    </w:p>
    <w:p>
      <w:pPr>
        <w:spacing w:after="0" w:line="27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Its: Chief Financial Officer and Treasurer</w:t>
      </w:r>
    </w:p>
    <w:p>
      <w:pPr>
        <w:spacing w:after="0" w:line="200" w:lineRule="exact"/>
        <w:rPr>
          <w:sz w:val="20"/>
          <w:szCs w:val="20"/>
          <w:color w:val="auto"/>
        </w:rPr>
      </w:pPr>
    </w:p>
    <w:p>
      <w:pPr>
        <w:spacing w:after="0" w:line="39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 Nevada corporation</w:t>
      </w:r>
    </w:p>
    <w:p>
      <w:pPr>
        <w:spacing w:after="0" w:line="276"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By: /s/ Stephen Cootey</w:t>
      </w:r>
    </w:p>
    <w:p>
      <w:pPr>
        <w:spacing w:after="0" w:line="27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Its: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559"/>
          </w:cols>
          <w:pgMar w:left="900" w:top="631" w:right="1440" w:bottom="1440" w:gutter="0" w:footer="0" w:header="0"/>
          <w:type w:val="continuous"/>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10.12.2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SECOND AMENDMENT TO CREDIT AGREEMENT</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This Second Amendment to Credit Agreement, dated as of December 21, 2015 (this “</w:t>
      </w:r>
      <w:r>
        <w:rPr>
          <w:rFonts w:ascii="Arial" w:cs="Arial" w:eastAsia="Arial" w:hAnsi="Arial"/>
          <w:sz w:val="19"/>
          <w:szCs w:val="19"/>
          <w:b w:val="1"/>
          <w:bCs w:val="1"/>
          <w:color w:val="auto"/>
        </w:rPr>
        <w:t>Agreement</w:t>
      </w:r>
      <w:r>
        <w:rPr>
          <w:rFonts w:ascii="Arial" w:cs="Arial" w:eastAsia="Arial" w:hAnsi="Arial"/>
          <w:sz w:val="19"/>
          <w:szCs w:val="19"/>
          <w:color w:val="auto"/>
        </w:rPr>
        <w:t>”), by and among Wynn America, LLC, a Nevada limited liability company (“</w:t>
      </w:r>
      <w:r>
        <w:rPr>
          <w:rFonts w:ascii="Arial" w:cs="Arial" w:eastAsia="Arial" w:hAnsi="Arial"/>
          <w:sz w:val="19"/>
          <w:szCs w:val="19"/>
          <w:b w:val="1"/>
          <w:bCs w:val="1"/>
          <w:color w:val="auto"/>
        </w:rPr>
        <w:t>Borrower</w:t>
      </w:r>
      <w:r>
        <w:rPr>
          <w:rFonts w:ascii="Arial" w:cs="Arial" w:eastAsia="Arial" w:hAnsi="Arial"/>
          <w:sz w:val="19"/>
          <w:szCs w:val="19"/>
          <w:color w:val="auto"/>
        </w:rPr>
        <w:t>”), the Guarantors (as defined in the Amended Credit Agreement referred to below) party hereto, Deutsche Bank AG New York Branch, as administrative agent (in such capacity, “</w:t>
      </w:r>
      <w:r>
        <w:rPr>
          <w:rFonts w:ascii="Arial" w:cs="Arial" w:eastAsia="Arial" w:hAnsi="Arial"/>
          <w:sz w:val="19"/>
          <w:szCs w:val="19"/>
          <w:b w:val="1"/>
          <w:bCs w:val="1"/>
          <w:color w:val="auto"/>
        </w:rPr>
        <w:t>Administrative Agent</w:t>
      </w:r>
      <w:r>
        <w:rPr>
          <w:rFonts w:ascii="Arial" w:cs="Arial" w:eastAsia="Arial" w:hAnsi="Arial"/>
          <w:sz w:val="19"/>
          <w:szCs w:val="19"/>
          <w:color w:val="auto"/>
        </w:rPr>
        <w:t>”) for (and on behalf of) the Lenders under the Existing Credit Agreement referred to below and, after giving effect hereto, the Amended Credit Agreement and as collateral agent (in such capacity, “</w:t>
      </w:r>
      <w:r>
        <w:rPr>
          <w:rFonts w:ascii="Arial" w:cs="Arial" w:eastAsia="Arial" w:hAnsi="Arial"/>
          <w:sz w:val="19"/>
          <w:szCs w:val="19"/>
          <w:b w:val="1"/>
          <w:bCs w:val="1"/>
          <w:color w:val="auto"/>
        </w:rPr>
        <w:t>Collateral Agent</w:t>
      </w:r>
      <w:r>
        <w:rPr>
          <w:rFonts w:ascii="Arial" w:cs="Arial" w:eastAsia="Arial" w:hAnsi="Arial"/>
          <w:sz w:val="19"/>
          <w:szCs w:val="19"/>
          <w:color w:val="auto"/>
        </w:rPr>
        <w:t>”) for the Secured Parties (as defined under the Existing Credit Agreement and, after giving effect hereto, the Amended Credit Agreement), and the Required Lenders (as defined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reference is hereby made to the Credit Agreement, dated as of November 20, 2014 (as amended by the First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to Credit Agreement, dated as of November 5, 2015, and as it may be further amended, restated, replaced, supplemented or otherwise modified and as in effect immediately prior to giving effect to the amendments contemplated by this Agreement, the “</w:t>
      </w:r>
      <w:r>
        <w:rPr>
          <w:rFonts w:ascii="Arial" w:cs="Arial" w:eastAsia="Arial" w:hAnsi="Arial"/>
          <w:sz w:val="20"/>
          <w:szCs w:val="20"/>
          <w:b w:val="1"/>
          <w:bCs w:val="1"/>
          <w:color w:val="auto"/>
        </w:rPr>
        <w:t>Existing Credit Agreement</w:t>
      </w:r>
      <w:r>
        <w:rPr>
          <w:rFonts w:ascii="Arial" w:cs="Arial" w:eastAsia="Arial" w:hAnsi="Arial"/>
          <w:sz w:val="20"/>
          <w:szCs w:val="20"/>
          <w:color w:val="auto"/>
        </w:rPr>
        <w:t>” and the Existing Credit Agreement as modified by this Agreement, the “</w:t>
      </w:r>
      <w:r>
        <w:rPr>
          <w:rFonts w:ascii="Arial" w:cs="Arial" w:eastAsia="Arial" w:hAnsi="Arial"/>
          <w:sz w:val="20"/>
          <w:szCs w:val="20"/>
          <w:b w:val="1"/>
          <w:bCs w:val="1"/>
          <w:color w:val="auto"/>
        </w:rPr>
        <w:t>Amended Credit Agreement</w:t>
      </w:r>
      <w:r>
        <w:rPr>
          <w:rFonts w:ascii="Arial" w:cs="Arial" w:eastAsia="Arial" w:hAnsi="Arial"/>
          <w:sz w:val="20"/>
          <w:szCs w:val="20"/>
          <w:color w:val="auto"/>
        </w:rPr>
        <w:t>”; capitalized terms defined in the Amended Credit Agreement and not otherwise defined herein being used herein as therein defined), among Borrower, the Guarantors party thereto, the Lenders party thereto from time to time, the L/C Lenders party thereto from time to time, Administrative Agent, Collateral Agent and the other parties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each Lender holding either (i) a Term Facility Loan or (ii) a Tranche A Term Facility Commitment (collectively,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Required Lenders</w:t>
      </w:r>
      <w:r>
        <w:rPr>
          <w:rFonts w:ascii="Arial" w:cs="Arial" w:eastAsia="Arial" w:hAnsi="Arial"/>
          <w:sz w:val="19"/>
          <w:szCs w:val="19"/>
          <w:color w:val="auto"/>
        </w:rPr>
        <w:t>”) has, effective as of November 16, 2015, agreed to extend the Term Facility Availability Period applicable to Tranche A Term Facility Commitments on the terms and subject to the conditions set forth in this Agreement; and</w:t>
      </w:r>
    </w:p>
    <w:p>
      <w:pPr>
        <w:spacing w:after="0" w:line="375"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Borrower, the Guarantors, the Required Lenders, Administrative Agent and Collateral Agent will make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the Existing Credit Agreement as set forth herein;</w:t>
      </w:r>
    </w:p>
    <w:p>
      <w:pPr>
        <w:spacing w:after="0" w:line="1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premises and agreements, provisions and covenants herein contained and other good</w:t>
      </w:r>
      <w:r>
        <w:rPr>
          <w:rFonts w:ascii="Arial" w:cs="Arial" w:eastAsia="Arial" w:hAnsi="Arial"/>
          <w:sz w:val="19"/>
          <w:szCs w:val="19"/>
          <w:b w:val="1"/>
          <w:bCs w:val="1"/>
          <w:color w:val="auto"/>
        </w:rPr>
        <w:t xml:space="preserve"> </w:t>
      </w:r>
      <w:r>
        <w:rPr>
          <w:rFonts w:ascii="Arial" w:cs="Arial" w:eastAsia="Arial" w:hAnsi="Arial"/>
          <w:sz w:val="19"/>
          <w:szCs w:val="19"/>
          <w:color w:val="auto"/>
        </w:rPr>
        <w:t>and valuable consideration, the receipt and sufficiency of which are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AMENDMENTS TO EXISTING CREDIT DOCUMENTS</w:t>
      </w:r>
    </w:p>
    <w:p>
      <w:pPr>
        <w:spacing w:after="0" w:line="23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Consent of Required Lenders</w:t>
      </w:r>
      <w:r>
        <w:rPr>
          <w:rFonts w:ascii="Arial" w:cs="Arial" w:eastAsia="Arial" w:hAnsi="Arial"/>
          <w:sz w:val="19"/>
          <w:szCs w:val="19"/>
          <w:color w:val="auto"/>
        </w:rPr>
        <w:t>. Subject to the terms and conditions of this Agreement, each Required</w:t>
      </w:r>
      <w:r>
        <w:rPr>
          <w:rFonts w:ascii="Arial" w:cs="Arial" w:eastAsia="Arial" w:hAnsi="Arial"/>
          <w:sz w:val="18"/>
          <w:szCs w:val="18"/>
          <w:color w:val="auto"/>
        </w:rPr>
        <w:t xml:space="preserve"> </w:t>
      </w:r>
      <w:r>
        <w:rPr>
          <w:rFonts w:ascii="Arial" w:cs="Arial" w:eastAsia="Arial" w:hAnsi="Arial"/>
          <w:sz w:val="19"/>
          <w:szCs w:val="19"/>
          <w:color w:val="auto"/>
        </w:rPr>
        <w:t>Lender that executes and delivers a signature page to this Agreement, effective as of November 16, 2015, irrevocably agrees to the amendments to, and waivers and consents under, the Existing Credit Agreement provided for herein with respect to all of such Lender’s Term Facility Loans and/or Tranche A Term Facility Commitments. Such agreement shall be irrevocably binding on any subsequent assignees, transferees, participants, successors and assigns with respect to such Loans and Commitments.</w:t>
      </w:r>
    </w:p>
    <w:p>
      <w:pPr>
        <w:sectPr>
          <w:pgSz w:w="11900" w:h="16838" w:orient="portrait"/>
          <w:cols w:equalWidth="0" w:num="1">
            <w:col w:w="11420"/>
          </w:cols>
          <w:pgMar w:left="240" w:top="1022" w:right="239" w:bottom="1440" w:gutter="0" w:footer="0" w:header="0"/>
        </w:sectPr>
      </w:pPr>
    </w:p>
    <w:bookmarkStart w:id="137" w:name="page138"/>
    <w:bookmarkEnd w:id="137"/>
    <w:p>
      <w:pPr>
        <w:jc w:val="both"/>
        <w:ind w:firstLine="648"/>
        <w:spacing w:after="0" w:line="29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Amendments</w:t>
      </w:r>
      <w:r>
        <w:rPr>
          <w:rFonts w:ascii="Arial" w:cs="Arial" w:eastAsia="Arial" w:hAnsi="Arial"/>
          <w:sz w:val="19"/>
          <w:szCs w:val="19"/>
          <w:color w:val="auto"/>
        </w:rPr>
        <w:t>. Subject to the satisfaction of the conditions set forth in Article III of this Agreement, as of</w:t>
      </w:r>
      <w:r>
        <w:rPr>
          <w:rFonts w:ascii="Arial" w:cs="Arial" w:eastAsia="Arial" w:hAnsi="Arial"/>
          <w:sz w:val="18"/>
          <w:szCs w:val="18"/>
          <w:color w:val="auto"/>
        </w:rPr>
        <w:t xml:space="preserve"> </w:t>
      </w:r>
      <w:r>
        <w:rPr>
          <w:rFonts w:ascii="Arial" w:cs="Arial" w:eastAsia="Arial" w:hAnsi="Arial"/>
          <w:sz w:val="19"/>
          <w:szCs w:val="19"/>
          <w:color w:val="auto"/>
        </w:rPr>
        <w:t>the Agreement Effective Date (as defined below) and effective as of November 16, 2015, the terms and provisions of the Existing Credit Agreement are hereby amended by replacing clause (a) of the definition of “Term Facility Availability Period” under the Existing Credit Agreement with the following: “(a) with respect to the Tranche A Term Facility Commitments, the period from and including the Closing Date through but excluding the earlier of November 21, 2015 and the date of termination of the Tranche A Term Facility Commitments,”.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 AND WARRANTIES</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To induce the Lenders party hereto to agree to this Agreement, the Credit Parties represent to Administrative Agent and the Lenders that, as of the Agreement Effective Date:</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8"/>
          <w:szCs w:val="18"/>
          <w:u w:val="single" w:color="auto"/>
          <w:color w:val="auto"/>
        </w:rPr>
        <w:t>Corporate Existence</w:t>
      </w:r>
      <w:r>
        <w:rPr>
          <w:rFonts w:ascii="Arial" w:cs="Arial" w:eastAsia="Arial" w:hAnsi="Arial"/>
          <w:sz w:val="18"/>
          <w:szCs w:val="18"/>
          <w:color w:val="auto"/>
        </w:rPr>
        <w:t>. Each Credit Party (a) is a corporation, partnership, limited liability company or other</w:t>
      </w:r>
      <w:r>
        <w:rPr>
          <w:rFonts w:ascii="Arial" w:cs="Arial" w:eastAsia="Arial" w:hAnsi="Arial"/>
          <w:sz w:val="17"/>
          <w:szCs w:val="17"/>
          <w:color w:val="auto"/>
        </w:rPr>
        <w:t xml:space="preserve"> </w:t>
      </w:r>
      <w:r>
        <w:rPr>
          <w:rFonts w:ascii="Arial" w:cs="Arial" w:eastAsia="Arial" w:hAnsi="Arial"/>
          <w:sz w:val="18"/>
          <w:szCs w:val="18"/>
          <w:color w:val="auto"/>
        </w:rPr>
        <w:t>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Action; Enforceability</w:t>
      </w:r>
      <w:r>
        <w:rPr>
          <w:rFonts w:ascii="Arial" w:cs="Arial" w:eastAsia="Arial" w:hAnsi="Arial"/>
          <w:sz w:val="19"/>
          <w:szCs w:val="19"/>
          <w:color w:val="auto"/>
        </w:rPr>
        <w:t>. Each Credit Party has all necessary corporate or other organizational power,</w:t>
      </w:r>
      <w:r>
        <w:rPr>
          <w:rFonts w:ascii="Arial" w:cs="Arial" w:eastAsia="Arial" w:hAnsi="Arial"/>
          <w:sz w:val="18"/>
          <w:szCs w:val="18"/>
          <w:color w:val="auto"/>
        </w:rPr>
        <w:t xml:space="preserve"> </w:t>
      </w:r>
      <w:r>
        <w:rPr>
          <w:rFonts w:ascii="Arial" w:cs="Arial" w:eastAsia="Arial" w:hAnsi="Arial"/>
          <w:sz w:val="19"/>
          <w:szCs w:val="19"/>
          <w:color w:val="auto"/>
        </w:rPr>
        <w:t>authority and legal right to execute, deliver and perform its obligations under this Agreement and to consummate the transactions herein contemplated; the execution, delivery and performance by each Credit Party of this Agreement and the consummation of the transactions herein contemplated have been duly authorized by all necessary corporate, partnership or other organizational action on its part; and this Agreement has been duly and validly executed and delivered by each Credit Party and constitutes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96" w:lineRule="exact"/>
        <w:rPr>
          <w:sz w:val="20"/>
          <w:szCs w:val="20"/>
          <w:color w:val="auto"/>
        </w:rPr>
      </w:pPr>
    </w:p>
    <w:p>
      <w:pPr>
        <w:ind w:left="660"/>
        <w:spacing w:after="0"/>
        <w:tabs>
          <w:tab w:leader="none" w:pos="28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u w:val="single" w:color="auto"/>
          <w:color w:val="auto"/>
        </w:rPr>
        <w:t>No Breach; No Default</w:t>
      </w:r>
      <w:r>
        <w:rPr>
          <w:rFonts w:ascii="Arial" w:cs="Arial" w:eastAsia="Arial" w:hAnsi="Arial"/>
          <w:sz w:val="18"/>
          <w:szCs w:val="18"/>
          <w:color w:val="auto"/>
        </w:rPr>
        <w:t>.</w:t>
      </w:r>
    </w:p>
    <w:p>
      <w:pPr>
        <w:spacing w:after="0" w:line="50" w:lineRule="exact"/>
        <w:rPr>
          <w:sz w:val="20"/>
          <w:szCs w:val="20"/>
          <w:color w:val="auto"/>
        </w:rPr>
      </w:pPr>
    </w:p>
    <w:p>
      <w:pPr>
        <w:jc w:val="both"/>
        <w:ind w:firstLine="656"/>
        <w:spacing w:after="0" w:line="297" w:lineRule="auto"/>
        <w:tabs>
          <w:tab w:leader="none" w:pos="1496" w:val="left"/>
        </w:tabs>
        <w:numPr>
          <w:ilvl w:val="0"/>
          <w:numId w:val="50"/>
        </w:numPr>
        <w:rPr>
          <w:rFonts w:ascii="Arial" w:cs="Arial" w:eastAsia="Arial" w:hAnsi="Arial"/>
          <w:sz w:val="16"/>
          <w:szCs w:val="16"/>
          <w:color w:val="auto"/>
        </w:rPr>
      </w:pPr>
      <w:r>
        <w:rPr>
          <w:rFonts w:ascii="Arial" w:cs="Arial" w:eastAsia="Arial" w:hAnsi="Arial"/>
          <w:sz w:val="18"/>
          <w:szCs w:val="18"/>
          <w:color w:val="auto"/>
        </w:rPr>
        <w:t>None of the execution, delivery and performance by any Credit Party of this Agreement nor the consummation of the transactions herein contemplated do or will (i) conflict with or result in a breach of, or require any consent (which has not been obtained and is in full force and effect) under (x) any Organizational Document of any Credit Party or (y) subject to Section 13.13 of the Existing Credit Agreement,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 and</w:t>
      </w:r>
    </w:p>
    <w:p>
      <w:pPr>
        <w:spacing w:after="0" w:line="3" w:lineRule="exact"/>
        <w:rPr>
          <w:rFonts w:ascii="Arial" w:cs="Arial" w:eastAsia="Arial" w:hAnsi="Arial"/>
          <w:sz w:val="16"/>
          <w:szCs w:val="16"/>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20"/>
          <w:szCs w:val="20"/>
          <w:color w:val="auto"/>
        </w:rPr>
        <w:t>No Default or Event of Default has occurred and is continuing.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TO THE AGREEMENT EFFECTIVE DATE</w:t>
      </w:r>
    </w:p>
    <w:p>
      <w:pPr>
        <w:spacing w:after="0" w:line="216" w:lineRule="exact"/>
        <w:rPr>
          <w:sz w:val="20"/>
          <w:szCs w:val="20"/>
          <w:color w:val="auto"/>
        </w:rPr>
      </w:pPr>
    </w:p>
    <w:p>
      <w:pPr>
        <w:ind w:right="20" w:firstLine="648"/>
        <w:spacing w:after="0" w:line="267" w:lineRule="auto"/>
        <w:rPr>
          <w:sz w:val="20"/>
          <w:szCs w:val="20"/>
          <w:color w:val="auto"/>
        </w:rPr>
      </w:pPr>
      <w:r>
        <w:rPr>
          <w:rFonts w:ascii="Arial" w:cs="Arial" w:eastAsia="Arial" w:hAnsi="Arial"/>
          <w:sz w:val="20"/>
          <w:szCs w:val="20"/>
          <w:color w:val="auto"/>
        </w:rPr>
        <w:t>This Agreement and the Amended Credit Agreement shall become effective, as of November 16, 2015, on the date (the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 on which each of the following conditions is satisfied or waived:</w:t>
      </w:r>
    </w:p>
    <w:p>
      <w:pPr>
        <w:sectPr>
          <w:pgSz w:w="11900" w:h="16838" w:orient="portrait"/>
          <w:cols w:equalWidth="0" w:num="1">
            <w:col w:w="11420"/>
          </w:cols>
          <w:pgMar w:left="240" w:top="825" w:right="239" w:bottom="1440" w:gutter="0" w:footer="0" w:header="0"/>
        </w:sectPr>
      </w:pPr>
    </w:p>
    <w:bookmarkStart w:id="138" w:name="page139"/>
    <w:bookmarkEnd w:id="138"/>
    <w:p>
      <w:pPr>
        <w:jc w:val="both"/>
        <w:ind w:right="20" w:firstLine="648"/>
        <w:spacing w:after="0" w:line="281"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Execution of Counterparts</w:t>
      </w:r>
      <w:r>
        <w:rPr>
          <w:rFonts w:ascii="Arial" w:cs="Arial" w:eastAsia="Arial" w:hAnsi="Arial"/>
          <w:sz w:val="19"/>
          <w:szCs w:val="19"/>
          <w:color w:val="auto"/>
        </w:rPr>
        <w:t>. Administrative Agent shall have received executed counterparts of this</w:t>
      </w:r>
      <w:r>
        <w:rPr>
          <w:rFonts w:ascii="Arial" w:cs="Arial" w:eastAsia="Arial" w:hAnsi="Arial"/>
          <w:sz w:val="18"/>
          <w:szCs w:val="18"/>
          <w:color w:val="auto"/>
        </w:rPr>
        <w:t xml:space="preserve"> </w:t>
      </w:r>
      <w:r>
        <w:rPr>
          <w:rFonts w:ascii="Arial" w:cs="Arial" w:eastAsia="Arial" w:hAnsi="Arial"/>
          <w:sz w:val="19"/>
          <w:szCs w:val="19"/>
          <w:color w:val="auto"/>
        </w:rPr>
        <w:t>Agreement from each Credit Party, Administrative Agent, Collateral Agent and Required Lender.</w:t>
      </w:r>
    </w:p>
    <w:p>
      <w:pPr>
        <w:spacing w:after="0" w:line="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To the extent invoiced at least three (3) Business Days prior to the Agreement</w:t>
      </w:r>
      <w:r>
        <w:rPr>
          <w:rFonts w:ascii="Arial" w:cs="Arial" w:eastAsia="Arial" w:hAnsi="Arial"/>
          <w:sz w:val="18"/>
          <w:szCs w:val="18"/>
          <w:color w:val="auto"/>
        </w:rPr>
        <w:t xml:space="preserve"> </w:t>
      </w:r>
      <w:r>
        <w:rPr>
          <w:rFonts w:ascii="Arial" w:cs="Arial" w:eastAsia="Arial" w:hAnsi="Arial"/>
          <w:sz w:val="19"/>
          <w:szCs w:val="19"/>
          <w:color w:val="auto"/>
        </w:rPr>
        <w:t>Effective Date, all of the reasonable and documented out-of-pocket costs and expenses (including the reasonable fees, expenses and disbursements of Cahill Gordon &amp; Reindel LLP) incurred by Administrative Agent in connection with the negotiation, preparation, execution and delivery of this Agreement shall have been paid.</w:t>
      </w:r>
    </w:p>
    <w:p>
      <w:pPr>
        <w:spacing w:after="0" w:line="1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9"/>
          <w:szCs w:val="19"/>
          <w:u w:val="single" w:color="auto"/>
          <w:color w:val="auto"/>
        </w:rPr>
        <w:t>No Default or Event of Default; Representations and Warranties True</w:t>
      </w:r>
      <w:r>
        <w:rPr>
          <w:rFonts w:ascii="Arial" w:cs="Arial" w:eastAsia="Arial" w:hAnsi="Arial"/>
          <w:sz w:val="19"/>
          <w:szCs w:val="19"/>
          <w:color w:val="auto"/>
        </w:rPr>
        <w:t>. Both immediately prior to and</w:t>
      </w:r>
      <w:r>
        <w:rPr>
          <w:rFonts w:ascii="Arial" w:cs="Arial" w:eastAsia="Arial" w:hAnsi="Arial"/>
          <w:sz w:val="18"/>
          <w:szCs w:val="18"/>
          <w:color w:val="auto"/>
        </w:rPr>
        <w:t xml:space="preserve"> </w:t>
      </w:r>
      <w:r>
        <w:rPr>
          <w:rFonts w:ascii="Arial" w:cs="Arial" w:eastAsia="Arial" w:hAnsi="Arial"/>
          <w:sz w:val="19"/>
          <w:szCs w:val="19"/>
          <w:color w:val="auto"/>
        </w:rPr>
        <w:t>immediately after giving effect to this Agreement:</w:t>
      </w:r>
    </w:p>
    <w:p>
      <w:pPr>
        <w:spacing w:after="0" w:line="2" w:lineRule="exact"/>
        <w:rPr>
          <w:sz w:val="20"/>
          <w:szCs w:val="20"/>
          <w:color w:val="auto"/>
        </w:rPr>
      </w:pPr>
    </w:p>
    <w:p>
      <w:pPr>
        <w:ind w:left="1560" w:hanging="904"/>
        <w:spacing w:after="0"/>
        <w:tabs>
          <w:tab w:leader="none" w:pos="1560" w:val="left"/>
        </w:tabs>
        <w:numPr>
          <w:ilvl w:val="0"/>
          <w:numId w:val="51"/>
        </w:numPr>
        <w:rPr>
          <w:rFonts w:ascii="Arial" w:cs="Arial" w:eastAsia="Arial" w:hAnsi="Arial"/>
          <w:sz w:val="18"/>
          <w:szCs w:val="18"/>
          <w:color w:val="auto"/>
        </w:rPr>
      </w:pPr>
      <w:r>
        <w:rPr>
          <w:rFonts w:ascii="Arial" w:cs="Arial" w:eastAsia="Arial" w:hAnsi="Arial"/>
          <w:sz w:val="20"/>
          <w:szCs w:val="20"/>
          <w:color w:val="auto"/>
        </w:rPr>
        <w:t>no Default or Event of Default shall have occurred and be continuing; and</w:t>
      </w:r>
    </w:p>
    <w:p>
      <w:pPr>
        <w:spacing w:after="0" w:line="26"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51"/>
        </w:numPr>
        <w:rPr>
          <w:rFonts w:ascii="Arial" w:cs="Arial" w:eastAsia="Arial" w:hAnsi="Arial"/>
          <w:sz w:val="16"/>
          <w:szCs w:val="16"/>
          <w:color w:val="auto"/>
        </w:rPr>
      </w:pPr>
      <w:r>
        <w:rPr>
          <w:rFonts w:ascii="Arial" w:cs="Arial" w:eastAsia="Arial" w:hAnsi="Arial"/>
          <w:sz w:val="18"/>
          <w:szCs w:val="18"/>
          <w:color w:val="auto"/>
        </w:rPr>
        <w:t xml:space="preserve">each of the representations and warranties made by the Credit Parties in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hereof shall be true and correct in all material respects on and as of the Agreement Effective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respects on the applicable date).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VALIDITY OF OBLIGATIONS AND LIENS</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9"/>
          <w:szCs w:val="19"/>
          <w:u w:val="single" w:color="auto"/>
          <w:color w:val="auto"/>
        </w:rPr>
        <w:t>Validity of Obligations</w:t>
      </w:r>
      <w:r>
        <w:rPr>
          <w:rFonts w:ascii="Arial" w:cs="Arial" w:eastAsia="Arial" w:hAnsi="Arial"/>
          <w:sz w:val="19"/>
          <w:szCs w:val="19"/>
          <w:color w:val="auto"/>
        </w:rPr>
        <w:t>. Each Credit Party hereby ratifies and reaffirms the validity, enforceability and</w:t>
      </w:r>
      <w:r>
        <w:rPr>
          <w:rFonts w:ascii="Arial" w:cs="Arial" w:eastAsia="Arial" w:hAnsi="Arial"/>
          <w:sz w:val="18"/>
          <w:szCs w:val="18"/>
          <w:color w:val="auto"/>
        </w:rPr>
        <w:t xml:space="preserve"> </w:t>
      </w:r>
      <w:r>
        <w:rPr>
          <w:rFonts w:ascii="Arial" w:cs="Arial" w:eastAsia="Arial" w:hAnsi="Arial"/>
          <w:sz w:val="19"/>
          <w:szCs w:val="19"/>
          <w:color w:val="auto"/>
        </w:rPr>
        <w:t>binding nature of the Obligations both before and after giving effect to this Agreement and the Amended Credit Agreement (except as the enforceability thereof may be limited by bankruptcy, insolvency or similar laws affecting creditors’ rights generally and subject to general principles of equity).</w:t>
      </w:r>
    </w:p>
    <w:p>
      <w:pPr>
        <w:spacing w:after="0" w:line="18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9"/>
          <w:szCs w:val="19"/>
          <w:u w:val="single" w:color="auto"/>
          <w:color w:val="auto"/>
        </w:rPr>
        <w:t>Validity of Liens and Credit Documents</w:t>
      </w:r>
      <w:r>
        <w:rPr>
          <w:rFonts w:ascii="Arial" w:cs="Arial" w:eastAsia="Arial" w:hAnsi="Arial"/>
          <w:sz w:val="19"/>
          <w:szCs w:val="19"/>
          <w:color w:val="auto"/>
        </w:rPr>
        <w:t>. Each Credit Party hereby ratifies and reaffirms the validity,</w:t>
      </w:r>
      <w:r>
        <w:rPr>
          <w:rFonts w:ascii="Arial" w:cs="Arial" w:eastAsia="Arial" w:hAnsi="Arial"/>
          <w:sz w:val="18"/>
          <w:szCs w:val="18"/>
          <w:color w:val="auto"/>
        </w:rPr>
        <w:t xml:space="preserve"> </w:t>
      </w:r>
      <w:r>
        <w:rPr>
          <w:rFonts w:ascii="Arial" w:cs="Arial" w:eastAsia="Arial" w:hAnsi="Arial"/>
          <w:sz w:val="19"/>
          <w:szCs w:val="19"/>
          <w:color w:val="auto"/>
        </w:rPr>
        <w:t>enforceability (except as the enforceability thereof may be limited by bankruptcy, insolvency or similar laws affecting creditors’ rights generally and subject to general principles of equity) and binding nature of the Credit Documents, and the validity, enforceability (except as the enforceability thereof may be limited by bankruptcy, insolvency or similar laws affecting creditors’ rights generally and subject to general principles of equity) and perfection of the Liens and security interests granted to Collateral Agent for the benefit of the Secured Parties to secure any of the Secured Obligations (as defined in the Security Agreement and including after giving effect to the Amended Credit Agreement) by each Credit Party pursuant to the Credit Documents to which any Credit Party is a party, and agrees that the Liens and security interests granted pursuant to the Credit Documents shall continue to secure the Obligations under the Amended Credit Agreement, and hereby confirms and agrees that notwithstanding the effectiveness of this Agreement and the Amended Credit Agreement, and except as expressly amended by this Agreement or pursuant to the Amended Credit Agreement, each such Credit Document is, and shall continue to be, in full force and effect and each is hereby ratified and confirmed in all respects, except that, on and after the effectiveness of this Agreement and the Amended Credit Agreement, each reference in the Credit Documents to the “Credit Agreement”, “thereunder”, “thereof” (and each reference in the Credit Agreement to this “Agreement”, “hereunder” or “hereof”) or words of like import shall mean and be a reference to the Amended Credit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0" w:type="dxa"/>
            <w:vAlign w:val="bottom"/>
            <w:gridSpan w:val="2"/>
          </w:tcPr>
          <w:p>
            <w:pPr>
              <w:jc w:val="center"/>
              <w:ind w:right="3400"/>
              <w:spacing w:after="0"/>
              <w:rPr>
                <w:sz w:val="20"/>
                <w:szCs w:val="20"/>
                <w:color w:val="auto"/>
              </w:rPr>
            </w:pPr>
            <w:r>
              <w:rPr>
                <w:rFonts w:ascii="Arial" w:cs="Arial" w:eastAsia="Arial" w:hAnsi="Arial"/>
                <w:sz w:val="20"/>
                <w:szCs w:val="20"/>
                <w:b w:val="1"/>
                <w:bCs w:val="1"/>
                <w:color w:val="auto"/>
              </w:rPr>
              <w:t>ARTICLE V</w:t>
            </w:r>
          </w:p>
        </w:tc>
      </w:tr>
      <w:tr>
        <w:trPr>
          <w:trHeight w:val="446"/>
        </w:trPr>
        <w:tc>
          <w:tcPr>
            <w:tcW w:w="2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0" w:type="dxa"/>
            <w:vAlign w:val="bottom"/>
            <w:gridSpan w:val="2"/>
          </w:tcPr>
          <w:p>
            <w:pPr>
              <w:jc w:val="center"/>
              <w:ind w:right="3420"/>
              <w:spacing w:after="0"/>
              <w:rPr>
                <w:sz w:val="20"/>
                <w:szCs w:val="20"/>
                <w:color w:val="auto"/>
              </w:rPr>
            </w:pPr>
            <w:r>
              <w:rPr>
                <w:rFonts w:ascii="Arial" w:cs="Arial" w:eastAsia="Arial" w:hAnsi="Arial"/>
                <w:sz w:val="20"/>
                <w:szCs w:val="20"/>
                <w:b w:val="1"/>
                <w:bCs w:val="1"/>
                <w:color w:val="auto"/>
              </w:rPr>
              <w:t>MISCELLANEOUS</w:t>
            </w:r>
          </w:p>
        </w:tc>
      </w:tr>
      <w:tr>
        <w:trPr>
          <w:trHeight w:val="415"/>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1.</w:t>
            </w:r>
          </w:p>
        </w:tc>
        <w:tc>
          <w:tcPr>
            <w:tcW w:w="8520" w:type="dxa"/>
            <w:vAlign w:val="bottom"/>
            <w:gridSpan w:val="3"/>
          </w:tcPr>
          <w:p>
            <w:pPr>
              <w:spacing w:after="0"/>
              <w:rPr>
                <w:sz w:val="20"/>
                <w:szCs w:val="20"/>
                <w:color w:val="auto"/>
              </w:rPr>
            </w:pPr>
            <w:r>
              <w:rPr>
                <w:rFonts w:ascii="Arial" w:cs="Arial" w:eastAsia="Arial" w:hAnsi="Arial"/>
                <w:sz w:val="20"/>
                <w:szCs w:val="20"/>
                <w:color w:val="auto"/>
                <w:w w:val="90"/>
              </w:rPr>
              <w:t>Notice. For purposes of this Agreement, the notice address of each party hereto shall be as set forth in the</w:t>
            </w:r>
          </w:p>
        </w:tc>
      </w:tr>
      <w:tr>
        <w:trPr>
          <w:trHeight w:val="281"/>
        </w:trPr>
        <w:tc>
          <w:tcPr>
            <w:tcW w:w="2900" w:type="dxa"/>
            <w:vAlign w:val="bottom"/>
          </w:tcPr>
          <w:p>
            <w:pPr>
              <w:jc w:val="center"/>
              <w:ind w:right="607"/>
              <w:spacing w:after="0"/>
              <w:rPr>
                <w:sz w:val="20"/>
                <w:szCs w:val="20"/>
                <w:color w:val="auto"/>
              </w:rPr>
            </w:pPr>
            <w:r>
              <w:rPr>
                <w:rFonts w:ascii="Arial" w:cs="Arial" w:eastAsia="Arial" w:hAnsi="Arial"/>
                <w:sz w:val="20"/>
                <w:szCs w:val="20"/>
                <w:color w:val="auto"/>
                <w:w w:val="92"/>
              </w:rPr>
              <w:t>Existing Credit Agreement.</w:t>
            </w:r>
          </w:p>
        </w:tc>
        <w:tc>
          <w:tcPr>
            <w:tcW w:w="52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442"/>
        </w:trPr>
        <w:tc>
          <w:tcPr>
            <w:tcW w:w="2900" w:type="dxa"/>
            <w:vAlign w:val="bottom"/>
          </w:tcPr>
          <w:p>
            <w:pPr>
              <w:jc w:val="center"/>
              <w:ind w:right="547"/>
              <w:spacing w:after="0"/>
              <w:rPr>
                <w:sz w:val="20"/>
                <w:szCs w:val="20"/>
                <w:color w:val="auto"/>
              </w:rPr>
            </w:pPr>
            <w:r>
              <w:rPr>
                <w:rFonts w:ascii="Arial" w:cs="Arial" w:eastAsia="Arial" w:hAnsi="Arial"/>
                <w:sz w:val="18"/>
                <w:szCs w:val="18"/>
                <w:color w:val="auto"/>
                <w:w w:val="93"/>
              </w:rPr>
              <w:t>SECTION 2.</w:t>
            </w:r>
          </w:p>
        </w:tc>
        <w:tc>
          <w:tcPr>
            <w:tcW w:w="8520" w:type="dxa"/>
            <w:vAlign w:val="bottom"/>
            <w:gridSpan w:val="3"/>
          </w:tcPr>
          <w:p>
            <w:pPr>
              <w:spacing w:after="0"/>
              <w:rPr>
                <w:sz w:val="20"/>
                <w:szCs w:val="20"/>
                <w:color w:val="auto"/>
              </w:rPr>
            </w:pPr>
            <w:r>
              <w:rPr>
                <w:rFonts w:ascii="Arial" w:cs="Arial" w:eastAsia="Arial" w:hAnsi="Arial"/>
                <w:sz w:val="20"/>
                <w:szCs w:val="20"/>
                <w:color w:val="auto"/>
                <w:w w:val="92"/>
              </w:rPr>
              <w:t>Amendment, Modification and Waiver. This Agreement may not be amended, modified or waived except</w:t>
            </w:r>
          </w:p>
        </w:tc>
      </w:tr>
      <w:tr>
        <w:trPr>
          <w:trHeight w:val="20"/>
        </w:trPr>
        <w:tc>
          <w:tcPr>
            <w:tcW w:w="2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by an instrument or instruments in writing signed and delivered on behalf of Borrower and Administrative Agent (acting at the direction of such Lenders as may be required under Section 13.04 of the Existing Credit Agreement or, after giving effect to the amendments contemplated hereby, the Amended Credit Agreement).</w:t>
      </w:r>
    </w:p>
    <w:p>
      <w:pPr>
        <w:sectPr>
          <w:pgSz w:w="11900" w:h="16838" w:orient="portrait"/>
          <w:cols w:equalWidth="0" w:num="1">
            <w:col w:w="11420"/>
          </w:cols>
          <w:pgMar w:left="240" w:top="595" w:right="239" w:bottom="1440" w:gutter="0" w:footer="0" w:header="0"/>
        </w:sectPr>
      </w:pPr>
    </w:p>
    <w:bookmarkStart w:id="139" w:name="page140"/>
    <w:bookmarkEnd w:id="139"/>
    <w:p>
      <w:pPr>
        <w:jc w:val="both"/>
        <w:ind w:firstLine="648"/>
        <w:spacing w:after="0" w:line="29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Amended Credit Agreement and the other Credit Documents</w:t>
      </w:r>
      <w:r>
        <w:rPr>
          <w:rFonts w:ascii="Arial" w:cs="Arial" w:eastAsia="Arial" w:hAnsi="Arial"/>
          <w:sz w:val="18"/>
          <w:szCs w:val="18"/>
          <w:color w:val="auto"/>
        </w:rPr>
        <w:t xml:space="preserve"> </w:t>
      </w:r>
      <w:r>
        <w:rPr>
          <w:rFonts w:ascii="Arial" w:cs="Arial" w:eastAsia="Arial" w:hAnsi="Arial"/>
          <w:sz w:val="19"/>
          <w:szCs w:val="19"/>
          <w:color w:val="auto"/>
        </w:rPr>
        <w:t>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CLAIMS, CONTROVERSIES, DISPUTES, OR</w:t>
      </w:r>
      <w:r>
        <w:rPr>
          <w:rFonts w:ascii="Arial" w:cs="Arial" w:eastAsia="Arial" w:hAnsi="Arial"/>
          <w:sz w:val="18"/>
          <w:szCs w:val="18"/>
          <w:color w:val="auto"/>
        </w:rPr>
        <w:t xml:space="preserve"> </w:t>
      </w:r>
      <w:r>
        <w:rPr>
          <w:rFonts w:ascii="Arial" w:cs="Arial" w:eastAsia="Arial" w:hAnsi="Arial"/>
          <w:sz w:val="19"/>
          <w:szCs w:val="19"/>
          <w:color w:val="auto"/>
        </w:rPr>
        <w:t>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93"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9"/>
          <w:szCs w:val="19"/>
          <w:u w:val="single" w:color="auto"/>
          <w:color w:val="auto"/>
        </w:rPr>
        <w:t>SERVICE OF PROCESS</w:t>
      </w:r>
      <w:r>
        <w:rPr>
          <w:rFonts w:ascii="Arial" w:cs="Arial" w:eastAsia="Arial" w:hAnsi="Arial"/>
          <w:sz w:val="19"/>
          <w:szCs w:val="19"/>
          <w:color w:val="auto"/>
        </w:rPr>
        <w:t>. EACH PARTY HERETO AGREES THAT SECTION 13.09(b) OF THE</w:t>
      </w:r>
      <w:r>
        <w:rPr>
          <w:rFonts w:ascii="Arial" w:cs="Arial" w:eastAsia="Arial" w:hAnsi="Arial"/>
          <w:sz w:val="18"/>
          <w:szCs w:val="18"/>
          <w:color w:val="auto"/>
        </w:rPr>
        <w:t xml:space="preserve"> </w:t>
      </w:r>
      <w:r>
        <w:rPr>
          <w:rFonts w:ascii="Arial" w:cs="Arial" w:eastAsia="Arial" w:hAnsi="Arial"/>
          <w:sz w:val="19"/>
          <w:szCs w:val="19"/>
          <w:color w:val="auto"/>
        </w:rPr>
        <w:t>EXISTING CREDIT AGREEMENT (OR, AFTER GIVING EFFECT TO THE AMENDMENTS CONTEMPLATED HEREBY, THE AMENDED CREDIT AGREEMENT) SHALL APPLY TO THIS AGREEMENT MUTATIS MUTANDIS.</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9"/>
          <w:szCs w:val="19"/>
          <w:u w:val="single" w:color="auto"/>
          <w:color w:val="auto"/>
        </w:rPr>
        <w:t>Severability</w:t>
      </w:r>
      <w:r>
        <w:rPr>
          <w:rFonts w:ascii="Arial" w:cs="Arial" w:eastAsia="Arial" w:hAnsi="Arial"/>
          <w:sz w:val="19"/>
          <w:szCs w:val="19"/>
          <w:color w:val="auto"/>
        </w:rPr>
        <w:t>. Wherever possible, each provision of this Agreement shall be interpreted in such manner as to</w:t>
      </w:r>
      <w:r>
        <w:rPr>
          <w:rFonts w:ascii="Arial" w:cs="Arial" w:eastAsia="Arial" w:hAnsi="Arial"/>
          <w:sz w:val="18"/>
          <w:szCs w:val="18"/>
          <w:color w:val="auto"/>
        </w:rPr>
        <w:t xml:space="preserve"> </w:t>
      </w:r>
      <w:r>
        <w:rPr>
          <w:rFonts w:ascii="Arial" w:cs="Arial" w:eastAsia="Arial" w:hAnsi="Arial"/>
          <w:sz w:val="19"/>
          <w:szCs w:val="19"/>
          <w:color w:val="auto"/>
        </w:rPr>
        <w:t>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different parties hereto on different</w:t>
      </w:r>
      <w:r>
        <w:rPr>
          <w:rFonts w:ascii="Arial" w:cs="Arial" w:eastAsia="Arial" w:hAnsi="Arial"/>
          <w:sz w:val="18"/>
          <w:szCs w:val="18"/>
          <w:color w:val="auto"/>
        </w:rPr>
        <w:t xml:space="preserve"> </w:t>
      </w:r>
      <w:r>
        <w:rPr>
          <w:rFonts w:ascii="Arial" w:cs="Arial" w:eastAsia="Arial" w:hAnsi="Arial"/>
          <w:sz w:val="19"/>
          <w:szCs w:val="19"/>
          <w:color w:val="auto"/>
        </w:rPr>
        <w:t>counterparts), each of which shall constitute an original, but all of which when taken together shall constitute a single contract. Delivery of an executed signature page to this Agreement by facsimile or other electronic transmission (including portable document format (“.pdf”) or similar format) shall be effective as delivery of a manually executed counterpart hereof.</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ind w:left="660"/>
              <w:spacing w:after="0"/>
              <w:rPr>
                <w:sz w:val="20"/>
                <w:szCs w:val="20"/>
                <w:color w:val="auto"/>
              </w:rPr>
            </w:pPr>
            <w:r>
              <w:rPr>
                <w:rFonts w:ascii="Arial" w:cs="Arial" w:eastAsia="Arial" w:hAnsi="Arial"/>
                <w:sz w:val="18"/>
                <w:szCs w:val="18"/>
                <w:color w:val="auto"/>
              </w:rPr>
              <w:t>SECTION 8.</w:t>
            </w:r>
          </w:p>
        </w:tc>
        <w:tc>
          <w:tcPr>
            <w:tcW w:w="9160" w:type="dxa"/>
            <w:vAlign w:val="bottom"/>
            <w:gridSpan w:val="3"/>
          </w:tcPr>
          <w:p>
            <w:pPr>
              <w:ind w:left="660"/>
              <w:spacing w:after="0"/>
              <w:rPr>
                <w:sz w:val="20"/>
                <w:szCs w:val="20"/>
                <w:color w:val="auto"/>
              </w:rPr>
            </w:pPr>
            <w:r>
              <w:rPr>
                <w:rFonts w:ascii="Arial" w:cs="Arial" w:eastAsia="Arial" w:hAnsi="Arial"/>
                <w:sz w:val="20"/>
                <w:szCs w:val="20"/>
                <w:color w:val="auto"/>
                <w:w w:val="92"/>
              </w:rPr>
              <w:t>Credit Document. This Agreement shall constitute a “Credit Document” as defined in the Existing Credit</w:t>
            </w:r>
          </w:p>
        </w:tc>
      </w:tr>
      <w:tr>
        <w:trPr>
          <w:trHeight w:val="281"/>
        </w:trPr>
        <w:tc>
          <w:tcPr>
            <w:tcW w:w="2240" w:type="dxa"/>
            <w:vAlign w:val="bottom"/>
          </w:tcPr>
          <w:p>
            <w:pPr>
              <w:spacing w:after="0"/>
              <w:rPr>
                <w:sz w:val="20"/>
                <w:szCs w:val="20"/>
                <w:color w:val="auto"/>
              </w:rPr>
            </w:pPr>
            <w:r>
              <w:rPr>
                <w:rFonts w:ascii="Arial" w:cs="Arial" w:eastAsia="Arial" w:hAnsi="Arial"/>
                <w:sz w:val="20"/>
                <w:szCs w:val="20"/>
                <w:color w:val="auto"/>
              </w:rPr>
              <w:t>Agreement.</w:t>
            </w:r>
          </w:p>
        </w:tc>
        <w:tc>
          <w:tcPr>
            <w:tcW w:w="6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120" w:type="dxa"/>
            <w:vAlign w:val="bottom"/>
          </w:tcPr>
          <w:p>
            <w:pPr>
              <w:spacing w:after="0"/>
              <w:rPr>
                <w:sz w:val="24"/>
                <w:szCs w:val="24"/>
                <w:color w:val="auto"/>
              </w:rPr>
            </w:pPr>
          </w:p>
        </w:tc>
      </w:tr>
    </w:tbl>
    <w:p>
      <w:pPr>
        <w:spacing w:after="0" w:line="23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8"/>
          <w:szCs w:val="18"/>
          <w:u w:val="single" w:color="auto"/>
          <w:color w:val="auto"/>
        </w:rPr>
        <w:t>No Novation</w:t>
      </w:r>
      <w:r>
        <w:rPr>
          <w:rFonts w:ascii="Arial" w:cs="Arial" w:eastAsia="Arial" w:hAnsi="Arial"/>
          <w:sz w:val="18"/>
          <w:szCs w:val="18"/>
          <w:color w:val="auto"/>
        </w:rPr>
        <w:t>. This Agreement shall not extinguish the obligations for the payment of money outstanding</w:t>
      </w:r>
      <w:r>
        <w:rPr>
          <w:rFonts w:ascii="Arial" w:cs="Arial" w:eastAsia="Arial" w:hAnsi="Arial"/>
          <w:sz w:val="17"/>
          <w:szCs w:val="17"/>
          <w:color w:val="auto"/>
        </w:rPr>
        <w:t xml:space="preserve"> </w:t>
      </w:r>
      <w:r>
        <w:rPr>
          <w:rFonts w:ascii="Arial" w:cs="Arial" w:eastAsia="Arial" w:hAnsi="Arial"/>
          <w:sz w:val="18"/>
          <w:szCs w:val="18"/>
          <w:color w:val="auto"/>
        </w:rPr>
        <w:t>under the Existing Credit Agreement or discharge or release the priority of any Credit Document (as defined in the Existing Credit Agreement) or any other security therefor. Nothing herein contained shall be construed as a substitution or novation of the obligations outstanding under the Existing Credit Agreement or the instruments, documents and agreements securing the same, which shall remain in full force and effect. Nothing in this Agreement shall be construed as a release or other discharge of Borrower or any Credit Party from any of its obligations and liabilities under the Existing Credit Agreement or the other Credit Documents (as defined in the Existing Credit Agreement).</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9"/>
          <w:szCs w:val="19"/>
          <w:u w:val="single" w:color="auto"/>
          <w:color w:val="auto"/>
        </w:rPr>
        <w:t>Acknowledgment</w:t>
      </w:r>
      <w:r>
        <w:rPr>
          <w:rFonts w:ascii="Arial" w:cs="Arial" w:eastAsia="Arial" w:hAnsi="Arial"/>
          <w:sz w:val="19"/>
          <w:szCs w:val="19"/>
          <w:color w:val="auto"/>
        </w:rPr>
        <w:t>. It is understood, acknowledged and agreed by all of the parties hereto that no default or</w:t>
      </w:r>
      <w:r>
        <w:rPr>
          <w:rFonts w:ascii="Arial" w:cs="Arial" w:eastAsia="Arial" w:hAnsi="Arial"/>
          <w:sz w:val="18"/>
          <w:szCs w:val="18"/>
          <w:color w:val="auto"/>
        </w:rPr>
        <w:t xml:space="preserve"> </w:t>
      </w:r>
      <w:r>
        <w:rPr>
          <w:rFonts w:ascii="Arial" w:cs="Arial" w:eastAsia="Arial" w:hAnsi="Arial"/>
          <w:sz w:val="19"/>
          <w:szCs w:val="19"/>
          <w:color w:val="auto"/>
        </w:rPr>
        <w:t>breach of obligations under the Existing Credit Agreement shall have resulted or shall be deemed to have resulted on or prior to the Agreement Effective Date in connection with the transactions contemplated hereunder, including in connection with any delayed funding of Tranche A Term Facility Commitments, and any claim thereto shall be deemed waived by all of the parties hereto effective on the Agreement Effective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ectPr>
          <w:pgSz w:w="11900" w:h="16838" w:orient="portrait"/>
          <w:cols w:equalWidth="0" w:num="1">
            <w:col w:w="11420"/>
          </w:cols>
          <w:pgMar w:left="240" w:top="595" w:right="239" w:bottom="1440" w:gutter="0" w:footer="0" w:header="0"/>
        </w:sectPr>
      </w:pPr>
    </w:p>
    <w:bookmarkStart w:id="140" w:name="page141"/>
    <w:bookmarkEnd w:id="140"/>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each of the undersigned has caused its duly authorized officer to execute and deliver this Agreement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first written above.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WYNN AMERICA, LLC,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 Nevada limited liability company,</w:t>
      </w:r>
    </w:p>
    <w:p>
      <w:pPr>
        <w:ind w:left="13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 Nevada corporation,</w:t>
      </w:r>
    </w:p>
    <w:p>
      <w:pPr>
        <w:ind w:left="196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Name: Stephen Cootey</w:t>
      </w:r>
    </w:p>
    <w:p>
      <w:pPr>
        <w:ind w:left="2600"/>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11420"/>
          </w:cols>
          <w:pgMar w:left="240" w:top="805" w:right="239" w:bottom="1440" w:gutter="0" w:footer="0" w:header="0"/>
        </w:sectPr>
      </w:pPr>
    </w:p>
    <w:bookmarkStart w:id="141" w:name="page142"/>
    <w:bookmarkEnd w:id="141"/>
    <w:p>
      <w:pPr>
        <w:ind w:left="2380"/>
        <w:spacing w:after="0"/>
        <w:rPr>
          <w:sz w:val="20"/>
          <w:szCs w:val="20"/>
          <w:color w:val="auto"/>
        </w:rPr>
      </w:pPr>
      <w:r>
        <w:rPr>
          <w:rFonts w:ascii="Arial" w:cs="Arial" w:eastAsia="Arial" w:hAnsi="Arial"/>
          <w:sz w:val="20"/>
          <w:szCs w:val="20"/>
          <w:u w:val="single" w:color="auto"/>
          <w:color w:val="auto"/>
        </w:rPr>
        <w:t>GUARANTORS</w:t>
      </w:r>
      <w:r>
        <w:rPr>
          <w:rFonts w:ascii="Arial" w:cs="Arial" w:eastAsia="Arial" w:hAnsi="Arial"/>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LAS VEGAS HOLDINGS,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13"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40"/>
        <w:spacing w:after="0"/>
        <w:rPr>
          <w:sz w:val="20"/>
          <w:szCs w:val="20"/>
          <w:color w:val="auto"/>
        </w:rPr>
      </w:pPr>
      <w:r>
        <w:rPr>
          <w:rFonts w:ascii="Arial" w:cs="Arial" w:eastAsia="Arial" w:hAnsi="Arial"/>
          <w:sz w:val="20"/>
          <w:szCs w:val="20"/>
          <w:b w:val="1"/>
          <w:bCs w:val="1"/>
          <w:color w:val="auto"/>
        </w:rPr>
        <w:t>WYNN MA,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9019"/>
          </w:cols>
          <w:pgMar w:left="1440" w:top="1244" w:right="1440" w:bottom="1440" w:gutter="0" w:footer="0" w:header="0"/>
        </w:sectPr>
      </w:pPr>
    </w:p>
    <w:bookmarkStart w:id="142" w:name="page143"/>
    <w:bookmarkEnd w:id="142"/>
    <w:p>
      <w:pPr>
        <w:ind w:left="2040"/>
        <w:spacing w:after="0"/>
        <w:rPr>
          <w:sz w:val="20"/>
          <w:szCs w:val="20"/>
          <w:color w:val="auto"/>
        </w:rPr>
      </w:pPr>
      <w:r>
        <w:rPr>
          <w:rFonts w:ascii="Arial" w:cs="Arial" w:eastAsia="Arial" w:hAnsi="Arial"/>
          <w:sz w:val="20"/>
          <w:szCs w:val="20"/>
          <w:b w:val="1"/>
          <w:bCs w:val="1"/>
          <w:color w:val="auto"/>
        </w:rPr>
        <w:t>EVERETT PROPERTY, LLC,</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Massachusetts limited liability company</w:t>
      </w:r>
    </w:p>
    <w:p>
      <w:pPr>
        <w:spacing w:after="0" w:line="20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Wynn America, LLC,</w:t>
      </w:r>
    </w:p>
    <w:p>
      <w:pPr>
        <w:spacing w:after="0" w:line="15"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 Nevada limited liability company,</w:t>
      </w:r>
    </w:p>
    <w:p>
      <w:pPr>
        <w:ind w:left="20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Wynn Resorts Holdings, LLC,</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a Nevada limited liability company,</w:t>
      </w:r>
    </w:p>
    <w:p>
      <w:pPr>
        <w:ind w:left="270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 Wynn Resorts, Limited,</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a Nevada corporation,</w:t>
      </w:r>
    </w:p>
    <w:p>
      <w:pPr>
        <w:ind w:left="3340"/>
        <w:spacing w:after="0"/>
        <w:rPr>
          <w:sz w:val="20"/>
          <w:szCs w:val="20"/>
          <w:color w:val="auto"/>
        </w:rPr>
      </w:pPr>
      <w:r>
        <w:rPr>
          <w:rFonts w:ascii="Arial" w:cs="Arial" w:eastAsia="Arial" w:hAnsi="Arial"/>
          <w:sz w:val="20"/>
          <w:szCs w:val="20"/>
          <w:color w:val="auto"/>
        </w:rPr>
        <w:t>its sole member</w:t>
      </w:r>
    </w:p>
    <w:p>
      <w:pPr>
        <w:spacing w:after="0" w:line="200"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Stephen Cootey</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Name: Stephen Cootey</w:t>
      </w:r>
    </w:p>
    <w:p>
      <w:pPr>
        <w:jc w:val="right"/>
        <w:ind w:right="1119"/>
        <w:spacing w:after="0"/>
        <w:rPr>
          <w:sz w:val="20"/>
          <w:szCs w:val="20"/>
          <w:color w:val="auto"/>
        </w:rPr>
      </w:pPr>
      <w:r>
        <w:rPr>
          <w:rFonts w:ascii="Arial" w:cs="Arial" w:eastAsia="Arial" w:hAnsi="Arial"/>
          <w:sz w:val="20"/>
          <w:szCs w:val="20"/>
          <w:color w:val="auto"/>
        </w:rPr>
        <w:t>Title: Chief Financial Officer, SVP and Treasurer</w:t>
      </w:r>
    </w:p>
    <w:p>
      <w:pPr>
        <w:sectPr>
          <w:pgSz w:w="11900" w:h="16838" w:orient="portrait"/>
          <w:cols w:equalWidth="0" w:num="1">
            <w:col w:w="9019"/>
          </w:cols>
          <w:pgMar w:left="1440" w:top="1008" w:right="1440" w:bottom="1440" w:gutter="0" w:footer="0" w:header="0"/>
        </w:sectPr>
      </w:pPr>
    </w:p>
    <w:bookmarkStart w:id="143" w:name="page144"/>
    <w:bookmarkEnd w:id="143"/>
    <w:p>
      <w:pPr>
        <w:spacing w:after="0"/>
        <w:rPr>
          <w:sz w:val="20"/>
          <w:szCs w:val="20"/>
          <w:color w:val="auto"/>
        </w:rPr>
      </w:pPr>
      <w:r>
        <w:rPr>
          <w:rFonts w:ascii="Arial" w:cs="Arial" w:eastAsia="Arial" w:hAnsi="Arial"/>
          <w:sz w:val="19"/>
          <w:szCs w:val="19"/>
          <w:b w:val="1"/>
          <w:bCs w:val="1"/>
          <w:color w:val="auto"/>
        </w:rPr>
        <w:t>DEUTSCHE BANK AG NEW YORK BRANCH</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as Collateral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Mary Kay Coyle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Mary Kay Coyle</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Peter Cucchiara</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Peter Cucchiara</w:t>
      </w:r>
    </w:p>
    <w:p>
      <w:pPr>
        <w:spacing w:after="0" w:line="200" w:lineRule="exact"/>
        <w:rPr>
          <w:sz w:val="20"/>
          <w:szCs w:val="20"/>
          <w:color w:val="auto"/>
        </w:r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Vice President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Banc of America Credit Products, Inc.,</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Jonathan M. Barnes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Jonathan M. Barnes</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Wells Fargo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Jeff Graci</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Jeff Graci</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Managing Director</w:t>
      </w:r>
    </w:p>
    <w:p>
      <w:pPr>
        <w:sectPr>
          <w:pgSz w:w="11900" w:h="16838" w:orient="portrait"/>
          <w:cols w:equalWidth="0" w:num="1">
            <w:col w:w="9559"/>
          </w:cols>
          <w:pgMar w:left="900" w:top="576" w:right="1440"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color w:val="auto"/>
        </w:rPr>
        <w:t>Consented to by: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VIII,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IX,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576" w:right="1440" w:bottom="1440" w:gutter="0" w:footer="0" w:header="0"/>
        </w:sectPr>
      </w:pPr>
    </w:p>
    <w:bookmarkStart w:id="145" w:name="page146"/>
    <w:bookmarkEnd w:id="145"/>
    <w:p>
      <w:pPr>
        <w:jc w:val="right"/>
        <w:ind w:right="4479"/>
        <w:spacing w:after="0"/>
        <w:rPr>
          <w:sz w:val="20"/>
          <w:szCs w:val="20"/>
          <w:color w:val="auto"/>
        </w:rPr>
      </w:pPr>
      <w:r>
        <w:rPr>
          <w:rFonts w:ascii="Arial" w:cs="Arial" w:eastAsia="Arial" w:hAnsi="Arial"/>
          <w:sz w:val="22"/>
          <w:szCs w:val="22"/>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CREDIT PARTNERS X,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its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2012-1,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2013-1,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OHA LOAN FUNDING 2013-2, LTD.,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1185" w:right="1440"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OHA LOAN FUNDING 2014-1, LLC,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as Lender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By: Oak Hill Advisors, L.P.</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Portfolio Manager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Alan Schrager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Name: Alan Schrager</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Title: Authorized Person</w:t>
      </w:r>
    </w:p>
    <w:p>
      <w:pPr>
        <w:sectPr>
          <w:pgSz w:w="11900" w:h="16838" w:orient="portrait"/>
          <w:cols w:equalWidth="0" w:num="1">
            <w:col w:w="9559"/>
          </w:cols>
          <w:pgMar w:left="900" w:top="1440"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10.5.2.4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2014 INTELLECTUAL PROPERTY LICENSE AGREEMENT</w:t>
      </w:r>
    </w:p>
    <w:p>
      <w:pPr>
        <w:spacing w:after="0" w:line="200" w:lineRule="exact"/>
        <w:rPr>
          <w:sz w:val="20"/>
          <w:szCs w:val="20"/>
          <w:color w:val="auto"/>
        </w:rPr>
      </w:pPr>
    </w:p>
    <w:p>
      <w:pPr>
        <w:spacing w:after="0" w:line="231" w:lineRule="exact"/>
        <w:rPr>
          <w:sz w:val="20"/>
          <w:szCs w:val="20"/>
          <w:color w:val="auto"/>
        </w:rPr>
      </w:pPr>
    </w:p>
    <w:p>
      <w:pPr>
        <w:ind w:right="60" w:firstLine="1297"/>
        <w:spacing w:after="0" w:line="236" w:lineRule="auto"/>
        <w:rPr>
          <w:sz w:val="20"/>
          <w:szCs w:val="20"/>
          <w:color w:val="auto"/>
        </w:rPr>
      </w:pPr>
      <w:r>
        <w:rPr>
          <w:rFonts w:ascii="Arial" w:cs="Arial" w:eastAsia="Arial" w:hAnsi="Arial"/>
          <w:sz w:val="22"/>
          <w:szCs w:val="22"/>
          <w:color w:val="auto"/>
        </w:rPr>
        <w:t>This 2014 Intellectual Property License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consisting of 23 pages, is dated as of the 20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November 2014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among WYNN RESORTS HOLDINGS, LLC, a Nevada Limited Liability Company (hereinafter “</w:t>
      </w:r>
      <w:r>
        <w:rPr>
          <w:rFonts w:ascii="Arial" w:cs="Arial" w:eastAsia="Arial" w:hAnsi="Arial"/>
          <w:sz w:val="22"/>
          <w:szCs w:val="22"/>
          <w:u w:val="single" w:color="auto"/>
          <w:color w:val="auto"/>
        </w:rPr>
        <w:t>Holdings”</w:t>
      </w:r>
      <w:r>
        <w:rPr>
          <w:rFonts w:ascii="Arial" w:cs="Arial" w:eastAsia="Arial" w:hAnsi="Arial"/>
          <w:sz w:val="22"/>
          <w:szCs w:val="22"/>
          <w:color w:val="auto"/>
        </w:rPr>
        <w:t>), WYNN RESORTS, LIMITED, a Nevada corporation (hereinafter “</w:t>
      </w:r>
      <w:r>
        <w:rPr>
          <w:rFonts w:ascii="Arial" w:cs="Arial" w:eastAsia="Arial" w:hAnsi="Arial"/>
          <w:sz w:val="22"/>
          <w:szCs w:val="22"/>
          <w:u w:val="single" w:color="auto"/>
          <w:color w:val="auto"/>
        </w:rPr>
        <w:t>Limited”</w:t>
      </w:r>
      <w:r>
        <w:rPr>
          <w:rFonts w:ascii="Arial" w:cs="Arial" w:eastAsia="Arial" w:hAnsi="Arial"/>
          <w:sz w:val="22"/>
          <w:szCs w:val="22"/>
          <w:color w:val="auto"/>
        </w:rPr>
        <w:t>) and WYNN MA, LLC, a limited liability under the laws of Nevada (hereinafter “</w:t>
      </w:r>
      <w:r>
        <w:rPr>
          <w:rFonts w:ascii="Arial" w:cs="Arial" w:eastAsia="Arial" w:hAnsi="Arial"/>
          <w:sz w:val="22"/>
          <w:szCs w:val="22"/>
          <w:u w:val="single" w:color="auto"/>
          <w:color w:val="auto"/>
        </w:rPr>
        <w:t>Licensee</w:t>
      </w:r>
      <w:r>
        <w:rPr>
          <w:rFonts w:ascii="Arial" w:cs="Arial" w:eastAsia="Arial" w:hAnsi="Arial"/>
          <w:sz w:val="22"/>
          <w:szCs w:val="22"/>
          <w:color w:val="auto"/>
        </w:rPr>
        <w:t>”). Holdings and Limited are collectively referred to herein as “</w:t>
      </w:r>
      <w:r>
        <w:rPr>
          <w:rFonts w:ascii="Arial" w:cs="Arial" w:eastAsia="Arial" w:hAnsi="Arial"/>
          <w:sz w:val="22"/>
          <w:szCs w:val="22"/>
          <w:u w:val="single" w:color="auto"/>
          <w:color w:val="auto"/>
        </w:rPr>
        <w:t>Licensor</w:t>
      </w:r>
      <w:r>
        <w:rPr>
          <w:rFonts w:ascii="Arial" w:cs="Arial" w:eastAsia="Arial" w:hAnsi="Arial"/>
          <w:sz w:val="22"/>
          <w:szCs w:val="22"/>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0" w:lineRule="exact"/>
        <w:rPr>
          <w:sz w:val="20"/>
          <w:szCs w:val="20"/>
          <w:color w:val="auto"/>
        </w:rPr>
      </w:pPr>
    </w:p>
    <w:p>
      <w:pPr>
        <w:spacing w:after="0" w:line="236" w:lineRule="exact"/>
        <w:rPr>
          <w:sz w:val="20"/>
          <w:szCs w:val="20"/>
          <w:color w:val="auto"/>
        </w:rPr>
      </w:pPr>
    </w:p>
    <w:p>
      <w:pPr>
        <w:ind w:left="1300" w:right="40" w:hanging="644"/>
        <w:spacing w:after="0" w:line="263" w:lineRule="auto"/>
        <w:tabs>
          <w:tab w:leader="none" w:pos="13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is the licensee of other third party rights and works as defined herein that are listed and described in attached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certain trade secrets, data and know-how that are listed and described in attached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(hereinafter, collectively, the “</w:t>
      </w:r>
      <w:r>
        <w:rPr>
          <w:rFonts w:ascii="Arial" w:cs="Arial" w:eastAsia="Arial" w:hAnsi="Arial"/>
          <w:sz w:val="21"/>
          <w:szCs w:val="21"/>
          <w:u w:val="single" w:color="auto"/>
          <w:color w:val="auto"/>
        </w:rPr>
        <w:t>Holdings Intellectual Property</w:t>
      </w:r>
      <w:r>
        <w:rPr>
          <w:rFonts w:ascii="Arial" w:cs="Arial" w:eastAsia="Arial" w:hAnsi="Arial"/>
          <w:sz w:val="21"/>
          <w:szCs w:val="21"/>
          <w:color w:val="auto"/>
        </w:rPr>
        <w:t>”).</w:t>
      </w:r>
    </w:p>
    <w:p>
      <w:pPr>
        <w:spacing w:after="0" w:line="392" w:lineRule="exact"/>
        <w:rPr>
          <w:rFonts w:ascii="Arial" w:cs="Arial" w:eastAsia="Arial" w:hAnsi="Arial"/>
          <w:sz w:val="21"/>
          <w:szCs w:val="21"/>
          <w:color w:val="auto"/>
        </w:rPr>
      </w:pPr>
    </w:p>
    <w:p>
      <w:pPr>
        <w:ind w:left="1300" w:right="440" w:hanging="644"/>
        <w:spacing w:after="0" w:line="250"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Limited is the parent entity of Holdings and is the owner of certain trade secrets, data, know-how and other intangible property that are listed and described in attached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(hereinafter, collectively the “</w:t>
      </w:r>
      <w:r>
        <w:rPr>
          <w:rFonts w:ascii="Arial" w:cs="Arial" w:eastAsia="Arial" w:hAnsi="Arial"/>
          <w:sz w:val="22"/>
          <w:szCs w:val="22"/>
          <w:u w:val="single" w:color="auto"/>
          <w:color w:val="auto"/>
        </w:rPr>
        <w:t>Limited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Holdings Intellectual Property and the Limited Intellectual Property are collectively referred to herein as the “</w:t>
      </w:r>
      <w:r>
        <w:rPr>
          <w:rFonts w:ascii="Arial" w:cs="Arial" w:eastAsia="Arial" w:hAnsi="Arial"/>
          <w:sz w:val="22"/>
          <w:szCs w:val="22"/>
          <w:u w:val="single" w:color="auto"/>
          <w:color w:val="auto"/>
        </w:rPr>
        <w:t>Licensed Property</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1300" w:right="140" w:hanging="644"/>
        <w:spacing w:after="0" w:line="253" w:lineRule="auto"/>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Licensee is a subsidiary of Wynn America, LLC and Wynn America, LLC is a subsidiary of Limited. Licensee is in the process of developing, construction and eventually operating an integrated hotel and casino resort located in Everett Massachusetts (the “</w:t>
      </w:r>
      <w:r>
        <w:rPr>
          <w:rFonts w:ascii="Arial" w:cs="Arial" w:eastAsia="Arial" w:hAnsi="Arial"/>
          <w:sz w:val="22"/>
          <w:szCs w:val="22"/>
          <w:u w:val="single" w:color="auto"/>
          <w:color w:val="auto"/>
        </w:rPr>
        <w:t>Operations</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foregoing and the mutual promises contained herein, the parties have agreed as follows:</w:t>
      </w:r>
    </w:p>
    <w:p>
      <w:pPr>
        <w:spacing w:after="0" w:line="254"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License</w:t>
      </w:r>
      <w:r>
        <w:rPr>
          <w:rFonts w:ascii="Arial" w:cs="Arial" w:eastAsia="Arial" w:hAnsi="Arial"/>
          <w:sz w:val="22"/>
          <w:szCs w:val="22"/>
          <w:color w:val="auto"/>
        </w:rPr>
        <w:t>. The Licensor grants the following licenses to the Licensee at the location specified herein.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right="140" w:hanging="648"/>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1.01 Licensor provides to Licensee a non-exclusive license and/or non-exclusive sublicense to use the marks and works owned, or which will be owned, by the Licensor including but not limited to the marks and works listed in </w:t>
      </w:r>
      <w:r>
        <w:rPr>
          <w:rFonts w:ascii="Arial" w:cs="Arial" w:eastAsia="Arial" w:hAnsi="Arial"/>
          <w:sz w:val="22"/>
          <w:szCs w:val="22"/>
          <w:u w:val="single" w:color="auto"/>
          <w:color w:val="auto"/>
        </w:rPr>
        <w:t>Schedule A</w:t>
      </w:r>
      <w:r>
        <w:rPr>
          <w:rFonts w:ascii="Arial" w:cs="Arial" w:eastAsia="Arial" w:hAnsi="Arial"/>
          <w:sz w:val="22"/>
          <w:szCs w:val="22"/>
          <w:color w:val="auto"/>
        </w:rPr>
        <w:t>, attached hereto, in connection with the operation, advertising, promotion, distribution and services of the Operations. The foregoing licenses granted in this Paragraph 1.01 shall hereinafter be known as the “</w:t>
      </w:r>
      <w:r>
        <w:rPr>
          <w:rFonts w:ascii="Arial" w:cs="Arial" w:eastAsia="Arial" w:hAnsi="Arial"/>
          <w:sz w:val="22"/>
          <w:szCs w:val="22"/>
          <w:u w:val="single" w:color="auto"/>
          <w:color w:val="auto"/>
        </w:rPr>
        <w:t>Trademark License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60" w:right="120" w:hanging="648"/>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1.02 Licensor provides Licensee a non-exclusive sublicense to the works listed in </w:t>
      </w:r>
      <w:r>
        <w:rPr>
          <w:rFonts w:ascii="Arial" w:cs="Arial" w:eastAsia="Arial" w:hAnsi="Arial"/>
          <w:sz w:val="22"/>
          <w:szCs w:val="22"/>
          <w:u w:val="single" w:color="auto"/>
          <w:color w:val="auto"/>
        </w:rPr>
        <w:t>Schedule B</w:t>
      </w:r>
      <w:r>
        <w:rPr>
          <w:rFonts w:ascii="Arial" w:cs="Arial" w:eastAsia="Arial" w:hAnsi="Arial"/>
          <w:sz w:val="22"/>
          <w:szCs w:val="22"/>
          <w:color w:val="auto"/>
        </w:rPr>
        <w:t>, attached hereto, in connection with the operation,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2" w:right="239" w:bottom="1440" w:gutter="0" w:footer="0" w:header="0"/>
        </w:sectPr>
      </w:pPr>
    </w:p>
    <w:bookmarkStart w:id="148" w:name="page149"/>
    <w:bookmarkEnd w:id="148"/>
    <w:p>
      <w:pPr>
        <w:ind w:left="1300" w:right="340"/>
        <w:spacing w:after="0" w:line="343" w:lineRule="auto"/>
        <w:rPr>
          <w:sz w:val="20"/>
          <w:szCs w:val="20"/>
          <w:color w:val="auto"/>
        </w:rPr>
      </w:pPr>
      <w:r>
        <w:rPr>
          <w:rFonts w:ascii="Arial" w:cs="Arial" w:eastAsia="Arial" w:hAnsi="Arial"/>
          <w:sz w:val="19"/>
          <w:szCs w:val="19"/>
          <w:color w:val="auto"/>
        </w:rPr>
        <w:t>advertising, promotion, distribution and services of the Operations. The foregoing licenses granted in this Paragraph 1.02 shall hereinafter be known as the “</w:t>
      </w:r>
      <w:r>
        <w:rPr>
          <w:rFonts w:ascii="Arial" w:cs="Arial" w:eastAsia="Arial" w:hAnsi="Arial"/>
          <w:sz w:val="19"/>
          <w:szCs w:val="19"/>
          <w:u w:val="single" w:color="auto"/>
          <w:color w:val="auto"/>
        </w:rPr>
        <w:t>Copyright and Persona License</w:t>
      </w:r>
      <w:r>
        <w:rPr>
          <w:rFonts w:ascii="Arial" w:cs="Arial" w:eastAsia="Arial" w:hAnsi="Arial"/>
          <w:sz w:val="19"/>
          <w:szCs w:val="19"/>
          <w:color w:val="auto"/>
        </w:rPr>
        <w:t>”.</w:t>
      </w:r>
    </w:p>
    <w:p>
      <w:pPr>
        <w:spacing w:after="0" w:line="321" w:lineRule="exact"/>
        <w:rPr>
          <w:sz w:val="20"/>
          <w:szCs w:val="20"/>
          <w:color w:val="auto"/>
        </w:rPr>
      </w:pPr>
    </w:p>
    <w:p>
      <w:pPr>
        <w:ind w:left="1300" w:right="180" w:hanging="647"/>
        <w:spacing w:after="0" w:line="290" w:lineRule="auto"/>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 xml:space="preserve">Licensor provides to Licensee a non-exclusive license to use the data, trade secrets and know-how listed in </w:t>
      </w:r>
      <w:r>
        <w:rPr>
          <w:rFonts w:ascii="Arial" w:cs="Arial" w:eastAsia="Arial" w:hAnsi="Arial"/>
          <w:sz w:val="19"/>
          <w:szCs w:val="19"/>
          <w:u w:val="single" w:color="auto"/>
          <w:color w:val="auto"/>
        </w:rPr>
        <w:t>Schedule C</w:t>
      </w:r>
      <w:r>
        <w:rPr>
          <w:rFonts w:ascii="Arial" w:cs="Arial" w:eastAsia="Arial" w:hAnsi="Arial"/>
          <w:sz w:val="19"/>
          <w:szCs w:val="19"/>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Arial" w:cs="Arial" w:eastAsia="Arial" w:hAnsi="Arial"/>
          <w:sz w:val="19"/>
          <w:szCs w:val="19"/>
          <w:u w:val="single" w:color="auto"/>
          <w:color w:val="auto"/>
        </w:rPr>
        <w:t>Trade Secret and Know-How License</w:t>
      </w:r>
      <w:r>
        <w:rPr>
          <w:rFonts w:ascii="Arial" w:cs="Arial" w:eastAsia="Arial" w:hAnsi="Arial"/>
          <w:sz w:val="19"/>
          <w:szCs w:val="19"/>
          <w:color w:val="auto"/>
        </w:rPr>
        <w:t>.”</w:t>
      </w:r>
    </w:p>
    <w:p>
      <w:pPr>
        <w:spacing w:after="0" w:line="373"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lessee or sublessee operating or conducting business at the Operation of the Licensee (“</w:t>
      </w:r>
      <w:r>
        <w:rPr>
          <w:rFonts w:ascii="Arial" w:cs="Arial" w:eastAsia="Arial" w:hAnsi="Arial"/>
          <w:sz w:val="22"/>
          <w:szCs w:val="22"/>
          <w:u w:val="single" w:color="auto"/>
          <w:color w:val="auto"/>
        </w:rPr>
        <w:t>Approved Sublessee</w:t>
      </w:r>
      <w:r>
        <w:rPr>
          <w:rFonts w:ascii="Arial" w:cs="Arial" w:eastAsia="Arial" w:hAnsi="Arial"/>
          <w:sz w:val="22"/>
          <w:szCs w:val="22"/>
          <w:color w:val="auto"/>
        </w:rPr>
        <w:t>”). The Trade Secret and Know-How License may not be sublicensed by the Licensee.</w:t>
      </w:r>
    </w:p>
    <w:p>
      <w:pPr>
        <w:spacing w:after="0" w:line="200" w:lineRule="exact"/>
        <w:rPr>
          <w:sz w:val="20"/>
          <w:szCs w:val="20"/>
          <w:color w:val="auto"/>
        </w:rPr>
      </w:pPr>
    </w:p>
    <w:p>
      <w:pPr>
        <w:spacing w:after="0" w:line="208" w:lineRule="exact"/>
        <w:rPr>
          <w:sz w:val="20"/>
          <w:szCs w:val="20"/>
          <w:color w:val="auto"/>
        </w:rPr>
      </w:pPr>
    </w:p>
    <w:p>
      <w:pPr>
        <w:ind w:left="1300" w:right="120" w:hanging="647"/>
        <w:spacing w:after="0" w:line="292" w:lineRule="auto"/>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License Term</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80" w:hanging="647"/>
        <w:spacing w:after="0" w:line="263" w:lineRule="auto"/>
        <w:tabs>
          <w:tab w:leader="none" w:pos="1280" w:val="left"/>
        </w:tabs>
        <w:rPr>
          <w:sz w:val="20"/>
          <w:szCs w:val="20"/>
          <w:color w:val="auto"/>
        </w:rPr>
      </w:pPr>
      <w:r>
        <w:rPr>
          <w:rFonts w:ascii="Arial" w:cs="Arial" w:eastAsia="Arial" w:hAnsi="Arial"/>
          <w:sz w:val="22"/>
          <w:szCs w:val="22"/>
          <w:color w:val="auto"/>
        </w:rPr>
        <w:t>2.01</w:t>
        <w:tab/>
        <w:t>This Agreement shall be effective as of the Effective Date and shall continue until otherwise terminated under the provisions of this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Royalties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71" w:lineRule="auto"/>
        <w:tabs>
          <w:tab w:leader="none" w:pos="12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21"/>
          <w:szCs w:val="21"/>
          <w:color w:val="auto"/>
        </w:rPr>
        <w:t>Licensee shall pay to Licensor an aggregate monthly licensing fee (the “</w:t>
      </w:r>
      <w:r>
        <w:rPr>
          <w:rFonts w:ascii="Arial" w:cs="Arial" w:eastAsia="Arial" w:hAnsi="Arial"/>
          <w:sz w:val="21"/>
          <w:szCs w:val="21"/>
          <w:u w:val="single" w:color="auto"/>
          <w:color w:val="auto"/>
        </w:rPr>
        <w:t>Licensing Fee</w:t>
      </w:r>
      <w:r>
        <w:rPr>
          <w:rFonts w:ascii="Arial" w:cs="Arial" w:eastAsia="Arial" w:hAnsi="Arial"/>
          <w:sz w:val="21"/>
          <w:szCs w:val="21"/>
          <w:color w:val="auto"/>
        </w:rPr>
        <w:t xml:space="preserve">”) for each of the licenses granted herein in the amount and in accordance with the payment schedule set forth in </w:t>
      </w:r>
      <w:r>
        <w:rPr>
          <w:rFonts w:ascii="Arial" w:cs="Arial" w:eastAsia="Arial" w:hAnsi="Arial"/>
          <w:sz w:val="21"/>
          <w:szCs w:val="21"/>
          <w:u w:val="single" w:color="auto"/>
          <w:color w:val="auto"/>
        </w:rPr>
        <w:t>Schedule D</w:t>
      </w:r>
      <w:r>
        <w:rPr>
          <w:rFonts w:ascii="Arial" w:cs="Arial" w:eastAsia="Arial" w:hAnsi="Arial"/>
          <w:sz w:val="21"/>
          <w:szCs w:val="21"/>
          <w:color w:val="auto"/>
        </w:rPr>
        <w:t>. Any withholding taxes associated with such payments shall be made</w:t>
      </w:r>
    </w:p>
    <w:p>
      <w:pPr>
        <w:spacing w:after="0" w:line="200" w:lineRule="exact"/>
        <w:rPr>
          <w:sz w:val="20"/>
          <w:szCs w:val="20"/>
          <w:color w:val="auto"/>
        </w:rPr>
      </w:pPr>
    </w:p>
    <w:p>
      <w:pPr>
        <w:spacing w:after="0" w:line="21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40"/>
          </w:cols>
          <w:pgMar w:left="900" w:top="847" w:right="259" w:bottom="1440" w:gutter="0" w:footer="0" w:header="0"/>
        </w:sectPr>
      </w:pPr>
    </w:p>
    <w:bookmarkStart w:id="149" w:name="page150"/>
    <w:bookmarkEnd w:id="149"/>
    <w:p>
      <w:pPr>
        <w:ind w:left="1300"/>
        <w:spacing w:after="0"/>
        <w:rPr>
          <w:sz w:val="20"/>
          <w:szCs w:val="20"/>
          <w:color w:val="auto"/>
        </w:rPr>
      </w:pPr>
      <w:r>
        <w:rPr>
          <w:rFonts w:ascii="Arial" w:cs="Arial" w:eastAsia="Arial" w:hAnsi="Arial"/>
          <w:sz w:val="22"/>
          <w:szCs w:val="22"/>
          <w:color w:val="auto"/>
        </w:rPr>
        <w:t xml:space="preserve">by Licensee and shall not be withheld from the payments described on </w:t>
      </w:r>
      <w:r>
        <w:rPr>
          <w:rFonts w:ascii="Arial" w:cs="Arial" w:eastAsia="Arial" w:hAnsi="Arial"/>
          <w:sz w:val="22"/>
          <w:szCs w:val="22"/>
          <w:u w:val="single" w:color="auto"/>
          <w:color w:val="auto"/>
        </w:rPr>
        <w:t>Schedule D</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Quality Control</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20" w:hanging="647"/>
        <w:spacing w:after="0" w:line="259" w:lineRule="auto"/>
        <w:tabs>
          <w:tab w:leader="none" w:pos="1280" w:val="left"/>
        </w:tabs>
        <w:rPr>
          <w:sz w:val="20"/>
          <w:szCs w:val="20"/>
          <w:color w:val="auto"/>
        </w:rPr>
      </w:pPr>
      <w:r>
        <w:rPr>
          <w:rFonts w:ascii="Arial" w:cs="Arial" w:eastAsia="Arial" w:hAnsi="Arial"/>
          <w:sz w:val="22"/>
          <w:szCs w:val="22"/>
          <w:color w:val="auto"/>
        </w:rPr>
        <w:t>4.01</w:t>
      </w:r>
      <w:r>
        <w:rPr>
          <w:sz w:val="20"/>
          <w:szCs w:val="20"/>
          <w:color w:val="auto"/>
        </w:rPr>
        <w:tab/>
      </w:r>
      <w:r>
        <w:rPr>
          <w:rFonts w:ascii="Arial" w:cs="Arial" w:eastAsia="Arial" w:hAnsi="Arial"/>
          <w:sz w:val="21"/>
          <w:szCs w:val="21"/>
          <w:color w:val="auto"/>
        </w:rPr>
        <w:t>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first request that the Licensor inspect and approve any and all advertising, promotion, public relations material, merchandise, or promotional products (“</w:t>
      </w:r>
      <w:r>
        <w:rPr>
          <w:rFonts w:ascii="Arial" w:cs="Arial" w:eastAsia="Arial" w:hAnsi="Arial"/>
          <w:sz w:val="21"/>
          <w:szCs w:val="21"/>
          <w:u w:val="single" w:color="auto"/>
          <w:color w:val="auto"/>
        </w:rPr>
        <w:t>Product Sample</w:t>
      </w:r>
      <w:r>
        <w:rPr>
          <w:rFonts w:ascii="Arial" w:cs="Arial" w:eastAsia="Arial" w:hAnsi="Arial"/>
          <w:sz w:val="21"/>
          <w:szCs w:val="21"/>
          <w:color w:val="auto"/>
        </w:rPr>
        <w:t>”) before manufacture or production. Any Product Sample that contains any of the Licensed Property submitted to Licensor shall be deemed approved unless Licensor disapproves the same in writing within thirty (30) days after receipt by Licensor.</w:t>
      </w:r>
    </w:p>
    <w:p>
      <w:pPr>
        <w:spacing w:after="0" w:line="400" w:lineRule="exact"/>
        <w:rPr>
          <w:sz w:val="20"/>
          <w:szCs w:val="20"/>
          <w:color w:val="auto"/>
        </w:rPr>
      </w:pPr>
    </w:p>
    <w:p>
      <w:pPr>
        <w:ind w:left="1300" w:right="100" w:hanging="647"/>
        <w:spacing w:after="0" w:line="294" w:lineRule="auto"/>
        <w:tabs>
          <w:tab w:leader="none" w:pos="128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color w:val="auto"/>
        </w:rPr>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366" w:lineRule="exact"/>
        <w:rPr>
          <w:sz w:val="20"/>
          <w:szCs w:val="20"/>
          <w:color w:val="auto"/>
        </w:rPr>
      </w:pPr>
    </w:p>
    <w:p>
      <w:pPr>
        <w:ind w:left="1300" w:right="220" w:hanging="647"/>
        <w:spacing w:after="0" w:line="263" w:lineRule="auto"/>
        <w:tabs>
          <w:tab w:leader="none" w:pos="128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21"/>
          <w:szCs w:val="21"/>
          <w:color w:val="auto"/>
        </w:rPr>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Accordingly, Licensee agrees to offer amenities or facilities of high quality standards and not to sell defective products (seconds) which bear the marks of the Licensed Property.</w:t>
      </w:r>
    </w:p>
    <w:p>
      <w:pPr>
        <w:spacing w:after="0" w:line="392" w:lineRule="exact"/>
        <w:rPr>
          <w:sz w:val="20"/>
          <w:szCs w:val="20"/>
          <w:color w:val="auto"/>
        </w:rPr>
      </w:pPr>
    </w:p>
    <w:p>
      <w:pPr>
        <w:ind w:left="1300" w:hanging="647"/>
        <w:spacing w:after="0" w:line="290" w:lineRule="auto"/>
        <w:tabs>
          <w:tab w:leader="none" w:pos="128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19"/>
          <w:szCs w:val="19"/>
          <w:color w:val="auto"/>
        </w:rPr>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w:t>
      </w:r>
    </w:p>
    <w:p>
      <w:pPr>
        <w:spacing w:after="0" w:line="40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847" w:right="239" w:bottom="1440" w:gutter="0" w:footer="0" w:header="0"/>
        </w:sectPr>
      </w:pPr>
    </w:p>
    <w:bookmarkStart w:id="150" w:name="page151"/>
    <w:bookmarkEnd w:id="150"/>
    <w:p>
      <w:pPr>
        <w:ind w:left="1300" w:right="60"/>
        <w:spacing w:after="0" w:line="297" w:lineRule="auto"/>
        <w:rPr>
          <w:sz w:val="20"/>
          <w:szCs w:val="20"/>
          <w:color w:val="auto"/>
        </w:rPr>
      </w:pPr>
      <w:r>
        <w:rPr>
          <w:rFonts w:ascii="Arial" w:cs="Arial" w:eastAsia="Arial" w:hAnsi="Arial"/>
          <w:sz w:val="19"/>
          <w:szCs w:val="19"/>
          <w:color w:val="auto"/>
        </w:rPr>
        <w:t>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363" w:lineRule="exact"/>
        <w:rPr>
          <w:sz w:val="20"/>
          <w:szCs w:val="20"/>
          <w:color w:val="auto"/>
        </w:rPr>
      </w:pPr>
    </w:p>
    <w:p>
      <w:pPr>
        <w:ind w:left="1300" w:right="40" w:hanging="647"/>
        <w:spacing w:after="0" w:line="259" w:lineRule="auto"/>
        <w:tabs>
          <w:tab w:leader="none" w:pos="128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21"/>
          <w:szCs w:val="21"/>
          <w:color w:val="auto"/>
        </w:rPr>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pacing w:after="0" w:line="400" w:lineRule="exact"/>
        <w:rPr>
          <w:sz w:val="20"/>
          <w:szCs w:val="20"/>
          <w:color w:val="auto"/>
        </w:rPr>
      </w:pPr>
    </w:p>
    <w:p>
      <w:pPr>
        <w:ind w:left="800" w:hanging="809"/>
        <w:spacing w:after="0" w:line="263"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Goodwill</w:t>
      </w:r>
      <w:r>
        <w:rPr>
          <w:rFonts w:ascii="Arial" w:cs="Arial" w:eastAsia="Arial" w:hAnsi="Arial"/>
          <w:sz w:val="22"/>
          <w:szCs w:val="22"/>
          <w:color w:val="auto"/>
        </w:rPr>
        <w:t>. All goodwill arising from the use of the Licensed Property shall inure to the benefit of the Licensor, or the party from whom the Licensor obtained its rights.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Use of Licensed Property and Persona</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92" w:lineRule="auto"/>
        <w:tabs>
          <w:tab w:leader="none" w:pos="128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color w:val="auto"/>
        </w:rPr>
        <w:t>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68" w:lineRule="exact"/>
        <w:rPr>
          <w:sz w:val="20"/>
          <w:szCs w:val="20"/>
          <w:color w:val="auto"/>
        </w:rPr>
      </w:pPr>
    </w:p>
    <w:p>
      <w:pPr>
        <w:ind w:left="1300" w:right="60" w:hanging="647"/>
        <w:spacing w:after="0" w:line="297" w:lineRule="auto"/>
        <w:tabs>
          <w:tab w:leader="none" w:pos="128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color w:val="auto"/>
        </w:rPr>
        <w:t>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39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0"/>
          </w:cols>
          <w:pgMar w:left="900" w:top="847" w:right="239" w:bottom="1440" w:gutter="0" w:footer="0" w:header="0"/>
        </w:sectPr>
      </w:pPr>
    </w:p>
    <w:bookmarkStart w:id="151" w:name="page152"/>
    <w:bookmarkEnd w:id="151"/>
    <w:p>
      <w:pPr>
        <w:ind w:left="1300" w:right="20" w:hanging="647"/>
        <w:spacing w:after="0" w:line="263" w:lineRule="auto"/>
        <w:tabs>
          <w:tab w:leader="none" w:pos="12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21"/>
          <w:szCs w:val="21"/>
          <w:color w:val="auto"/>
        </w:rPr>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2" w:lineRule="exact"/>
        <w:rPr>
          <w:sz w:val="20"/>
          <w:szCs w:val="20"/>
          <w:color w:val="auto"/>
        </w:rPr>
      </w:pPr>
    </w:p>
    <w:p>
      <w:pPr>
        <w:ind w:left="1300" w:right="80" w:hanging="647"/>
        <w:spacing w:after="0" w:line="263" w:lineRule="auto"/>
        <w:tabs>
          <w:tab w:leader="none" w:pos="1280" w:val="left"/>
        </w:tabs>
        <w:rPr>
          <w:sz w:val="20"/>
          <w:szCs w:val="20"/>
          <w:color w:val="auto"/>
        </w:rPr>
      </w:pPr>
      <w:r>
        <w:rPr>
          <w:rFonts w:ascii="Arial" w:cs="Arial" w:eastAsia="Arial" w:hAnsi="Arial"/>
          <w:sz w:val="22"/>
          <w:szCs w:val="22"/>
          <w:color w:val="auto"/>
        </w:rPr>
        <w:t>6.04</w:t>
        <w:tab/>
        <w:t>Licensee will not permit any person or entity that leases, subleases or rents any portion of the Operations, to use any of the Licensed Property without a written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86" w:lineRule="auto"/>
        <w:tabs>
          <w:tab w:leader="none" w:pos="128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w:t>
      </w:r>
    </w:p>
    <w:p>
      <w:pPr>
        <w:spacing w:after="0" w:line="3" w:lineRule="exact"/>
        <w:rPr>
          <w:sz w:val="20"/>
          <w:szCs w:val="20"/>
          <w:color w:val="auto"/>
        </w:rPr>
      </w:pPr>
    </w:p>
    <w:p>
      <w:pPr>
        <w:ind w:left="1300" w:right="40" w:hanging="7"/>
        <w:spacing w:after="0" w:line="245" w:lineRule="auto"/>
        <w:tabs>
          <w:tab w:leader="none" w:pos="17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200" w:lineRule="exact"/>
        <w:rPr>
          <w:sz w:val="20"/>
          <w:szCs w:val="20"/>
          <w:color w:val="auto"/>
        </w:rPr>
      </w:pPr>
    </w:p>
    <w:p>
      <w:pPr>
        <w:spacing w:after="0" w:line="209" w:lineRule="exact"/>
        <w:rPr>
          <w:sz w:val="20"/>
          <w:szCs w:val="20"/>
          <w:color w:val="auto"/>
        </w:rPr>
      </w:pPr>
    </w:p>
    <w:p>
      <w:pPr>
        <w:ind w:left="1300" w:right="20" w:hanging="647"/>
        <w:spacing w:after="0" w:line="246" w:lineRule="auto"/>
        <w:tabs>
          <w:tab w:leader="none" w:pos="1280" w:val="left"/>
        </w:tabs>
        <w:rPr>
          <w:sz w:val="20"/>
          <w:szCs w:val="20"/>
          <w:color w:val="auto"/>
        </w:rPr>
      </w:pPr>
      <w:r>
        <w:rPr>
          <w:rFonts w:ascii="Arial" w:cs="Arial" w:eastAsia="Arial" w:hAnsi="Arial"/>
          <w:sz w:val="22"/>
          <w:szCs w:val="22"/>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200" w:lineRule="exact"/>
        <w:rPr>
          <w:sz w:val="20"/>
          <w:szCs w:val="20"/>
          <w:color w:val="auto"/>
        </w:rPr>
      </w:pPr>
    </w:p>
    <w:p>
      <w:pPr>
        <w:spacing w:after="0" w:line="211" w:lineRule="exact"/>
        <w:rPr>
          <w:sz w:val="20"/>
          <w:szCs w:val="20"/>
          <w:color w:val="auto"/>
        </w:rPr>
      </w:pPr>
    </w:p>
    <w:p>
      <w:pPr>
        <w:ind w:left="1300" w:hanging="647"/>
        <w:spacing w:after="0" w:line="246" w:lineRule="auto"/>
        <w:tabs>
          <w:tab w:leader="none" w:pos="1280" w:val="left"/>
        </w:tabs>
        <w:rPr>
          <w:sz w:val="20"/>
          <w:szCs w:val="20"/>
          <w:color w:val="auto"/>
        </w:rPr>
      </w:pPr>
      <w:r>
        <w:rPr>
          <w:rFonts w:ascii="Arial" w:cs="Arial" w:eastAsia="Arial" w:hAnsi="Arial"/>
          <w:sz w:val="22"/>
          <w:szCs w:val="22"/>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200" w:lineRule="exact"/>
        <w:rPr>
          <w:sz w:val="20"/>
          <w:szCs w:val="20"/>
          <w:color w:val="auto"/>
        </w:rPr>
      </w:pPr>
    </w:p>
    <w:p>
      <w:pPr>
        <w:spacing w:after="0" w:line="24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20"/>
          </w:cols>
          <w:pgMar w:left="900" w:top="847" w:right="279" w:bottom="1440" w:gutter="0" w:footer="0" w:header="0"/>
        </w:sectPr>
      </w:pPr>
    </w:p>
    <w:bookmarkStart w:id="152" w:name="page153"/>
    <w:bookmarkEnd w:id="152"/>
    <w:p>
      <w:pPr>
        <w:ind w:left="1300" w:right="100" w:hanging="647"/>
        <w:spacing w:after="0" w:line="259" w:lineRule="auto"/>
        <w:tabs>
          <w:tab w:leader="none" w:pos="128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21"/>
          <w:szCs w:val="21"/>
          <w:color w:val="auto"/>
        </w:rPr>
        <w:t>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Arial" w:cs="Arial" w:eastAsia="Arial" w:hAnsi="Arial"/>
          <w:sz w:val="21"/>
          <w:szCs w:val="21"/>
          <w:u w:val="single" w:color="auto"/>
          <w:color w:val="auto"/>
        </w:rPr>
        <w:t>Relevant Event</w:t>
      </w:r>
      <w:r>
        <w:rPr>
          <w:rFonts w:ascii="Arial" w:cs="Arial" w:eastAsia="Arial" w:hAnsi="Arial"/>
          <w:sz w:val="21"/>
          <w:szCs w:val="21"/>
          <w:color w:val="auto"/>
        </w:rPr>
        <w:t>”); and (2) the Relevant Event continues for thirty (30) consecutive days after written notice has been provided to the Licensee describing the nature of the event or activity creating the problem for the privileged license.</w:t>
      </w:r>
    </w:p>
    <w:p>
      <w:pPr>
        <w:spacing w:after="0" w:line="400" w:lineRule="exact"/>
        <w:rPr>
          <w:sz w:val="20"/>
          <w:szCs w:val="20"/>
          <w:color w:val="auto"/>
        </w:rPr>
      </w:pPr>
    </w:p>
    <w:p>
      <w:pPr>
        <w:ind w:left="1300" w:hanging="647"/>
        <w:spacing w:after="0" w:line="292" w:lineRule="auto"/>
        <w:tabs>
          <w:tab w:leader="none" w:pos="128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color w:val="auto"/>
        </w:rPr>
        <w:t xml:space="preserve">Upon the termination of any agreement between Licensor and any third party for the license of any of the Licensed Property, including but not limited to termination of any of the agreements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368" w:lineRule="exact"/>
        <w:rPr>
          <w:sz w:val="20"/>
          <w:szCs w:val="20"/>
          <w:color w:val="auto"/>
        </w:rPr>
      </w:pPr>
    </w:p>
    <w:p>
      <w:pPr>
        <w:ind w:left="1300" w:right="240" w:hanging="647"/>
        <w:spacing w:after="0" w:line="291" w:lineRule="auto"/>
        <w:tabs>
          <w:tab w:leader="none" w:pos="128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color w:val="auto"/>
        </w:rPr>
        <w:t>This Agreement shall automatically terminate one month after the occurrence of either of the following events: (1) Limited ceases to own, directly or indirectly a majority of the member’s interest of Licensee, or</w:t>
      </w:r>
    </w:p>
    <w:p>
      <w:pPr>
        <w:spacing w:after="0" w:line="1" w:lineRule="exact"/>
        <w:rPr>
          <w:sz w:val="20"/>
          <w:szCs w:val="20"/>
          <w:color w:val="auto"/>
        </w:rPr>
      </w:pPr>
    </w:p>
    <w:p>
      <w:pPr>
        <w:ind w:left="1300" w:right="540" w:hanging="7"/>
        <w:spacing w:after="0" w:line="246" w:lineRule="auto"/>
        <w:tabs>
          <w:tab w:leader="none" w:pos="1618" w:val="left"/>
        </w:tabs>
        <w:numPr>
          <w:ilvl w:val="0"/>
          <w:numId w:val="57"/>
        </w:numPr>
        <w:rPr>
          <w:rFonts w:ascii="Arial" w:cs="Arial" w:eastAsia="Arial" w:hAnsi="Arial"/>
          <w:sz w:val="22"/>
          <w:szCs w:val="22"/>
          <w:color w:val="auto"/>
        </w:rPr>
      </w:pPr>
      <w:r>
        <w:rPr>
          <w:rFonts w:ascii="Arial" w:cs="Arial" w:eastAsia="Arial" w:hAnsi="Arial"/>
          <w:sz w:val="22"/>
          <w:szCs w:val="22"/>
          <w:color w:val="auto"/>
        </w:rPr>
        <w:t>Limited ceases to have the ability to direct or cause the direction of the management and policies of Licensee.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58" w:lineRule="auto"/>
        <w:tabs>
          <w:tab w:leader="none" w:pos="1280" w:val="left"/>
        </w:tabs>
        <w:rPr>
          <w:sz w:val="20"/>
          <w:szCs w:val="20"/>
          <w:color w:val="auto"/>
        </w:rPr>
      </w:pPr>
      <w:r>
        <w:rPr>
          <w:rFonts w:ascii="Arial" w:cs="Arial" w:eastAsia="Arial" w:hAnsi="Arial"/>
          <w:sz w:val="22"/>
          <w:szCs w:val="22"/>
          <w:color w:val="auto"/>
        </w:rPr>
        <w:t>8.01</w:t>
      </w:r>
      <w:r>
        <w:rPr>
          <w:sz w:val="20"/>
          <w:szCs w:val="20"/>
          <w:color w:val="auto"/>
        </w:rPr>
        <w:tab/>
      </w:r>
      <w:r>
        <w:rPr>
          <w:rFonts w:ascii="Arial" w:cs="Arial" w:eastAsia="Arial" w:hAnsi="Arial"/>
          <w:sz w:val="21"/>
          <w:szCs w:val="21"/>
          <w:color w:val="auto"/>
        </w:rPr>
        <w:t>Licensee agrees to obtain, or cause to be obtained,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 insurance company, acceptable to Limited, providing coverage and defense. The coverage for each occurrence shall be at least US$5,000,000 with the deductible or self-insurance retention not greater than US$500,000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200" w:lineRule="exact"/>
        <w:rPr>
          <w:sz w:val="20"/>
          <w:szCs w:val="20"/>
          <w:color w:val="auto"/>
        </w:rPr>
      </w:pPr>
    </w:p>
    <w:p>
      <w:pPr>
        <w:spacing w:after="0" w:line="226"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0"/>
          </w:cols>
          <w:pgMar w:left="900" w:top="847" w:right="239" w:bottom="1440" w:gutter="0" w:footer="0" w:header="0"/>
        </w:sectPr>
      </w:pPr>
    </w:p>
    <w:bookmarkStart w:id="153" w:name="page154"/>
    <w:bookmarkEnd w:id="153"/>
    <w:p>
      <w:pPr>
        <w:ind w:left="1920" w:right="440" w:hanging="647"/>
        <w:spacing w:after="0" w:line="250" w:lineRule="auto"/>
        <w:tabs>
          <w:tab w:leader="none" w:pos="1900" w:val="left"/>
        </w:tabs>
        <w:rPr>
          <w:sz w:val="20"/>
          <w:szCs w:val="20"/>
          <w:color w:val="auto"/>
        </w:rPr>
      </w:pPr>
      <w:r>
        <w:rPr>
          <w:rFonts w:ascii="Arial" w:cs="Arial" w:eastAsia="Arial" w:hAnsi="Arial"/>
          <w:sz w:val="22"/>
          <w:szCs w:val="22"/>
          <w:color w:val="auto"/>
        </w:rPr>
        <w:t>8.02</w:t>
        <w:tab/>
        <w:t>Licensor shall defend, indemnify and hold Licensee and all of Licensee’s directors, officers, employees, agents, affiliates, sublicensees, sublessors and assigns (collectively, the “</w:t>
      </w:r>
      <w:r>
        <w:rPr>
          <w:rFonts w:ascii="Arial" w:cs="Arial" w:eastAsia="Arial" w:hAnsi="Arial"/>
          <w:sz w:val="22"/>
          <w:szCs w:val="22"/>
          <w:u w:val="single" w:color="auto"/>
          <w:color w:val="auto"/>
        </w:rPr>
        <w:t>Licensed Protected Parties</w:t>
      </w:r>
      <w:r>
        <w:rPr>
          <w:rFonts w:ascii="Arial" w:cs="Arial" w:eastAsia="Arial" w:hAnsi="Arial"/>
          <w:sz w:val="22"/>
          <w:szCs w:val="22"/>
          <w:color w:val="auto"/>
        </w:rPr>
        <w:t>”) harmless from and against any demand, claims and losses arising from any third party claim alleging infringement of Licensed Property.</w:t>
      </w:r>
    </w:p>
    <w:p>
      <w:pPr>
        <w:spacing w:after="0" w:line="200" w:lineRule="exact"/>
        <w:rPr>
          <w:sz w:val="20"/>
          <w:szCs w:val="20"/>
          <w:color w:val="auto"/>
        </w:rPr>
      </w:pPr>
    </w:p>
    <w:p>
      <w:pPr>
        <w:spacing w:after="0" w:line="205" w:lineRule="exact"/>
        <w:rPr>
          <w:sz w:val="20"/>
          <w:szCs w:val="20"/>
          <w:color w:val="auto"/>
        </w:rPr>
      </w:pPr>
    </w:p>
    <w:p>
      <w:pPr>
        <w:ind w:left="1920" w:hanging="647"/>
        <w:spacing w:after="0" w:line="302" w:lineRule="auto"/>
        <w:tabs>
          <w:tab w:leader="none" w:pos="190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19"/>
          <w:szCs w:val="19"/>
          <w:color w:val="auto"/>
        </w:rPr>
        <w:t>Licensee shall defend, indemnify and hold Licensor and its directors, officers, employees, agents and affiliates (collectively, “</w:t>
      </w:r>
      <w:r>
        <w:rPr>
          <w:rFonts w:ascii="Arial" w:cs="Arial" w:eastAsia="Arial" w:hAnsi="Arial"/>
          <w:sz w:val="19"/>
          <w:szCs w:val="19"/>
          <w:u w:val="single" w:color="auto"/>
          <w:color w:val="auto"/>
        </w:rPr>
        <w:t>Licensor’s Protected Parties</w:t>
      </w:r>
      <w:r>
        <w:rPr>
          <w:rFonts w:ascii="Arial" w:cs="Arial" w:eastAsia="Arial" w:hAnsi="Arial"/>
          <w:sz w:val="19"/>
          <w:szCs w:val="19"/>
          <w:color w:val="auto"/>
        </w:rPr>
        <w:t>”) harmless from and against any and all demands, claims, losses or damages by reason of premise liability or product defect or negligent design or manufacture by or for the Licensee, or arising from the Licensee’s operation of the Operations.</w:t>
      </w:r>
    </w:p>
    <w:p>
      <w:pPr>
        <w:spacing w:after="0" w:line="359" w:lineRule="exact"/>
        <w:rPr>
          <w:sz w:val="20"/>
          <w:szCs w:val="20"/>
          <w:color w:val="auto"/>
        </w:rPr>
      </w:pPr>
    </w:p>
    <w:p>
      <w:pPr>
        <w:ind w:left="1420" w:right="20" w:hanging="809"/>
        <w:spacing w:after="0" w:line="312"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60" w:type="dxa"/>
            <w:vAlign w:val="bottom"/>
            <w:gridSpan w:val="6"/>
          </w:tcPr>
          <w:p>
            <w:pPr>
              <w:spacing w:after="0"/>
              <w:rPr>
                <w:sz w:val="20"/>
                <w:szCs w:val="20"/>
                <w:color w:val="auto"/>
              </w:rPr>
            </w:pPr>
            <w:r>
              <w:rPr>
                <w:rFonts w:ascii="Arial" w:cs="Arial" w:eastAsia="Arial" w:hAnsi="Arial"/>
                <w:sz w:val="22"/>
                <w:szCs w:val="22"/>
                <w:color w:val="auto"/>
              </w:rPr>
              <w:t>To Holdings:</w:t>
            </w:r>
          </w:p>
        </w:tc>
        <w:tc>
          <w:tcPr>
            <w:tcW w:w="6960" w:type="dxa"/>
            <w:vAlign w:val="bottom"/>
          </w:tcPr>
          <w:p>
            <w:pPr>
              <w:ind w:left="460"/>
              <w:spacing w:after="0"/>
              <w:rPr>
                <w:sz w:val="20"/>
                <w:szCs w:val="20"/>
                <w:color w:val="auto"/>
              </w:rPr>
            </w:pPr>
            <w:r>
              <w:rPr>
                <w:rFonts w:ascii="Arial" w:cs="Arial" w:eastAsia="Arial" w:hAnsi="Arial"/>
                <w:sz w:val="22"/>
                <w:szCs w:val="22"/>
                <w:color w:val="auto"/>
              </w:rPr>
              <w:t>Wynn Resorts Holdings, LLC</w:t>
            </w:r>
          </w:p>
        </w:tc>
      </w:tr>
      <w:tr>
        <w:trPr>
          <w:trHeight w:val="242"/>
        </w:trPr>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2" w:lineRule="exact"/>
              <w:rPr>
                <w:sz w:val="20"/>
                <w:szCs w:val="20"/>
                <w:color w:val="auto"/>
              </w:rPr>
            </w:pPr>
            <w:r>
              <w:rPr>
                <w:rFonts w:ascii="Arial" w:cs="Arial" w:eastAsia="Arial" w:hAnsi="Arial"/>
                <w:sz w:val="22"/>
                <w:szCs w:val="22"/>
                <w:color w:val="auto"/>
                <w:w w:val="87"/>
              </w:rPr>
              <w:t>3131 Las Vegas Boulevard South, Las Vegas, Nevada 89109, United States</w:t>
            </w:r>
          </w:p>
        </w:tc>
      </w:tr>
      <w:tr>
        <w:trPr>
          <w:trHeight w:val="243"/>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Attention: General Counsel</w:t>
            </w:r>
          </w:p>
        </w:tc>
      </w:tr>
      <w:tr>
        <w:trPr>
          <w:trHeight w:val="490"/>
        </w:trPr>
        <w:tc>
          <w:tcPr>
            <w:tcW w:w="2660" w:type="dxa"/>
            <w:vAlign w:val="bottom"/>
            <w:gridSpan w:val="6"/>
          </w:tcPr>
          <w:p>
            <w:pPr>
              <w:spacing w:after="0"/>
              <w:rPr>
                <w:sz w:val="20"/>
                <w:szCs w:val="20"/>
                <w:color w:val="auto"/>
              </w:rPr>
            </w:pPr>
            <w:r>
              <w:rPr>
                <w:rFonts w:ascii="Arial" w:cs="Arial" w:eastAsia="Arial" w:hAnsi="Arial"/>
                <w:sz w:val="22"/>
                <w:szCs w:val="22"/>
                <w:color w:val="auto"/>
              </w:rPr>
              <w:t>To Limited:</w:t>
            </w:r>
          </w:p>
        </w:tc>
        <w:tc>
          <w:tcPr>
            <w:tcW w:w="6960" w:type="dxa"/>
            <w:vAlign w:val="bottom"/>
          </w:tcPr>
          <w:p>
            <w:pPr>
              <w:ind w:left="460"/>
              <w:spacing w:after="0"/>
              <w:rPr>
                <w:sz w:val="20"/>
                <w:szCs w:val="20"/>
                <w:color w:val="auto"/>
              </w:rPr>
            </w:pPr>
            <w:r>
              <w:rPr>
                <w:rFonts w:ascii="Arial" w:cs="Arial" w:eastAsia="Arial" w:hAnsi="Arial"/>
                <w:sz w:val="22"/>
                <w:szCs w:val="22"/>
                <w:color w:val="auto"/>
              </w:rPr>
              <w:t>Wynn Resorts, Limited</w:t>
            </w:r>
          </w:p>
        </w:tc>
      </w:tr>
      <w:tr>
        <w:trPr>
          <w:trHeight w:val="242"/>
        </w:trPr>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2" w:lineRule="exact"/>
              <w:rPr>
                <w:sz w:val="20"/>
                <w:szCs w:val="20"/>
                <w:color w:val="auto"/>
              </w:rPr>
            </w:pPr>
            <w:r>
              <w:rPr>
                <w:rFonts w:ascii="Arial" w:cs="Arial" w:eastAsia="Arial" w:hAnsi="Arial"/>
                <w:sz w:val="22"/>
                <w:szCs w:val="22"/>
                <w:color w:val="auto"/>
                <w:w w:val="87"/>
              </w:rPr>
              <w:t>3131 Las Vegas Boulevard South, Las Vegas, Nevada 89109, United States</w:t>
            </w:r>
          </w:p>
        </w:tc>
      </w:tr>
      <w:tr>
        <w:trPr>
          <w:trHeight w:val="243"/>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Attn: General Counsel</w:t>
            </w:r>
          </w:p>
        </w:tc>
      </w:tr>
      <w:tr>
        <w:trPr>
          <w:trHeight w:val="490"/>
        </w:trPr>
        <w:tc>
          <w:tcPr>
            <w:tcW w:w="2660" w:type="dxa"/>
            <w:vAlign w:val="bottom"/>
            <w:gridSpan w:val="6"/>
          </w:tcPr>
          <w:p>
            <w:pPr>
              <w:spacing w:after="0"/>
              <w:rPr>
                <w:sz w:val="20"/>
                <w:szCs w:val="20"/>
                <w:color w:val="auto"/>
              </w:rPr>
            </w:pPr>
            <w:r>
              <w:rPr>
                <w:rFonts w:ascii="Arial" w:cs="Arial" w:eastAsia="Arial" w:hAnsi="Arial"/>
                <w:sz w:val="22"/>
                <w:szCs w:val="22"/>
                <w:color w:val="auto"/>
              </w:rPr>
              <w:t>To Licensee:</w:t>
            </w:r>
          </w:p>
        </w:tc>
        <w:tc>
          <w:tcPr>
            <w:tcW w:w="6960" w:type="dxa"/>
            <w:vAlign w:val="bottom"/>
          </w:tcPr>
          <w:p>
            <w:pPr>
              <w:ind w:left="460"/>
              <w:spacing w:after="0"/>
              <w:rPr>
                <w:sz w:val="20"/>
                <w:szCs w:val="20"/>
                <w:color w:val="auto"/>
              </w:rPr>
            </w:pPr>
            <w:r>
              <w:rPr>
                <w:rFonts w:ascii="Arial" w:cs="Arial" w:eastAsia="Arial" w:hAnsi="Arial"/>
                <w:sz w:val="22"/>
                <w:szCs w:val="22"/>
                <w:color w:val="auto"/>
              </w:rPr>
              <w:t>Wynn MA, LLC</w:t>
            </w:r>
          </w:p>
        </w:tc>
      </w:tr>
      <w:tr>
        <w:trPr>
          <w:trHeight w:val="242"/>
        </w:trPr>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2" w:lineRule="exact"/>
              <w:rPr>
                <w:sz w:val="20"/>
                <w:szCs w:val="20"/>
                <w:color w:val="auto"/>
              </w:rPr>
            </w:pPr>
            <w:r>
              <w:rPr>
                <w:rFonts w:ascii="Arial" w:cs="Arial" w:eastAsia="Arial" w:hAnsi="Arial"/>
                <w:sz w:val="22"/>
                <w:szCs w:val="22"/>
                <w:color w:val="auto"/>
                <w:w w:val="87"/>
              </w:rPr>
              <w:t>3131 Las Vegas Boulevard South, Las Vegas, Nevada 89109, United States</w:t>
            </w:r>
          </w:p>
        </w:tc>
      </w:tr>
      <w:tr>
        <w:trPr>
          <w:trHeight w:val="243"/>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960" w:type="dxa"/>
            <w:vAlign w:val="bottom"/>
          </w:tcPr>
          <w:p>
            <w:pPr>
              <w:ind w:left="4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960" w:type="dxa"/>
            <w:vAlign w:val="bottom"/>
          </w:tcPr>
          <w:p>
            <w:pPr>
              <w:ind w:left="460"/>
              <w:spacing w:after="0"/>
              <w:rPr>
                <w:sz w:val="20"/>
                <w:szCs w:val="20"/>
                <w:color w:val="auto"/>
              </w:rPr>
            </w:pPr>
            <w:r>
              <w:rPr>
                <w:rFonts w:ascii="Arial" w:cs="Arial" w:eastAsia="Arial" w:hAnsi="Arial"/>
                <w:sz w:val="22"/>
                <w:szCs w:val="22"/>
                <w:color w:val="auto"/>
              </w:rPr>
              <w:t>Attention: General Counsel</w:t>
            </w:r>
          </w:p>
        </w:tc>
      </w:tr>
      <w:tr>
        <w:trPr>
          <w:trHeight w:val="692"/>
        </w:trPr>
        <w:tc>
          <w:tcPr>
            <w:tcW w:w="2660" w:type="dxa"/>
            <w:vAlign w:val="bottom"/>
            <w:gridSpan w:val="6"/>
          </w:tcPr>
          <w:p>
            <w:pPr>
              <w:ind w:left="620"/>
              <w:spacing w:after="0"/>
              <w:rPr>
                <w:sz w:val="20"/>
                <w:szCs w:val="20"/>
                <w:color w:val="auto"/>
              </w:rPr>
            </w:pPr>
            <w:r>
              <w:rPr>
                <w:rFonts w:ascii="Arial" w:cs="Arial" w:eastAsia="Arial" w:hAnsi="Arial"/>
                <w:sz w:val="22"/>
                <w:szCs w:val="22"/>
                <w:color w:val="auto"/>
              </w:rPr>
              <w:t>10.Miscellaneous.</w:t>
            </w:r>
          </w:p>
        </w:tc>
        <w:tc>
          <w:tcPr>
            <w:tcW w:w="696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ind w:left="1260" w:right="980"/>
        <w:spacing w:after="0" w:line="343" w:lineRule="auto"/>
        <w:rPr>
          <w:sz w:val="20"/>
          <w:szCs w:val="20"/>
          <w:color w:val="auto"/>
        </w:rPr>
      </w:pPr>
      <w:r>
        <w:rPr>
          <w:rFonts w:ascii="Arial" w:cs="Arial" w:eastAsia="Arial" w:hAnsi="Arial"/>
          <w:sz w:val="19"/>
          <w:szCs w:val="19"/>
          <w:color w:val="auto"/>
        </w:rPr>
        <w:t>10.01  The parties each represent and warrant to the other that their own officer, or other duly authorized representative executing this Agreement, has the full power and authority to do so on their behalf.</w:t>
      </w:r>
    </w:p>
    <w:p>
      <w:pPr>
        <w:spacing w:after="0" w:line="321" w:lineRule="exact"/>
        <w:rPr>
          <w:sz w:val="20"/>
          <w:szCs w:val="20"/>
          <w:color w:val="auto"/>
        </w:rPr>
      </w:pPr>
    </w:p>
    <w:p>
      <w:pPr>
        <w:ind w:left="1920" w:right="160" w:hanging="647"/>
        <w:spacing w:after="0" w:line="343" w:lineRule="auto"/>
        <w:rPr>
          <w:sz w:val="20"/>
          <w:szCs w:val="20"/>
          <w:color w:val="auto"/>
        </w:rPr>
      </w:pPr>
      <w:r>
        <w:rPr>
          <w:rFonts w:ascii="Arial" w:cs="Arial" w:eastAsia="Arial" w:hAnsi="Arial"/>
          <w:sz w:val="19"/>
          <w:szCs w:val="19"/>
          <w:color w:val="auto"/>
        </w:rPr>
        <w:t>10.02 This Agreement shall be construed without regard to the rule of presumption requiring construction against the party who drafted the agreement, or caused it to be drafted. Neither party shall be deemed to</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280" w:top="848" w:right="279" w:bottom="1440" w:gutter="0" w:footer="0" w:header="0"/>
        </w:sectPr>
      </w:pPr>
    </w:p>
    <w:bookmarkStart w:id="154" w:name="page155"/>
    <w:bookmarkEnd w:id="154"/>
    <w:p>
      <w:pPr>
        <w:ind w:left="760" w:right="280"/>
        <w:spacing w:after="0" w:line="253" w:lineRule="auto"/>
        <w:rPr>
          <w:sz w:val="20"/>
          <w:szCs w:val="20"/>
          <w:color w:val="auto"/>
        </w:rPr>
      </w:pPr>
      <w:r>
        <w:rPr>
          <w:rFonts w:ascii="Arial" w:cs="Arial" w:eastAsia="Arial" w:hAnsi="Arial"/>
          <w:sz w:val="22"/>
          <w:szCs w:val="22"/>
          <w:color w:val="auto"/>
        </w:rPr>
        <w:t>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200" w:lineRule="exact"/>
        <w:rPr>
          <w:sz w:val="20"/>
          <w:szCs w:val="20"/>
          <w:color w:val="auto"/>
        </w:rPr>
      </w:pPr>
    </w:p>
    <w:p>
      <w:pPr>
        <w:spacing w:after="0" w:line="202" w:lineRule="exact"/>
        <w:rPr>
          <w:sz w:val="20"/>
          <w:szCs w:val="20"/>
          <w:color w:val="auto"/>
        </w:rPr>
      </w:pPr>
    </w:p>
    <w:p>
      <w:pPr>
        <w:ind w:left="760" w:right="200" w:hanging="647"/>
        <w:spacing w:after="0" w:line="248" w:lineRule="auto"/>
        <w:rPr>
          <w:sz w:val="20"/>
          <w:szCs w:val="20"/>
          <w:color w:val="auto"/>
        </w:rPr>
      </w:pPr>
      <w:r>
        <w:rPr>
          <w:rFonts w:ascii="Arial" w:cs="Arial" w:eastAsia="Arial" w:hAnsi="Arial"/>
          <w:sz w:val="22"/>
          <w:szCs w:val="22"/>
          <w:color w:val="auto"/>
        </w:rPr>
        <w:t>10.03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200" w:lineRule="exact"/>
        <w:rPr>
          <w:sz w:val="20"/>
          <w:szCs w:val="20"/>
          <w:color w:val="auto"/>
        </w:rPr>
      </w:pPr>
    </w:p>
    <w:p>
      <w:pPr>
        <w:spacing w:after="0" w:line="208" w:lineRule="exact"/>
        <w:rPr>
          <w:sz w:val="20"/>
          <w:szCs w:val="20"/>
          <w:color w:val="auto"/>
        </w:rPr>
      </w:pPr>
    </w:p>
    <w:p>
      <w:pPr>
        <w:ind w:left="760" w:right="320" w:hanging="647"/>
        <w:spacing w:after="0" w:line="343" w:lineRule="auto"/>
        <w:rPr>
          <w:sz w:val="20"/>
          <w:szCs w:val="20"/>
          <w:color w:val="auto"/>
        </w:rPr>
      </w:pPr>
      <w:r>
        <w:rPr>
          <w:rFonts w:ascii="Arial" w:cs="Arial" w:eastAsia="Arial" w:hAnsi="Arial"/>
          <w:sz w:val="19"/>
          <w:szCs w:val="19"/>
          <w:color w:val="auto"/>
        </w:rPr>
        <w:t>10.04 To facilitate the execution of this Agreement by the parties, the parties may execute it in subparts, and the signature transmitted by facsimile shall have the same force and effect as the original signature.</w:t>
      </w:r>
    </w:p>
    <w:p>
      <w:pPr>
        <w:spacing w:after="0" w:line="321" w:lineRule="exact"/>
        <w:rPr>
          <w:sz w:val="20"/>
          <w:szCs w:val="20"/>
          <w:color w:val="auto"/>
        </w:rPr>
      </w:pPr>
    </w:p>
    <w:p>
      <w:pPr>
        <w:jc w:val="both"/>
        <w:ind w:left="760" w:right="200" w:hanging="647"/>
        <w:spacing w:after="0" w:line="312" w:lineRule="auto"/>
        <w:rPr>
          <w:sz w:val="20"/>
          <w:szCs w:val="20"/>
          <w:color w:val="auto"/>
        </w:rPr>
      </w:pPr>
      <w:r>
        <w:rPr>
          <w:rFonts w:ascii="Arial" w:cs="Arial" w:eastAsia="Arial" w:hAnsi="Arial"/>
          <w:sz w:val="19"/>
          <w:szCs w:val="19"/>
          <w:color w:val="auto"/>
        </w:rPr>
        <w:t>10.05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50" w:lineRule="exact"/>
        <w:rPr>
          <w:sz w:val="20"/>
          <w:szCs w:val="20"/>
          <w:color w:val="auto"/>
        </w:rPr>
      </w:pPr>
    </w:p>
    <w:p>
      <w:pPr>
        <w:ind w:left="760" w:right="80" w:hanging="647"/>
        <w:spacing w:after="0" w:line="302" w:lineRule="auto"/>
        <w:rPr>
          <w:sz w:val="20"/>
          <w:szCs w:val="20"/>
          <w:color w:val="auto"/>
        </w:rPr>
      </w:pPr>
      <w:r>
        <w:rPr>
          <w:rFonts w:ascii="Arial" w:cs="Arial" w:eastAsia="Arial" w:hAnsi="Arial"/>
          <w:sz w:val="19"/>
          <w:szCs w:val="19"/>
          <w:color w:val="auto"/>
        </w:rPr>
        <w:t>10.06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spacing w:after="0" w:line="359" w:lineRule="exact"/>
        <w:rPr>
          <w:sz w:val="20"/>
          <w:szCs w:val="20"/>
          <w:color w:val="auto"/>
        </w:rPr>
      </w:pPr>
    </w:p>
    <w:p>
      <w:pPr>
        <w:ind w:left="760" w:right="100" w:hanging="647"/>
        <w:spacing w:after="0" w:line="343" w:lineRule="auto"/>
        <w:rPr>
          <w:sz w:val="20"/>
          <w:szCs w:val="20"/>
          <w:color w:val="auto"/>
        </w:rPr>
      </w:pPr>
      <w:r>
        <w:rPr>
          <w:rFonts w:ascii="Arial" w:cs="Arial" w:eastAsia="Arial" w:hAnsi="Arial"/>
          <w:sz w:val="19"/>
          <w:szCs w:val="19"/>
          <w:color w:val="auto"/>
        </w:rPr>
        <w:t>10.07 The schedules form part of this Agreement and shall have the same force and effect as if expressly set out in the body of this Agreement, and any reference to this Agreement shall include the schedules.</w:t>
      </w:r>
    </w:p>
    <w:p>
      <w:pPr>
        <w:spacing w:after="0" w:line="321" w:lineRule="exact"/>
        <w:rPr>
          <w:sz w:val="20"/>
          <w:szCs w:val="20"/>
          <w:color w:val="auto"/>
        </w:rPr>
      </w:pPr>
    </w:p>
    <w:p>
      <w:pPr>
        <w:ind w:left="760" w:hanging="647"/>
        <w:spacing w:after="0" w:line="292" w:lineRule="auto"/>
        <w:rPr>
          <w:sz w:val="20"/>
          <w:szCs w:val="20"/>
          <w:color w:val="auto"/>
        </w:rPr>
      </w:pPr>
      <w:r>
        <w:rPr>
          <w:rFonts w:ascii="Arial" w:cs="Arial" w:eastAsia="Arial" w:hAnsi="Arial"/>
          <w:sz w:val="19"/>
          <w:szCs w:val="19"/>
          <w:color w:val="auto"/>
        </w:rPr>
        <w:t>10.08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5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[signature pages to follow]</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00"/>
          </w:cols>
          <w:pgMar w:left="1440" w:top="847" w:right="25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color w:val="auto"/>
        </w:rPr>
        <w:t>In Witness Whereof, the parties have caused this Agreement to be duly executed as of the Effective Date.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LIMITED</w:t>
      </w:r>
    </w:p>
    <w:p>
      <w:pPr>
        <w:spacing w:after="0" w:line="200" w:lineRule="exact"/>
        <w:rPr>
          <w:sz w:val="20"/>
          <w:szCs w:val="20"/>
          <w:color w:val="auto"/>
        </w:rPr>
      </w:pPr>
    </w:p>
    <w:p>
      <w:pPr>
        <w:spacing w:after="0" w:line="32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/s/ Stephen Cootey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Its: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RESORTS HOLDINGS, LLC</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By: Wynn Resorts, Limited, its sole member</w:t>
      </w:r>
    </w:p>
    <w:p>
      <w:pPr>
        <w:spacing w:after="0" w:line="200" w:lineRule="exact"/>
        <w:rPr>
          <w:sz w:val="20"/>
          <w:szCs w:val="20"/>
          <w:color w:val="auto"/>
        </w:rPr>
      </w:pPr>
    </w:p>
    <w:p>
      <w:pPr>
        <w:spacing w:after="0" w:line="32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/s/ Stephen Cootey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Its: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MA, LLC</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By: Wynn America, LLC, its sole member</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By: Wynn Resorts Holdings, LLC, its sole member</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By: Wynn Resorts, Limited, its sole member</w:t>
      </w:r>
    </w:p>
    <w:p>
      <w:pPr>
        <w:spacing w:after="0" w:line="200" w:lineRule="exact"/>
        <w:rPr>
          <w:sz w:val="20"/>
          <w:szCs w:val="20"/>
          <w:color w:val="auto"/>
        </w:rPr>
      </w:pPr>
    </w:p>
    <w:p>
      <w:pPr>
        <w:spacing w:after="0" w:line="32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/s/ Stephen Cootey</w:t>
      </w:r>
    </w:p>
    <w:p>
      <w:pPr>
        <w:spacing w:after="0" w:line="26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Its: Chief Financial Officer and Treasurer</w:t>
      </w:r>
    </w:p>
    <w:p>
      <w:pPr>
        <w:sectPr>
          <w:pgSz w:w="11900" w:h="16838" w:orient="portrait"/>
          <w:cols w:equalWidth="0" w:num="1">
            <w:col w:w="10219"/>
          </w:cols>
          <w:pgMar w:left="240" w:top="631"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Schedule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LICENSORS MARKS AND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 A</w:t>
      </w:r>
    </w:p>
    <w:p>
      <w:pPr>
        <w:sectPr>
          <w:pgSz w:w="11900" w:h="16838" w:orient="portrait"/>
          <w:cols w:equalWidth="0" w:num="1">
            <w:col w:w="9019"/>
          </w:cols>
          <w:pgMar w:left="1440" w:top="625" w:right="1440" w:bottom="1440" w:gutter="0" w:footer="0" w:header="0"/>
        </w:sectPr>
      </w:pPr>
    </w:p>
    <w:bookmarkStart w:id="157" w:name="page158"/>
    <w:bookmarkEnd w:id="157"/>
    <w:p>
      <w:pPr>
        <w:jc w:val="center"/>
        <w:ind w:right="-279"/>
        <w:spacing w:after="0"/>
        <w:rPr>
          <w:sz w:val="20"/>
          <w:szCs w:val="20"/>
          <w:color w:val="auto"/>
        </w:rPr>
      </w:pPr>
      <w:r>
        <w:rPr>
          <w:rFonts w:ascii="Arial" w:cs="Arial" w:eastAsia="Arial" w:hAnsi="Arial"/>
          <w:sz w:val="22"/>
          <w:szCs w:val="22"/>
          <w:b w:val="1"/>
          <w:bCs w:val="1"/>
          <w:color w:val="auto"/>
        </w:rPr>
        <w:t>Schedule B</w:t>
      </w:r>
    </w:p>
    <w:p>
      <w:pPr>
        <w:spacing w:after="0" w:line="26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THIRD PARTY RIGHTS AND WORKS</w:t>
      </w:r>
    </w:p>
    <w:p>
      <w:pPr>
        <w:spacing w:after="0" w:line="200" w:lineRule="exact"/>
        <w:rPr>
          <w:sz w:val="20"/>
          <w:szCs w:val="20"/>
          <w:color w:val="auto"/>
        </w:rPr>
      </w:pPr>
    </w:p>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rights which are the subject of the Surname Rights Agreement dated as of August 6, 2004, by and between Stephen A. Wynn and Wynn Resorts Holdings, LLC.</w:t>
      </w:r>
    </w:p>
    <w:p>
      <w:pPr>
        <w:spacing w:after="0" w:line="21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All rights which are the subject of the Rights of Publicity License dated as of August 6, 2004, by and between Stephen A. Wynn and Wynn Resorts Holdings, LLC.</w:t>
      </w:r>
    </w:p>
    <w:p>
      <w:pPr>
        <w:spacing w:after="0" w:line="215" w:lineRule="exact"/>
        <w:rPr>
          <w:sz w:val="20"/>
          <w:szCs w:val="20"/>
          <w:color w:val="auto"/>
        </w:rPr>
      </w:pPr>
    </w:p>
    <w:p>
      <w:pPr>
        <w:ind w:right="3320"/>
        <w:spacing w:after="0" w:line="287" w:lineRule="auto"/>
        <w:rPr>
          <w:sz w:val="20"/>
          <w:szCs w:val="20"/>
          <w:color w:val="auto"/>
        </w:rPr>
      </w:pPr>
      <w:r>
        <w:rPr>
          <w:rFonts w:ascii="Arial" w:cs="Arial" w:eastAsia="Arial" w:hAnsi="Arial"/>
          <w:sz w:val="21"/>
          <w:szCs w:val="21"/>
          <w:color w:val="auto"/>
        </w:rPr>
        <w:t>All rights which are the subject of the Trademark Assignment, dated as of August 6, 2004, by and between Stephen A. Wynn and Wynn Resorts Holdings, LLC.</w:t>
      </w: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Sch. B</w:t>
      </w:r>
    </w:p>
    <w:p>
      <w:pPr>
        <w:sectPr>
          <w:pgSz w:w="11900" w:h="16838" w:orient="portrait"/>
          <w:cols w:equalWidth="0" w:num="1">
            <w:col w:w="11140"/>
          </w:cols>
          <w:pgMar w:left="240" w:top="625" w:right="519" w:bottom="1440" w:gutter="0" w:footer="0" w:header="0"/>
        </w:sectPr>
      </w:pPr>
    </w:p>
    <w:bookmarkStart w:id="158" w:name="page159"/>
    <w:bookmarkEnd w:id="158"/>
    <w:p>
      <w:pPr>
        <w:jc w:val="center"/>
        <w:ind w:right="-591"/>
        <w:spacing w:after="0"/>
        <w:rPr>
          <w:sz w:val="20"/>
          <w:szCs w:val="20"/>
          <w:color w:val="auto"/>
        </w:rPr>
      </w:pPr>
      <w:r>
        <w:rPr>
          <w:rFonts w:ascii="Arial" w:cs="Arial" w:eastAsia="Arial" w:hAnsi="Arial"/>
          <w:sz w:val="22"/>
          <w:szCs w:val="22"/>
          <w:b w:val="1"/>
          <w:bCs w:val="1"/>
          <w:color w:val="auto"/>
        </w:rPr>
        <w:t>Schedule C</w:t>
      </w:r>
    </w:p>
    <w:p>
      <w:pPr>
        <w:spacing w:after="0" w:line="260" w:lineRule="exact"/>
        <w:rPr>
          <w:sz w:val="20"/>
          <w:szCs w:val="20"/>
          <w:color w:val="auto"/>
        </w:rPr>
      </w:pPr>
    </w:p>
    <w:p>
      <w:pPr>
        <w:ind w:left="3512"/>
        <w:spacing w:after="0"/>
        <w:rPr>
          <w:sz w:val="20"/>
          <w:szCs w:val="20"/>
          <w:color w:val="auto"/>
        </w:rPr>
      </w:pPr>
      <w:r>
        <w:rPr>
          <w:rFonts w:ascii="Arial" w:cs="Arial" w:eastAsia="Arial" w:hAnsi="Arial"/>
          <w:sz w:val="22"/>
          <w:szCs w:val="22"/>
          <w:b w:val="1"/>
          <w:bCs w:val="1"/>
          <w:color w:val="auto"/>
        </w:rPr>
        <w:t>TRADE SECRETS, DATA AND KNOW-HOW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2" w:hanging="652"/>
        <w:spacing w:after="0" w:line="486" w:lineRule="auto"/>
        <w:tabs>
          <w:tab w:leader="none" w:pos="6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Customer Lists, include, but not limited to, all customer data and information that may reside on Licensee’s computer systems.</w:t>
      </w:r>
    </w:p>
    <w:p>
      <w:pPr>
        <w:spacing w:after="0" w:line="1"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Marketing Concepts, Design and Coordination</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Payout Ratio Computation Formulas</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Employee Training Manuals</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Security Know How</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Casino Operations Know How</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Cash Handling Systems</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Regulatory Compliance Procedures</w:t>
      </w:r>
    </w:p>
    <w:p>
      <w:pPr>
        <w:spacing w:after="0" w:line="260" w:lineRule="exact"/>
        <w:rPr>
          <w:rFonts w:ascii="Arial" w:cs="Arial" w:eastAsia="Arial" w:hAnsi="Arial"/>
          <w:sz w:val="22"/>
          <w:szCs w:val="22"/>
          <w:color w:val="auto"/>
        </w:rPr>
      </w:pPr>
    </w:p>
    <w:p>
      <w:pPr>
        <w:ind w:left="372" w:hanging="372"/>
        <w:spacing w:after="0"/>
        <w:tabs>
          <w:tab w:leader="none" w:pos="3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Insurance Know How</w:t>
      </w:r>
    </w:p>
    <w:p>
      <w:pPr>
        <w:spacing w:after="0" w:line="260" w:lineRule="exact"/>
        <w:rPr>
          <w:rFonts w:ascii="Arial" w:cs="Arial" w:eastAsia="Arial" w:hAnsi="Arial"/>
          <w:sz w:val="22"/>
          <w:szCs w:val="22"/>
          <w:color w:val="auto"/>
        </w:rPr>
      </w:pPr>
    </w:p>
    <w:p>
      <w:pPr>
        <w:ind w:left="492" w:hanging="492"/>
        <w:spacing w:after="0"/>
        <w:tabs>
          <w:tab w:leader="none" w:pos="4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Human Resources Know How</w:t>
      </w:r>
    </w:p>
    <w:p>
      <w:pPr>
        <w:spacing w:after="0" w:line="260" w:lineRule="exact"/>
        <w:rPr>
          <w:rFonts w:ascii="Arial" w:cs="Arial" w:eastAsia="Arial" w:hAnsi="Arial"/>
          <w:sz w:val="22"/>
          <w:szCs w:val="22"/>
          <w:color w:val="auto"/>
        </w:rPr>
      </w:pPr>
    </w:p>
    <w:p>
      <w:pPr>
        <w:ind w:left="472" w:hanging="472"/>
        <w:spacing w:after="0"/>
        <w:tabs>
          <w:tab w:leader="none" w:pos="47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IT Development Know How</w:t>
      </w:r>
    </w:p>
    <w:p>
      <w:pPr>
        <w:spacing w:after="0" w:line="260" w:lineRule="exact"/>
        <w:rPr>
          <w:rFonts w:ascii="Arial" w:cs="Arial" w:eastAsia="Arial" w:hAnsi="Arial"/>
          <w:sz w:val="22"/>
          <w:szCs w:val="22"/>
          <w:color w:val="auto"/>
        </w:rPr>
      </w:pPr>
    </w:p>
    <w:p>
      <w:pPr>
        <w:ind w:left="492" w:hanging="492"/>
        <w:spacing w:after="0"/>
        <w:tabs>
          <w:tab w:leader="none" w:pos="4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Investor Relations Know How</w:t>
      </w:r>
    </w:p>
    <w:p>
      <w:pPr>
        <w:spacing w:after="0" w:line="260" w:lineRule="exact"/>
        <w:rPr>
          <w:rFonts w:ascii="Arial" w:cs="Arial" w:eastAsia="Arial" w:hAnsi="Arial"/>
          <w:sz w:val="22"/>
          <w:szCs w:val="22"/>
          <w:color w:val="auto"/>
        </w:rPr>
      </w:pPr>
    </w:p>
    <w:p>
      <w:pPr>
        <w:ind w:left="492" w:hanging="492"/>
        <w:spacing w:after="0"/>
        <w:tabs>
          <w:tab w:leader="none" w:pos="4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Community Relations Know How</w:t>
      </w:r>
    </w:p>
    <w:p>
      <w:pPr>
        <w:spacing w:after="0" w:line="260" w:lineRule="exact"/>
        <w:rPr>
          <w:rFonts w:ascii="Arial" w:cs="Arial" w:eastAsia="Arial" w:hAnsi="Arial"/>
          <w:sz w:val="22"/>
          <w:szCs w:val="22"/>
          <w:color w:val="auto"/>
        </w:rPr>
      </w:pPr>
    </w:p>
    <w:p>
      <w:pPr>
        <w:ind w:left="492" w:hanging="492"/>
        <w:spacing w:after="0"/>
        <w:tabs>
          <w:tab w:leader="none" w:pos="4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Development Know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12"/>
        <w:spacing w:after="0"/>
        <w:rPr>
          <w:sz w:val="20"/>
          <w:szCs w:val="20"/>
          <w:color w:val="auto"/>
        </w:rPr>
      </w:pPr>
      <w:r>
        <w:rPr>
          <w:rFonts w:ascii="Arial" w:cs="Arial" w:eastAsia="Arial" w:hAnsi="Arial"/>
          <w:sz w:val="22"/>
          <w:szCs w:val="22"/>
          <w:color w:val="auto"/>
        </w:rPr>
        <w:t>Sch. C</w:t>
      </w:r>
    </w:p>
    <w:p>
      <w:pPr>
        <w:sectPr>
          <w:pgSz w:w="11900" w:h="16838" w:orient="portrait"/>
          <w:cols w:equalWidth="0" w:num="1">
            <w:col w:w="10812"/>
          </w:cols>
          <w:pgMar w:left="248" w:top="626" w:right="8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2280"/>
              <w:spacing w:after="0"/>
              <w:rPr>
                <w:sz w:val="20"/>
                <w:szCs w:val="20"/>
                <w:color w:val="auto"/>
              </w:rPr>
            </w:pPr>
            <w:r>
              <w:rPr>
                <w:rFonts w:ascii="Arial" w:cs="Arial" w:eastAsia="Arial" w:hAnsi="Arial"/>
                <w:sz w:val="22"/>
                <w:szCs w:val="22"/>
                <w:b w:val="1"/>
                <w:bCs w:val="1"/>
                <w:color w:val="auto"/>
              </w:rPr>
              <w:t>Schedule D</w:t>
            </w:r>
          </w:p>
        </w:tc>
      </w:tr>
      <w:tr>
        <w:trPr>
          <w:trHeight w:val="689"/>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1960"/>
              <w:spacing w:after="0"/>
              <w:rPr>
                <w:sz w:val="20"/>
                <w:szCs w:val="20"/>
                <w:color w:val="auto"/>
              </w:rPr>
            </w:pPr>
            <w:r>
              <w:rPr>
                <w:rFonts w:ascii="Arial" w:cs="Arial" w:eastAsia="Arial" w:hAnsi="Arial"/>
                <w:sz w:val="22"/>
                <w:szCs w:val="22"/>
                <w:b w:val="1"/>
                <w:bCs w:val="1"/>
                <w:color w:val="auto"/>
              </w:rPr>
              <w:t>LICENSING FEE</w:t>
            </w:r>
          </w:p>
        </w:tc>
      </w:tr>
      <w:tr>
        <w:trPr>
          <w:trHeight w:val="827"/>
        </w:trPr>
        <w:tc>
          <w:tcPr>
            <w:tcW w:w="2880" w:type="dxa"/>
            <w:vAlign w:val="bottom"/>
            <w:gridSpan w:val="3"/>
          </w:tcPr>
          <w:p>
            <w:pPr>
              <w:spacing w:after="0"/>
              <w:rPr>
                <w:sz w:val="20"/>
                <w:szCs w:val="20"/>
                <w:color w:val="auto"/>
              </w:rPr>
            </w:pPr>
            <w:r>
              <w:rPr>
                <w:rFonts w:ascii="Arial" w:cs="Arial" w:eastAsia="Arial" w:hAnsi="Arial"/>
                <w:sz w:val="22"/>
                <w:szCs w:val="22"/>
                <w:b w:val="1"/>
                <w:bCs w:val="1"/>
                <w:color w:val="auto"/>
              </w:rPr>
              <w:t>Licensing Fee:</w:t>
            </w:r>
          </w:p>
        </w:tc>
        <w:tc>
          <w:tcPr>
            <w:tcW w:w="8220" w:type="dxa"/>
            <w:vAlign w:val="bottom"/>
          </w:tcPr>
          <w:p>
            <w:pPr>
              <w:ind w:left="940"/>
              <w:spacing w:after="0"/>
              <w:rPr>
                <w:sz w:val="20"/>
                <w:szCs w:val="20"/>
                <w:color w:val="auto"/>
              </w:rPr>
            </w:pPr>
            <w:r>
              <w:rPr>
                <w:rFonts w:ascii="Arial" w:cs="Arial" w:eastAsia="Arial" w:hAnsi="Arial"/>
                <w:sz w:val="22"/>
                <w:szCs w:val="22"/>
                <w:color w:val="auto"/>
                <w:w w:val="93"/>
              </w:rPr>
              <w:t>Prior to the opening of the Operations to the general public Licensee shall pay a</w:t>
            </w:r>
          </w:p>
        </w:tc>
      </w:tr>
      <w:tr>
        <w:trPr>
          <w:trHeight w:val="242"/>
        </w:trPr>
        <w:tc>
          <w:tcPr>
            <w:tcW w:w="1340" w:type="dxa"/>
            <w:vAlign w:val="bottom"/>
            <w:tcBorders>
              <w:top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2" w:lineRule="exact"/>
              <w:rPr>
                <w:sz w:val="20"/>
                <w:szCs w:val="20"/>
                <w:color w:val="auto"/>
              </w:rPr>
            </w:pPr>
            <w:r>
              <w:rPr>
                <w:rFonts w:ascii="Arial" w:cs="Arial" w:eastAsia="Arial" w:hAnsi="Arial"/>
                <w:sz w:val="22"/>
                <w:szCs w:val="22"/>
                <w:color w:val="auto"/>
                <w:w w:val="90"/>
              </w:rPr>
              <w:t>monthly licensing fee of One Million Five Hundred Thousand Dollars ($1,500,000).</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0"/>
              </w:rPr>
              <w:t>Commencing on the date that the Operations open to the general public, Licensee</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7"/>
              </w:rPr>
              <w:t>shall pay a monthly Licensing Fee to Licensor equal to three percent (3%) of</w:t>
            </w:r>
          </w:p>
        </w:tc>
      </w:tr>
      <w:tr>
        <w:trPr>
          <w:trHeight w:val="275"/>
        </w:trPr>
        <w:tc>
          <w:tcPr>
            <w:tcW w:w="1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20" w:type="dxa"/>
            <w:vAlign w:val="bottom"/>
          </w:tcPr>
          <w:p>
            <w:pPr>
              <w:ind w:left="940"/>
              <w:spacing w:after="0"/>
              <w:rPr>
                <w:sz w:val="20"/>
                <w:szCs w:val="20"/>
                <w:color w:val="auto"/>
              </w:rPr>
            </w:pPr>
            <w:r>
              <w:rPr>
                <w:rFonts w:ascii="Arial" w:cs="Arial" w:eastAsia="Arial" w:hAnsi="Arial"/>
                <w:sz w:val="22"/>
                <w:szCs w:val="22"/>
                <w:color w:val="auto"/>
              </w:rPr>
              <w:t>Licensee’s IP gross monthly revenues</w:t>
            </w:r>
          </w:p>
        </w:tc>
      </w:tr>
      <w:tr>
        <w:trPr>
          <w:trHeight w:val="455"/>
        </w:trPr>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940"/>
              <w:spacing w:after="0"/>
              <w:rPr>
                <w:sz w:val="20"/>
                <w:szCs w:val="20"/>
                <w:color w:val="auto"/>
              </w:rPr>
            </w:pPr>
            <w:r>
              <w:rPr>
                <w:rFonts w:ascii="Arial" w:cs="Arial" w:eastAsia="Arial" w:hAnsi="Arial"/>
                <w:sz w:val="22"/>
                <w:szCs w:val="22"/>
                <w:color w:val="auto"/>
                <w:w w:val="89"/>
              </w:rPr>
              <w:t>For the avoidance of doubt, a reference to “IP gross monthly revenues” refers to the</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87"/>
              </w:rPr>
              <w:t>Licensee’s IP gross revenues at the end of each calendar month. “IP gross revenues”</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0"/>
              </w:rPr>
              <w:t>refers to Licensee’s total operating revenues as adjusted by adding back discounts</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4"/>
              </w:rPr>
              <w:t>and promotional allowances. The calculation of Licensee’s operating revenues,</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0"/>
              </w:rPr>
              <w:t>promotional allowances, and discounts in connection with the IP gross revenues in</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5"/>
              </w:rPr>
              <w:t>connection with this Agreement shall always be consistent with the Licensee’s</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9"/>
              </w:rPr>
              <w:t>accounting policies. If any subsidiary of the Licensee requires the Licensed</w:t>
            </w:r>
          </w:p>
        </w:tc>
      </w:tr>
      <w:tr>
        <w:trPr>
          <w:trHeight w:val="243"/>
        </w:trPr>
        <w:tc>
          <w:tcPr>
            <w:tcW w:w="1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3" w:lineRule="exact"/>
              <w:rPr>
                <w:sz w:val="20"/>
                <w:szCs w:val="20"/>
                <w:color w:val="auto"/>
              </w:rPr>
            </w:pPr>
            <w:r>
              <w:rPr>
                <w:rFonts w:ascii="Arial" w:cs="Arial" w:eastAsia="Arial" w:hAnsi="Arial"/>
                <w:sz w:val="22"/>
                <w:szCs w:val="22"/>
                <w:color w:val="auto"/>
                <w:w w:val="91"/>
              </w:rPr>
              <w:t>Property, “IP gross revenue” and “IP monthly gross revenue” will be interpreted to</w:t>
            </w:r>
          </w:p>
        </w:tc>
      </w:tr>
      <w:tr>
        <w:trPr>
          <w:trHeight w:val="275"/>
        </w:trPr>
        <w:tc>
          <w:tcPr>
            <w:tcW w:w="1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20" w:type="dxa"/>
            <w:vAlign w:val="bottom"/>
          </w:tcPr>
          <w:p>
            <w:pPr>
              <w:ind w:left="940"/>
              <w:spacing w:after="0"/>
              <w:rPr>
                <w:sz w:val="20"/>
                <w:szCs w:val="20"/>
                <w:color w:val="auto"/>
              </w:rPr>
            </w:pPr>
            <w:r>
              <w:rPr>
                <w:rFonts w:ascii="Arial" w:cs="Arial" w:eastAsia="Arial" w:hAnsi="Arial"/>
                <w:sz w:val="22"/>
                <w:szCs w:val="22"/>
                <w:color w:val="auto"/>
              </w:rPr>
              <w:t>include the gross revenues of such subsidiary.</w:t>
            </w:r>
          </w:p>
        </w:tc>
      </w:tr>
      <w:tr>
        <w:trPr>
          <w:trHeight w:val="490"/>
        </w:trPr>
        <w:tc>
          <w:tcPr>
            <w:tcW w:w="2880" w:type="dxa"/>
            <w:vAlign w:val="bottom"/>
            <w:gridSpan w:val="3"/>
          </w:tcPr>
          <w:p>
            <w:pPr>
              <w:spacing w:after="0"/>
              <w:rPr>
                <w:sz w:val="20"/>
                <w:szCs w:val="20"/>
                <w:color w:val="auto"/>
              </w:rPr>
            </w:pPr>
            <w:r>
              <w:rPr>
                <w:rFonts w:ascii="Arial" w:cs="Arial" w:eastAsia="Arial" w:hAnsi="Arial"/>
                <w:sz w:val="22"/>
                <w:szCs w:val="22"/>
                <w:b w:val="1"/>
                <w:bCs w:val="1"/>
                <w:color w:val="auto"/>
              </w:rPr>
              <w:t>Timing of Payments:</w:t>
            </w:r>
          </w:p>
        </w:tc>
        <w:tc>
          <w:tcPr>
            <w:tcW w:w="8220" w:type="dxa"/>
            <w:vAlign w:val="bottom"/>
          </w:tcPr>
          <w:p>
            <w:pPr>
              <w:ind w:left="940"/>
              <w:spacing w:after="0"/>
              <w:rPr>
                <w:sz w:val="20"/>
                <w:szCs w:val="20"/>
                <w:color w:val="auto"/>
              </w:rPr>
            </w:pPr>
            <w:r>
              <w:rPr>
                <w:rFonts w:ascii="Arial" w:cs="Arial" w:eastAsia="Arial" w:hAnsi="Arial"/>
                <w:sz w:val="22"/>
                <w:szCs w:val="22"/>
                <w:color w:val="auto"/>
                <w:w w:val="89"/>
              </w:rPr>
              <w:t>The Licensing Fee shall be payable by Licensee not later than the last business day</w:t>
            </w:r>
          </w:p>
        </w:tc>
      </w:tr>
      <w:tr>
        <w:trPr>
          <w:trHeight w:val="242"/>
        </w:trPr>
        <w:tc>
          <w:tcPr>
            <w:tcW w:w="13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8220" w:type="dxa"/>
            <w:vAlign w:val="bottom"/>
          </w:tcPr>
          <w:p>
            <w:pPr>
              <w:ind w:left="940"/>
              <w:spacing w:after="0" w:line="242" w:lineRule="exact"/>
              <w:rPr>
                <w:sz w:val="20"/>
                <w:szCs w:val="20"/>
                <w:color w:val="auto"/>
              </w:rPr>
            </w:pPr>
            <w:r>
              <w:rPr>
                <w:rFonts w:ascii="Arial" w:cs="Arial" w:eastAsia="Arial" w:hAnsi="Arial"/>
                <w:sz w:val="22"/>
                <w:szCs w:val="22"/>
                <w:color w:val="auto"/>
                <w:w w:val="90"/>
              </w:rPr>
              <w:t>of the month following the month in which it was earned. The Licensor shall inform</w:t>
            </w:r>
          </w:p>
        </w:tc>
      </w:tr>
      <w:tr>
        <w:trPr>
          <w:trHeight w:val="275"/>
        </w:trPr>
        <w:tc>
          <w:tcPr>
            <w:tcW w:w="1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220" w:type="dxa"/>
            <w:vAlign w:val="bottom"/>
          </w:tcPr>
          <w:p>
            <w:pPr>
              <w:ind w:left="940"/>
              <w:spacing w:after="0"/>
              <w:rPr>
                <w:sz w:val="20"/>
                <w:szCs w:val="20"/>
                <w:color w:val="auto"/>
              </w:rPr>
            </w:pPr>
            <w:r>
              <w:rPr>
                <w:rFonts w:ascii="Arial" w:cs="Arial" w:eastAsia="Arial" w:hAnsi="Arial"/>
                <w:sz w:val="22"/>
                <w:szCs w:val="22"/>
                <w:color w:val="auto"/>
              </w:rPr>
              <w:t>Licensee of the account or accounts to be used by Licensee for payment.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Sch. D</w:t>
      </w:r>
    </w:p>
    <w:p>
      <w:pPr>
        <w:sectPr>
          <w:pgSz w:w="11900" w:h="16838" w:orient="portrait"/>
          <w:cols w:equalWidth="0" w:num="1">
            <w:col w:w="11100"/>
          </w:cols>
          <w:pgMar w:left="280" w:top="841" w:right="5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Jet Hanger,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Massachusetts Property,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Bow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27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29 Lynde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68 Tremont Street, LLC (a Massachusetts company)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East Broadway, LLC (a Massachusetts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International Marketing, Ltd (an Isle of Man limited liability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Indonesia Marketing,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WDD Massachusetts Purchasing,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Macau, Limited (a Cayman Islands company and a 72% owned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WML Corp. Ltd. (a Cayman Islands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WML Finance I Limited (a Cayman Islands company)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IOM Holdco II, Ltd. (an Isle of Man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Palo Marketing Services Limited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North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ectPr>
          <w:pgSz w:w="11900" w:h="16838" w:orient="portrait"/>
          <w:cols w:equalWidth="0" w:num="1">
            <w:col w:w="11420"/>
          </w:cols>
          <w:pgMar w:left="240" w:top="743" w:right="239" w:bottom="1440" w:gutter="0" w:footer="0" w:header="0"/>
        </w:sectPr>
      </w:pPr>
    </w:p>
    <w:bookmarkStart w:id="161" w:name="page162"/>
    <w:bookmarkEnd w:id="161"/>
    <w:p>
      <w:pPr>
        <w:jc w:val="right"/>
        <w:ind w:right="8059"/>
        <w:spacing w:after="0"/>
        <w:rPr>
          <w:sz w:val="20"/>
          <w:szCs w:val="20"/>
          <w:color w:val="auto"/>
        </w:rPr>
      </w:pPr>
      <w:r>
        <w:rPr>
          <w:rFonts w:ascii="Arial" w:cs="Arial" w:eastAsia="Arial" w:hAnsi="Arial"/>
          <w:sz w:val="16"/>
          <w:szCs w:val="16"/>
          <w:color w:val="auto"/>
        </w:rPr>
        <w:t>Wynn Resorts Holdings, LLC</w:t>
      </w:r>
    </w:p>
    <w:p>
      <w:pPr>
        <w:spacing w:after="0" w:line="46" w:lineRule="exact"/>
        <w:rPr>
          <w:sz w:val="20"/>
          <w:szCs w:val="20"/>
          <w:color w:val="auto"/>
        </w:rPr>
      </w:pPr>
    </w:p>
    <w:p>
      <w:pPr>
        <w:jc w:val="right"/>
        <w:ind w:right="8039"/>
        <w:spacing w:after="0"/>
        <w:rPr>
          <w:sz w:val="20"/>
          <w:szCs w:val="20"/>
          <w:color w:val="auto"/>
        </w:rPr>
      </w:pPr>
      <w:r>
        <w:rPr>
          <w:rFonts w:ascii="Arial" w:cs="Arial" w:eastAsia="Arial" w:hAnsi="Arial"/>
          <w:sz w:val="18"/>
          <w:szCs w:val="18"/>
          <w:color w:val="auto"/>
        </w:rPr>
        <w:t>Wynn America,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Everett Property, LLC (a Massachusetts company)</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Wynn Las Vegas Holdings, LLC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WLV Events, LLC</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PW Automotive, LLC (a Delaware Limited Liability Company and 50% owned joint venture)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Wynn Social Gaming,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subsidiaries are formed in the State of Nevada and wholly owned unless otherwise specifically identified.</w:t>
      </w:r>
    </w:p>
    <w:p>
      <w:pPr>
        <w:sectPr>
          <w:pgSz w:w="11900" w:h="16838" w:orient="portrait"/>
          <w:cols w:equalWidth="0" w:num="1">
            <w:col w:w="10219"/>
          </w:cols>
          <w:pgMar w:left="240" w:top="584"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20"/>
          <w:szCs w:val="20"/>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Registration Statements No. 333-196113, No. 333-168323 and No. 333-100891 on Form S-8 and Registration Statement No. 333-192483 on Form S-3 of our reports dated February 29, 2016 with respect to the consolidated financial statements and schedule of Wynn Resorts, Limited and the effectiveness of internal control over financial reporting of Wynn Resorts, Limited, included in this Annual Report on Form 10-K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29, 2016</w:t>
      </w:r>
    </w:p>
    <w:p>
      <w:pPr>
        <w:sectPr>
          <w:pgSz w:w="11900" w:h="16838" w:orient="portrait"/>
          <w:cols w:equalWidth="0" w:num="1">
            <w:col w:w="11420"/>
          </w:cols>
          <w:pgMar w:left="240" w:top="576"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63" w:lineRule="exact"/>
        <w:rPr>
          <w:sz w:val="20"/>
          <w:szCs w:val="20"/>
          <w:color w:val="auto"/>
        </w:rPr>
      </w:pPr>
    </w:p>
    <w:p>
      <w:pPr>
        <w:ind w:left="980" w:hanging="972"/>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980" w:right="200" w:hanging="972"/>
        <w:spacing w:after="0" w:line="298"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60" w:hanging="972"/>
        <w:spacing w:after="0" w:line="291"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48"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400" w:hanging="980"/>
        <w:spacing w:after="0" w:line="305" w:lineRule="auto"/>
        <w:tabs>
          <w:tab w:leader="none" w:pos="1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1960" w:right="20" w:hanging="980"/>
        <w:spacing w:after="0" w:line="264"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980" w:right="120" w:hanging="972"/>
        <w:spacing w:after="0" w:line="317" w:lineRule="auto"/>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960" w:right="80" w:hanging="980"/>
        <w:spacing w:after="0" w:line="317" w:lineRule="auto"/>
        <w:tabs>
          <w:tab w:leader="none" w:pos="19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77" w:lineRule="auto"/>
        <w:tabs>
          <w:tab w:leader="none" w:pos="19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6"/>
          <w:szCs w:val="16"/>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288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Wynn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74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Cootey, certify that:</w:t>
      </w:r>
    </w:p>
    <w:p>
      <w:pPr>
        <w:spacing w:after="0" w:line="171" w:lineRule="exact"/>
        <w:rPr>
          <w:sz w:val="20"/>
          <w:szCs w:val="20"/>
          <w:color w:val="auto"/>
        </w:rPr>
      </w:pPr>
    </w:p>
    <w:p>
      <w:pPr>
        <w:ind w:left="980" w:hanging="97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171"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980"/>
        <w:spacing w:after="0" w:line="312"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92" w:lineRule="exact"/>
        <w:rPr>
          <w:rFonts w:ascii="Arial" w:cs="Arial" w:eastAsia="Arial" w:hAnsi="Arial"/>
          <w:sz w:val="16"/>
          <w:szCs w:val="16"/>
          <w:color w:val="auto"/>
        </w:rPr>
      </w:pPr>
    </w:p>
    <w:p>
      <w:pPr>
        <w:ind w:left="1960" w:right="20" w:hanging="980"/>
        <w:spacing w:after="0" w:line="264"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980" w:right="120" w:hanging="972"/>
        <w:spacing w:after="0" w:line="342" w:lineRule="auto"/>
        <w:tabs>
          <w:tab w:leader="none" w:pos="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9" w:lineRule="exact"/>
        <w:rPr>
          <w:rFonts w:ascii="Arial" w:cs="Arial" w:eastAsia="Arial" w:hAnsi="Arial"/>
          <w:sz w:val="16"/>
          <w:szCs w:val="16"/>
          <w:color w:val="auto"/>
        </w:rPr>
      </w:pPr>
    </w:p>
    <w:p>
      <w:pPr>
        <w:ind w:left="1960" w:right="80" w:hanging="980"/>
        <w:spacing w:after="0" w:line="342" w:lineRule="auto"/>
        <w:tabs>
          <w:tab w:leader="none" w:pos="19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29, 2016</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-10160</wp:posOffset>
            </wp:positionV>
            <wp:extent cx="1149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and Treasurer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972"/>
        <w:spacing w:after="0" w:line="259"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2015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980" w:hanging="97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980" w:right="780" w:hanging="972"/>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Stephen A. Wynn</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Chairman and Chief Executive Officer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29,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31750</wp:posOffset>
            </wp:positionV>
            <wp:extent cx="2349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Stephen Cootey</w:t>
      </w:r>
    </w:p>
    <w:p>
      <w:pPr>
        <w:spacing w:after="0" w:line="77"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Title:</w:t>
        <w:tab/>
        <w:t>Chief Financial Officer and Treasurer</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29,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lvl w:ilvl="1">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Roman"/>
      <w:start w:val="2"/>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3"/>
    </w:lvl>
  </w:abstractNum>
  <w:abstractNum w:abstractNumId="31">
    <w:nsid w:val="542289EC"/>
    <w:multiLevelType w:val="hybridMultilevel"/>
    <w:lvl w:ilvl="0">
      <w:lvlJc w:val="left"/>
      <w:lvlText w:val="(%1)"/>
      <w:numFmt w:val="decimal"/>
      <w:start w:val="3"/>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3"/>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lvl w:ilvl="1">
      <w:lvlJc w:val="left"/>
      <w:lvlText w:val="(%2)"/>
      <w:numFmt w:val="lowerLetter"/>
      <w:start w:val="1"/>
    </w:lvl>
  </w:abstractNum>
  <w:abstractNum w:abstractNumId="41">
    <w:nsid w:val="79A1DEAA"/>
    <w:multiLevelType w:val="hybridMultilevel"/>
    <w:lvl w:ilvl="0">
      <w:lvlJc w:val="left"/>
      <w:lvlText w:val="%1"/>
      <w:numFmt w:val="decimal"/>
      <w:start w:val="1"/>
    </w:lvl>
    <w:lvl w:ilvl="1">
      <w:lvlJc w:val="left"/>
      <w:lvlText w:val="(%2)"/>
      <w:numFmt w:val="lowerLetter"/>
      <w:start w:val="4"/>
    </w:lvl>
  </w:abstractNum>
  <w:abstractNum w:abstractNumId="42">
    <w:nsid w:val="75C6C33A"/>
    <w:multiLevelType w:val="hybridMultilevel"/>
    <w:lvl w:ilvl="0">
      <w:lvlJc w:val="left"/>
      <w:lvlText w:val="%1."/>
      <w:numFmt w:val="decimal"/>
      <w:start w:val="3"/>
    </w:lvl>
    <w:lvl w:ilvl="1">
      <w:lvlJc w:val="left"/>
      <w:lvlText w:val="(%2)"/>
      <w:numFmt w:val="lowerLetter"/>
      <w:start w:val="1"/>
    </w:lvl>
  </w:abstractNum>
  <w:abstractNum w:abstractNumId="43">
    <w:nsid w:val="12E685FB"/>
    <w:multiLevelType w:val="hybridMultilevel"/>
    <w:lvl w:ilvl="0">
      <w:lvlJc w:val="left"/>
      <w:lvlText w:val="(%1)"/>
      <w:numFmt w:val="lowerRoman"/>
      <w:start w:val="1"/>
    </w:lvl>
  </w:abstractNum>
  <w:abstractNum w:abstractNumId="44">
    <w:nsid w:val="70C6A529"/>
    <w:multiLevelType w:val="hybridMultilevel"/>
    <w:lvl w:ilvl="0">
      <w:lvlJc w:val="left"/>
      <w:lvlText w:val="(%1)"/>
      <w:numFmt w:val="lowerLetter"/>
      <w:start w:val="2"/>
    </w:lvl>
  </w:abstractNum>
  <w:abstractNum w:abstractNumId="45">
    <w:nsid w:val="520EEDD1"/>
    <w:multiLevelType w:val="hybridMultilevel"/>
    <w:lvl w:ilvl="0">
      <w:lvlJc w:val="left"/>
      <w:lvlText w:val="%1"/>
      <w:numFmt w:val="decimal"/>
      <w:start w:val="1"/>
    </w:lvl>
    <w:lvl w:ilvl="1">
      <w:lvlJc w:val="left"/>
      <w:lvlText w:val="(%2)"/>
      <w:numFmt w:val="lowerLetter"/>
      <w:start w:val="5"/>
    </w:lvl>
  </w:abstractNum>
  <w:abstractNum w:abstractNumId="46">
    <w:nsid w:val="374A3FE6"/>
    <w:multiLevelType w:val="hybridMultilevel"/>
    <w:lvl w:ilvl="0">
      <w:lvlJc w:val="left"/>
      <w:lvlText w:val="%1."/>
      <w:numFmt w:val="decimal"/>
      <w:start w:val="4"/>
    </w:lvl>
    <w:lvl w:ilvl="1">
      <w:lvlJc w:val="left"/>
      <w:lvlText w:val="%2"/>
      <w:numFmt w:val="lowerLetter"/>
      <w:start w:val="1"/>
    </w:lvl>
  </w:abstractNum>
  <w:abstractNum w:abstractNumId="47">
    <w:nsid w:val="4F4EF005"/>
    <w:multiLevelType w:val="hybridMultilevel"/>
    <w:lvl w:ilvl="0">
      <w:lvlJc w:val="left"/>
      <w:lvlText w:val="%1."/>
      <w:numFmt w:val="decimal"/>
      <w:start w:val="8"/>
    </w:lvl>
    <w:lvl w:ilvl="1">
      <w:lvlJc w:val="left"/>
      <w:lvlText w:val="(%2)"/>
      <w:numFmt w:val="lowerLetter"/>
      <w:start w:val="1"/>
    </w:lvl>
  </w:abstractNum>
  <w:abstractNum w:abstractNumId="48">
    <w:nsid w:val="23F9C13C"/>
    <w:multiLevelType w:val="hybridMultilevel"/>
    <w:lvl w:ilvl="0">
      <w:lvlJc w:val="left"/>
      <w:lvlText w:val="(%1)"/>
      <w:numFmt w:val="lowerLetter"/>
      <w:start w:val="7"/>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upperLetter"/>
      <w:start w:val="1"/>
    </w:lvl>
  </w:abstractNum>
  <w:abstractNum w:abstractNumId="52">
    <w:nsid w:val="1CF10FD8"/>
    <w:multiLevelType w:val="hybridMultilevel"/>
    <w:lvl w:ilvl="0">
      <w:lvlJc w:val="left"/>
      <w:lvlText w:val="%1."/>
      <w:numFmt w:val="upperLetter"/>
      <w:start w:val="1"/>
    </w:lvl>
  </w:abstractNum>
  <w:abstractNum w:abstractNumId="53">
    <w:nsid w:val="180115BE"/>
    <w:multiLevelType w:val="hybridMultilevel"/>
    <w:lvl w:ilvl="0">
      <w:lvlJc w:val="left"/>
      <w:lvlText w:val="%1."/>
      <w:numFmt w:val="upperLetter"/>
      <w:start w:val="2"/>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10"/>
    </w:lvl>
  </w:abstractNum>
  <w:abstractNum w:abstractNumId="56">
    <w:nsid w:val="354FE9F9"/>
    <w:multiLevelType w:val="hybridMultilevel"/>
    <w:lvl w:ilvl="0">
      <w:lvlJc w:val="left"/>
      <w:lvlText w:val="(%1)"/>
      <w:numFmt w:val="lowerRoman"/>
      <w:start w:val="2"/>
    </w:lvl>
  </w:abstractNum>
  <w:abstractNum w:abstractNumId="57">
    <w:nsid w:val="15B5AF5C"/>
    <w:multiLevelType w:val="hybridMultilevel"/>
    <w:lvl w:ilvl="0">
      <w:lvlJc w:val="left"/>
      <w:lvlText w:val="%1."/>
      <w:numFmt w:val="decimal"/>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2019-12-29T12:37:26Z</dcterms:created>
  <dcterms:modified xsi:type="dcterms:W3CDTF">2019-12-29T12:37:26Z</dcterms:modified>
</cp:coreProperties>
</file>