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107315</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ind w:left="580" w:right="340" w:hanging="572"/>
        <w:spacing w:after="0" w:line="256"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14" w:lineRule="exact"/>
        <w:rPr>
          <w:sz w:val="24"/>
          <w:szCs w:val="24"/>
          <w:color w:val="auto"/>
        </w:rPr>
      </w:pPr>
    </w:p>
    <w:p>
      <w:pPr>
        <w:ind w:left="580"/>
        <w:spacing w:after="0"/>
        <w:rPr>
          <w:sz w:val="20"/>
          <w:szCs w:val="20"/>
          <w:color w:val="auto"/>
        </w:rPr>
      </w:pPr>
      <w:r>
        <w:rPr>
          <w:rFonts w:ascii="Arial" w:cs="Arial" w:eastAsia="Arial" w:hAnsi="Arial"/>
          <w:sz w:val="18"/>
          <w:szCs w:val="18"/>
          <w:color w:val="auto"/>
        </w:rPr>
        <w:t>For the quarterly period ended March 31, 2007</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5" w:lineRule="exact"/>
        <w:rPr>
          <w:sz w:val="24"/>
          <w:szCs w:val="24"/>
          <w:color w:val="auto"/>
        </w:rPr>
      </w:pPr>
    </w:p>
    <w:p>
      <w:pPr>
        <w:ind w:left="580" w:right="34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14" w:lineRule="exact"/>
        <w:rPr>
          <w:sz w:val="24"/>
          <w:szCs w:val="24"/>
          <w:color w:val="auto"/>
        </w:rPr>
      </w:pPr>
    </w:p>
    <w:p>
      <w:pPr>
        <w:ind w:left="580"/>
        <w:spacing w:after="0"/>
        <w:tabs>
          <w:tab w:leader="none" w:pos="326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126365</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38" w:lineRule="exact"/>
        <w:rPr>
          <w:sz w:val="24"/>
          <w:szCs w:val="24"/>
          <w:color w:val="auto"/>
        </w:rPr>
      </w:pPr>
    </w:p>
    <w:tbl>
      <w:tblPr>
        <w:tblLayout w:type="fixed"/>
        <w:tblInd w:w="1920" w:type="dxa"/>
        <w:tblCellMar>
          <w:top w:w="0" w:type="dxa"/>
          <w:left w:w="0" w:type="dxa"/>
          <w:bottom w:w="0" w:type="dxa"/>
          <w:right w:w="0" w:type="dxa"/>
        </w:tblCellMar>
      </w:tblPr>
      <w:tr>
        <w:trPr>
          <w:trHeight w:val="218"/>
        </w:trPr>
        <w:tc>
          <w:tcPr>
            <w:tcW w:w="6220" w:type="dxa"/>
            <w:vAlign w:val="bottom"/>
            <w:gridSpan w:val="3"/>
          </w:tcPr>
          <w:p>
            <w:pPr>
              <w:jc w:val="center"/>
              <w:ind w:right="4440"/>
              <w:spacing w:after="0"/>
              <w:rPr>
                <w:sz w:val="20"/>
                <w:szCs w:val="20"/>
                <w:color w:val="auto"/>
              </w:rPr>
            </w:pPr>
            <w:r>
              <w:rPr>
                <w:rFonts w:ascii="Arial" w:cs="Arial" w:eastAsia="Arial" w:hAnsi="Arial"/>
                <w:sz w:val="18"/>
                <w:szCs w:val="18"/>
                <w:b w:val="1"/>
                <w:bCs w:val="1"/>
                <w:color w:val="auto"/>
                <w:w w:val="90"/>
              </w:rPr>
              <w:t>Nevada</w:t>
            </w:r>
          </w:p>
        </w:tc>
        <w:tc>
          <w:tcPr>
            <w:tcW w:w="1120" w:type="dxa"/>
            <w:vAlign w:val="bottom"/>
          </w:tcPr>
          <w:p>
            <w:pPr>
              <w:jc w:val="center"/>
              <w:ind w:left="6"/>
              <w:spacing w:after="0"/>
              <w:rPr>
                <w:sz w:val="20"/>
                <w:szCs w:val="20"/>
                <w:color w:val="auto"/>
              </w:rPr>
            </w:pPr>
            <w:r>
              <w:rPr>
                <w:rFonts w:ascii="Arial" w:cs="Arial" w:eastAsia="Arial" w:hAnsi="Arial"/>
                <w:sz w:val="18"/>
                <w:szCs w:val="18"/>
                <w:b w:val="1"/>
                <w:bCs w:val="1"/>
                <w:color w:val="auto"/>
                <w:w w:val="87"/>
              </w:rPr>
              <w:t>46-0484987</w:t>
            </w:r>
          </w:p>
        </w:tc>
      </w:tr>
      <w:tr>
        <w:trPr>
          <w:trHeight w:val="149"/>
        </w:trPr>
        <w:tc>
          <w:tcPr>
            <w:tcW w:w="6220" w:type="dxa"/>
            <w:vAlign w:val="bottom"/>
            <w:gridSpan w:val="3"/>
          </w:tcPr>
          <w:p>
            <w:pPr>
              <w:jc w:val="center"/>
              <w:ind w:right="4440"/>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11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6220" w:type="dxa"/>
            <w:vAlign w:val="bottom"/>
            <w:gridSpan w:val="3"/>
          </w:tcPr>
          <w:p>
            <w:pPr>
              <w:jc w:val="center"/>
              <w:ind w:right="4440"/>
              <w:spacing w:after="0"/>
              <w:rPr>
                <w:sz w:val="20"/>
                <w:szCs w:val="20"/>
                <w:color w:val="auto"/>
              </w:rPr>
            </w:pPr>
            <w:r>
              <w:rPr>
                <w:rFonts w:ascii="Arial" w:cs="Arial" w:eastAsia="Arial" w:hAnsi="Arial"/>
                <w:sz w:val="14"/>
                <w:szCs w:val="14"/>
                <w:b w:val="1"/>
                <w:bCs w:val="1"/>
                <w:color w:val="auto"/>
                <w:w w:val="89"/>
              </w:rPr>
              <w:t>incorporation or organization)</w:t>
            </w:r>
          </w:p>
        </w:tc>
        <w:tc>
          <w:tcPr>
            <w:tcW w:w="1120" w:type="dxa"/>
            <w:vAlign w:val="bottom"/>
          </w:tcPr>
          <w:p>
            <w:pPr>
              <w:jc w:val="center"/>
              <w:ind w:left="6"/>
              <w:spacing w:after="0"/>
              <w:rPr>
                <w:sz w:val="20"/>
                <w:szCs w:val="20"/>
                <w:color w:val="auto"/>
              </w:rPr>
            </w:pPr>
            <w:r>
              <w:rPr>
                <w:rFonts w:ascii="Arial" w:cs="Arial" w:eastAsia="Arial" w:hAnsi="Arial"/>
                <w:sz w:val="14"/>
                <w:szCs w:val="14"/>
                <w:b w:val="1"/>
                <w:bCs w:val="1"/>
                <w:color w:val="auto"/>
                <w:w w:val="87"/>
              </w:rPr>
              <w:t>Identification No.)</w:t>
            </w:r>
          </w:p>
        </w:tc>
      </w:tr>
      <w:tr>
        <w:trPr>
          <w:trHeight w:val="339"/>
        </w:trPr>
        <w:tc>
          <w:tcPr>
            <w:tcW w:w="6220" w:type="dxa"/>
            <w:vAlign w:val="bottom"/>
            <w:gridSpan w:val="3"/>
          </w:tcPr>
          <w:p>
            <w:pPr>
              <w:jc w:val="center"/>
              <w:ind w:left="1305"/>
              <w:spacing w:after="0"/>
              <w:rPr>
                <w:sz w:val="20"/>
                <w:szCs w:val="20"/>
                <w:color w:val="auto"/>
              </w:rPr>
            </w:pPr>
            <w:r>
              <w:rPr>
                <w:rFonts w:ascii="Arial" w:cs="Arial" w:eastAsia="Arial" w:hAnsi="Arial"/>
                <w:sz w:val="18"/>
                <w:szCs w:val="18"/>
                <w:b w:val="1"/>
                <w:bCs w:val="1"/>
                <w:color w:val="auto"/>
                <w:w w:val="87"/>
              </w:rPr>
              <w:t>3131 Las Vegas Boulevard South—Las Vegas, Nevada 89109</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(Address of principal executive offices) (Zip Code)</w:t>
            </w:r>
          </w:p>
        </w:tc>
        <w:tc>
          <w:tcPr>
            <w:tcW w:w="1120" w:type="dxa"/>
            <w:vAlign w:val="bottom"/>
          </w:tcPr>
          <w:p>
            <w:pPr>
              <w:spacing w:after="0"/>
              <w:rPr>
                <w:sz w:val="15"/>
                <w:szCs w:val="15"/>
                <w:color w:val="auto"/>
              </w:rPr>
            </w:pPr>
          </w:p>
        </w:tc>
      </w:tr>
      <w:tr>
        <w:trPr>
          <w:trHeight w:val="339"/>
        </w:trPr>
        <w:tc>
          <w:tcPr>
            <w:tcW w:w="5000" w:type="dxa"/>
            <w:vAlign w:val="bottom"/>
            <w:gridSpan w:val="2"/>
          </w:tcPr>
          <w:p>
            <w:pPr>
              <w:jc w:val="center"/>
              <w:ind w:left="2505"/>
              <w:spacing w:after="0"/>
              <w:rPr>
                <w:sz w:val="20"/>
                <w:szCs w:val="20"/>
                <w:color w:val="auto"/>
              </w:rPr>
            </w:pPr>
            <w:r>
              <w:rPr>
                <w:rFonts w:ascii="Arial" w:cs="Arial" w:eastAsia="Arial" w:hAnsi="Arial"/>
                <w:sz w:val="18"/>
                <w:szCs w:val="18"/>
                <w:b w:val="1"/>
                <w:bCs w:val="1"/>
                <w:color w:val="auto"/>
                <w:w w:val="89"/>
              </w:rPr>
              <w:t>(702) 770-7555</w:t>
            </w: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20" w:type="dxa"/>
            <w:vAlign w:val="bottom"/>
          </w:tcPr>
          <w:p>
            <w:pPr>
              <w:spacing w:after="0"/>
              <w:rPr>
                <w:sz w:val="15"/>
                <w:szCs w:val="15"/>
                <w:color w:val="auto"/>
              </w:rPr>
            </w:pPr>
          </w:p>
        </w:tc>
      </w:tr>
      <w:tr>
        <w:trPr>
          <w:trHeight w:val="163"/>
        </w:trPr>
        <w:tc>
          <w:tcPr>
            <w:tcW w:w="2580" w:type="dxa"/>
            <w:vAlign w:val="bottom"/>
          </w:tcPr>
          <w:p>
            <w:pPr>
              <w:spacing w:after="0"/>
              <w:rPr>
                <w:sz w:val="14"/>
                <w:szCs w:val="14"/>
                <w:color w:val="auto"/>
              </w:rPr>
            </w:pPr>
          </w:p>
        </w:tc>
        <w:tc>
          <w:tcPr>
            <w:tcW w:w="2420" w:type="dxa"/>
            <w:vAlign w:val="bottom"/>
            <w:tcBorders>
              <w:bottom w:val="single" w:sz="8" w:color="auto"/>
            </w:tcBorders>
          </w:tcPr>
          <w:p>
            <w:pPr>
              <w:spacing w:after="0"/>
              <w:rPr>
                <w:sz w:val="14"/>
                <w:szCs w:val="14"/>
                <w:color w:val="auto"/>
              </w:rPr>
            </w:pPr>
          </w:p>
        </w:tc>
        <w:tc>
          <w:tcPr>
            <w:tcW w:w="122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72"/>
        </w:trPr>
        <w:tc>
          <w:tcPr>
            <w:tcW w:w="2580" w:type="dxa"/>
            <w:vAlign w:val="bottom"/>
          </w:tcPr>
          <w:p>
            <w:pPr>
              <w:spacing w:after="0"/>
              <w:rPr>
                <w:sz w:val="24"/>
                <w:szCs w:val="24"/>
                <w:color w:val="auto"/>
              </w:rPr>
            </w:pPr>
          </w:p>
        </w:tc>
        <w:tc>
          <w:tcPr>
            <w:tcW w:w="3640" w:type="dxa"/>
            <w:vAlign w:val="bottom"/>
            <w:gridSpan w:val="2"/>
          </w:tcPr>
          <w:p>
            <w:pPr>
              <w:jc w:val="center"/>
              <w:ind w:right="1220"/>
              <w:spacing w:after="0"/>
              <w:rPr>
                <w:sz w:val="20"/>
                <w:szCs w:val="20"/>
                <w:color w:val="auto"/>
              </w:rPr>
            </w:pPr>
            <w:r>
              <w:rPr>
                <w:rFonts w:ascii="Arial" w:cs="Arial" w:eastAsia="Arial" w:hAnsi="Arial"/>
                <w:sz w:val="18"/>
                <w:szCs w:val="18"/>
                <w:b w:val="1"/>
                <w:bCs w:val="1"/>
                <w:color w:val="auto"/>
                <w:w w:val="96"/>
              </w:rPr>
              <w:t>N/A</w:t>
            </w:r>
          </w:p>
        </w:tc>
        <w:tc>
          <w:tcPr>
            <w:tcW w:w="1120" w:type="dxa"/>
            <w:vAlign w:val="bottom"/>
          </w:tcPr>
          <w:p>
            <w:pPr>
              <w:spacing w:after="0"/>
              <w:rPr>
                <w:sz w:val="24"/>
                <w:szCs w:val="24"/>
                <w:color w:val="auto"/>
              </w:rPr>
            </w:pPr>
          </w:p>
        </w:tc>
      </w:tr>
      <w:tr>
        <w:trPr>
          <w:trHeight w:val="174"/>
        </w:trPr>
        <w:tc>
          <w:tcPr>
            <w:tcW w:w="6220" w:type="dxa"/>
            <w:vAlign w:val="bottom"/>
            <w:gridSpan w:val="3"/>
          </w:tcPr>
          <w:p>
            <w:pPr>
              <w:jc w:val="center"/>
              <w:ind w:left="128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20" w:type="dxa"/>
            <w:vAlign w:val="bottom"/>
          </w:tcPr>
          <w:p>
            <w:pPr>
              <w:spacing w:after="0"/>
              <w:rPr>
                <w:sz w:val="15"/>
                <w:szCs w:val="15"/>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103505</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23" w:lineRule="exact"/>
        <w:rPr>
          <w:sz w:val="24"/>
          <w:szCs w:val="24"/>
          <w:color w:val="auto"/>
        </w:rPr>
      </w:pPr>
    </w:p>
    <w:p>
      <w:pPr>
        <w:ind w:right="28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24" w:lineRule="exact"/>
        <w:rPr>
          <w:sz w:val="24"/>
          <w:szCs w:val="24"/>
          <w:color w:val="auto"/>
        </w:rPr>
      </w:pPr>
    </w:p>
    <w:p>
      <w:pPr>
        <w:ind w:right="140"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w:t>
      </w:r>
    </w:p>
    <w:p>
      <w:pPr>
        <w:sectPr>
          <w:pgSz w:w="11900" w:h="16838" w:orient="portrait"/>
          <w:cols w:equalWidth="0" w:num="1">
            <w:col w:w="11420"/>
          </w:cols>
          <w:pgMar w:left="240" w:top="230" w:right="239" w:bottom="1440" w:gutter="0" w:footer="0" w:header="0"/>
        </w:sectPr>
      </w:pPr>
    </w:p>
    <w:p>
      <w:pPr>
        <w:spacing w:after="0" w:line="118" w:lineRule="exact"/>
        <w:rPr>
          <w:sz w:val="24"/>
          <w:szCs w:val="24"/>
          <w:color w:val="auto"/>
        </w:rPr>
      </w:pPr>
    </w:p>
    <w:p>
      <w:pPr>
        <w:ind w:left="580"/>
        <w:spacing w:after="0"/>
        <w:rPr>
          <w:sz w:val="20"/>
          <w:szCs w:val="20"/>
          <w:color w:val="auto"/>
        </w:rPr>
      </w:pPr>
      <w:r>
        <w:rPr>
          <w:rFonts w:ascii="Arial" w:cs="Arial" w:eastAsia="Arial" w:hAnsi="Arial"/>
          <w:sz w:val="15"/>
          <w:szCs w:val="15"/>
          <w:color w:val="auto"/>
        </w:rPr>
        <w:t>Large 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6">
            <w:col w:w="2160" w:space="180"/>
            <w:col w:w="2220" w:space="720"/>
            <w:col w:w="1180" w:space="180"/>
            <w:col w:w="1660" w:space="720"/>
            <w:col w:w="1480" w:space="180"/>
            <w:col w:w="74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shell company (as defined in Rule12b-2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8400" w:space="160"/>
            <w:col w:w="260" w:space="180"/>
            <w:col w:w="160" w:space="220"/>
            <w:col w:w="220" w:space="160"/>
            <w:col w:w="166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Class</w:t>
            </w:r>
          </w:p>
        </w:tc>
        <w:tc>
          <w:tcPr>
            <w:tcW w:w="440" w:type="dxa"/>
            <w:vAlign w:val="bottom"/>
          </w:tcPr>
          <w:p>
            <w:pPr>
              <w:spacing w:after="0"/>
              <w:rPr>
                <w:sz w:val="14"/>
                <w:szCs w:val="14"/>
                <w:color w:val="auto"/>
              </w:rPr>
            </w:pPr>
          </w:p>
        </w:tc>
        <w:tc>
          <w:tcPr>
            <w:tcW w:w="5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Outstanding at April 27, 2007</w:t>
            </w:r>
          </w:p>
        </w:tc>
      </w:tr>
      <w:tr>
        <w:trPr>
          <w:trHeight w:val="221"/>
        </w:trPr>
        <w:tc>
          <w:tcPr>
            <w:tcW w:w="5620" w:type="dxa"/>
            <w:vAlign w:val="bottom"/>
          </w:tcPr>
          <w:p>
            <w:pPr>
              <w:jc w:val="center"/>
              <w:spacing w:after="0"/>
              <w:rPr>
                <w:sz w:val="20"/>
                <w:szCs w:val="20"/>
                <w:color w:val="auto"/>
              </w:rPr>
            </w:pPr>
            <w:r>
              <w:rPr>
                <w:rFonts w:ascii="Arial" w:cs="Arial" w:eastAsia="Arial" w:hAnsi="Arial"/>
                <w:sz w:val="18"/>
                <w:szCs w:val="18"/>
                <w:color w:val="auto"/>
                <w:w w:val="88"/>
              </w:rPr>
              <w:t>Common stock, $0.01 par value</w:t>
            </w:r>
          </w:p>
        </w:tc>
        <w:tc>
          <w:tcPr>
            <w:tcW w:w="5800" w:type="dxa"/>
            <w:vAlign w:val="bottom"/>
            <w:gridSpan w:val="2"/>
          </w:tcPr>
          <w:p>
            <w:pPr>
              <w:jc w:val="right"/>
              <w:ind w:right="2172"/>
              <w:spacing w:after="0"/>
              <w:rPr>
                <w:sz w:val="20"/>
                <w:szCs w:val="20"/>
                <w:color w:val="auto"/>
              </w:rPr>
            </w:pPr>
            <w:r>
              <w:rPr>
                <w:rFonts w:ascii="Arial" w:cs="Arial" w:eastAsia="Arial" w:hAnsi="Arial"/>
                <w:sz w:val="18"/>
                <w:szCs w:val="18"/>
                <w:color w:val="auto"/>
              </w:rPr>
              <w:t>101,970,031</w:t>
            </w:r>
          </w:p>
        </w:tc>
      </w:tr>
      <w:tr>
        <w:trPr>
          <w:trHeight w:val="282"/>
        </w:trPr>
        <w:tc>
          <w:tcPr>
            <w:tcW w:w="56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gridSpan w:val="13"/>
          </w:tcPr>
          <w:p>
            <w:pPr>
              <w:spacing w:after="0"/>
              <w:rPr>
                <w:sz w:val="20"/>
                <w:szCs w:val="20"/>
                <w:color w:val="auto"/>
              </w:rPr>
            </w:pPr>
            <w:r>
              <w:rPr>
                <w:rFonts w:ascii="Arial" w:cs="Arial" w:eastAsia="Arial" w:hAnsi="Arial"/>
                <w:sz w:val="18"/>
                <w:szCs w:val="18"/>
                <w:b w:val="1"/>
                <w:bCs w:val="1"/>
                <w:color w:val="auto"/>
              </w:rPr>
              <w:t>Financial Information</w:t>
            </w:r>
          </w:p>
        </w:tc>
        <w:tc>
          <w:tcPr>
            <w:tcW w:w="1220" w:type="dxa"/>
            <w:vAlign w:val="bottom"/>
          </w:tcPr>
          <w:p>
            <w:pPr>
              <w:spacing w:after="0"/>
              <w:rPr>
                <w:sz w:val="19"/>
                <w:szCs w:val="19"/>
                <w:color w:val="auto"/>
              </w:rPr>
            </w:pPr>
          </w:p>
        </w:tc>
      </w:tr>
      <w:tr>
        <w:trPr>
          <w:trHeight w:val="284"/>
        </w:trPr>
        <w:tc>
          <w:tcPr>
            <w:tcW w:w="10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180" w:type="dxa"/>
            <w:vAlign w:val="bottom"/>
            <w:gridSpan w:val="13"/>
          </w:tcPr>
          <w:p>
            <w:pPr>
              <w:spacing w:after="0"/>
              <w:rPr>
                <w:sz w:val="20"/>
                <w:szCs w:val="20"/>
                <w:color w:val="auto"/>
              </w:rPr>
            </w:pPr>
            <w:r>
              <w:rPr>
                <w:rFonts w:ascii="Arial" w:cs="Arial" w:eastAsia="Arial" w:hAnsi="Arial"/>
                <w:sz w:val="18"/>
                <w:szCs w:val="18"/>
                <w:color w:val="auto"/>
              </w:rPr>
              <w:t>Financial Statements</w:t>
            </w:r>
          </w:p>
        </w:tc>
        <w:tc>
          <w:tcPr>
            <w:tcW w:w="1220" w:type="dxa"/>
            <w:vAlign w:val="bottom"/>
          </w:tcPr>
          <w:p>
            <w:pPr>
              <w:spacing w:after="0"/>
              <w:rPr>
                <w:sz w:val="24"/>
                <w:szCs w:val="24"/>
                <w:color w:val="auto"/>
              </w:rPr>
            </w:pPr>
          </w:p>
        </w:tc>
      </w:tr>
      <w:tr>
        <w:trPr>
          <w:trHeight w:val="245"/>
        </w:trPr>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70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Condensed Consolidated Balance Sheets (unaudited) - March 31, 2007 and December 31, 2006</w:t>
              </w:r>
            </w:hyperlink>
          </w:p>
        </w:tc>
        <w:tc>
          <w:tcPr>
            <w:tcW w:w="2260" w:type="dxa"/>
            <w:vAlign w:val="bottom"/>
            <w:gridSpan w:val="3"/>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4"/>
        </w:trPr>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6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Condensed Consolidated Statements of Operations (unaudited) - Three months ended March 31, 2007 and 2006</w:t>
              </w:r>
            </w:hyperlink>
          </w:p>
        </w:tc>
        <w:tc>
          <w:tcPr>
            <w:tcW w:w="1100" w:type="dxa"/>
            <w:vAlign w:val="bottom"/>
            <w:gridSpan w:val="2"/>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64"/>
        </w:trPr>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960" w:type="dxa"/>
            <w:vAlign w:val="bottom"/>
            <w:gridSpan w:val="12"/>
          </w:tcPr>
          <w:p>
            <w:pPr>
              <w:spacing w:after="0"/>
              <w:rPr>
                <w:rFonts w:ascii="Arial" w:cs="Arial" w:eastAsia="Arial" w:hAnsi="Arial"/>
                <w:sz w:val="18"/>
                <w:szCs w:val="18"/>
                <w:color w:val="0000EE"/>
                <w:w w:val="98"/>
              </w:rPr>
            </w:pPr>
            <w:hyperlink w:anchor="page5">
              <w:r>
                <w:rPr>
                  <w:rFonts w:ascii="Arial" w:cs="Arial" w:eastAsia="Arial" w:hAnsi="Arial"/>
                  <w:sz w:val="18"/>
                  <w:szCs w:val="18"/>
                  <w:color w:val="0000EE"/>
                  <w:w w:val="98"/>
                </w:rPr>
                <w:t>Condensed Consolidated Statements of Cash Flows (unaudited) - Three months ended March 31, 2007 and 2006</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64"/>
        </w:trPr>
        <w:tc>
          <w:tcPr>
            <w:tcW w:w="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900" w:type="dxa"/>
            <w:vAlign w:val="bottom"/>
            <w:tcBorders>
              <w:top w:val="single" w:sz="8" w:color="0000EE"/>
            </w:tcBorders>
            <w:gridSpan w:val="1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 (unaudited)</w:t>
              </w:r>
            </w:hyperlink>
          </w:p>
        </w:tc>
        <w:tc>
          <w:tcPr>
            <w:tcW w:w="10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80" w:type="dxa"/>
            <w:vAlign w:val="bottom"/>
            <w:gridSpan w:val="4"/>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8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Management’s Discussion and Analysis of Financial Condition and Results of Operations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26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2"/>
          </w:tcPr>
          <w:p>
            <w:pPr>
              <w:spacing w:after="0"/>
              <w:rPr>
                <w:sz w:val="22"/>
                <w:szCs w:val="22"/>
                <w:color w:val="auto"/>
              </w:rPr>
            </w:pPr>
          </w:p>
        </w:tc>
        <w:tc>
          <w:tcPr>
            <w:tcW w:w="2880" w:type="dxa"/>
            <w:vAlign w:val="bottom"/>
            <w:gridSpan w:val="4"/>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180" w:type="dxa"/>
            <w:vAlign w:val="bottom"/>
            <w:gridSpan w:val="1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Controls and Procedures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w w:val="92"/>
              </w:rPr>
            </w:pPr>
            <w:hyperlink w:anchor="page42">
              <w:r>
                <w:rPr>
                  <w:rFonts w:ascii="Arial" w:cs="Arial" w:eastAsia="Arial" w:hAnsi="Arial"/>
                  <w:sz w:val="18"/>
                  <w:szCs w:val="18"/>
                  <w:b w:val="1"/>
                  <w:bCs w:val="1"/>
                  <w:color w:val="0000EE"/>
                  <w:w w:val="92"/>
                </w:rPr>
                <w:t>Other Information</w:t>
              </w:r>
            </w:hyperlink>
          </w:p>
        </w:tc>
        <w:tc>
          <w:tcPr>
            <w:tcW w:w="300" w:type="dxa"/>
            <w:vAlign w:val="bottom"/>
            <w:tcBorders>
              <w:top w:val="single" w:sz="8" w:color="0000EE"/>
            </w:tcBorders>
          </w:tcPr>
          <w:p>
            <w:pPr>
              <w:spacing w:after="0"/>
              <w:rPr>
                <w:sz w:val="22"/>
                <w:szCs w:val="22"/>
                <w:color w:val="auto"/>
              </w:rPr>
            </w:pPr>
          </w:p>
        </w:tc>
        <w:tc>
          <w:tcPr>
            <w:tcW w:w="7460" w:type="dxa"/>
            <w:vAlign w:val="bottom"/>
            <w:gridSpan w:val="8"/>
          </w:tcPr>
          <w:p>
            <w:pPr>
              <w:spacing w:after="0"/>
              <w:rPr>
                <w:sz w:val="22"/>
                <w:szCs w:val="22"/>
                <w:color w:val="auto"/>
              </w:rPr>
            </w:pPr>
          </w:p>
        </w:tc>
        <w:tc>
          <w:tcPr>
            <w:tcW w:w="1220" w:type="dxa"/>
            <w:vAlign w:val="bottom"/>
          </w:tcPr>
          <w:p>
            <w:pPr>
              <w:spacing w:after="0"/>
              <w:rPr>
                <w:sz w:val="22"/>
                <w:szCs w:val="22"/>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IA.</w:t>
            </w:r>
          </w:p>
        </w:tc>
        <w:tc>
          <w:tcPr>
            <w:tcW w:w="918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Risk Factors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360" w:type="dxa"/>
            <w:vAlign w:val="bottom"/>
            <w:gridSpan w:val="3"/>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18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Unregistered Sales of Equity Securities and Use of Proceeds</w:t>
              </w:r>
            </w:hyperlink>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10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4240" w:type="dxa"/>
            <w:vAlign w:val="bottom"/>
            <w:tcBorders>
              <w:top w:val="single" w:sz="8" w:color="0000EE"/>
            </w:tcBorders>
            <w:gridSpan w:val="6"/>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Exhibits</w:t>
              </w:r>
            </w:hyperlink>
          </w:p>
        </w:tc>
        <w:tc>
          <w:tcPr>
            <w:tcW w:w="4940" w:type="dxa"/>
            <w:vAlign w:val="bottom"/>
            <w:gridSpan w:val="7"/>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64"/>
        </w:trPr>
        <w:tc>
          <w:tcPr>
            <w:tcW w:w="1020" w:type="dxa"/>
            <w:vAlign w:val="bottom"/>
            <w:gridSpan w:val="2"/>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Signature</w:t>
              </w:r>
            </w:hyperlink>
          </w:p>
        </w:tc>
        <w:tc>
          <w:tcPr>
            <w:tcW w:w="22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83"/>
        </w:trPr>
        <w:tc>
          <w:tcPr>
            <w:tcW w:w="68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4960" w:type="dxa"/>
            <w:vAlign w:val="bottom"/>
            <w:gridSpan w:val="8"/>
          </w:tcPr>
          <w:p>
            <w:pPr>
              <w:ind w:left="4660"/>
              <w:spacing w:after="0"/>
              <w:rPr>
                <w:sz w:val="20"/>
                <w:szCs w:val="20"/>
                <w:color w:val="auto"/>
              </w:rPr>
            </w:pPr>
            <w:r>
              <w:rPr>
                <w:rFonts w:ascii="Arial" w:cs="Arial" w:eastAsia="Arial" w:hAnsi="Arial"/>
                <w:sz w:val="18"/>
                <w:szCs w:val="18"/>
                <w:color w:val="auto"/>
              </w:rPr>
              <w:t>2</w:t>
            </w:r>
          </w:p>
        </w:tc>
        <w:tc>
          <w:tcPr>
            <w:tcW w:w="1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9"/>
              </w:rPr>
              <w:t>March 31,</w:t>
            </w:r>
          </w:p>
        </w:tc>
        <w:tc>
          <w:tcPr>
            <w:tcW w:w="2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ind w:left="406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801,633</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42,103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Receivables,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66,442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1,085,613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1,097,091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4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102,793</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3,257,364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3,157,622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Intangibles,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63,932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Deposits and other assets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109,052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80,692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Investment in unconsolidated affiliates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4,695,032</w:t>
            </w:r>
          </w:p>
        </w:tc>
        <w:tc>
          <w:tcPr>
            <w:tcW w:w="280" w:type="dxa"/>
            <w:vAlign w:val="bottom"/>
          </w:tcPr>
          <w:p>
            <w:pPr>
              <w:spacing w:after="0"/>
              <w:rPr>
                <w:sz w:val="19"/>
                <w:szCs w:val="19"/>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4,660,180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20" w:type="dxa"/>
            <w:vAlign w:val="bottom"/>
            <w:shd w:val="clear" w:color="auto" w:fill="CCEEFF"/>
          </w:tcPr>
          <w:p>
            <w:pPr>
              <w:ind w:left="24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c>
          <w:tcPr>
            <w:tcW w:w="2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Current portion of land concession obligation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and construction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145,916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81,111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87,164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33,745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Accrued compensation and benefits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71,537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Gaming taxes payable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64,384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16,676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Customer deposits and other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131,702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Construction retention</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514,963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9240" w:type="dxa"/>
            <w:vAlign w:val="bottom"/>
            <w:gridSpan w:val="2"/>
          </w:tcPr>
          <w:p>
            <w:pPr>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2,318,118</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2,380,537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Long-term land concession obligation</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115,274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Construction retention</w:t>
            </w: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2,990,192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3,014,595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2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13)</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Preferred stock, par value $0.01; authorized 40,000,000 shares; zero shares issued and outstanding</w:t>
            </w:r>
          </w:p>
        </w:tc>
        <w:tc>
          <w:tcPr>
            <w:tcW w:w="100" w:type="dxa"/>
            <w:vAlign w:val="bottom"/>
          </w:tcPr>
          <w:p>
            <w:pPr>
              <w:spacing w:after="0"/>
              <w:rPr>
                <w:sz w:val="18"/>
                <w:szCs w:val="18"/>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6"/>
              </w:rPr>
              <w:t>Common stock, par value $0.01; authorized 400,000,000 shares; 101,955,031 and 101,887,031 shares issued and</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2,028,944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2,022,408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(321,387)</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(377,747)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1,704,840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1,645,585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2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4,695,032</w:t>
            </w:r>
          </w:p>
        </w:tc>
        <w:tc>
          <w:tcPr>
            <w:tcW w:w="280" w:type="dxa"/>
            <w:vAlign w:val="bottom"/>
          </w:tcPr>
          <w:p>
            <w:pPr>
              <w:spacing w:after="0"/>
              <w:rPr>
                <w:sz w:val="19"/>
                <w:szCs w:val="19"/>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4,660,180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w:t>
      </w:r>
    </w:p>
    <w:p>
      <w:pPr>
        <w:spacing w:after="0" w:line="1"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5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2007</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3"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457,192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126,514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87,883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1280"/>
              <w:spacing w:after="0"/>
              <w:rPr>
                <w:sz w:val="20"/>
                <w:szCs w:val="20"/>
                <w:color w:val="auto"/>
              </w:rPr>
            </w:pPr>
            <w:r>
              <w:rPr>
                <w:rFonts w:ascii="Arial" w:cs="Arial" w:eastAsia="Arial" w:hAnsi="Arial"/>
                <w:sz w:val="18"/>
                <w:szCs w:val="18"/>
                <w:color w:val="auto"/>
              </w:rPr>
              <w:t>Gross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682,571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promotional allowances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(47,254)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(41,057)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80" w:type="dxa"/>
            <w:vAlign w:val="bottom"/>
          </w:tcPr>
          <w:p>
            <w:pPr>
              <w:ind w:left="1280"/>
              <w:spacing w:after="0"/>
              <w:rPr>
                <w:sz w:val="20"/>
                <w:szCs w:val="20"/>
                <w:color w:val="auto"/>
              </w:rPr>
            </w:pPr>
            <w:r>
              <w:rPr>
                <w:rFonts w:ascii="Arial" w:cs="Arial" w:eastAsia="Arial" w:hAnsi="Arial"/>
                <w:sz w:val="18"/>
                <w:szCs w:val="18"/>
                <w:color w:val="auto"/>
              </w:rPr>
              <w:t>Net revenues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635,317</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277,225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Casino</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264,725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Food and beverage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54,255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Entertainment, retail and other</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78,166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Pre-opening costs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Contract termination fee</w:t>
            </w:r>
          </w:p>
        </w:tc>
        <w:tc>
          <w:tcPr>
            <w:tcW w:w="100" w:type="dxa"/>
            <w:vAlign w:val="bottom"/>
          </w:tcPr>
          <w:p>
            <w:pPr>
              <w:spacing w:after="0"/>
              <w:rPr>
                <w:sz w:val="18"/>
                <w:szCs w:val="18"/>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13,269</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9580" w:type="dxa"/>
            <w:vAlign w:val="bottom"/>
          </w:tcPr>
          <w:p>
            <w:pPr>
              <w:ind w:left="1280"/>
              <w:spacing w:after="0"/>
              <w:rPr>
                <w:sz w:val="20"/>
                <w:szCs w:val="20"/>
                <w:color w:val="auto"/>
              </w:rPr>
            </w:pPr>
            <w:r>
              <w:rPr>
                <w:rFonts w:ascii="Arial" w:cs="Arial" w:eastAsia="Arial" w:hAnsi="Arial"/>
                <w:sz w:val="18"/>
                <w:szCs w:val="18"/>
                <w:color w:val="auto"/>
              </w:rPr>
              <w:t>Total operating costs and expenses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527,593</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268,068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from unconsolidated affiliates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108,179</w:t>
            </w:r>
          </w:p>
        </w:tc>
        <w:tc>
          <w:tcPr>
            <w:tcW w:w="4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Interest and other income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12,100</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 net of capitalized interest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(37,673)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(35,943)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Increase (decrease) in swap fair value</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(475)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vMerge w:val="restart"/>
          </w:tcPr>
          <w:p>
            <w:pPr>
              <w:ind w:left="128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(26,205)</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(21,166)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w w:val="92"/>
              </w:rPr>
              <w:t>(23,569)</w:t>
            </w: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(11,434)</w:t>
            </w:r>
          </w:p>
        </w:tc>
        <w:tc>
          <w:tcPr>
            <w:tcW w:w="0" w:type="dxa"/>
            <w:vAlign w:val="bottom"/>
          </w:tcPr>
          <w:p>
            <w:pPr>
              <w:spacing w:after="0"/>
              <w:rPr>
                <w:sz w:val="1"/>
                <w:szCs w:val="1"/>
                <w:color w:val="auto"/>
              </w:rPr>
            </w:pPr>
          </w:p>
        </w:tc>
      </w:tr>
      <w:tr>
        <w:trPr>
          <w:trHeight w:val="20"/>
        </w:trPr>
        <w:tc>
          <w:tcPr>
            <w:tcW w:w="960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income (loss)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0.58</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ind w:left="420"/>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101,402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ind w:left="860"/>
              <w:spacing w:after="0"/>
              <w:rPr>
                <w:sz w:val="20"/>
                <w:szCs w:val="20"/>
                <w:color w:val="auto"/>
              </w:rPr>
            </w:pPr>
            <w:r>
              <w:rPr>
                <w:rFonts w:ascii="Arial" w:cs="Arial" w:eastAsia="Arial" w:hAnsi="Arial"/>
                <w:sz w:val="18"/>
                <w:szCs w:val="18"/>
                <w:color w:val="auto"/>
              </w:rPr>
              <w:t>Diluted</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112,348</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58,405</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51,524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4,460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and writeoffs of deferred financing costs, and other</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doubtful accounts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Property charges and other</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13,269</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income of unconsolidated affiliates, net of distributions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(Increase) decrease in the fair value of interest rate swaps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(decrease) in cash from changes in: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64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7,285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Inventories and prepaid expenses and other</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(2,101)</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64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5,444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175,414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3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expenditures, net of construction payables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5"/>
              </w:rPr>
              <w:t>(148,039)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Restricted cash and investments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92,490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34,447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intangibles and other assets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(39,235)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Proceeds from sale of equipment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1,632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(93,152)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(92,022)</w:t>
            </w:r>
          </w:p>
        </w:tc>
        <w:tc>
          <w:tcPr>
            <w:tcW w:w="0" w:type="dxa"/>
            <w:vAlign w:val="bottom"/>
          </w:tcPr>
          <w:p>
            <w:pPr>
              <w:spacing w:after="0"/>
              <w:rPr>
                <w:sz w:val="1"/>
                <w:szCs w:val="1"/>
                <w:color w:val="auto"/>
              </w:rPr>
            </w:pPr>
          </w:p>
        </w:tc>
      </w:tr>
      <w:tr>
        <w:trPr>
          <w:trHeight w:val="222"/>
        </w:trPr>
        <w:tc>
          <w:tcPr>
            <w:tcW w:w="93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62,000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114,926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Principal payments of long-term debt</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85"/>
              </w:rPr>
              <w:t>(127,599)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Payments on long term land concession obligation</w:t>
            </w:r>
          </w:p>
        </w:tc>
        <w:tc>
          <w:tcPr>
            <w:tcW w:w="100" w:type="dxa"/>
            <w:vAlign w:val="bottom"/>
          </w:tcPr>
          <w:p>
            <w:pPr>
              <w:spacing w:after="0"/>
              <w:rPr>
                <w:sz w:val="18"/>
                <w:szCs w:val="18"/>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(4,659)</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w w:val="98"/>
              </w:rPr>
              <w:t>(68,393)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101,428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420"/>
              <w:spacing w:after="0"/>
              <w:rPr>
                <w:sz w:val="20"/>
                <w:szCs w:val="20"/>
                <w:color w:val="auto"/>
              </w:rPr>
            </w:pPr>
            <w:r>
              <w:rPr>
                <w:rFonts w:ascii="Arial" w:cs="Arial" w:eastAsia="Arial" w:hAnsi="Arial"/>
                <w:sz w:val="18"/>
                <w:szCs w:val="18"/>
                <w:color w:val="auto"/>
              </w:rPr>
              <w:t>Effect of exchange rate on cash</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9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460"/>
              <w:spacing w:after="0"/>
              <w:rPr>
                <w:sz w:val="20"/>
                <w:szCs w:val="20"/>
                <w:color w:val="auto"/>
              </w:rPr>
            </w:pPr>
            <w:r>
              <w:rPr>
                <w:rFonts w:ascii="Arial" w:cs="Arial" w:eastAsia="Arial" w:hAnsi="Arial"/>
                <w:sz w:val="18"/>
                <w:szCs w:val="18"/>
                <w:color w:val="auto"/>
              </w:rPr>
              <w:t>(1,643)</w:t>
            </w:r>
          </w:p>
        </w:tc>
        <w:tc>
          <w:tcPr>
            <w:tcW w:w="1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9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tcPr>
          <w:p>
            <w:pPr>
              <w:ind w:left="420"/>
              <w:spacing w:after="0"/>
              <w:rPr>
                <w:sz w:val="20"/>
                <w:szCs w:val="20"/>
                <w:color w:val="auto"/>
              </w:rPr>
            </w:pPr>
            <w:r>
              <w:rPr>
                <w:rFonts w:ascii="Arial" w:cs="Arial" w:eastAsia="Arial" w:hAnsi="Arial"/>
                <w:sz w:val="18"/>
                <w:szCs w:val="18"/>
                <w:color w:val="auto"/>
              </w:rPr>
              <w:t>Increase in cash and cash equivalents</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12,226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Balance, beginning of period</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789,407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vMerge w:val="restart"/>
          </w:tcPr>
          <w:p>
            <w:pPr>
              <w:ind w:left="420"/>
              <w:spacing w:after="0"/>
              <w:rPr>
                <w:sz w:val="20"/>
                <w:szCs w:val="20"/>
                <w:color w:val="auto"/>
              </w:rPr>
            </w:pPr>
            <w:r>
              <w:rPr>
                <w:rFonts w:ascii="Arial" w:cs="Arial" w:eastAsia="Arial" w:hAnsi="Arial"/>
                <w:sz w:val="18"/>
                <w:szCs w:val="18"/>
                <w:color w:val="auto"/>
              </w:rPr>
              <w:t>Balance, end of period</w:t>
            </w: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36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801,633</w:t>
            </w:r>
          </w:p>
        </w:tc>
        <w:tc>
          <w:tcPr>
            <w:tcW w:w="5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477,027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8260" w:hanging="232"/>
        <w:spacing w:after="0" w:line="332" w:lineRule="auto"/>
        <w:tabs>
          <w:tab w:leader="none" w:pos="187"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Organization and Basis of Presentation </w:t>
      </w:r>
      <w:r>
        <w:rPr>
          <w:rFonts w:ascii="Arial" w:cs="Arial" w:eastAsia="Arial" w:hAnsi="Arial"/>
          <w:sz w:val="18"/>
          <w:szCs w:val="18"/>
          <w:i w:val="1"/>
          <w:iCs w:val="1"/>
          <w:color w:val="auto"/>
        </w:rPr>
        <w:t>Organization</w:t>
      </w:r>
    </w:p>
    <w:p>
      <w:pPr>
        <w:spacing w:after="0" w:line="1"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was formed in June 2002 and completed an initial public offering of its common stock on October 25, 2002. Wynn Resorts’ predecessor, Valvino Lamore, LLC (“Valvino”), was formed on April 21, 2000 as a Nevada limited liability company to purchase the Desert Inn Resort and Casino for the site of the Company’s first casino resort in Las Vegas, Nevada, hereinafter referred to as “Wynn Las Vegas.”</w:t>
      </w:r>
    </w:p>
    <w:p>
      <w:pPr>
        <w:spacing w:after="0" w:line="130"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In June 2002, Valvino’s indirect subsidiary, Wynn Resorts (Macau), S.A. (“Wynn Macau, S.A.”), entered into an agreement with the government of the Macau Special Administrative Region of the People’s Republic of China (“Macau”), granting Wynn Macau, S.A. the right to construct and operate one or more casino gaming properties in Macau. Wynn Macau, S.A.’s first casino resort in Macau is hereinafter referred to as “Wynn Macau.”</w:t>
      </w:r>
    </w:p>
    <w:p>
      <w:pPr>
        <w:spacing w:after="0" w:line="9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currently owns and operates two casino hotel resort properties, Wynn Las Vegas, which opened on April 28, 2005 and Wynn Macau, which opened on September 6, 2006. In addition, the Company is constructing “Encore at Wynn Las Vegas” or “Encore” and continues development of the second phase of Wynn Macau, as well as the Diamond Suites hotel tower at Wynn Macau. Encore will be fully integrated with Wynn Las Vegas and is being constructed on 20 acres of land immediately adjacent to Wynn Las Vegas. Encore is expected to open to the public in early 2009. The second phase of Wynn Macau will be integrated into the first phase and is being constructed on the five remaining acres of the 16 acres of land for Wynn Macau. Wynn Macau’s second phase is scheduled to open in the third quarter of 2007. The Company continues to work on a final budget, design and schedule for the Diamond Suites project.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Basis of Presentation</w:t>
      </w:r>
    </w:p>
    <w:p>
      <w:pPr>
        <w:spacing w:after="0" w:line="7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accompanying condensed consolidated financial statements include the accounts of the Company and its majority-owned subsidiaries. Investments in the 50%-owned joint ventures operating the Ferrari and Maserati automobile dealership and the Brioni mens’ retail clothing store inside Wynn Las Vegas are accounted for under the equity method. All significant intercompany accounts and transactions have been eliminated.</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accounting principles generally accepted in the United States of America have been condensed or omitted pursuant to such rules and regulations, although the Company believes that the disclosures herein are adequate to make the information presented not misleading. In the opinion of management, all adjustments (which include only normal recurring adjustments) necessary for a fair presentation of the results for the interim periods have been made. The results for the three months ended March 31, 2007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2006.</w:t>
      </w:r>
    </w:p>
    <w:p>
      <w:pPr>
        <w:spacing w:after="0" w:line="99" w:lineRule="exact"/>
        <w:rPr>
          <w:sz w:val="20"/>
          <w:szCs w:val="20"/>
          <w:color w:val="auto"/>
        </w:rPr>
      </w:pPr>
    </w:p>
    <w:p>
      <w:pPr>
        <w:ind w:left="240" w:right="7900" w:hanging="232"/>
        <w:spacing w:after="0" w:line="373" w:lineRule="auto"/>
        <w:tabs>
          <w:tab w:leader="none" w:pos="18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w:t>
      </w:r>
      <w:r>
        <w:rPr>
          <w:rFonts w:ascii="Arial" w:cs="Arial" w:eastAsia="Arial" w:hAnsi="Arial"/>
          <w:sz w:val="16"/>
          <w:szCs w:val="16"/>
          <w:i w:val="1"/>
          <w:iCs w:val="1"/>
          <w:color w:val="auto"/>
        </w:rPr>
        <w:t>Accounts receivable and credit risk</w:t>
      </w:r>
    </w:p>
    <w:p>
      <w:pPr>
        <w:spacing w:after="0" w:line="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At March 31, 2007 and December 31, 2006,</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approximately 62% and 59%, respectively, of the Company’s markers were due from customers residing outside the United States, primarily in Asia. Business or economic conditions or other significant events in these countries could affect the collectibility of such receivables.</w:t>
      </w:r>
    </w:p>
    <w:p>
      <w:pPr>
        <w:spacing w:after="0" w:line="118"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specific review of customer accounts as well as management’s experience with collection trends in the casino industry and current economic and business conditions.</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Inventories</w:t>
      </w:r>
    </w:p>
    <w:p>
      <w:pPr>
        <w:spacing w:after="0" w:line="77"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Inventories consist of retail, food and beverage items, which are stated at the lower of cost or market value, and certain operating supplies. Cost is determined by the first-in, first-out, average and specific identification methods.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Advance deposits on rooms and advance ticket sales are recorded as deferred revenues until services are provided to the customer.</w:t>
      </w:r>
    </w:p>
    <w:p>
      <w:pPr>
        <w:spacing w:after="0" w:line="13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Revenues are recognized net of certain sales incentives in accordance with the Emerging Issues Task Force (“EITF”) consensus on Issue 01-9, “Accounting for Consideration Given by a Vendor to a Customer (Including a Reseller of the Vendor’s Products).” EITF 01-9 requires that sales incentives be recorded as a reduction of revenue; consequently, the Company’s casino revenues are reduced by discounts, certain commissions and points earned in customer loyalty programs, such as the players club loyalty program.</w:t>
      </w:r>
    </w:p>
    <w:p>
      <w:pPr>
        <w:spacing w:after="0" w:line="13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 and then deducted as promotional allowances. The estimated cost of providing such promotional allowances is primarily included in casino expenses as follows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89"/>
              </w:rPr>
              <w:t>Three Months Ended</w:t>
            </w:r>
          </w:p>
        </w:tc>
      </w:tr>
      <w:tr>
        <w:trPr>
          <w:trHeight w:val="161"/>
        </w:trPr>
        <w:tc>
          <w:tcPr>
            <w:tcW w:w="9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99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w w:val="96"/>
              </w:rPr>
              <w:t>2006</w:t>
            </w:r>
          </w:p>
        </w:tc>
        <w:tc>
          <w:tcPr>
            <w:tcW w:w="20" w:type="dxa"/>
            <w:vAlign w:val="bottom"/>
          </w:tcPr>
          <w:p>
            <w:pPr>
              <w:spacing w:after="0"/>
              <w:rPr>
                <w:sz w:val="12"/>
                <w:szCs w:val="12"/>
                <w:color w:val="auto"/>
              </w:rPr>
            </w:pPr>
          </w:p>
        </w:tc>
      </w:tr>
      <w:tr>
        <w:trPr>
          <w:trHeight w:val="210"/>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6,128</w:t>
            </w:r>
          </w:p>
        </w:tc>
        <w:tc>
          <w:tcPr>
            <w:tcW w:w="20" w:type="dxa"/>
            <w:vAlign w:val="bottom"/>
          </w:tcPr>
          <w:p>
            <w:pPr>
              <w:spacing w:after="0"/>
              <w:rPr>
                <w:sz w:val="18"/>
                <w:szCs w:val="18"/>
                <w:color w:val="auto"/>
              </w:rPr>
            </w:pPr>
          </w:p>
        </w:tc>
      </w:tr>
      <w:tr>
        <w:trPr>
          <w:trHeight w:val="216"/>
        </w:trPr>
        <w:tc>
          <w:tcPr>
            <w:tcW w:w="9920" w:type="dxa"/>
            <w:vAlign w:val="bottom"/>
          </w:tcPr>
          <w:p>
            <w:pPr>
              <w:spacing w:after="0"/>
              <w:rPr>
                <w:sz w:val="20"/>
                <w:szCs w:val="20"/>
                <w:color w:val="auto"/>
              </w:rPr>
            </w:pPr>
            <w:r>
              <w:rPr>
                <w:rFonts w:ascii="Arial" w:cs="Arial" w:eastAsia="Arial" w:hAnsi="Arial"/>
                <w:sz w:val="18"/>
                <w:szCs w:val="18"/>
                <w:color w:val="auto"/>
              </w:rPr>
              <w:t>Food &amp; beverage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17,285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15,847</w:t>
            </w:r>
          </w:p>
        </w:tc>
        <w:tc>
          <w:tcPr>
            <w:tcW w:w="20" w:type="dxa"/>
            <w:vAlign w:val="bottom"/>
          </w:tcPr>
          <w:p>
            <w:pPr>
              <w:spacing w:after="0"/>
              <w:rPr>
                <w:sz w:val="18"/>
                <w:szCs w:val="18"/>
                <w:color w:val="auto"/>
              </w:rPr>
            </w:pPr>
          </w:p>
        </w:tc>
      </w:tr>
      <w:tr>
        <w:trPr>
          <w:trHeight w:val="216"/>
        </w:trPr>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retail and other</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2,630</w:t>
            </w:r>
          </w:p>
        </w:tc>
        <w:tc>
          <w:tcPr>
            <w:tcW w:w="20" w:type="dxa"/>
            <w:vAlign w:val="bottom"/>
          </w:tcPr>
          <w:p>
            <w:pPr>
              <w:spacing w:after="0"/>
              <w:rPr>
                <w:sz w:val="18"/>
                <w:szCs w:val="18"/>
                <w:color w:val="auto"/>
              </w:rPr>
            </w:pPr>
          </w:p>
        </w:tc>
      </w:tr>
      <w:tr>
        <w:trPr>
          <w:trHeight w:val="222"/>
        </w:trPr>
        <w:tc>
          <w:tcPr>
            <w:tcW w:w="9920" w:type="dxa"/>
            <w:vAlign w:val="bottom"/>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26,711</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w w:val="83"/>
              </w:rPr>
              <w:t>24,605</w:t>
            </w:r>
          </w:p>
        </w:tc>
      </w:tr>
      <w:tr>
        <w:trPr>
          <w:trHeight w:val="20"/>
        </w:trPr>
        <w:tc>
          <w:tcPr>
            <w:tcW w:w="99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Costs</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expenses advertising costs the first time the advertising takes place. For the three months ended March 31, 2007 and 2006, advertising costs totaled approximately $6.6 million and $5.5 million, respectively.</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Reclassifications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Certain amounts in the condensed consolidated financial statements for the three months ended March 31, 2006 have been reclassified to be consistent with the current year presentation. These reclassifications had no effect on the previously reported net loss.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Recently Issued Accounting Standards</w:t>
      </w:r>
    </w:p>
    <w:p>
      <w:pPr>
        <w:spacing w:after="0" w:line="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June 2006, the Financial Accounting Standards Board (“FASB”) issued Interpretation No. 48 (“FIN 48”) “Accounting for Uncertainty in Income Taxes”. This interpretation clarifies the accounting for uncertainty in income taxes recognized in a company’s financial statements in accordance with FASB Statement No. 109, “Accounting for Income Taxes”. The interpretation provides guidance on classification, interest and penalties, accounting in interim periods, disclosure, and translation. This interpretation is effective for fiscal years beginning after December 15, 2006. The adoption of this statement was effective January 1, 2007. The Company recorded a $2 million cumulative effect adjustment to accumulated deficit in the first quarter of 2007 as a result of the adoption of FIN 48. See Note 14 for additional information.</w:t>
      </w:r>
    </w:p>
    <w:p>
      <w:pPr>
        <w:spacing w:after="0" w:line="13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September 2006, the FASB issued Statement of Financial Accounting Standards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The Company has not yet determined the impact this statement will have on its consolidated financial statements after it is adopted on January 1, 2008.</w:t>
      </w:r>
    </w:p>
    <w:p>
      <w:pPr>
        <w:spacing w:after="0" w:line="129"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In June 2006, the FASB ratified the consensus reached on EITF Issue No. 06-03, “How Taxes Collected from Customers and Remitted to Governmental Authorities Should Be Presented in the Income Statement (that is, Gross Versus Net Presentation)”. The EITF reached a consensus that the presentation of taxes on either a gross or net basis is an accounting policy decision that requires disclosure. EITF Issue No. 06-03 is effective for the first interim or annual reporting period beginning after December 15, 2006. The Company has historically and will continue to record taxes collected from customers on a net basis. Accordingly, the adoption of EITF Issue No. 06-03 did not have an effect on the Company’s results of operation or financial position.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8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Earnings per share are calculated in accordance with SFAS No. 128, “Earnings Per Share,” which provides for the reporting of “basic,” or undiluted, earnings per share (“EPS”) and “diluted” EPS. Basic EPS is computed by dividing net income by the weighted average number of shares outstanding during the period. Diluted EPS reflects the addition of potentially dilutive securities, which for the Company include: stock options, nonvested stock, and the 6% Convertible Subordinated Debentures due 2015 (the “Debentures”).</w:t>
      </w:r>
    </w:p>
    <w:p>
      <w:pPr>
        <w:spacing w:after="0" w:line="130"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(amounts in thousands):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140" w:type="dxa"/>
            <w:vAlign w:val="bottom"/>
            <w:tcBorders>
              <w:bottom w:val="single" w:sz="8" w:color="auto"/>
            </w:tcBorders>
            <w:gridSpan w:val="3"/>
          </w:tcPr>
          <w:p>
            <w:pPr>
              <w:jc w:val="center"/>
              <w:ind w:left="422"/>
              <w:spacing w:after="0"/>
              <w:rPr>
                <w:sz w:val="20"/>
                <w:szCs w:val="20"/>
                <w:color w:val="auto"/>
              </w:rPr>
            </w:pPr>
            <w:r>
              <w:rPr>
                <w:rFonts w:ascii="Arial" w:cs="Arial" w:eastAsia="Arial" w:hAnsi="Arial"/>
                <w:sz w:val="14"/>
                <w:szCs w:val="14"/>
                <w:b w:val="1"/>
                <w:bCs w:val="1"/>
                <w:color w:val="auto"/>
                <w:w w:val="92"/>
              </w:rPr>
              <w:t>March 31,</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6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outstanding (used in calculation of basic earnings per share)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7"/>
              </w:rPr>
              <w:t>98,736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Potential dilution from the assumed exercise of stock options, nonvested stock, and the Debentures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10,946</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w w:val="93"/>
              </w:rPr>
              <w:t>Weighted average common and common equivalent shares outstanding (used in calculation of diluted earnings per</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00" w:type="dxa"/>
            <w:vAlign w:val="bottom"/>
            <w:shd w:val="clear" w:color="auto" w:fill="CCEEFF"/>
          </w:tcPr>
          <w:p>
            <w:pPr>
              <w:jc w:val="right"/>
              <w:ind w:right="7892"/>
              <w:spacing w:after="0"/>
              <w:rPr>
                <w:sz w:val="20"/>
                <w:szCs w:val="20"/>
                <w:color w:val="auto"/>
              </w:rPr>
            </w:pPr>
            <w:r>
              <w:rPr>
                <w:rFonts w:ascii="Arial" w:cs="Arial" w:eastAsia="Arial" w:hAnsi="Arial"/>
                <w:sz w:val="18"/>
                <w:szCs w:val="18"/>
                <w:color w:val="auto"/>
              </w:rPr>
              <w:t>share)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112,348</w:t>
            </w:r>
          </w:p>
        </w:tc>
        <w:tc>
          <w:tcPr>
            <w:tcW w:w="3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87"/>
              </w:rPr>
              <w:t>98,736</w:t>
            </w: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jc w:val="right"/>
              <w:ind w:right="3352"/>
              <w:spacing w:after="0"/>
              <w:rPr>
                <w:sz w:val="20"/>
                <w:szCs w:val="20"/>
                <w:color w:val="auto"/>
              </w:rPr>
            </w:pPr>
            <w:r>
              <w:rPr>
                <w:rFonts w:ascii="Arial" w:cs="Arial" w:eastAsia="Arial" w:hAnsi="Arial"/>
                <w:sz w:val="18"/>
                <w:szCs w:val="18"/>
                <w:color w:val="auto"/>
              </w:rPr>
              <w:t>8</w:t>
            </w: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8620" w:type="dxa"/>
            <w:vAlign w:val="bottom"/>
            <w:gridSpan w:val="2"/>
            <w:vMerge w:val="continue"/>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calculation of diluted EPS for the three months ended March 31, 2007 also includes an addition to net income of $2.3 million to reflect the interest expense, net of related tax effects that would not have been incurred on the Debentures, if converted.</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For the three months ended March 31, 2006, the Company incurred a net loss. As a result, basic EPS is equal to diluted EPS for that period. The calculation of diluted EPS at March 31, 2006 excludes the following anti-dilutive securities: 3,471,000 shares issuable upon exercise of stock options, 789,169 shares under nonvested stock grants and 10,255,260 shares issuable upon conversion of the Debentures.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Comprehensive Income</w:t>
      </w:r>
    </w:p>
    <w:p>
      <w:pPr>
        <w:spacing w:after="0" w:line="83"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760" w:type="dxa"/>
            <w:vAlign w:val="bottom"/>
            <w:gridSpan w:val="2"/>
          </w:tcPr>
          <w:p>
            <w:pPr>
              <w:spacing w:after="0"/>
              <w:rPr>
                <w:sz w:val="20"/>
                <w:szCs w:val="20"/>
                <w:color w:val="auto"/>
              </w:rPr>
            </w:pPr>
            <w:r>
              <w:rPr>
                <w:rFonts w:ascii="Arial" w:cs="Arial" w:eastAsia="Arial" w:hAnsi="Arial"/>
                <w:sz w:val="18"/>
                <w:szCs w:val="18"/>
                <w:color w:val="auto"/>
                <w:w w:val="92"/>
              </w:rPr>
              <w:t>Comprehensive income for the three months ended March 31, 2007 consisted of the following (amounts in thousands):</w:t>
            </w:r>
          </w:p>
        </w:tc>
        <w:tc>
          <w:tcPr>
            <w:tcW w:w="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700" w:type="dxa"/>
            <w:vAlign w:val="bottom"/>
            <w:vMerge w:val="restart"/>
          </w:tcPr>
          <w:p>
            <w:pPr>
              <w:spacing w:after="0"/>
              <w:rPr>
                <w:sz w:val="13"/>
                <w:szCs w:val="13"/>
                <w:color w:val="auto"/>
              </w:rPr>
            </w:pPr>
          </w:p>
        </w:tc>
        <w:tc>
          <w:tcPr>
            <w:tcW w:w="80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70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4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(3,643)</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For the three months ended March 31, 2006, the impact of the currency translation adjustment on the financial statements of the Company was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Supplemental Disclosure of Cash Flow Information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Interest paid for the three months ended March 31, 2007 and 2006 totaled approximately $23.1 million and $24.8 million, respectively. Interest capitalized for the three months ended March 31, 2007 and 2006 totaled approximately $6.9 million and $6.4 million, respectively.</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Stock-based compensation related to employees dedicated to the construction of Encore and Wynn Macau that was capitalized as a part of construction in progress for the three months ended March 31, 2007 and 2006 totaled approximately $0.2 million and $0.5 million, respectively.</w:t>
      </w:r>
    </w:p>
    <w:p>
      <w:pPr>
        <w:spacing w:after="0" w:line="7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During the three months ended March 31, 2006, approximately $14.1 million principal amount of the Debentures were converted into 614,301 shares of common stock of Wynn Resorts, Limited. Accordingly, long-term debt was reduced by approximately $14.1 million, equity was increased by approximately $13.7 million and deferred financing costs were reduced by approximately $0.4 million. There were no conversions during the three months ended March 31, 2007.</w:t>
      </w:r>
    </w:p>
    <w:p>
      <w:pPr>
        <w:spacing w:after="0" w:line="130"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During the three months ended March 31, 2007 and 2006, capital expenditures includes an approximately $17.1 million increase and a $12 million decrease, respectively, in construction payables and retention.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Receivables, net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Receivables, net consist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March 31,</w:t>
            </w:r>
          </w:p>
        </w:tc>
        <w:tc>
          <w:tcPr>
            <w:tcW w:w="200" w:type="dxa"/>
            <w:vAlign w:val="bottom"/>
          </w:tcPr>
          <w:p>
            <w:pPr>
              <w:spacing w:after="0"/>
              <w:rPr>
                <w:sz w:val="14"/>
                <w:szCs w:val="14"/>
                <w:color w:val="auto"/>
              </w:rPr>
            </w:pPr>
          </w:p>
        </w:tc>
        <w:tc>
          <w:tcPr>
            <w:tcW w:w="960" w:type="dxa"/>
            <w:vAlign w:val="bottom"/>
            <w:gridSpan w:val="4"/>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500" w:type="dxa"/>
            <w:vAlign w:val="bottom"/>
            <w:gridSpan w:val="2"/>
          </w:tcPr>
          <w:p>
            <w:pPr>
              <w:spacing w:after="0"/>
              <w:rPr>
                <w:sz w:val="14"/>
                <w:szCs w:val="14"/>
                <w:color w:val="auto"/>
              </w:rPr>
            </w:pPr>
          </w:p>
        </w:tc>
        <w:tc>
          <w:tcPr>
            <w:tcW w:w="66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$140,043</w:t>
            </w:r>
          </w:p>
        </w:tc>
        <w:tc>
          <w:tcPr>
            <w:tcW w:w="300" w:type="dxa"/>
            <w:vAlign w:val="bottom"/>
            <w:tcBorders>
              <w:left w:val="single" w:sz="8" w:color="CCEEFF"/>
            </w:tcBorders>
            <w:shd w:val="clear" w:color="auto" w:fill="CCEEFF"/>
          </w:tcPr>
          <w:p>
            <w:pPr>
              <w:spacing w:after="0"/>
              <w:rPr>
                <w:sz w:val="18"/>
                <w:szCs w:val="18"/>
                <w:color w:val="auto"/>
              </w:rPr>
            </w:pPr>
          </w:p>
        </w:tc>
        <w:tc>
          <w:tcPr>
            <w:tcW w:w="40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Hotel</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20,305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17,292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50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12,203</w:t>
            </w: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172,551</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175,759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1500" w:type="dxa"/>
            <w:vAlign w:val="bottom"/>
            <w:gridSpan w:val="2"/>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(43,124)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(35,527)</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129,427</w:t>
            </w:r>
          </w:p>
        </w:tc>
        <w:tc>
          <w:tcPr>
            <w:tcW w:w="300" w:type="dxa"/>
            <w:vAlign w:val="bottom"/>
          </w:tcPr>
          <w:p>
            <w:pPr>
              <w:spacing w:after="0"/>
              <w:rPr>
                <w:sz w:val="19"/>
                <w:szCs w:val="19"/>
                <w:color w:val="auto"/>
              </w:rPr>
            </w:pPr>
          </w:p>
        </w:tc>
        <w:tc>
          <w:tcPr>
            <w:tcW w:w="400" w:type="dxa"/>
            <w:vAlign w:val="bottom"/>
            <w:gridSpan w:val="3"/>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140,232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Property and Equipment, net</w:t>
            </w: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240" w:type="dxa"/>
            <w:vAlign w:val="bottom"/>
            <w:gridSpan w:val="2"/>
            <w:vMerge w:val="continue"/>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24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net consist of the following (amounts in thousands):</w:t>
            </w: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580" w:type="dxa"/>
            <w:vAlign w:val="bottom"/>
          </w:tcPr>
          <w:p>
            <w:pPr>
              <w:spacing w:after="0"/>
              <w:rPr>
                <w:sz w:val="24"/>
                <w:szCs w:val="24"/>
                <w:color w:val="auto"/>
              </w:rPr>
            </w:pPr>
          </w:p>
        </w:tc>
        <w:tc>
          <w:tcPr>
            <w:tcW w:w="66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24"/>
                <w:szCs w:val="24"/>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61"/>
        </w:trPr>
        <w:tc>
          <w:tcPr>
            <w:tcW w:w="58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20" w:type="dxa"/>
            <w:vAlign w:val="bottom"/>
            <w:tcBorders>
              <w:bottom w:val="single" w:sz="8" w:color="auto"/>
            </w:tcBorders>
            <w:gridSpan w:val="2"/>
          </w:tcPr>
          <w:p>
            <w:pPr>
              <w:jc w:val="right"/>
              <w:ind w:right="182"/>
              <w:spacing w:after="0"/>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603,838</w:t>
            </w:r>
          </w:p>
        </w:tc>
        <w:tc>
          <w:tcPr>
            <w:tcW w:w="300" w:type="dxa"/>
            <w:vAlign w:val="bottom"/>
            <w:tcBorders>
              <w:left w:val="single" w:sz="8" w:color="CCEEFF"/>
            </w:tcBorders>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603,290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1,582,895</w:t>
            </w:r>
          </w:p>
        </w:tc>
        <w:tc>
          <w:tcPr>
            <w:tcW w:w="30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1,553,447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Airplanes</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57,639</w:t>
            </w: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2160" w:type="dxa"/>
            <w:vAlign w:val="bottom"/>
            <w:gridSpan w:val="3"/>
          </w:tcPr>
          <w:p>
            <w:pPr>
              <w:jc w:val="right"/>
              <w:spacing w:after="0"/>
              <w:rPr>
                <w:sz w:val="20"/>
                <w:szCs w:val="20"/>
                <w:color w:val="auto"/>
              </w:rPr>
            </w:pPr>
            <w:r>
              <w:rPr>
                <w:rFonts w:ascii="Arial" w:cs="Arial" w:eastAsia="Arial" w:hAnsi="Arial"/>
                <w:sz w:val="18"/>
                <w:szCs w:val="18"/>
                <w:color w:val="auto"/>
              </w:rPr>
              <w:t>798,330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788,375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Leasehold interest in land</w:t>
            </w: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66,888</w:t>
            </w:r>
          </w:p>
        </w:tc>
        <w:tc>
          <w:tcPr>
            <w:tcW w:w="30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1340" w:type="dxa"/>
            <w:vAlign w:val="bottom"/>
          </w:tcPr>
          <w:p>
            <w:pPr>
              <w:spacing w:after="0"/>
              <w:rPr>
                <w:sz w:val="19"/>
                <w:szCs w:val="19"/>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444,298</w:t>
            </w: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345,377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3,553,888</w:t>
            </w:r>
          </w:p>
        </w:tc>
        <w:tc>
          <w:tcPr>
            <w:tcW w:w="30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3,415,258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40" w:type="dxa"/>
            <w:vAlign w:val="bottom"/>
          </w:tcPr>
          <w:p>
            <w:pPr>
              <w:spacing w:after="0"/>
              <w:rPr>
                <w:sz w:val="18"/>
                <w:szCs w:val="18"/>
                <w:color w:val="auto"/>
              </w:rPr>
            </w:pP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(296,524)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(257,636)</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66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$ 3,257,364</w:t>
            </w:r>
          </w:p>
        </w:tc>
        <w:tc>
          <w:tcPr>
            <w:tcW w:w="300" w:type="dxa"/>
            <w:vAlign w:val="bottom"/>
            <w:tcBorders>
              <w:left w:val="single" w:sz="8" w:color="CCEEFF"/>
            </w:tcBorders>
            <w:shd w:val="clear" w:color="auto" w:fill="CCEEFF"/>
          </w:tcPr>
          <w:p>
            <w:pPr>
              <w:spacing w:after="0"/>
              <w:rPr>
                <w:sz w:val="18"/>
                <w:szCs w:val="18"/>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$ 3,157,622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2007 and December 31, 2006, construction in progress includes interest and other costs capitalized in conjunction with the second phase of Wynn Macau and Encore.</w:t>
      </w:r>
    </w:p>
    <w:p>
      <w:pPr>
        <w:spacing w:after="0" w:line="11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240" w:top="459" w:right="4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87"/>
              </w:rPr>
              <w:t>December 31,</w:t>
            </w:r>
          </w:p>
        </w:tc>
      </w:tr>
      <w:tr>
        <w:trPr>
          <w:trHeight w:val="175"/>
        </w:trPr>
        <w:tc>
          <w:tcPr>
            <w:tcW w:w="9240" w:type="dxa"/>
            <w:vAlign w:val="bottom"/>
          </w:tcPr>
          <w:p>
            <w:pPr>
              <w:spacing w:after="0"/>
              <w:rPr>
                <w:sz w:val="15"/>
                <w:szCs w:val="15"/>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5"/>
                <w:szCs w:val="15"/>
                <w:color w:val="auto"/>
              </w:rPr>
            </w:pPr>
          </w:p>
        </w:tc>
      </w:tr>
      <w:tr>
        <w:trPr>
          <w:trHeight w:val="210"/>
        </w:trPr>
        <w:tc>
          <w:tcPr>
            <w:tcW w:w="9240" w:type="dxa"/>
            <w:vAlign w:val="bottom"/>
            <w:shd w:val="clear" w:color="auto" w:fill="CCEEFF"/>
          </w:tcPr>
          <w:p>
            <w:pPr>
              <w:spacing w:after="0" w:line="209"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5</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First Mortgage Notes, due December 1, 2014</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$ 1,300,000</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$ 1,300,000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6% Convertible Subordinated Debentures, due July 15, 2015</w:t>
            </w:r>
          </w:p>
        </w:tc>
        <w:tc>
          <w:tcPr>
            <w:tcW w:w="840" w:type="dxa"/>
            <w:vAlign w:val="bottom"/>
          </w:tcPr>
          <w:p>
            <w:pPr>
              <w:jc w:val="right"/>
              <w:spacing w:after="0"/>
              <w:rPr>
                <w:sz w:val="20"/>
                <w:szCs w:val="20"/>
                <w:color w:val="auto"/>
              </w:rPr>
            </w:pPr>
            <w:r>
              <w:rPr>
                <w:rFonts w:ascii="Arial" w:cs="Arial" w:eastAsia="Arial" w:hAnsi="Arial"/>
                <w:sz w:val="18"/>
                <w:szCs w:val="18"/>
                <w:color w:val="auto"/>
              </w:rPr>
              <w:t>224,128</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224,128</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$900 million Revolving Credit Facility; due August 15, 2011; interest at LIBOR plus 1.625%</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88,892</w:t>
            </w:r>
          </w:p>
        </w:tc>
      </w:tr>
      <w:tr>
        <w:trPr>
          <w:trHeight w:val="208"/>
        </w:trPr>
        <w:tc>
          <w:tcPr>
            <w:tcW w:w="9240" w:type="dxa"/>
            <w:vAlign w:val="bottom"/>
          </w:tcPr>
          <w:p>
            <w:pPr>
              <w:spacing w:after="0"/>
              <w:rPr>
                <w:sz w:val="20"/>
                <w:szCs w:val="20"/>
                <w:color w:val="auto"/>
              </w:rPr>
            </w:pPr>
            <w:r>
              <w:rPr>
                <w:rFonts w:ascii="Arial" w:cs="Arial" w:eastAsia="Arial" w:hAnsi="Arial"/>
                <w:sz w:val="18"/>
                <w:szCs w:val="18"/>
                <w:color w:val="auto"/>
                <w:w w:val="98"/>
              </w:rPr>
              <w:t>$225 million Term Loan Facility; $112.5 million due September 30, 2012 with remaining $112.5 million due August 15,</w:t>
            </w: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2"/>
        </w:trPr>
        <w:tc>
          <w:tcPr>
            <w:tcW w:w="9240" w:type="dxa"/>
            <w:vAlign w:val="bottom"/>
          </w:tcPr>
          <w:p>
            <w:pPr>
              <w:ind w:left="220"/>
              <w:spacing w:after="0"/>
              <w:rPr>
                <w:sz w:val="20"/>
                <w:szCs w:val="20"/>
                <w:color w:val="auto"/>
              </w:rPr>
            </w:pPr>
            <w:r>
              <w:rPr>
                <w:rFonts w:ascii="Arial" w:cs="Arial" w:eastAsia="Arial" w:hAnsi="Arial"/>
                <w:sz w:val="18"/>
                <w:szCs w:val="18"/>
                <w:color w:val="auto"/>
              </w:rPr>
              <w:t>2013; interest at LIBOR plus 1.875%</w:t>
            </w:r>
          </w:p>
        </w:tc>
        <w:tc>
          <w:tcPr>
            <w:tcW w:w="840" w:type="dxa"/>
            <w:vAlign w:val="bottom"/>
          </w:tcPr>
          <w:p>
            <w:pPr>
              <w:jc w:val="right"/>
              <w:spacing w:after="0"/>
              <w:rPr>
                <w:sz w:val="20"/>
                <w:szCs w:val="20"/>
                <w:color w:val="auto"/>
              </w:rPr>
            </w:pPr>
            <w:r>
              <w:rPr>
                <w:rFonts w:ascii="Arial" w:cs="Arial" w:eastAsia="Arial" w:hAnsi="Arial"/>
                <w:sz w:val="18"/>
                <w:szCs w:val="18"/>
                <w:color w:val="auto"/>
              </w:rPr>
              <w:t>225,000</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225,000</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Senior Term Loan Facilities; due September 14, 2011; interest at LIBOR or HIBOR plus 2.75%,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515,663</w:t>
            </w:r>
          </w:p>
        </w:tc>
        <w:tc>
          <w:tcPr>
            <w:tcW w:w="24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496,729</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$44.75 million note payable; due March 31, 2010; interest at LIBOR plus 2.375%</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38,510</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$42 million note payable; due April 1, 2017; interest at LIBOR plus 1.25%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Note payable - Aircraft; interest at 5.67%</w:t>
            </w:r>
          </w:p>
        </w:tc>
        <w:tc>
          <w:tcPr>
            <w:tcW w:w="840" w:type="dxa"/>
            <w:vAlign w:val="bottom"/>
          </w:tcPr>
          <w:p>
            <w:pPr>
              <w:jc w:val="right"/>
              <w:spacing w:after="0"/>
              <w:rPr>
                <w:sz w:val="20"/>
                <w:szCs w:val="20"/>
                <w:color w:val="auto"/>
              </w:rPr>
            </w:pPr>
            <w:r>
              <w:rPr>
                <w:rFonts w:ascii="Arial" w:cs="Arial" w:eastAsia="Arial" w:hAnsi="Arial"/>
                <w:sz w:val="18"/>
                <w:szCs w:val="18"/>
                <w:color w:val="auto"/>
              </w:rPr>
              <w:t>13,089</w:t>
            </w:r>
          </w:p>
        </w:tc>
        <w:tc>
          <w:tcPr>
            <w:tcW w:w="240" w:type="dxa"/>
            <w:vAlign w:val="bottom"/>
          </w:tcPr>
          <w:p>
            <w:pPr>
              <w:spacing w:after="0"/>
              <w:rPr>
                <w:sz w:val="18"/>
                <w:szCs w:val="18"/>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13,274</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80" w:type="dxa"/>
            <w:vAlign w:val="bottom"/>
            <w:shd w:val="clear" w:color="auto" w:fill="CCEEFF"/>
          </w:tcPr>
          <w:p>
            <w:pPr>
              <w:spacing w:after="0"/>
              <w:rPr>
                <w:sz w:val="18"/>
                <w:szCs w:val="18"/>
                <w:color w:val="auto"/>
              </w:rPr>
            </w:pPr>
          </w:p>
        </w:tc>
      </w:tr>
      <w:tr>
        <w:trPr>
          <w:trHeight w:val="221"/>
        </w:trPr>
        <w:tc>
          <w:tcPr>
            <w:tcW w:w="9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2,319,986</w:t>
            </w:r>
          </w:p>
        </w:tc>
        <w:tc>
          <w:tcPr>
            <w:tcW w:w="240" w:type="dxa"/>
            <w:vAlign w:val="bottom"/>
          </w:tcPr>
          <w:p>
            <w:pPr>
              <w:spacing w:after="0"/>
              <w:rPr>
                <w:sz w:val="19"/>
                <w:szCs w:val="19"/>
                <w:color w:val="auto"/>
              </w:rPr>
            </w:pPr>
          </w:p>
        </w:tc>
        <w:tc>
          <w:tcPr>
            <w:tcW w:w="1100" w:type="dxa"/>
            <w:vAlign w:val="bottom"/>
            <w:gridSpan w:val="3"/>
          </w:tcPr>
          <w:p>
            <w:pPr>
              <w:jc w:val="right"/>
              <w:ind w:right="80"/>
              <w:spacing w:after="0"/>
              <w:rPr>
                <w:sz w:val="20"/>
                <w:szCs w:val="20"/>
                <w:color w:val="auto"/>
              </w:rPr>
            </w:pPr>
            <w:r>
              <w:rPr>
                <w:rFonts w:ascii="Arial" w:cs="Arial" w:eastAsia="Arial" w:hAnsi="Arial"/>
                <w:sz w:val="18"/>
                <w:szCs w:val="18"/>
                <w:color w:val="auto"/>
              </w:rPr>
              <w:t>2,386,652</w:t>
            </w:r>
          </w:p>
        </w:tc>
      </w:tr>
      <w:tr>
        <w:trPr>
          <w:trHeight w:val="218"/>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(1,868)</w:t>
            </w: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(6,115)</w:t>
            </w:r>
          </w:p>
        </w:tc>
      </w:tr>
      <w:tr>
        <w:trPr>
          <w:trHeight w:val="222"/>
        </w:trPr>
        <w:tc>
          <w:tcPr>
            <w:tcW w:w="92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$ 2,318,118</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$ 2,380,537</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5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Credit Facilities</w:t>
      </w:r>
    </w:p>
    <w:p>
      <w:pPr>
        <w:spacing w:after="0" w:line="77"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In April 2007, the Company amended its $900 million Revolving Credit Facility and its $225 million Term Loan Facility (together the “Wynn Las Vegas Credit Facilities,” or the “Credit Facilities”) to: (a) have the Final Completion as defined, be deemed satisfied for Wynn Las Vegas with the resulting release of</w:t>
      </w:r>
    </w:p>
    <w:p>
      <w:pPr>
        <w:ind w:left="220" w:hanging="212"/>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all amounts in excess of $30 million, which amount must remain for Encore, from the Completion Guaranty Deposit, ($24.6 million at March 31, 2007),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balance of funds in the Project Liquidity Reserve Account ($32.8 million at March 31, 2007), (b) increase the permitted expenditures for Encore from</w:t>
      </w:r>
    </w:p>
    <w:p>
      <w:pPr>
        <w:spacing w:after="0" w:line="32"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color w:val="auto"/>
        </w:rPr>
        <w:t>$300 million to $500 million prior to the execution of a guaranteed maximum price contract, and (c) permit the issuance of up to $500 million of unsecured debt as and when permitted under the indenture governing the First Mortgage Notes.</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$44.75 Million Note Payable</w:t>
      </w:r>
    </w:p>
    <w:p>
      <w:pPr>
        <w:spacing w:after="0" w:line="77" w:lineRule="exact"/>
        <w:rPr>
          <w:sz w:val="20"/>
          <w:szCs w:val="20"/>
          <w:color w:val="auto"/>
        </w:rPr>
      </w:pPr>
    </w:p>
    <w:p>
      <w:pPr>
        <w:ind w:right="300" w:firstLine="456"/>
        <w:spacing w:after="0" w:line="255"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 two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Debt Covenant Compliance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2007, the Company was in compliance with all covenants governing the Company’s debt facilities.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240" w:right="9160" w:hanging="232"/>
        <w:spacing w:after="0" w:line="398" w:lineRule="auto"/>
        <w:tabs>
          <w:tab w:leader="none" w:pos="187"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Related Party Transactions </w:t>
      </w:r>
      <w:r>
        <w:rPr>
          <w:rFonts w:ascii="Arial" w:cs="Arial" w:eastAsia="Arial" w:hAnsi="Arial"/>
          <w:sz w:val="15"/>
          <w:szCs w:val="15"/>
          <w:i w:val="1"/>
          <w:iCs w:val="1"/>
          <w:color w:val="auto"/>
        </w:rPr>
        <w:t>Amounts Due to Officers</w:t>
      </w:r>
    </w:p>
    <w:p>
      <w:pPr>
        <w:spacing w:after="0" w:line="1"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The Company periodically provides services to Stephen A. Wynn, Chairman of the Board of Directors and Chief Executive Officer (“Mr. Wynn”), and certain other officers of the Company, including the personal use of corporate aircraft and household employees, construction work and other personal services. Mr. Wynn and other officers have deposits with the Company to prepay any such items, which are replenished on an ongoing basis as needed. As of March 31, 2007 and December 31, 2006, Mr. Wynn and the other officers had a credit balance with the Company of approximately $559,000 and $315,000, respectively.</w:t>
      </w:r>
    </w:p>
    <w:p>
      <w:pPr>
        <w:spacing w:after="0" w:line="8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Villa Suite Lease</w:t>
      </w:r>
    </w:p>
    <w:p>
      <w:pPr>
        <w:spacing w:after="0" w:line="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Effective July 1, 2005, Mr. Wynn and his wife, Elaine P. Wynn (“Mrs. Wynn”), who is also a director of Wynn Resorts, lease from year to year a villa suite in the Wynn Las Vegas resort as their personal residence. Rent is determined by the Audit Committee of the Board of Directors of Wynn Resorts (the “Audit Committee”), and is based on the fair market value of the use of the suite accommodations. Based on third-party appraisals, the Audit Committee determined the rent for each year in the three-year period commencing July 1, 2005 and ending June 30, 2008 to be $580,000. Substantially all services for, and maintenance of, the suite are included in the rental.</w:t>
      </w:r>
    </w:p>
    <w:p>
      <w:pPr>
        <w:spacing w:after="0" w:line="12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Collection</w:t>
      </w:r>
    </w:p>
    <w:p>
      <w:pPr>
        <w:spacing w:after="0" w:line="7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Through May 6, 2004, the Company operated an art gallery at the former Desert Inn displaying The Wynn Collection, a collection of fine art owned by Mr. and Mrs. Wynn. The art gallery in the Desert Inn was closed on May 6, 2004, and a new art gallery featuring The Wynn Collection was displayed from the opening of Wynn Las Vegas through February 2006. The Company leased the artwork from Mr. and Mrs. Wynn for an annual fee of one dollar ($1), and the Company was entitled to retain all revenues from the public display of the artwork and the related merchandising revenues. The Company was responsible for all expenses incurred in exhibiting and safeguarding the artwork, including the cost of insurance (including terrorism insurance) and taxes relating to the rental of the art. In February 2006, the Company closed the art gallery and began converting the gallery location into additional retail stores. The Company continues to lease works of art from Mr. and Mrs. Wynn for an annual fee of one dollar ($1) and continues to display certain pieces throughout Wynn Las Vegas. All expenses in exhibiting and safeguarding the artwork displayed at Wynn Las Vegas are the responsibility of the Company.</w:t>
      </w:r>
    </w:p>
    <w:p>
      <w:pPr>
        <w:spacing w:after="0" w:line="10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The “Wynn” Surname Rights Agreement</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On August 6, 2004, the Company entered into agreements with Mr. Wynn that confirm and clarify the Company’s rights to use the “Wynn” name and Mr. Wynn’s persona in connection with its casino resorts. Under the parties’ Surname Rights Agreement, Mr. Wynn granted the Company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the Company the exclusive, royalty-free, worldwide right to use his full name, persona and related rights of publicity for casino resorts and related businesses, together with the ability to sublicense the persona and publicity rights to its affiliates, until October 24, 2017.</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Property Charges and Other</w:t>
      </w:r>
    </w:p>
    <w:p>
      <w:pPr>
        <w:spacing w:after="0" w:line="8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Property charges and other for the three months ended March 31, 2007 and 2006 were $13.3 million and $4.9 million, respectively. Property charges generally include costs related to the retirement of assets for remodels and asset abandonments. Property charges and other for the three months ended March 31, 2007 includes a $10 million charge related to the abandonment of a parking garage at Wynn Macau. In January 2007, the Company decided to abandon this parking garage to make room for the Wynn Diamond Suites expansion. The remaining property charges were related to the renovations to portions of the Le Reve Theatre at Wynn Las Vegas and the remodeling of certain areas in the food court at Wynn Macau.</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Interest Rate Swaps</w:t>
      </w:r>
    </w:p>
    <w:p>
      <w:pPr>
        <w:spacing w:after="0" w:line="8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Company has entered into floating-for-fixed interest rate swap arrangements relating to two of its debt facilities. The Company accounts for its interest rate swaps in accordance with SFAS No. 133, “Accounting for Derivative Instruments and Hedging Activities”, and its related interpretations. These interest rate swaps essentially fix the interest rate at the percentages noted below, however, changes in the fair value of the interest rate swaps for each reporting period have been recorded in the increase (or decrease) in swap fair value as a component of other income (expense), because the interest rate swaps do not qualify for hedge accounting.</w:t>
      </w:r>
    </w:p>
    <w:p>
      <w:pPr>
        <w:spacing w:after="0" w:line="129"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table represents the historical asset (liability) fair values (reflected in deposits and other assets or in other long-term liabilities as appropriate) as of March 31, 2007 and December 31, 2006. 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 (Liability) Fair Value at: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3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3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All Interest</w:t>
            </w:r>
          </w:p>
        </w:tc>
        <w:tc>
          <w:tcPr>
            <w:tcW w:w="0" w:type="dxa"/>
            <w:vAlign w:val="bottom"/>
          </w:tcPr>
          <w:p>
            <w:pPr>
              <w:spacing w:after="0"/>
              <w:rPr>
                <w:sz w:val="1"/>
                <w:szCs w:val="1"/>
                <w:color w:val="auto"/>
              </w:rPr>
            </w:pPr>
          </w:p>
        </w:tc>
      </w:tr>
      <w:tr>
        <w:trPr>
          <w:trHeight w:val="148"/>
        </w:trPr>
        <w:tc>
          <w:tcPr>
            <w:tcW w:w="678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Swap</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4"/>
              </w:rPr>
              <w:t>Swaps</w:t>
            </w:r>
          </w:p>
        </w:tc>
        <w:tc>
          <w:tcPr>
            <w:tcW w:w="36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6"/>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9"/>
              </w:rPr>
              <w:t>March 31,</w:t>
            </w: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3,790</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December</w:t>
            </w:r>
          </w:p>
        </w:tc>
        <w:tc>
          <w:tcPr>
            <w:tcW w:w="6020" w:type="dxa"/>
            <w:vAlign w:val="bottom"/>
          </w:tcPr>
          <w:p>
            <w:pPr>
              <w:ind w:left="20"/>
              <w:spacing w:after="0"/>
              <w:rPr>
                <w:sz w:val="20"/>
                <w:szCs w:val="20"/>
                <w:color w:val="auto"/>
              </w:rPr>
            </w:pPr>
            <w:r>
              <w:rPr>
                <w:rFonts w:ascii="Arial" w:cs="Arial" w:eastAsia="Arial" w:hAnsi="Arial"/>
                <w:sz w:val="18"/>
                <w:szCs w:val="18"/>
                <w:color w:val="auto"/>
              </w:rPr>
              <w:t>31, 2006</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4,789</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(1,467)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 Swap</w:t>
      </w:r>
    </w:p>
    <w:p>
      <w:pPr>
        <w:spacing w:after="0" w:line="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The Company currently has one $200 million notional amount interest rate swap to essentially fix the interest rate on $200 million of the $225 million of Term Loan borrowings. Pursuant to the terms of this interest rate swap, the Company pays a fixed rate of 3.793% on the $200 million notional amount and receives payments based on LIBOR. This swap fixes the interest rate at approximately 5.7% on $200 million of the outstanding $225 million term loan. This swap terminates in December 2008.</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 Swaps</w:t>
      </w:r>
    </w:p>
    <w:p>
      <w:pPr>
        <w:spacing w:after="0" w:line="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entered into two interest rate swaps to hedge a portion of the underlying interest rate risk on future borrowings under Wynn Macau S.A.’s $749 million senior term loan facility. Under the first swap agreement, the Company pays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the Company pays a fixed interest rate of 4.77% on borrowings estimated to be incurred under the senior term loan facility up to a maximum of approximately HK$1.1 billion (approximately US$140.1 million), in exchange for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receipts on the same amounts at a variable interest rate based on the applicable Hong Kong Interbank Offered Rate (“HIBOR”) at the time of payment. Both swap agreements terminate on November 28, 2008.</w:t>
      </w:r>
    </w:p>
    <w:p>
      <w:pPr>
        <w:spacing w:after="0" w:line="118" w:lineRule="exact"/>
        <w:rPr>
          <w:sz w:val="20"/>
          <w:szCs w:val="20"/>
          <w:color w:val="auto"/>
        </w:rPr>
      </w:pPr>
    </w:p>
    <w:p>
      <w:pPr>
        <w:ind w:right="740" w:firstLine="456"/>
        <w:spacing w:after="0" w:line="268" w:lineRule="auto"/>
        <w:rPr>
          <w:sz w:val="20"/>
          <w:szCs w:val="20"/>
          <w:color w:val="auto"/>
        </w:rPr>
      </w:pPr>
      <w:r>
        <w:rPr>
          <w:rFonts w:ascii="Arial" w:cs="Arial" w:eastAsia="Arial" w:hAnsi="Arial"/>
          <w:sz w:val="18"/>
          <w:szCs w:val="18"/>
          <w:color w:val="auto"/>
        </w:rPr>
        <w:t>These interest rate swaps are expected to be highly effective in fixing the interest rate on 50% of the US dollar and 50% of the Hong Kong dollar borrowings under the senior bank facility at approximately 7.59% and 7.52%,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Company adopted SFAS No. 123R, “Share Based Payment” effective January 1, 2006. The total compensation cost relating both to stock options and nonvested stock is allocated as follows (amounts in thousands):</w:t>
      </w:r>
    </w:p>
    <w:p>
      <w:pPr>
        <w:spacing w:after="0" w:line="10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154"/>
              <w:spacing w:after="0"/>
              <w:rPr>
                <w:sz w:val="20"/>
                <w:szCs w:val="20"/>
                <w:color w:val="auto"/>
              </w:rPr>
            </w:pPr>
            <w:r>
              <w:rPr>
                <w:rFonts w:ascii="Arial" w:cs="Arial" w:eastAsia="Arial" w:hAnsi="Arial"/>
                <w:sz w:val="14"/>
                <w:szCs w:val="14"/>
                <w:b w:val="1"/>
                <w:bCs w:val="1"/>
                <w:color w:val="auto"/>
                <w:w w:val="95"/>
              </w:rPr>
              <w:t>Three Months Ended</w:t>
            </w: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96"/>
              </w:rPr>
              <w:t>2007</w:t>
            </w:r>
          </w:p>
        </w:tc>
        <w:tc>
          <w:tcPr>
            <w:tcW w:w="5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2006</w:t>
            </w: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Rooms</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170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141</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Food &amp; beverage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2,656</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2,308</w:t>
            </w: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Pre-opening</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stock-based compensation expense</w:t>
            </w:r>
          </w:p>
        </w:tc>
        <w:tc>
          <w:tcPr>
            <w:tcW w:w="2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4,460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3,919</w:t>
            </w:r>
          </w:p>
        </w:tc>
      </w:tr>
      <w:tr>
        <w:trPr>
          <w:trHeight w:val="223"/>
        </w:trPr>
        <w:tc>
          <w:tcPr>
            <w:tcW w:w="20" w:type="dxa"/>
            <w:vAlign w:val="bottom"/>
          </w:tcPr>
          <w:p>
            <w:pPr>
              <w:spacing w:after="0"/>
              <w:rPr>
                <w:sz w:val="19"/>
                <w:szCs w:val="19"/>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Total stock-based compensation capitalized</w:t>
            </w:r>
          </w:p>
        </w:tc>
        <w:tc>
          <w:tcPr>
            <w:tcW w:w="2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539</w:t>
            </w: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stock-based compensation costs</w:t>
            </w:r>
          </w:p>
        </w:tc>
        <w:tc>
          <w:tcPr>
            <w:tcW w:w="2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4,672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4,458</w:t>
            </w: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620" w:firstLine="8"/>
        <w:spacing w:after="0" w:line="332" w:lineRule="auto"/>
        <w:tabs>
          <w:tab w:leader="none" w:pos="263"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Encore</w:t>
      </w:r>
    </w:p>
    <w:p>
      <w:pPr>
        <w:spacing w:after="0" w:line="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 xml:space="preserve">Encore Construction and Development. </w:t>
      </w:r>
      <w:r>
        <w:rPr>
          <w:rFonts w:ascii="Arial" w:cs="Arial" w:eastAsia="Arial" w:hAnsi="Arial"/>
          <w:sz w:val="16"/>
          <w:szCs w:val="16"/>
          <w:color w:val="auto"/>
        </w:rPr>
        <w:t>Encore’s current design includes a 2,034 all-suite hotel tower fully integrated with Wynn Las Vegas, as well as an</w:t>
      </w:r>
      <w:r>
        <w:rPr>
          <w:rFonts w:ascii="Arial" w:cs="Arial" w:eastAsia="Arial" w:hAnsi="Arial"/>
          <w:sz w:val="16"/>
          <w:szCs w:val="16"/>
          <w:i w:val="1"/>
          <w:iCs w:val="1"/>
          <w:color w:val="auto"/>
        </w:rPr>
        <w:t xml:space="preserve"> </w:t>
      </w:r>
      <w:r>
        <w:rPr>
          <w:rFonts w:ascii="Arial" w:cs="Arial" w:eastAsia="Arial" w:hAnsi="Arial"/>
          <w:sz w:val="16"/>
          <w:szCs w:val="16"/>
          <w:color w:val="auto"/>
        </w:rPr>
        <w:t>approximately 72,000 square foot casino, additional convention and meeting space, as well as restaurants, a nightclub, swimming pools, a spa and salon and retail outlets. The Company commenced construction of Encore on April 28, 2006 and expects to open Encore to the public by early 2009.</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project budget for Encore is currently estimated at approximately $2.1 billion, consisting of approximately $2 billion for Encore and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$100 million for an employee parking garage on the Koval property, an associated pedestrian bridge and costs incurred in connection with the theatre remodeling</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and production of “Monty Python’s Spamalot” at Wynn Las Vegas. The project is being funded from the Company’s existing Credit Facilities,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First Mortgage Notes and operating cash flow from Wynn Las Vegas. To the extent additional funds are required, the Company will provide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these amounts with additional debt and equity contributions by Wynn Resorts or additional indebtedness to be incurred by Wynn Las Vegas.</w:t>
      </w:r>
    </w:p>
    <w:p>
      <w:pPr>
        <w:spacing w:after="0" w:line="151"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February 27, 2007, the Company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0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Through March 31, 2007, the Company incurred approximately $405.8 million of project costs related to the development and construction of Encore and related capital improvements. These costs are being funded from the Wynn Las Vegas Credit Facilities, the First Mortgage Notes and cash flow from the operations of Wynn Las Vegas.</w:t>
      </w:r>
    </w:p>
    <w:p>
      <w:pPr>
        <w:spacing w:after="0" w:line="12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i w:val="1"/>
          <w:iCs w:val="1"/>
          <w:color w:val="auto"/>
        </w:rPr>
        <w:t>Completion Guarantee and Liquidity Reserve</w:t>
      </w:r>
      <w:r>
        <w:rPr>
          <w:rFonts w:ascii="Arial" w:cs="Arial" w:eastAsia="Arial" w:hAnsi="Arial"/>
          <w:sz w:val="18"/>
          <w:szCs w:val="18"/>
          <w:color w:val="auto"/>
        </w:rPr>
        <w:t>. As part of the Wynn Las Vegas financing, the Company contributed $50 million of the net proceeds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initial public offering of Wynn Resorts’ common stock to Wynn Completion Guarantor, LLC, a special purpose subsidiary of Wynn Las Vegas, LLC formed in October 2002 and deposited those funds into a completion guarantee deposit account to secure completion of Wynn Las Vegas. As referenced in Note 8, in April 2007, all amounts in excess of $30 million were released as a result of the April 2007 amendment to the Credit Facilities. The remaining $30 million will be retained as Encore’s completion guarantee.</w:t>
      </w:r>
    </w:p>
    <w:p>
      <w:pPr>
        <w:spacing w:after="0" w:line="129"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The Company also deposited $30 million from the net proceeds of the initial public offering of the Company’s common stock into a liquidity reserve account to secure the completion and opening of Wynn Las Vegas. This account was released as a result of the April 2007 amendment to the Credit Facilities.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released funds are expected to be applied to construction costs to be incurred in connection with Encore.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Wynn Macau</w:t>
      </w:r>
    </w:p>
    <w:p>
      <w:pPr>
        <w:spacing w:after="0" w:line="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i w:val="1"/>
          <w:iCs w:val="1"/>
          <w:color w:val="auto"/>
        </w:rPr>
        <w:t xml:space="preserve">Construction and Development. </w:t>
      </w:r>
      <w:r>
        <w:rPr>
          <w:rFonts w:ascii="Arial" w:cs="Arial" w:eastAsia="Arial" w:hAnsi="Arial"/>
          <w:sz w:val="16"/>
          <w:szCs w:val="16"/>
          <w:color w:val="auto"/>
        </w:rPr>
        <w:t>The Company began construction on Wynn Macau in June 2004, under a guaranteed maximum price construction contract</w:t>
      </w:r>
      <w:r>
        <w:rPr>
          <w:rFonts w:ascii="Arial" w:cs="Arial" w:eastAsia="Arial" w:hAnsi="Arial"/>
          <w:sz w:val="16"/>
          <w:szCs w:val="16"/>
          <w:i w:val="1"/>
          <w:iCs w:val="1"/>
          <w:color w:val="auto"/>
        </w:rPr>
        <w:t xml:space="preserve"> </w:t>
      </w:r>
      <w:r>
        <w:rPr>
          <w:rFonts w:ascii="Arial" w:cs="Arial" w:eastAsia="Arial" w:hAnsi="Arial"/>
          <w:sz w:val="16"/>
          <w:szCs w:val="16"/>
          <w:color w:val="auto"/>
        </w:rPr>
        <w:t>(“the Construction Contract”) between Wynn Macau, S.A. and Leighton Contractors (Asia) Limited, China State Construction Engineering (Hong Kong) Limited and China Construction Engineering (Macau) Company Limited, acting together as general contractor. In September 2005, the Construction Contract was amended and restated to include the second phase of Wynn Macau. Wynn Macau opened to the public on September 6, 2006. Wynn Macau’s second phase is scheduled to open in the third quarter of 2007. In addition, the Company continues to develop the plans and budget for a further expansion of Wynn Macau, the Wynn Diamond Suites, which was first announced in November 2006. This further expansion will add a second fully-integrated resort hotel named “Wynn Diamond Suites” to Wynn Macau, with approximately 400 new suites, along with restaurants, additional retail space and additional VIP gaming space. We continue to work on a final budget, design and schedule for this project.</w:t>
      </w:r>
    </w:p>
    <w:p>
      <w:pPr>
        <w:spacing w:after="0" w:line="105"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Under the amended and restated Construction Contract, the general contractor is responsible for both the construction and design of the first and second phases of Wynn Macau (other than certain limited portions to be designed by an affiliate of Wynn Macau, S.A.) based on an existing scope of work and design specifications provided by Wynn Macau, S.A. The performance of the contractors is backed by a full completion guarantee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given jointly and severally by Leighton Holdings Limited and China Overseas Holdings Limited, the parent companies of the general contractor.</w:t>
      </w:r>
    </w:p>
    <w:p>
      <w:pPr>
        <w:spacing w:after="0" w:line="15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Through March 31, 2007, the Company had incurred approximately $935.1 million of the approximate total $1.2 billion of budgeted project costs for Wynn Macau (excluding Wynn Diamond Suites).</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Land Concession Contract</w:t>
      </w:r>
      <w:r>
        <w:rPr>
          <w:rFonts w:ascii="Arial" w:cs="Arial" w:eastAsia="Arial" w:hAnsi="Arial"/>
          <w:sz w:val="16"/>
          <w:szCs w:val="16"/>
          <w:color w:val="auto"/>
        </w:rPr>
        <w:t>. In June 2004, Wynn Macau, S.A. entered into a land concession contract for the Wynn Macau project site. Under the land</w:t>
      </w:r>
      <w:r>
        <w:rPr>
          <w:rFonts w:ascii="Arial" w:cs="Arial" w:eastAsia="Arial" w:hAnsi="Arial"/>
          <w:sz w:val="16"/>
          <w:szCs w:val="16"/>
          <w:i w:val="1"/>
          <w:iCs w:val="1"/>
          <w:color w:val="auto"/>
        </w:rPr>
        <w:t xml:space="preserve"> </w:t>
      </w:r>
      <w:r>
        <w:rPr>
          <w:rFonts w:ascii="Arial" w:cs="Arial" w:eastAsia="Arial" w:hAnsi="Arial"/>
          <w:sz w:val="16"/>
          <w:szCs w:val="16"/>
          <w:color w:val="auto"/>
        </w:rPr>
        <w:t>concession contract, Wynn Macau, S.A. leases a parcel of approximately 16 acres from the Macau government for an initial term of 25 years, with a right to renew for additional periods. Wynn Macau, S.A. has made six payments to the Macau government under the land concession contract and is required to make five additional semi-annual payments (including interest) for total payments of approximately $42.7 million. Wynn Macau, S.A. also paid approximately $17.9 million to an unrelated third party for its relinquishment of rights to a portion of the land. During the term of the land concession contract, Wynn Macau, S.A. is also required to make annual lease payments of up to $400,000.</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Cotai Development</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Company has submitted an application with the government of Macau for a concession of land in Cotai for future development. The Company recently reconfigured its site plans for 52 acres and is awaiting final approval.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have any material litigation as of March 31, 2007.</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8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Company is subject to income taxes in the United States and other foreign jurisdictions where the Company operates. The Company accounts for income taxes in accordance with SFAS No. 109, “Accounting for Income Taxes” (“SFAS 109”).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On January 1, 2007, the Company adopted the provisions of FIN 48. As a result of the implementation of FIN 48, the Company has recognized a total liability for unrecognized tax benefits of approximately $45.4 million, $2 million of which was accounted for as an increase to the January 1, 2007 balance of accumulated deficit as a cumulative effect adjustment. $2 million of such unrecognized tax benefit, would, if recognized, impact the effective tax rate. There were no significant changes to any of these amounts during the first quarter of 2007.</w:t>
      </w:r>
    </w:p>
    <w:p>
      <w:pPr>
        <w:spacing w:after="0" w:line="130"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If incurred, the Company would recognize penalties and interest related to unrecognized tax benefits in the provision for income taxes. During the three months ended March 31, 2007 and the year ended December 31, 2006, the Company recognized no amounts for interest or penalties.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As of March 31, 2007, the Company has filed domestic and foreign income tax returns for the years 2002 to 2005 all of which remain subject to examination by the IRS. The Company’s 2002 to 2005 Macau income tax returns remain subject to examination by the Macau Finance Bureau.</w:t>
      </w:r>
    </w:p>
    <w:p>
      <w:pPr>
        <w:spacing w:after="0" w:line="93"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There was no tax provision/benefit recorded for the three months ended March 31, 2006 because of the Company’s domestic net operating loss carryforwards. There is no current provision for the three months ended March 31, 2007, because of the Company’s domestic net operating loss carryforwards. The Company has recorded a deferred provision for income taxes as follows (amounts in thousands):</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4340" w:type="dxa"/>
            <w:vAlign w:val="bottom"/>
            <w:gridSpan w:val="3"/>
          </w:tcPr>
          <w:p>
            <w:pPr>
              <w:ind w:left="310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594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2"/>
              </w:rPr>
              <w:t>March 31, 2007</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Deferred - Federal</w:t>
            </w:r>
          </w:p>
        </w:tc>
        <w:tc>
          <w:tcPr>
            <w:tcW w:w="322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22,669</w:t>
            </w:r>
          </w:p>
        </w:tc>
      </w:tr>
      <w:tr>
        <w:trPr>
          <w:trHeight w:val="223"/>
        </w:trPr>
        <w:tc>
          <w:tcPr>
            <w:tcW w:w="5940" w:type="dxa"/>
            <w:vAlign w:val="bottom"/>
          </w:tcPr>
          <w:p>
            <w:pPr>
              <w:spacing w:after="0"/>
              <w:rPr>
                <w:sz w:val="20"/>
                <w:szCs w:val="20"/>
                <w:color w:val="auto"/>
              </w:rPr>
            </w:pPr>
            <w:r>
              <w:rPr>
                <w:rFonts w:ascii="Arial" w:cs="Arial" w:eastAsia="Arial" w:hAnsi="Arial"/>
                <w:sz w:val="18"/>
                <w:szCs w:val="18"/>
                <w:color w:val="auto"/>
              </w:rPr>
              <w:t>Deferred - Foreign</w:t>
            </w:r>
          </w:p>
        </w:tc>
        <w:tc>
          <w:tcPr>
            <w:tcW w:w="3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5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federal income taxes</w:t>
            </w:r>
          </w:p>
        </w:tc>
        <w:tc>
          <w:tcPr>
            <w:tcW w:w="322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23,569</w:t>
            </w:r>
          </w:p>
        </w:tc>
      </w:tr>
      <w:tr>
        <w:trPr>
          <w:trHeight w:val="20"/>
        </w:trPr>
        <w:tc>
          <w:tcPr>
            <w:tcW w:w="59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Company’s effective tax rate of 29% is lower than the U.S. Federal rate of 35% primarily due to the tax holiday applicable to the earnings of Wynn Macau, S.A., as described below. There is no U.S. provision for taxes on Macau earnings as such earnings are considered permanently invested abroad.</w:t>
      </w:r>
    </w:p>
    <w:p>
      <w:pPr>
        <w:spacing w:after="0" w:line="7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Effective September 6, 2006, Wynn Macau, S.A. received a 5-year exemption from Macau’s 12% Complementary Tax on casino gaming profits. Accordingly, the Company was exempted from the payment of approximately $5 million in such taxes. The Company’s non-gaming profits remain subject to the Macau Complementary Tax and its casino winnings remain subject to the Macau Special Gaming tax and other levies in accordance with its concession agreement.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83"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The Company monitors its operations and evaluates earnings by reviewing the assets and operations of Wynn Las Vegas and Wynn Macau. Wynn Las Vegas opened on April 28, 2005. Wynn Macau’s first phase opened on September 6, 2006. The Company’s total assets by segment are as follows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9"/>
              <w:spacing w:after="0"/>
              <w:rPr>
                <w:sz w:val="20"/>
                <w:szCs w:val="20"/>
                <w:color w:val="auto"/>
              </w:rPr>
            </w:pPr>
            <w:r>
              <w:rPr>
                <w:rFonts w:ascii="Arial" w:cs="Arial" w:eastAsia="Arial" w:hAnsi="Arial"/>
                <w:sz w:val="14"/>
                <w:szCs w:val="14"/>
                <w:b w:val="1"/>
                <w:bCs w:val="1"/>
                <w:color w:val="auto"/>
                <w:w w:val="95"/>
              </w:rPr>
              <w:t>March 31,</w:t>
            </w:r>
          </w:p>
        </w:tc>
        <w:tc>
          <w:tcPr>
            <w:tcW w:w="320" w:type="dxa"/>
            <w:vAlign w:val="bottom"/>
          </w:tcPr>
          <w:p>
            <w:pPr>
              <w:spacing w:after="0"/>
              <w:rPr>
                <w:sz w:val="14"/>
                <w:szCs w:val="14"/>
                <w:color w:val="auto"/>
              </w:rPr>
            </w:pPr>
          </w:p>
        </w:tc>
        <w:tc>
          <w:tcPr>
            <w:tcW w:w="9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Wynn Las Vegas (including Encore)</w:t>
            </w:r>
          </w:p>
        </w:tc>
        <w:tc>
          <w:tcPr>
            <w:tcW w:w="5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3,015,481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3,037,509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4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1,553,340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1,500,088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80" w:type="dxa"/>
            <w:vAlign w:val="bottom"/>
          </w:tcPr>
          <w:p>
            <w:pPr>
              <w:ind w:left="420"/>
              <w:spacing w:after="0"/>
              <w:rPr>
                <w:sz w:val="20"/>
                <w:szCs w:val="20"/>
                <w:color w:val="auto"/>
              </w:rPr>
            </w:pPr>
            <w:r>
              <w:rPr>
                <w:rFonts w:ascii="Arial" w:cs="Arial" w:eastAsia="Arial" w:hAnsi="Arial"/>
                <w:sz w:val="18"/>
                <w:szCs w:val="18"/>
                <w:color w:val="auto"/>
              </w:rPr>
              <w:t>Corporate and other assets</w:t>
            </w:r>
          </w:p>
        </w:tc>
        <w:tc>
          <w:tcPr>
            <w:tcW w:w="49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126,211</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consolidated assets</w:t>
            </w:r>
          </w:p>
        </w:tc>
        <w:tc>
          <w:tcPr>
            <w:tcW w:w="5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4,695,032</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4,660,180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940" w:type="dxa"/>
            <w:vAlign w:val="bottom"/>
            <w:vMerge w:val="restart"/>
          </w:tcPr>
          <w:p>
            <w:pPr>
              <w:jc w:val="right"/>
              <w:ind w:right="3352"/>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segment information on its results of operations are as follows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5"/>
              </w:rPr>
              <w:t>For the 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w w:val="89"/>
              </w:rPr>
              <w:t>March 31,</w:t>
            </w: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Revenues (1)</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2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330,735</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277,225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304,582</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 Net Revenues</w:t>
            </w:r>
          </w:p>
        </w:tc>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vMerge w:val="continue"/>
          </w:tcPr>
          <w:p>
            <w:pPr>
              <w:spacing w:after="0"/>
              <w:rPr>
                <w:sz w:val="19"/>
                <w:szCs w:val="19"/>
                <w:color w:val="auto"/>
              </w:rPr>
            </w:pPr>
          </w:p>
        </w:tc>
        <w:tc>
          <w:tcPr>
            <w:tcW w:w="2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635,317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277,225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Adjusted EBITDA (1, 2)</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Wynn Las Vegas</w:t>
            </w:r>
          </w:p>
        </w:tc>
        <w:tc>
          <w:tcPr>
            <w:tcW w:w="29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111,227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81,123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Wynn Macau</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79,010</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vMerge w:val="continue"/>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190,237</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81,123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510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operating costs and expenses</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Pre-opening costs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1,836</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51,524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Property charges and other</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13,269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Contract termination fee</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Corporate expenses and other</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15,429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860"/>
              <w:spacing w:after="0"/>
              <w:rPr>
                <w:sz w:val="20"/>
                <w:szCs w:val="20"/>
                <w:color w:val="auto"/>
              </w:rPr>
            </w:pPr>
            <w:r>
              <w:rPr>
                <w:rFonts w:ascii="Arial" w:cs="Arial" w:eastAsia="Arial" w:hAnsi="Arial"/>
                <w:sz w:val="18"/>
                <w:szCs w:val="18"/>
                <w:b w:val="1"/>
                <w:bCs w:val="1"/>
                <w:color w:val="auto"/>
              </w:rPr>
              <w:t>Total</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82,058</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280" w:type="dxa"/>
            <w:vAlign w:val="bottom"/>
            <w:gridSpan w:val="3"/>
            <w:vMerge w:val="continue"/>
          </w:tcPr>
          <w:p>
            <w:pPr>
              <w:spacing w:after="0"/>
              <w:rPr>
                <w:sz w:val="20"/>
                <w:szCs w:val="20"/>
                <w:color w:val="auto"/>
              </w:rPr>
            </w:pPr>
          </w:p>
        </w:tc>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108,179</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9,732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Non-operating costs and expenses</w:t>
            </w:r>
          </w:p>
        </w:tc>
        <w:tc>
          <w:tcPr>
            <w:tcW w:w="2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Interest and other income</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12,100</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Interest expense, net</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(37,673)</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Increase (decrease) in swap fair value</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(475)</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Loss from extinguishment of debt</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gridSpan w:val="2"/>
            <w:vMerge w:val="restart"/>
          </w:tcPr>
          <w:p>
            <w:pPr>
              <w:ind w:left="860"/>
              <w:spacing w:after="0"/>
              <w:rPr>
                <w:sz w:val="20"/>
                <w:szCs w:val="20"/>
                <w:color w:val="auto"/>
              </w:rPr>
            </w:pPr>
            <w:r>
              <w:rPr>
                <w:rFonts w:ascii="Arial" w:cs="Arial" w:eastAsia="Arial" w:hAnsi="Arial"/>
                <w:sz w:val="18"/>
                <w:szCs w:val="18"/>
                <w:b w:val="1"/>
                <w:bCs w:val="1"/>
                <w:color w:val="auto"/>
              </w:rPr>
              <w:t>Total</w:t>
            </w:r>
          </w:p>
        </w:tc>
        <w:tc>
          <w:tcPr>
            <w:tcW w:w="2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260" w:type="dxa"/>
            <w:vAlign w:val="bottom"/>
            <w:gridSpan w:val="2"/>
            <w:vMerge w:val="continue"/>
          </w:tcPr>
          <w:p>
            <w:pPr>
              <w:spacing w:after="0"/>
              <w:rPr>
                <w:sz w:val="19"/>
                <w:szCs w:val="19"/>
                <w:color w:val="auto"/>
              </w:rPr>
            </w:pPr>
          </w:p>
        </w:tc>
        <w:tc>
          <w:tcPr>
            <w:tcW w:w="2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(26,205)</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(21,166)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provision for income taxes</w:t>
            </w:r>
          </w:p>
        </w:tc>
        <w:tc>
          <w:tcPr>
            <w:tcW w:w="2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81,974</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ind w:left="420"/>
              <w:spacing w:after="0"/>
              <w:rPr>
                <w:sz w:val="20"/>
                <w:szCs w:val="20"/>
                <w:color w:val="auto"/>
              </w:rPr>
            </w:pPr>
            <w:r>
              <w:rPr>
                <w:rFonts w:ascii="Arial" w:cs="Arial" w:eastAsia="Arial" w:hAnsi="Arial"/>
                <w:sz w:val="18"/>
                <w:szCs w:val="18"/>
                <w:color w:val="auto"/>
              </w:rPr>
              <w:t>Provision for income taxes</w:t>
            </w:r>
          </w:p>
        </w:tc>
        <w:tc>
          <w:tcPr>
            <w:tcW w:w="2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(23,569)</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60" w:type="dxa"/>
            <w:vAlign w:val="bottom"/>
          </w:tcPr>
          <w:p>
            <w:pPr>
              <w:spacing w:after="0"/>
              <w:rPr>
                <w:sz w:val="2"/>
                <w:szCs w:val="2"/>
                <w:color w:val="auto"/>
              </w:rPr>
            </w:pPr>
          </w:p>
        </w:tc>
        <w:tc>
          <w:tcPr>
            <w:tcW w:w="51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2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58,405</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10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12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Prior to its opening on September 6, 2006, Wynn Macau was in the development stage. Therefore, Wynn Macau has no revenues or Adjusted EBITDA for the three months ended March 31, 2006.</w:t>
      </w:r>
    </w:p>
    <w:p>
      <w:pPr>
        <w:ind w:left="460" w:hanging="452"/>
        <w:spacing w:after="0" w:line="287"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“Adjusted EBITDA” is earnings before interest, taxes, depreciation, amortization, pre-opening costs, property charges and other, corporate expenses, stock-based compensation, contract termination fee, and other non-operating income and expenses. Adjusted EBITDA is presented exclusively as a supplemental disclosure because management believes that it is widely used to measure the performance, and as a basis for valuation, of gaming companies. Management uses Adjusted EBITDA as a measure of the operating performance of its segments and to compare the operating performance of its properties with those of its competitors. The Company also presents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the United States (“GAAP”). In order to view the operations of their casinos on a more stand-alone basis, gaming companies, including Wynn Resorts, Limited, have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NOTES TO CONDENSED CONSOLIDATED FINANCIAL STATEMENTS—(Continued)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20"/>
        <w:spacing w:after="0" w:line="287" w:lineRule="auto"/>
        <w:rPr>
          <w:sz w:val="20"/>
          <w:szCs w:val="20"/>
          <w:color w:val="auto"/>
        </w:rPr>
      </w:pPr>
      <w:r>
        <w:rPr>
          <w:rFonts w:ascii="Arial" w:cs="Arial" w:eastAsia="Arial" w:hAnsi="Arial"/>
          <w:sz w:val="16"/>
          <w:szCs w:val="16"/>
          <w:color w:val="auto"/>
        </w:rPr>
        <w:t>historically excluded from their EBITDA calculations pre-opening expenses, property charges and corporate expenses, which do not relate to the management of specific casino properties. However, Adjusted EBITDA should not be considered as an alternative to operating income as an indicator of the Company’s performance, as an alternative to cash flows from operating activities as a measure of liquidity, or as an alternative to any other measure determined in accordance with GAAP. Unlike net income, Adjusted EBITDA does not include depreciation or interest expense and therefore does not reflect current or future capital expenditures or the cost of capital. The Company compensates for these limitations by using Adjusted EBITDA as only one of several comparative tools, together with GAAP measurements, to assist in the evaluation of operating performance. Such GAAP measurements include operating income (loss), net income (loss), cash flows from operations and cash flow data. The Company has significant uses of cash flows, including capital expenditures, interest payments, debt principal repayments, taxes and other non-recurring charges, which are not reflected in Adjusted EBITDA. Also, Wynn Resorts’ calculation of Adjusted EBITDA may be different from the calculation methods used by other companies and, therefore, comparability may be limited.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Consolidating Financial Information of Guarantors and Issuers</w:t>
      </w:r>
    </w:p>
    <w:p>
      <w:pPr>
        <w:spacing w:after="0" w:line="8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following condensed consolidating financial statement information is related to Wynn Resorts (the “Parent”), which is the issuer of the Debentures, Wynn Resorts Funding, LLC, a subsidiary of the Parent that guarantees the Debentures (the “Convertible Debentures Guarantor”), and non-guarantor subsidiaries as of March 31, 2007 and December 31, 2006, and for the three months ended March 31, 2007 and 2006.</w:t>
      </w:r>
    </w:p>
    <w:p>
      <w:pPr>
        <w:spacing w:after="0" w:line="9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following condensed consolidating financial statement information is presented in the form provided because: (i) the Convertible Debentures Guarantor is a wholly-owned subsidiary of the Parent; (ii) the guarantee is considered to be full and unconditional (that is, if the Parent fails to make a scheduled payment, the Convertible Debentures Guarantor is obligated to make the scheduled payment immediately and, if it does not, any holder of the Debentures may immediately bring suit directly against the Convertible Debentures Guarantor for payment of all amounts due and payable); and (iii) the guarantee is joint and several.</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Guarantor</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Subsidiaries</w:t>
            </w:r>
          </w:p>
        </w:tc>
        <w:tc>
          <w:tcPr>
            <w:tcW w:w="8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750,030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42,103</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125,593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66,442</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66,442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Prepaid expenses and other</w:t>
            </w: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31,656</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1,015,824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1,085,613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42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24"/>
                <w:szCs w:val="24"/>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102,793</w:t>
            </w:r>
          </w:p>
        </w:tc>
        <w:tc>
          <w:tcPr>
            <w:tcW w:w="8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102,793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3,256,575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3,257,364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Intangibles, net</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63,932</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63,932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66,021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Investment in subsidiaries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2,095,877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4,845</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(2,095,877)</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92,774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Intercompany balances</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(126,977)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45,168</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81,809</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2,061,164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45,172</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4,684,573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(2,095,877)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4,695,032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1,868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5,589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145,899</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145,916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81,111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2,839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30,906</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33,745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47,523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Gaming taxes payable</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64,384</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64,384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15,719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97,812</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97,812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retention</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9,675</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505,288</w:t>
            </w:r>
          </w:p>
        </w:tc>
        <w:tc>
          <w:tcPr>
            <w:tcW w:w="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514,963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2,093,990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2,318,118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3,194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14,761</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8,918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119,327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(4,053)</w:t>
            </w: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356,324</w:t>
            </w: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2,633,868</w:t>
            </w:r>
          </w:p>
        </w:tc>
        <w:tc>
          <w:tcPr>
            <w:tcW w:w="80" w:type="dxa"/>
            <w:vAlign w:val="bottom"/>
          </w:tcPr>
          <w:p>
            <w:pPr>
              <w:spacing w:after="0"/>
              <w:rPr>
                <w:sz w:val="20"/>
                <w:szCs w:val="20"/>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2,990,192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13)</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1,020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2,028,944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44,028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1,635,948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(1,679,976)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2,028,944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Accumulated other</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comprehensive loss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(3,737)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(3,737)</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3,737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Accumulated earnings (deficit)</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(321,387)</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1,144</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418,494</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(419,638)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(321,387)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1,704,840</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45,172</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2,050,705</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(2,095,877)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1,704,840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2,061,164</w:t>
            </w:r>
          </w:p>
        </w:tc>
        <w:tc>
          <w:tcPr>
            <w:tcW w:w="5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45,172</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4,684,573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(2,095,877)</w:t>
            </w: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4,695,032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459" w:right="23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CONSOLIDATING BALANCE SHEET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5"/>
              </w:rPr>
              <w:t>Convertible</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Debentures</w:t>
            </w:r>
          </w:p>
        </w:tc>
        <w:tc>
          <w:tcPr>
            <w:tcW w:w="44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2"/>
                <w:szCs w:val="12"/>
                <w:color w:val="auto"/>
              </w:rPr>
            </w:pPr>
          </w:p>
        </w:tc>
        <w:tc>
          <w:tcPr>
            <w:tcW w:w="10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7"/>
              </w:rPr>
              <w:t>Eliminating</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Parent</w:t>
            </w: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Guarantor</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Subsidiaries</w:t>
            </w:r>
          </w:p>
        </w:tc>
        <w:tc>
          <w:tcPr>
            <w:tcW w:w="80" w:type="dxa"/>
            <w:vAlign w:val="bottom"/>
          </w:tcPr>
          <w:p>
            <w:pPr>
              <w:spacing w:after="0"/>
              <w:rPr>
                <w:sz w:val="14"/>
                <w:szCs w:val="14"/>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Entries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54,742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734,665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789,407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w w:val="79"/>
              </w:rPr>
              <w:t>905</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57,693</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58,598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Receivables,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140,232</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Inventories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64,368</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64,368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13,727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Prepaid expenses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844</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29,915</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69,313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905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1,026,873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1,097,091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420" w:type="dxa"/>
            <w:vAlign w:val="bottom"/>
            <w:gridSpan w:val="2"/>
          </w:tcPr>
          <w:p>
            <w:pPr>
              <w:spacing w:after="0"/>
              <w:rPr>
                <w:sz w:val="20"/>
                <w:szCs w:val="20"/>
                <w:color w:val="auto"/>
              </w:rPr>
            </w:pPr>
            <w:r>
              <w:rPr>
                <w:rFonts w:ascii="Arial" w:cs="Arial" w:eastAsia="Arial" w:hAnsi="Arial"/>
                <w:sz w:val="18"/>
                <w:szCs w:val="18"/>
                <w:color w:val="auto"/>
              </w:rPr>
              <w:t>Restricted cash and investments</w:t>
            </w:r>
          </w:p>
        </w:tc>
        <w:tc>
          <w:tcPr>
            <w:tcW w:w="80" w:type="dxa"/>
            <w:vAlign w:val="bottom"/>
          </w:tcPr>
          <w:p>
            <w:pPr>
              <w:spacing w:after="0"/>
              <w:rPr>
                <w:sz w:val="24"/>
                <w:szCs w:val="2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161</w:t>
            </w:r>
          </w:p>
        </w:tc>
        <w:tc>
          <w:tcPr>
            <w:tcW w:w="140" w:type="dxa"/>
            <w:vAlign w:val="bottom"/>
          </w:tcPr>
          <w:p>
            <w:pPr>
              <w:spacing w:after="0"/>
              <w:rPr>
                <w:sz w:val="24"/>
                <w:szCs w:val="24"/>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178,627</w:t>
            </w:r>
          </w:p>
        </w:tc>
        <w:tc>
          <w:tcPr>
            <w:tcW w:w="8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178,788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791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3,156,831</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3,157,622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Intangibles, net</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65,135</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65,135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5,577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69,294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Investment in unconsolidated affiliates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2,021,156</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5,981</w:t>
            </w:r>
          </w:p>
        </w:tc>
        <w:tc>
          <w:tcPr>
            <w:tcW w:w="8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(2,021,156)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5,981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Deposits and other assets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13,913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66,779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Intercompany balances</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(120,342)</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44,232</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76,110</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1,990,569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45,137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4,645,630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(2,021,156)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4,660,180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Current portion of long-term debt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440"/>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6,115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land concession obligation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7,433</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Accounts and construction payable</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115,612</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115,612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87,164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Accrued interest</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6,149</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9,346</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compensation and benefits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14,553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56,984</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Gaming taxes payable</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46,403</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46,403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accrued expenses</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811</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13,115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Customer deposits and other related liabilities</w:t>
            </w:r>
          </w:p>
        </w:tc>
        <w:tc>
          <w:tcPr>
            <w:tcW w:w="80" w:type="dxa"/>
            <w:vAlign w:val="bottom"/>
          </w:tcPr>
          <w:p>
            <w:pPr>
              <w:spacing w:after="0"/>
              <w:rPr>
                <w:sz w:val="18"/>
                <w:szCs w:val="18"/>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131,702</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131,702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Construction retention</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21,513</w:t>
            </w:r>
          </w:p>
        </w:tc>
        <w:tc>
          <w:tcPr>
            <w:tcW w:w="14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489,574</w:t>
            </w:r>
          </w:p>
        </w:tc>
        <w:tc>
          <w:tcPr>
            <w:tcW w:w="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511,087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540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224,128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2,156,409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2,380,537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2,685</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2,529</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Long-term land concession obligation</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11,809</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96,658</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406</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97,064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Construction retention</w:t>
            </w: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5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344,984</w:t>
            </w:r>
          </w:p>
        </w:tc>
        <w:tc>
          <w:tcPr>
            <w:tcW w:w="140" w:type="dxa"/>
            <w:vAlign w:val="bottom"/>
          </w:tcPr>
          <w:p>
            <w:pPr>
              <w:spacing w:after="0"/>
              <w:rPr>
                <w:sz w:val="19"/>
                <w:szCs w:val="19"/>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2,669,611</w:t>
            </w:r>
          </w:p>
        </w:tc>
        <w:tc>
          <w:tcPr>
            <w:tcW w:w="8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3,014,595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54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Borders>
              <w:top w:val="single" w:sz="8" w:color="auto"/>
            </w:tcBorders>
          </w:tcPr>
          <w:p>
            <w:pPr>
              <w:spacing w:after="0"/>
              <w:rPr>
                <w:sz w:val="6"/>
                <w:szCs w:val="6"/>
                <w:color w:val="auto"/>
              </w:rPr>
            </w:pPr>
          </w:p>
        </w:tc>
        <w:tc>
          <w:tcPr>
            <w:tcW w:w="540" w:type="dxa"/>
            <w:vAlign w:val="bottom"/>
            <w:tcBorders>
              <w:top w:val="single" w:sz="8" w:color="auto"/>
            </w:tcBorders>
          </w:tcPr>
          <w:p>
            <w:pPr>
              <w:spacing w:after="0"/>
              <w:rPr>
                <w:sz w:val="6"/>
                <w:szCs w:val="6"/>
                <w:color w:val="auto"/>
              </w:rPr>
            </w:pPr>
          </w:p>
        </w:tc>
        <w:tc>
          <w:tcPr>
            <w:tcW w:w="44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0" w:type="dxa"/>
            <w:vAlign w:val="bottom"/>
            <w:tcBorders>
              <w:top w:val="single" w:sz="8" w:color="auto"/>
            </w:tcBorders>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80" w:type="dxa"/>
            <w:vAlign w:val="bottom"/>
            <w:tcBorders>
              <w:top w:val="single" w:sz="8" w:color="auto"/>
            </w:tcBorders>
          </w:tcPr>
          <w:p>
            <w:pPr>
              <w:spacing w:after="0"/>
              <w:rPr>
                <w:sz w:val="6"/>
                <w:szCs w:val="6"/>
                <w:color w:val="auto"/>
              </w:rPr>
            </w:pP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4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Common stock</w:t>
            </w: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1,018</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2,022,408</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44,028</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1,632,998</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(1,677,026)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2,022,408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(94)</w:t>
            </w:r>
          </w:p>
        </w:tc>
        <w:tc>
          <w:tcPr>
            <w:tcW w:w="14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earnings (deficit)</w:t>
            </w: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(377,747)</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343,115</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(344,224)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(377,747)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420"/>
              <w:spacing w:after="0"/>
              <w:rPr>
                <w:sz w:val="20"/>
                <w:szCs w:val="20"/>
                <w:color w:val="auto"/>
              </w:rPr>
            </w:pPr>
            <w:r>
              <w:rPr>
                <w:rFonts w:ascii="Arial" w:cs="Arial" w:eastAsia="Arial" w:hAnsi="Arial"/>
                <w:sz w:val="18"/>
                <w:szCs w:val="18"/>
                <w:color w:val="auto"/>
              </w:rPr>
              <w:t>Total stockholders’ equity</w:t>
            </w: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84"/>
              </w:rPr>
              <w:t>1,645,585</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45,137</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1,976,019</w:t>
            </w:r>
          </w:p>
        </w:tc>
        <w:tc>
          <w:tcPr>
            <w:tcW w:w="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(2,021,156)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1,645,585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4"/>
              </w:rPr>
              <w:t>1,990,569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45,137</w:t>
            </w:r>
          </w:p>
        </w:tc>
        <w:tc>
          <w:tcPr>
            <w:tcW w:w="520" w:type="dxa"/>
            <w:vAlign w:val="bottom"/>
            <w:gridSpan w:val="2"/>
            <w:shd w:val="clear" w:color="auto" w:fill="CCEEFF"/>
          </w:tcPr>
          <w:p>
            <w:pPr>
              <w:ind w:left="440"/>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4,645,630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(2,021,156)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4,660,180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13"/>
              <w:spacing w:after="0"/>
              <w:rPr>
                <w:sz w:val="20"/>
                <w:szCs w:val="20"/>
                <w:color w:val="auto"/>
              </w:rPr>
            </w:pPr>
            <w:r>
              <w:rPr>
                <w:rFonts w:ascii="Arial" w:cs="Arial" w:eastAsia="Arial" w:hAnsi="Arial"/>
                <w:sz w:val="18"/>
                <w:szCs w:val="18"/>
                <w:color w:val="auto"/>
              </w:rPr>
              <w:t>21</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5"/>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12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457,192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457,192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85,291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87,883</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87,883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8,797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52,205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52,205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8,797</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682,571</w:t>
            </w: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(8,797)</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682,571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(47,254)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(47,254)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8,797</w:t>
            </w:r>
          </w:p>
        </w:tc>
        <w:tc>
          <w:tcPr>
            <w:tcW w:w="26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635,317</w:t>
            </w:r>
          </w:p>
        </w:tc>
        <w:tc>
          <w:tcPr>
            <w:tcW w:w="12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(8,797)</w:t>
            </w: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635,317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264,725</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264,725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20,976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20,976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54,255</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35,101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3</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86,960</w:t>
            </w: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(8,797)</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78,166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7,758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1,836</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51,496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500</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12,769</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operating costs and expenses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535,876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(8,797)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527,593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76,950</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(76,950)</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4"/>
              </w:rPr>
              <w:t>85,233</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99,896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(76,950)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108,179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921</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12,650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Interest expense, net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(5,080)</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(34,099)</w:t>
            </w:r>
          </w:p>
        </w:tc>
        <w:tc>
          <w:tcPr>
            <w:tcW w:w="120" w:type="dxa"/>
            <w:vAlign w:val="bottom"/>
          </w:tcPr>
          <w:p>
            <w:pPr>
              <w:spacing w:after="0"/>
              <w:rPr>
                <w:sz w:val="18"/>
                <w:szCs w:val="18"/>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1,506</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2"/>
              </w:rPr>
              <w:t>(37,673)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swap fair value</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(475)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Loss from extinguishment of debt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(4,159)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(22,081)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(26,205)</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Income (loss) before income taxes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81,074</w:t>
            </w:r>
          </w:p>
        </w:tc>
        <w:tc>
          <w:tcPr>
            <w:tcW w:w="260" w:type="dxa"/>
            <w:vAlign w:val="bottom"/>
          </w:tcPr>
          <w:p>
            <w:pPr>
              <w:spacing w:after="0"/>
              <w:rPr>
                <w:sz w:val="19"/>
                <w:szCs w:val="19"/>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77,815</w:t>
            </w: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(76,950)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81,974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(22,669)</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(23,569)</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w w:val="94"/>
              </w:rPr>
              <w:t>58,405</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76,915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w w:val="89"/>
              </w:rPr>
              <w:t>(76,950)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58,405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20" w:type="dxa"/>
            <w:vAlign w:val="bottom"/>
            <w:gridSpan w:val="3"/>
          </w:tcPr>
          <w:p>
            <w:pPr>
              <w:jc w:val="right"/>
              <w:ind w:right="313"/>
              <w:spacing w:after="0"/>
              <w:rPr>
                <w:sz w:val="20"/>
                <w:szCs w:val="20"/>
                <w:color w:val="auto"/>
              </w:rPr>
            </w:pPr>
            <w:r>
              <w:rPr>
                <w:rFonts w:ascii="Arial" w:cs="Arial" w:eastAsia="Arial" w:hAnsi="Arial"/>
                <w:sz w:val="18"/>
                <w:szCs w:val="18"/>
                <w:color w:val="auto"/>
              </w:rPr>
              <w:t>22</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CONSOLIDATING STATEMENT OF OPERATIONS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85"/>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w w:val="83"/>
              </w:rPr>
              <w:t>Debentures</w:t>
            </w:r>
          </w:p>
        </w:tc>
        <w:tc>
          <w:tcPr>
            <w:tcW w:w="14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2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91"/>
              </w:rPr>
              <w:t>Parent</w:t>
            </w:r>
          </w:p>
        </w:tc>
        <w:tc>
          <w:tcPr>
            <w:tcW w:w="120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w w:val="94"/>
              </w:rPr>
              <w:t>Guarantor</w:t>
            </w:r>
          </w:p>
        </w:tc>
        <w:tc>
          <w:tcPr>
            <w:tcW w:w="80" w:type="dxa"/>
            <w:vAlign w:val="bottom"/>
          </w:tcPr>
          <w:p>
            <w:pPr>
              <w:spacing w:after="0"/>
              <w:rPr>
                <w:sz w:val="14"/>
                <w:szCs w:val="1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11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w w:val="88"/>
              </w:rPr>
              <w:t>Entries</w:t>
            </w: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126,514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7"/>
              </w:rPr>
              <w:t>$126,514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68,177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74,634</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74,634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5,660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48,957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(5,660)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Gross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66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5,660</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318,282</w:t>
            </w: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(5,660)</w:t>
            </w:r>
          </w:p>
        </w:tc>
        <w:tc>
          <w:tcPr>
            <w:tcW w:w="680" w:type="dxa"/>
            <w:vAlign w:val="bottom"/>
          </w:tcPr>
          <w:p>
            <w:pPr>
              <w:jc w:val="right"/>
              <w:spacing w:after="0"/>
              <w:rPr>
                <w:sz w:val="20"/>
                <w:szCs w:val="20"/>
                <w:color w:val="auto"/>
              </w:rPr>
            </w:pPr>
            <w:r>
              <w:rPr>
                <w:rFonts w:ascii="Arial" w:cs="Arial" w:eastAsia="Arial" w:hAnsi="Arial"/>
                <w:sz w:val="18"/>
                <w:szCs w:val="18"/>
                <w:color w:val="auto"/>
              </w:rPr>
              <w:t>318,282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promotional allowances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(41,057)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vMerge w:val="restart"/>
          </w:tcPr>
          <w:p>
            <w:pPr>
              <w:ind w:left="420"/>
              <w:spacing w:after="0"/>
              <w:rPr>
                <w:sz w:val="20"/>
                <w:szCs w:val="20"/>
                <w:color w:val="auto"/>
              </w:rPr>
            </w:pPr>
            <w:r>
              <w:rPr>
                <w:rFonts w:ascii="Arial" w:cs="Arial" w:eastAsia="Arial" w:hAnsi="Arial"/>
                <w:sz w:val="18"/>
                <w:szCs w:val="18"/>
                <w:color w:val="auto"/>
              </w:rPr>
              <w:t>Net revenues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660" w:type="dxa"/>
            <w:vAlign w:val="bottom"/>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5,660</w:t>
            </w:r>
          </w:p>
        </w:tc>
        <w:tc>
          <w:tcPr>
            <w:tcW w:w="26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277,225</w:t>
            </w:r>
          </w:p>
        </w:tc>
        <w:tc>
          <w:tcPr>
            <w:tcW w:w="120" w:type="dxa"/>
            <w:vAlign w:val="bottom"/>
          </w:tcPr>
          <w:p>
            <w:pPr>
              <w:spacing w:after="0"/>
              <w:rPr>
                <w:sz w:val="20"/>
                <w:szCs w:val="20"/>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(5,660)</w:t>
            </w:r>
          </w:p>
        </w:tc>
        <w:tc>
          <w:tcPr>
            <w:tcW w:w="680" w:type="dxa"/>
            <w:vAlign w:val="bottom"/>
          </w:tcPr>
          <w:p>
            <w:pPr>
              <w:jc w:val="right"/>
              <w:spacing w:after="0"/>
              <w:rPr>
                <w:sz w:val="20"/>
                <w:szCs w:val="20"/>
                <w:color w:val="auto"/>
              </w:rPr>
            </w:pPr>
            <w:r>
              <w:rPr>
                <w:rFonts w:ascii="Arial" w:cs="Arial" w:eastAsia="Arial" w:hAnsi="Arial"/>
                <w:sz w:val="18"/>
                <w:szCs w:val="18"/>
                <w:color w:val="auto"/>
              </w:rPr>
              <w:t>277,225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Casino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63,236</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63,236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Rooms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16,985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Food and beverage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44,759</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44,759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Entertainment, retail and other</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32,514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General and administrative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5,478</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47,147</w:t>
            </w: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(5,660)</w:t>
            </w:r>
          </w:p>
        </w:tc>
        <w:tc>
          <w:tcPr>
            <w:tcW w:w="680" w:type="dxa"/>
            <w:vAlign w:val="bottom"/>
          </w:tcPr>
          <w:p>
            <w:pPr>
              <w:jc w:val="right"/>
              <w:spacing w:after="0"/>
              <w:rPr>
                <w:sz w:val="20"/>
                <w:szCs w:val="20"/>
                <w:color w:val="auto"/>
              </w:rPr>
            </w:pPr>
            <w:r>
              <w:rPr>
                <w:rFonts w:ascii="Arial" w:cs="Arial" w:eastAsia="Arial" w:hAnsi="Arial"/>
                <w:sz w:val="18"/>
                <w:szCs w:val="18"/>
                <w:color w:val="auto"/>
              </w:rPr>
              <w:t>46,965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2,946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Pre-opening costs</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8,946</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41,765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Contract termination fee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charges and other</w:t>
            </w:r>
          </w:p>
        </w:tc>
        <w:tc>
          <w:tcPr>
            <w:tcW w:w="8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Total operating costs and expenses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5,481</w:t>
            </w:r>
          </w:p>
        </w:tc>
        <w:tc>
          <w:tcPr>
            <w:tcW w:w="260" w:type="dxa"/>
            <w:vAlign w:val="bottom"/>
          </w:tcPr>
          <w:p>
            <w:pPr>
              <w:spacing w:after="0"/>
              <w:rPr>
                <w:sz w:val="19"/>
                <w:szCs w:val="19"/>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268,247</w:t>
            </w:r>
          </w:p>
        </w:tc>
        <w:tc>
          <w:tcPr>
            <w:tcW w:w="120" w:type="dxa"/>
            <w:vAlign w:val="bottom"/>
          </w:tcPr>
          <w:p>
            <w:pPr>
              <w:spacing w:after="0"/>
              <w:rPr>
                <w:sz w:val="19"/>
                <w:szCs w:val="19"/>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(5,660)</w:t>
            </w:r>
          </w:p>
        </w:tc>
        <w:tc>
          <w:tcPr>
            <w:tcW w:w="680" w:type="dxa"/>
            <w:vAlign w:val="bottom"/>
          </w:tcPr>
          <w:p>
            <w:pPr>
              <w:jc w:val="right"/>
              <w:spacing w:after="0"/>
              <w:rPr>
                <w:sz w:val="20"/>
                <w:szCs w:val="20"/>
                <w:color w:val="auto"/>
              </w:rPr>
            </w:pPr>
            <w:r>
              <w:rPr>
                <w:rFonts w:ascii="Arial" w:cs="Arial" w:eastAsia="Arial" w:hAnsi="Arial"/>
                <w:sz w:val="18"/>
                <w:szCs w:val="18"/>
                <w:color w:val="auto"/>
              </w:rPr>
              <w:t>268,068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Equity in income (loss) from unconsolidated affiliates</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(14,317)</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575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14,317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80" w:type="dxa"/>
            <w:vAlign w:val="bottom"/>
            <w:gridSpan w:val="2"/>
            <w:vMerge w:val="continue"/>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(14,138)</w:t>
            </w:r>
          </w:p>
        </w:tc>
        <w:tc>
          <w:tcPr>
            <w:tcW w:w="260" w:type="dxa"/>
            <w:vAlign w:val="bottom"/>
          </w:tcPr>
          <w:p>
            <w:pPr>
              <w:spacing w:after="0"/>
              <w:rPr>
                <w:sz w:val="20"/>
                <w:szCs w:val="20"/>
                <w:color w:val="auto"/>
              </w:rPr>
            </w:pPr>
          </w:p>
        </w:tc>
        <w:tc>
          <w:tcPr>
            <w:tcW w:w="9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9,553</w:t>
            </w:r>
          </w:p>
        </w:tc>
        <w:tc>
          <w:tcPr>
            <w:tcW w:w="12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14,317</w:t>
            </w:r>
          </w:p>
        </w:tc>
        <w:tc>
          <w:tcPr>
            <w:tcW w:w="680" w:type="dxa"/>
            <w:vAlign w:val="bottom"/>
          </w:tcPr>
          <w:p>
            <w:pPr>
              <w:jc w:val="right"/>
              <w:spacing w:after="0"/>
              <w:rPr>
                <w:sz w:val="20"/>
                <w:szCs w:val="20"/>
                <w:color w:val="auto"/>
              </w:rPr>
            </w:pPr>
            <w:r>
              <w:rPr>
                <w:rFonts w:ascii="Arial" w:cs="Arial" w:eastAsia="Arial" w:hAnsi="Arial"/>
                <w:sz w:val="18"/>
                <w:szCs w:val="18"/>
                <w:color w:val="auto"/>
              </w:rPr>
              <w:t>9,732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7,954</w:t>
            </w:r>
          </w:p>
        </w:tc>
        <w:tc>
          <w:tcPr>
            <w:tcW w:w="260" w:type="dxa"/>
            <w:vAlign w:val="bottom"/>
          </w:tcPr>
          <w:p>
            <w:pPr>
              <w:spacing w:after="0"/>
              <w:rPr>
                <w:sz w:val="18"/>
                <w:szCs w:val="18"/>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6,547</w:t>
            </w:r>
          </w:p>
        </w:tc>
        <w:tc>
          <w:tcPr>
            <w:tcW w:w="12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(6,143)</w:t>
            </w:r>
          </w:p>
        </w:tc>
        <w:tc>
          <w:tcPr>
            <w:tcW w:w="680" w:type="dxa"/>
            <w:vAlign w:val="bottom"/>
          </w:tcPr>
          <w:p>
            <w:pPr>
              <w:jc w:val="right"/>
              <w:spacing w:after="0"/>
              <w:rPr>
                <w:sz w:val="20"/>
                <w:szCs w:val="20"/>
                <w:color w:val="auto"/>
              </w:rPr>
            </w:pPr>
            <w:r>
              <w:rPr>
                <w:rFonts w:ascii="Arial" w:cs="Arial" w:eastAsia="Arial" w:hAnsi="Arial"/>
                <w:sz w:val="18"/>
                <w:szCs w:val="18"/>
                <w:color w:val="auto"/>
              </w:rPr>
              <w:t>8,432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(5,250)</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(36,836)</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6,143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Increase in swap fair value</w:t>
            </w:r>
          </w:p>
        </w:tc>
        <w:tc>
          <w:tcPr>
            <w:tcW w:w="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5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income (expense), net</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2,704</w:t>
            </w:r>
          </w:p>
        </w:tc>
        <w:tc>
          <w:tcPr>
            <w:tcW w:w="2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(23,944)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(21,166)</w:t>
            </w:r>
          </w:p>
        </w:tc>
        <w:tc>
          <w:tcPr>
            <w:tcW w:w="0" w:type="dxa"/>
            <w:vAlign w:val="bottom"/>
          </w:tcPr>
          <w:p>
            <w:pPr>
              <w:spacing w:after="0"/>
              <w:rPr>
                <w:sz w:val="1"/>
                <w:szCs w:val="1"/>
                <w:color w:val="auto"/>
              </w:rPr>
            </w:pPr>
          </w:p>
        </w:tc>
      </w:tr>
      <w:tr>
        <w:trPr>
          <w:trHeight w:val="20"/>
        </w:trPr>
        <w:tc>
          <w:tcPr>
            <w:tcW w:w="468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80" w:type="dxa"/>
            <w:vAlign w:val="bottom"/>
            <w:gridSpan w:val="2"/>
            <w:vMerge w:val="continue"/>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(11,434)</w:t>
            </w:r>
          </w:p>
        </w:tc>
        <w:tc>
          <w:tcPr>
            <w:tcW w:w="260" w:type="dxa"/>
            <w:vAlign w:val="bottom"/>
          </w:tcPr>
          <w:p>
            <w:pPr>
              <w:jc w:val="right"/>
              <w:ind w:right="109"/>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52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(14,391)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560"/>
              <w:spacing w:after="0"/>
              <w:rPr>
                <w:sz w:val="20"/>
                <w:szCs w:val="20"/>
                <w:color w:val="auto"/>
              </w:rPr>
            </w:pPr>
            <w:r>
              <w:rPr>
                <w:rFonts w:ascii="Arial" w:cs="Arial" w:eastAsia="Arial" w:hAnsi="Arial"/>
                <w:sz w:val="18"/>
                <w:szCs w:val="18"/>
                <w:color w:val="auto"/>
              </w:rPr>
              <w:t>14,317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7"/>
              </w:rPr>
              <w:t>$ (11,434)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520" w:type="dxa"/>
            <w:vAlign w:val="bottom"/>
            <w:gridSpan w:val="3"/>
          </w:tcPr>
          <w:p>
            <w:pPr>
              <w:jc w:val="right"/>
              <w:ind w:right="313"/>
              <w:spacing w:after="0"/>
              <w:rPr>
                <w:sz w:val="20"/>
                <w:szCs w:val="20"/>
                <w:color w:val="auto"/>
              </w:rPr>
            </w:pPr>
            <w:r>
              <w:rPr>
                <w:rFonts w:ascii="Arial" w:cs="Arial" w:eastAsia="Arial" w:hAnsi="Arial"/>
                <w:sz w:val="18"/>
                <w:szCs w:val="18"/>
                <w:color w:val="auto"/>
              </w:rPr>
              <w:t>23</w:t>
            </w: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3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11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Parent</w:t>
            </w: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10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1"/>
              </w:rPr>
              <w:t>Subsidiaries</w:t>
            </w:r>
          </w:p>
        </w:tc>
        <w:tc>
          <w:tcPr>
            <w:tcW w:w="120" w:type="dxa"/>
            <w:vAlign w:val="bottom"/>
          </w:tcPr>
          <w:p>
            <w:pPr>
              <w:spacing w:after="0"/>
              <w:rPr>
                <w:sz w:val="14"/>
                <w:szCs w:val="1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income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$ 58,405</w:t>
            </w:r>
          </w:p>
        </w:tc>
        <w:tc>
          <w:tcPr>
            <w:tcW w:w="4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76,915</w:t>
            </w:r>
          </w:p>
        </w:tc>
        <w:tc>
          <w:tcPr>
            <w:tcW w:w="4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(76,950)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income (loss) accumulated to net cash provided</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4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51,496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51,524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 deferred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22,669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1,723</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2,737</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and writeoff of deferred financing costs and other</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Provision for doubtful accounts</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7,758</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extinguishment of debt</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4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13,269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Equity in (income) loss from unconsolidated affiliates, net of distributions.</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(76,950)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76,950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Decrease in fair value of interest rate swaps</w:t>
            </w:r>
          </w:p>
        </w:tc>
        <w:tc>
          <w:tcPr>
            <w:tcW w:w="4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(3,817)</w:t>
            </w: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11,102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(2,320)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(11,838)</w:t>
            </w: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17,282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(4,305)</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(5,108)</w:t>
            </w:r>
          </w:p>
        </w:tc>
        <w:tc>
          <w:tcPr>
            <w:tcW w:w="220" w:type="dxa"/>
            <w:vAlign w:val="bottom"/>
          </w:tcPr>
          <w:p>
            <w:pPr>
              <w:spacing w:after="0"/>
              <w:rPr>
                <w:sz w:val="20"/>
                <w:szCs w:val="20"/>
                <w:color w:val="auto"/>
              </w:rPr>
            </w:pPr>
          </w:p>
        </w:tc>
        <w:tc>
          <w:tcPr>
            <w:tcW w:w="900" w:type="dxa"/>
            <w:vAlign w:val="bottom"/>
            <w:gridSpan w:val="2"/>
          </w:tcPr>
          <w:p>
            <w:pPr>
              <w:jc w:val="right"/>
              <w:ind w:right="4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180,487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175,414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500" w:type="dxa"/>
            <w:vAlign w:val="bottom"/>
            <w:gridSpan w:val="3"/>
          </w:tcPr>
          <w:p>
            <w:pPr>
              <w:jc w:val="right"/>
              <w:ind w:right="4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(148,013)</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(148,039)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905</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91,424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Investment in unconsolidated affiliates</w:t>
            </w:r>
          </w:p>
        </w:tc>
        <w:tc>
          <w:tcPr>
            <w:tcW w:w="4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Intangibles and other, net</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(2,365)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(36,870)</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Proceeds from sale of equipment</w:t>
            </w:r>
          </w:p>
        </w:tc>
        <w:tc>
          <w:tcPr>
            <w:tcW w:w="4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(93,221)</w:t>
            </w:r>
          </w:p>
        </w:tc>
        <w:tc>
          <w:tcPr>
            <w:tcW w:w="12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(93,152)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4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Exercise of stock options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1,865</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Principal payments on long term debt</w:t>
            </w:r>
          </w:p>
        </w:tc>
        <w:tc>
          <w:tcPr>
            <w:tcW w:w="4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(127,599)</w:t>
            </w:r>
          </w:p>
        </w:tc>
        <w:tc>
          <w:tcPr>
            <w:tcW w:w="120" w:type="dxa"/>
            <w:vAlign w:val="bottom"/>
          </w:tcPr>
          <w:p>
            <w:pPr>
              <w:spacing w:after="0"/>
              <w:rPr>
                <w:sz w:val="18"/>
                <w:szCs w:val="18"/>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(127,599)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 term land concession obligation.</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(4,659)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financing activities</w:t>
            </w: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1,865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color w:val="auto"/>
              </w:rPr>
              <w:t>(70,258)</w:t>
            </w:r>
          </w:p>
        </w:tc>
        <w:tc>
          <w:tcPr>
            <w:tcW w:w="120" w:type="dxa"/>
            <w:vAlign w:val="bottom"/>
          </w:tcPr>
          <w:p>
            <w:pPr>
              <w:spacing w:after="0"/>
              <w:rPr>
                <w:sz w:val="19"/>
                <w:szCs w:val="19"/>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(68,393)</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5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exchange rate on cash</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w:t>
            </w:r>
          </w:p>
        </w:tc>
        <w:tc>
          <w:tcPr>
            <w:tcW w:w="0" w:type="dxa"/>
            <w:vAlign w:val="bottom"/>
          </w:tcPr>
          <w:p>
            <w:pPr>
              <w:spacing w:after="0"/>
              <w:rPr>
                <w:sz w:val="1"/>
                <w:szCs w:val="1"/>
                <w:color w:val="auto"/>
              </w:rPr>
            </w:pPr>
          </w:p>
        </w:tc>
      </w:tr>
      <w:tr>
        <w:trPr>
          <w:trHeight w:val="283"/>
        </w:trPr>
        <w:tc>
          <w:tcPr>
            <w:tcW w:w="55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and cash equivalents</w:t>
            </w:r>
          </w:p>
        </w:tc>
        <w:tc>
          <w:tcPr>
            <w:tcW w:w="15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(3,143)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15,365</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ind w:left="200"/>
              <w:spacing w:after="0"/>
              <w:rPr>
                <w:sz w:val="20"/>
                <w:szCs w:val="20"/>
                <w:color w:val="auto"/>
              </w:rPr>
            </w:pPr>
            <w:r>
              <w:rPr>
                <w:rFonts w:ascii="Arial" w:cs="Arial" w:eastAsia="Arial" w:hAnsi="Arial"/>
                <w:sz w:val="18"/>
                <w:szCs w:val="18"/>
                <w:color w:val="auto"/>
              </w:rPr>
              <w:t>Balance, beginning of period</w:t>
            </w:r>
          </w:p>
        </w:tc>
        <w:tc>
          <w:tcPr>
            <w:tcW w:w="4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54,742</w:t>
            </w:r>
          </w:p>
        </w:tc>
        <w:tc>
          <w:tcPr>
            <w:tcW w:w="4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734,665</w:t>
            </w:r>
          </w:p>
        </w:tc>
        <w:tc>
          <w:tcPr>
            <w:tcW w:w="4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789,407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end of period</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$ 51,599</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750,030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801,633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00" w:type="dxa"/>
            <w:vAlign w:val="bottom"/>
            <w:vMerge w:val="restart"/>
          </w:tcPr>
          <w:p>
            <w:pPr>
              <w:jc w:val="right"/>
              <w:ind w:right="52"/>
              <w:spacing w:after="0"/>
              <w:rPr>
                <w:sz w:val="20"/>
                <w:szCs w:val="20"/>
                <w:color w:val="auto"/>
              </w:rPr>
            </w:pPr>
            <w:r>
              <w:rPr>
                <w:rFonts w:ascii="Arial" w:cs="Arial" w:eastAsia="Arial" w:hAnsi="Arial"/>
                <w:sz w:val="18"/>
                <w:szCs w:val="18"/>
                <w:color w:val="auto"/>
              </w:rPr>
              <w:t>24</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CONSOLIDATING STATEMENTS OF CASH FLOWS INFORMATION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Convertible</w:t>
            </w: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Debentures</w:t>
            </w: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Non-guarantor</w:t>
            </w:r>
          </w:p>
        </w:tc>
        <w:tc>
          <w:tcPr>
            <w:tcW w:w="20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Eliminating</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1"/>
              </w:rPr>
              <w:t>Subsidiaries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8"/>
              </w:rPr>
              <w:t>Entries</w:t>
            </w:r>
          </w:p>
        </w:tc>
        <w:tc>
          <w:tcPr>
            <w:tcW w:w="10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income (loss)</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 (11,434)</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(14,391)</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14,317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w w:val="89"/>
              </w:rPr>
              <w:t>Adjustments to reconcile net income (loss) accumulated to net cash provided</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by (used in) operating activities:</w:t>
            </w: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41,765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41,785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Amortization and writeoff of deferred financing costs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176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3,656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doubtful accounts</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4,949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1"/>
              </w:rPr>
              <w:t>Equity in (income) loss from unconsolidated affiliates, net of distributions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14,317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2"/>
              </w:rPr>
              <w:t>(14,317)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Increase in fair value of interest rate swaps</w:t>
            </w:r>
          </w:p>
        </w:tc>
        <w:tc>
          <w:tcPr>
            <w:tcW w:w="34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(6,345)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18,961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 and prepaid expenses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420"/>
              <w:spacing w:after="0"/>
              <w:rPr>
                <w:sz w:val="20"/>
                <w:szCs w:val="20"/>
                <w:color w:val="auto"/>
              </w:rPr>
            </w:pPr>
            <w:r>
              <w:rPr>
                <w:rFonts w:ascii="Arial" w:cs="Arial" w:eastAsia="Arial" w:hAnsi="Arial"/>
                <w:sz w:val="18"/>
                <w:szCs w:val="18"/>
                <w:color w:val="auto"/>
              </w:rPr>
              <w:t>Accounts payable and accrued expenses</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(12,439)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(4,194)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Due to affiliates</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(13,323)</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46,581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33,332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Capital expenditures, net of construction payables</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(115,387)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(115,413)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cash and investments</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7,426</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Intangibles and other, net</w:t>
            </w:r>
          </w:p>
        </w:tc>
        <w:tc>
          <w:tcPr>
            <w:tcW w:w="1260" w:type="dxa"/>
            <w:vAlign w:val="bottom"/>
            <w:gridSpan w:val="3"/>
          </w:tcPr>
          <w:p>
            <w:pPr>
              <w:jc w:val="right"/>
              <w:ind w:right="20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(11,054)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Intercompany balances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17,769</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(7,500)</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64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17,624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(109,572)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2,365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114,926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114,926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Principal payments on long term debt</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(11,417)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Payments on long term land concession obligation</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00" w:type="dxa"/>
            <w:vAlign w:val="bottom"/>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2,365</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99,063</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101,428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Increase in cash and cash equivalents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6,666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36,072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beginning of period</w:t>
            </w:r>
          </w:p>
        </w:tc>
        <w:tc>
          <w:tcPr>
            <w:tcW w:w="34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308,013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126,276</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434,289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00" w:type="dxa"/>
            <w:vAlign w:val="bottom"/>
          </w:tcPr>
          <w:p>
            <w:pPr>
              <w:ind w:left="200"/>
              <w:spacing w:after="0"/>
              <w:rPr>
                <w:sz w:val="20"/>
                <w:szCs w:val="20"/>
                <w:color w:val="auto"/>
              </w:rPr>
            </w:pPr>
            <w:r>
              <w:rPr>
                <w:rFonts w:ascii="Arial" w:cs="Arial" w:eastAsia="Arial" w:hAnsi="Arial"/>
                <w:sz w:val="18"/>
                <w:szCs w:val="18"/>
                <w:color w:val="auto"/>
              </w:rPr>
              <w:t>Balance, end of period</w:t>
            </w:r>
          </w:p>
        </w:tc>
        <w:tc>
          <w:tcPr>
            <w:tcW w:w="10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314,679</w:t>
            </w:r>
          </w:p>
        </w:tc>
        <w:tc>
          <w:tcPr>
            <w:tcW w:w="24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162,348</w:t>
            </w:r>
          </w:p>
        </w:tc>
        <w:tc>
          <w:tcPr>
            <w:tcW w:w="260" w:type="dxa"/>
            <w:vAlign w:val="bottom"/>
          </w:tcPr>
          <w:p>
            <w:pPr>
              <w:spacing w:after="0"/>
              <w:rPr>
                <w:sz w:val="19"/>
                <w:szCs w:val="19"/>
                <w:color w:val="auto"/>
              </w:rPr>
            </w:pP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477,027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83"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The following discussion should be read in conjunction with, and is qualified in its entirety by, the condensed consolidated financial statements and the notes thereto included elsewhere in this Quarterly Report on Form 10-Q. Unless the context otherwise requires, all references herein to the “Company,” “we,” “us” or “our,” or similar terms, refer to Wynn Resorts, Limited, a Nevada corporation and its consolidated subsidiaries.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83"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Private Securities Litigation Reform Act of 1995 provides a “safe harbor” for forward-looking statements. Certain information included in this Quarterly Report on Form 10-Q contains statements that are forward-looking, including, but not limited to, statements relating to our business strategy and development activities as well as other capital spending, financing sources, the effects of regulation (including gaming and tax regulations), expectations concerning future operations, margins, profitability and competition. Any statements contained in this report that are not statements of historical fact may be deemed to be forward-looking statements. Without limiting the generality of the foregoing, in some cases you can identify forward-looking statements by terminology such as “may,” “will,” “should,” “would,” “could,” “believe,” “expect,” “anticipate,” “estimate,” “intend,” “plan,” “continue” or the negative of these terms or other comparable terminology. Such forward-looking information involves important risks and uncertainties that could significantly affect anticipated results in the future and, accordingly, such results may differ from those expressed in any forward-looking statements made by us. These risks and uncertainties include, but are not limited to:</w:t>
      </w:r>
    </w:p>
    <w:p>
      <w:pPr>
        <w:spacing w:after="0" w:line="25" w:lineRule="exact"/>
        <w:rPr>
          <w:sz w:val="20"/>
          <w:szCs w:val="20"/>
          <w:color w:val="auto"/>
        </w:rPr>
      </w:pPr>
    </w:p>
    <w:p>
      <w:pPr>
        <w:ind w:left="780" w:right="2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certain of our debt and equity offerings and borrowings under our Credit Facilities;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the second phase of our Wynn Macau casino resort on time and within budget;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completion of Encore on time and within budget;</w:t>
      </w:r>
    </w:p>
    <w:p>
      <w:pPr>
        <w:spacing w:after="0" w:line="103" w:lineRule="exact"/>
        <w:rPr>
          <w:rFonts w:ascii="Arial" w:cs="Arial" w:eastAsia="Arial" w:hAnsi="Arial"/>
          <w:sz w:val="18"/>
          <w:szCs w:val="18"/>
          <w:color w:val="auto"/>
        </w:rPr>
      </w:pPr>
    </w:p>
    <w:p>
      <w:pPr>
        <w:ind w:left="780" w:right="14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intention to fund a substantial portion of the development and construction costs of Encore with anticipated cash flows generated at Wynn Las Vegas;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doing business in foreign locations such as Macau (including the risks associated with Macau’s developing gaming regulatory framework);</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Stephen A. Wynn and existing management;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dependence on a limited number of properties for all of our cash flow;</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9"/>
        </w:numPr>
        <w:rPr>
          <w:rFonts w:ascii="Arial" w:cs="Arial" w:eastAsia="Arial" w:hAnsi="Arial"/>
          <w:sz w:val="16"/>
          <w:szCs w:val="16"/>
          <w:color w:val="auto"/>
        </w:rPr>
      </w:pPr>
      <w:r>
        <w:rPr>
          <w:rFonts w:ascii="Arial" w:cs="Arial" w:eastAsia="Arial" w:hAnsi="Arial"/>
          <w:sz w:val="16"/>
          <w:szCs w:val="16"/>
          <w:color w:val="auto"/>
        </w:rPr>
        <w:t>applications for licenses and approvals under applicable jurisdictional laws and regulations (including gaming laws and regulations);</w:t>
      </w:r>
    </w:p>
    <w:p>
      <w:pPr>
        <w:spacing w:after="0" w:line="126" w:lineRule="exact"/>
        <w:rPr>
          <w:rFonts w:ascii="Arial" w:cs="Arial" w:eastAsia="Arial" w:hAnsi="Arial"/>
          <w:sz w:val="16"/>
          <w:szCs w:val="16"/>
          <w:color w:val="auto"/>
        </w:rPr>
      </w:pPr>
    </w:p>
    <w:p>
      <w:pPr>
        <w:ind w:left="780" w:hanging="326"/>
        <w:spacing w:after="0" w:line="268"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such as avian flu, or the impact of a natural disaster, such as the tsunami which struck southeast Asia in December 2004, may have on the travel and leisure industry; and</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80"/>
          </w:cols>
          <w:pgMar w:left="24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consequences of the war in Iraq and other military conflicts in the Middle East and any future security alerts and/or terrorist attacks.</w:t>
      </w:r>
    </w:p>
    <w:p>
      <w:pPr>
        <w:spacing w:after="0" w:line="20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We are a developer, owner and operator of destination casino resorts. We currently own and operate Wynn Las Vegas, a destination casino resort in Las Vegas, Nevada, which opened on April 28, 2005, and Wynn Macau, a destination casino resort in the Macau Special Administrative Region of the People’s Republic of China (“Macau”), which opened on September 6, 2006. In addition, on April 28, 2006, we commenced construction of Encore at Wynn Las Vegas (“Encore”), a hotel casino resort which, when completed, will be fully integrated with Wynn Las Vegas. We are also currently expanding Wynn Macau and in November 2006, announced “Wynn Diamond Suites” an additional hotel tower for Wynn Macau. Until the opening of Wynn Las Vegas in 2005, we were solely a development stage company.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Resorts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about our operating properties as of April 2007:</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5"/>
              </w:rPr>
              <w:t>Hotel Rooms &amp;</w:t>
            </w:r>
          </w:p>
        </w:tc>
        <w:tc>
          <w:tcPr>
            <w:tcW w:w="800" w:type="dxa"/>
            <w:vAlign w:val="bottom"/>
          </w:tcPr>
          <w:p>
            <w:pPr>
              <w:spacing w:after="0"/>
              <w:rPr>
                <w:sz w:val="14"/>
                <w:szCs w:val="14"/>
                <w:color w:val="auto"/>
              </w:rPr>
            </w:pPr>
          </w:p>
        </w:tc>
        <w:tc>
          <w:tcPr>
            <w:tcW w:w="202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6"/>
              </w:rPr>
              <w:t>Approximate Casino</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Table</w:t>
            </w:r>
          </w:p>
        </w:tc>
        <w:tc>
          <w:tcPr>
            <w:tcW w:w="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4960" w:type="dxa"/>
            <w:vAlign w:val="bottom"/>
          </w:tcPr>
          <w:p>
            <w:pPr>
              <w:spacing w:after="0"/>
              <w:rPr>
                <w:sz w:val="15"/>
                <w:szCs w:val="15"/>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Suites</w:t>
            </w:r>
          </w:p>
        </w:tc>
        <w:tc>
          <w:tcPr>
            <w:tcW w:w="800" w:type="dxa"/>
            <w:vAlign w:val="bottom"/>
          </w:tcPr>
          <w:p>
            <w:pPr>
              <w:spacing w:after="0"/>
              <w:rPr>
                <w:sz w:val="15"/>
                <w:szCs w:val="15"/>
                <w:color w:val="auto"/>
              </w:rPr>
            </w:pPr>
          </w:p>
        </w:tc>
        <w:tc>
          <w:tcPr>
            <w:tcW w:w="12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Square Footage</w:t>
            </w:r>
          </w:p>
        </w:tc>
        <w:tc>
          <w:tcPr>
            <w:tcW w:w="820" w:type="dxa"/>
            <w:vAlign w:val="bottom"/>
          </w:tcPr>
          <w:p>
            <w:pPr>
              <w:spacing w:after="0"/>
              <w:rPr>
                <w:sz w:val="15"/>
                <w:szCs w:val="15"/>
                <w:color w:val="auto"/>
              </w:rPr>
            </w:pPr>
          </w:p>
        </w:tc>
        <w:tc>
          <w:tcPr>
            <w:tcW w:w="980" w:type="dxa"/>
            <w:vAlign w:val="bottom"/>
            <w:tcBorders>
              <w:bottom w:val="single" w:sz="8" w:color="auto"/>
            </w:tcBorders>
          </w:tcPr>
          <w:p>
            <w:pPr>
              <w:jc w:val="right"/>
              <w:ind w:right="202"/>
              <w:spacing w:after="0"/>
              <w:rPr>
                <w:sz w:val="20"/>
                <w:szCs w:val="20"/>
                <w:color w:val="auto"/>
              </w:rPr>
            </w:pPr>
            <w:r>
              <w:rPr>
                <w:rFonts w:ascii="Arial" w:cs="Arial" w:eastAsia="Arial" w:hAnsi="Arial"/>
                <w:sz w:val="14"/>
                <w:szCs w:val="14"/>
                <w:b w:val="1"/>
                <w:bCs w:val="1"/>
                <w:color w:val="auto"/>
              </w:rPr>
              <w:t>Games</w:t>
            </w:r>
          </w:p>
        </w:tc>
        <w:tc>
          <w:tcPr>
            <w:tcW w:w="820" w:type="dxa"/>
            <w:vAlign w:val="bottom"/>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Number of Slots</w:t>
            </w:r>
          </w:p>
        </w:tc>
        <w:tc>
          <w:tcPr>
            <w:tcW w:w="20" w:type="dxa"/>
            <w:vAlign w:val="bottom"/>
          </w:tcPr>
          <w:p>
            <w:pPr>
              <w:spacing w:after="0"/>
              <w:rPr>
                <w:sz w:val="15"/>
                <w:szCs w:val="15"/>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2,716</w:t>
            </w:r>
          </w:p>
        </w:tc>
        <w:tc>
          <w:tcPr>
            <w:tcW w:w="2820" w:type="dxa"/>
            <w:vAlign w:val="bottom"/>
            <w:gridSpan w:val="3"/>
            <w:shd w:val="clear" w:color="auto" w:fill="CCEEFF"/>
          </w:tcPr>
          <w:p>
            <w:pPr>
              <w:jc w:val="right"/>
              <w:ind w:right="820"/>
              <w:spacing w:after="0"/>
              <w:rPr>
                <w:sz w:val="20"/>
                <w:szCs w:val="20"/>
                <w:color w:val="auto"/>
              </w:rPr>
            </w:pPr>
            <w:r>
              <w:rPr>
                <w:rFonts w:ascii="Arial" w:cs="Arial" w:eastAsia="Arial" w:hAnsi="Arial"/>
                <w:sz w:val="18"/>
                <w:szCs w:val="18"/>
                <w:color w:val="auto"/>
              </w:rPr>
              <w:t>111,000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20" w:type="dxa"/>
            <w:vAlign w:val="bottom"/>
          </w:tcPr>
          <w:p>
            <w:pPr>
              <w:spacing w:after="0"/>
              <w:rPr>
                <w:sz w:val="18"/>
                <w:szCs w:val="18"/>
                <w:color w:val="auto"/>
              </w:rPr>
            </w:pPr>
          </w:p>
        </w:tc>
      </w:tr>
      <w:tr>
        <w:trPr>
          <w:trHeight w:val="222"/>
        </w:trPr>
        <w:tc>
          <w:tcPr>
            <w:tcW w:w="4960" w:type="dxa"/>
            <w:vAlign w:val="bottom"/>
          </w:tcPr>
          <w:p>
            <w:pPr>
              <w:spacing w:after="0"/>
              <w:rPr>
                <w:sz w:val="20"/>
                <w:szCs w:val="20"/>
                <w:color w:val="auto"/>
              </w:rPr>
            </w:pPr>
            <w:r>
              <w:rPr>
                <w:rFonts w:ascii="Arial" w:cs="Arial" w:eastAsia="Arial" w:hAnsi="Arial"/>
                <w:sz w:val="18"/>
                <w:szCs w:val="18"/>
                <w:color w:val="auto"/>
              </w:rPr>
              <w:t>Wynn Macau</w:t>
            </w:r>
          </w:p>
        </w:tc>
        <w:tc>
          <w:tcPr>
            <w:tcW w:w="900" w:type="dxa"/>
            <w:vAlign w:val="bottom"/>
          </w:tcPr>
          <w:p>
            <w:pPr>
              <w:jc w:val="right"/>
              <w:spacing w:after="0"/>
              <w:rPr>
                <w:sz w:val="20"/>
                <w:szCs w:val="20"/>
                <w:color w:val="auto"/>
              </w:rPr>
            </w:pPr>
            <w:r>
              <w:rPr>
                <w:rFonts w:ascii="Arial" w:cs="Arial" w:eastAsia="Arial" w:hAnsi="Arial"/>
                <w:sz w:val="18"/>
                <w:szCs w:val="18"/>
                <w:color w:val="auto"/>
              </w:rPr>
              <w:t>600</w:t>
            </w:r>
          </w:p>
        </w:tc>
        <w:tc>
          <w:tcPr>
            <w:tcW w:w="2820" w:type="dxa"/>
            <w:vAlign w:val="bottom"/>
            <w:gridSpan w:val="3"/>
          </w:tcPr>
          <w:p>
            <w:pPr>
              <w:jc w:val="right"/>
              <w:ind w:right="820"/>
              <w:spacing w:after="0"/>
              <w:rPr>
                <w:sz w:val="20"/>
                <w:szCs w:val="20"/>
                <w:color w:val="auto"/>
              </w:rPr>
            </w:pPr>
            <w:r>
              <w:rPr>
                <w:rFonts w:ascii="Arial" w:cs="Arial" w:eastAsia="Arial" w:hAnsi="Arial"/>
                <w:sz w:val="18"/>
                <w:szCs w:val="18"/>
                <w:color w:val="auto"/>
              </w:rPr>
              <w:t>110,000</w:t>
            </w:r>
          </w:p>
        </w:tc>
        <w:tc>
          <w:tcPr>
            <w:tcW w:w="980" w:type="dxa"/>
            <w:vAlign w:val="bottom"/>
          </w:tcPr>
          <w:p>
            <w:pPr>
              <w:jc w:val="right"/>
              <w:spacing w:after="0"/>
              <w:rPr>
                <w:sz w:val="20"/>
                <w:szCs w:val="20"/>
                <w:color w:val="auto"/>
              </w:rPr>
            </w:pPr>
            <w:r>
              <w:rPr>
                <w:rFonts w:ascii="Arial" w:cs="Arial" w:eastAsia="Arial" w:hAnsi="Arial"/>
                <w:sz w:val="18"/>
                <w:szCs w:val="18"/>
                <w:color w:val="auto"/>
              </w:rPr>
              <w:t>256</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477</w:t>
            </w:r>
          </w:p>
        </w:tc>
        <w:tc>
          <w:tcPr>
            <w:tcW w:w="20" w:type="dxa"/>
            <w:vAlign w:val="bottom"/>
          </w:tcPr>
          <w:p>
            <w:pPr>
              <w:spacing w:after="0"/>
              <w:rPr>
                <w:sz w:val="19"/>
                <w:szCs w:val="19"/>
                <w:color w:val="auto"/>
              </w:rPr>
            </w:pPr>
          </w:p>
        </w:tc>
      </w:tr>
    </w:tbl>
    <w:p>
      <w:pPr>
        <w:spacing w:after="0" w:line="13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Wynn Las Vegas is the preeminent destination casino resort on the Strip in Las Vegas. Wynn Las Vegas features:</w:t>
      </w:r>
    </w:p>
    <w:p>
      <w:pPr>
        <w:spacing w:after="0" w:line="77" w:lineRule="exact"/>
        <w:rPr>
          <w:sz w:val="20"/>
          <w:szCs w:val="20"/>
          <w:color w:val="auto"/>
        </w:rPr>
      </w:pPr>
    </w:p>
    <w:p>
      <w:pPr>
        <w:ind w:left="780" w:right="8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approximately 111,000 square foot casino offering 24-hour gaming and a full range of games, including private baccarat salons, a poker room, and a race and sports book;</w:t>
      </w:r>
    </w:p>
    <w:p>
      <w:pPr>
        <w:spacing w:after="0" w:line="37" w:lineRule="exact"/>
        <w:rPr>
          <w:rFonts w:ascii="Arial" w:cs="Arial" w:eastAsia="Arial" w:hAnsi="Arial"/>
          <w:sz w:val="18"/>
          <w:szCs w:val="18"/>
          <w:color w:val="auto"/>
        </w:rPr>
      </w:pPr>
    </w:p>
    <w:p>
      <w:pPr>
        <w:ind w:left="780" w:right="16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Luxury hotel accommodations in 2,716 spacious hotel rooms, suites and villas (In 2006, the Tower Suites at Wynn Las Vegas became the only casino resort in the world to receive both the Mobil Five Star and AAA Five Diamond distinctions);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22 food and beverage outlets featuring signature chefs, including the AAA Five Diamond and Mobil Five Star award-winning restaurant, Alex;</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Ferrari and Maserati automobile dealership;</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Approximately 74,000 square feet of high-end, brand-name retail shopping, including stores and boutiques featuring Brioni, Chanel, Dior, Graff, Louis Vuitton, Jean-Paul Gaultier and Manolo Blahnik;</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Recreation and leisure facilities, including an 18-hole golf course, five swimming pools, private cabanas and full service spa and salon; and</w:t>
      </w:r>
    </w:p>
    <w:p>
      <w:pPr>
        <w:spacing w:after="0" w:line="126" w:lineRule="exact"/>
        <w:rPr>
          <w:rFonts w:ascii="Arial" w:cs="Arial" w:eastAsia="Arial" w:hAnsi="Arial"/>
          <w:sz w:val="16"/>
          <w:szCs w:val="16"/>
          <w:color w:val="auto"/>
        </w:rPr>
      </w:pPr>
    </w:p>
    <w:p>
      <w:pPr>
        <w:ind w:left="780" w:hanging="326"/>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Two showrooms, a nightclub and lounge entertainment.</w:t>
      </w:r>
    </w:p>
    <w:p>
      <w:pPr>
        <w:spacing w:after="0" w:line="185"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March 2007, we remodeled the Le Reve Theatre to enhance the customer experience. The theatre went from 2,087 to 1,606 seats providing additional room for guests and a more intimate experience. The remodel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effort lasted approximately 30 days from March 6, 2007 through April 4, 2007, during which time there were no performances of Le Reve. Also, in March 2007, we commenced performances of “Monty Python’s Spamalot” in our Grail Theatre.</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resort, which is located at the intersection of the Las Vegas Strip and Sands Avenue, occupies approximately 217 acres of land fronting the Las Vegas Strip and approximately 18 additional acres across Sands Avenue, a portion of which is utilized for employee parking.</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constructing Encore on approximately 20 acres on the Las Vegas Strip, immediately adjacent to Wynn Las Vegas. Encore’s current plans include a 2,034 all-suite hotel tower fully integrated with Wynn Las Vegas, an approximately 72,000 square foot casino, additional convention and meeting space, as well as restaurants, a nightclub, swimming pools, a spa and salon and retail outlets. We continue to refine the final design of Encore. Encore is expected to open in early 2009. Our project budget is currently estimated at approximately $2.1 billion, consisting of approximately $2 billion for Encore and approximately $100 million for an employee parking garage on our Koval property, an associated pedestrian bridge and costs incurred in connection with the theatre remodeling and production of “Monty Python’s Spamalot” at Wynn Las Vegas, which opened March 2007.</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opened Wynn Macau on September 6, 2006. Wynn Macau is located on 11 acres of a total site area of 16 acres of land and features:</w:t>
      </w:r>
    </w:p>
    <w:p>
      <w:pPr>
        <w:spacing w:after="0" w:line="100" w:lineRule="exact"/>
        <w:rPr>
          <w:sz w:val="20"/>
          <w:szCs w:val="20"/>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approximately 110,000 square foot casino offering 24-hour gaming and a full range of games, including private gaming salons;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Luxury hotel accommodations in 600 rooms and suites;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Casual and fine dining in four restaurants;</w:t>
      </w:r>
    </w:p>
    <w:p>
      <w:pPr>
        <w:spacing w:after="0" w:line="103" w:lineRule="exact"/>
        <w:rPr>
          <w:rFonts w:ascii="Arial" w:cs="Arial" w:eastAsia="Arial" w:hAnsi="Arial"/>
          <w:sz w:val="18"/>
          <w:szCs w:val="18"/>
          <w:color w:val="auto"/>
        </w:rPr>
      </w:pPr>
    </w:p>
    <w:p>
      <w:pPr>
        <w:ind w:left="780" w:right="280" w:hanging="326"/>
        <w:spacing w:after="0" w:line="268"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Approximately 26,000 square feet of high-end, brand-name retail shopping, including stores and boutiques featuring Chanel, Louis Vuitton, Prada, Dior, Fendi, Giorgio Armani, Tiffany, Bulgari, Piaget and others;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Recreation and leisure facilities, including a health club, pool and spa;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Lounges and meeting facilities.</w:t>
      </w:r>
    </w:p>
    <w:p>
      <w:pPr>
        <w:spacing w:after="0" w:line="185"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Construction and development continues on the second phase. This phase includes approximately 123,000 square feet of additional gaming space, a dramatic front feature attraction, a theater showroom and additional food, beverage and retail amenities, which we expect to open in the third quarter of 2007. After the completion of the expansion, Wynn Macau is expected to have a total of approximately 470 table games and 1,400 slot machines.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Wynn Macau is currently in the process of finalizing the plans and budget for Wynn Diamond Suites, a further expansion of Wynn Macau. First announced in November 2006, Wynn Diamond Suites will be fully integrated into Wynn Macau and is expected to have 400 total suites and 40 floors (10 suites on each floor). We continue to work on a final budget, design and schedule for the Diamond Suites project.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operate Wynn Macau under a 20-year casino concession agreement granted by the Macau government in June 2002.</w:t>
      </w:r>
    </w:p>
    <w:p>
      <w:pPr>
        <w:spacing w:after="0" w:line="15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Cotai Development</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submitted an application to the Macau government for a concession of land in Cotai. We recently reconfigured our site plan for 52 acres and are awaiting final approval.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3"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On September 6, 2006, we opened Wynn Macau and began generating operating cash flows from that project. Between April 28, 2005 and September 6, 2006, we relied solely upon the operations of Wynn Las Vegas for our operating cash flow. Prior to the opening of Wynn Las Vegas on April 28, 2005, we were solely a development stage company.</w:t>
      </w:r>
    </w:p>
    <w:p>
      <w:pPr>
        <w:spacing w:after="0" w:line="12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reliance for our operating cash flow from only two properties exposes us to certain risks that competitors, whose operations are more diversified, may be better able to control. In addition to the concentration of operations in two properties, many of our customers are high-end gaming customers who wager on credit, thus exposing us to increased credit risk. High-end gaming also increases the potential for variability in our results.</w:t>
      </w:r>
    </w:p>
    <w:p>
      <w:pPr>
        <w:spacing w:after="0" w:line="93"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The three months ended March 31, 2007 include a full period of operations for Wynn Las Vegas and Wynn Macau. In contrast the three months ended March 31, 2006 include a full period of Wynn Las Vegas and no operations for Wynn Macau. The table below presents our net revenues for the three months ended March 31, 2007 and 2006 (amounts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0"/>
              <w:spacing w:after="0"/>
              <w:rPr>
                <w:sz w:val="20"/>
                <w:szCs w:val="20"/>
                <w:color w:val="auto"/>
              </w:rPr>
            </w:pPr>
            <w:r>
              <w:rPr>
                <w:rFonts w:ascii="Arial" w:cs="Arial" w:eastAsia="Arial" w:hAnsi="Arial"/>
                <w:sz w:val="14"/>
                <w:szCs w:val="14"/>
                <w:b w:val="1"/>
                <w:bCs w:val="1"/>
                <w:color w:val="auto"/>
                <w:w w:val="92"/>
              </w:rPr>
              <w:t>March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4"/>
                <w:szCs w:val="14"/>
                <w:b w:val="1"/>
                <w:bCs w:val="1"/>
                <w:color w:val="auto"/>
              </w:rPr>
              <w:t>March 31,</w:t>
            </w:r>
          </w:p>
        </w:tc>
      </w:tr>
      <w:tr>
        <w:trPr>
          <w:trHeight w:val="161"/>
        </w:trPr>
        <w:tc>
          <w:tcPr>
            <w:tcW w:w="9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2006</w:t>
            </w: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956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330,735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277,225</w:t>
            </w:r>
          </w:p>
        </w:tc>
      </w:tr>
      <w:tr>
        <w:trPr>
          <w:trHeight w:val="216"/>
        </w:trPr>
        <w:tc>
          <w:tcPr>
            <w:tcW w:w="95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304,582</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22"/>
        </w:trPr>
        <w:tc>
          <w:tcPr>
            <w:tcW w:w="9560" w:type="dxa"/>
            <w:vAlign w:val="bottom"/>
          </w:tcPr>
          <w:p>
            <w:pPr>
              <w:ind w:left="880"/>
              <w:spacing w:after="0"/>
              <w:rPr>
                <w:sz w:val="20"/>
                <w:szCs w:val="20"/>
                <w:color w:val="auto"/>
              </w:rPr>
            </w:pPr>
            <w:r>
              <w:rPr>
                <w:rFonts w:ascii="Arial" w:cs="Arial" w:eastAsia="Arial" w:hAnsi="Arial"/>
                <w:sz w:val="18"/>
                <w:szCs w:val="18"/>
                <w:color w:val="auto"/>
              </w:rPr>
              <w:t>Total Net Revenues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635,317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ind w:left="140"/>
              <w:spacing w:after="0"/>
              <w:rPr>
                <w:sz w:val="20"/>
                <w:szCs w:val="20"/>
                <w:color w:val="auto"/>
              </w:rPr>
            </w:pPr>
            <w:r>
              <w:rPr>
                <w:rFonts w:ascii="Arial" w:cs="Arial" w:eastAsia="Arial" w:hAnsi="Arial"/>
                <w:sz w:val="18"/>
                <w:szCs w:val="18"/>
                <w:color w:val="auto"/>
                <w:w w:val="86"/>
              </w:rPr>
              <w:t>277,225</w:t>
            </w:r>
          </w:p>
        </w:tc>
      </w:tr>
      <w:tr>
        <w:trPr>
          <w:trHeight w:val="20"/>
        </w:trPr>
        <w:tc>
          <w:tcPr>
            <w:tcW w:w="9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Casinos generally record win as a percentage of either drop or turnover. In our casino operations at Wynn Las Vegas, table games win is recorded as a percentage of drop. However, in our casino operations at Wynn Macau, we separate table play into two distinct segments. Our Macau VIP casino segment records table games win as a percentage of turnover, whereas our general casino records win as a percentage of drop.</w:t>
      </w:r>
    </w:p>
    <w:p>
      <w:pPr>
        <w:spacing w:after="0" w:line="9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Certain key operating statistics specific to the gaming industry are included in our discussions of the Company’s operational performance for the periods in which a Statement of Operations is presented. Below are definitions of the statistics discussed:</w:t>
      </w:r>
    </w:p>
    <w:p>
      <w:pPr>
        <w:spacing w:after="0" w:line="37" w:lineRule="exact"/>
        <w:rPr>
          <w:sz w:val="20"/>
          <w:szCs w:val="20"/>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Table games win is the amount of drop or turnover that is retained and recorded as casino revenue.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Drop is the amount of cash or net markers issued that are deposited in a gaming table’s drop box.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Turnover is the sum of all losing wagers within our Wynn Macau VIP program.</w:t>
      </w:r>
    </w:p>
    <w:p>
      <w:pPr>
        <w:spacing w:after="0" w:line="103"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by Wynn Las Vegas or Wynn Macau and is recorded as casino revenue.</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 (less service charges, if any) by total rooms occupied.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Revenue per Available Room (“REVPAR”) is calculated by dividing total room revenue (less service charges, if any) by total rooms available.</w:t>
      </w:r>
    </w:p>
    <w:p>
      <w:pPr>
        <w:spacing w:after="0" w:line="20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results for the three months ended March 31, 2007 compared to the three months ended March 31, 2006.</w:t>
      </w:r>
    </w:p>
    <w:p>
      <w:pPr>
        <w:spacing w:after="0" w:line="7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Revenues</w:t>
      </w:r>
    </w:p>
    <w:p>
      <w:pPr>
        <w:spacing w:after="0" w:line="77"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Net revenues for the three months ended March 31, 2007 are comprised of $457.2 million in casino revenues (72% of total net revenues) and $178.1 million of net non-casino revenues (28% of total net revenues).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Net revenues for the first quarter of 2006 were comprised of $126.5 million in casino revenues (45.6% of total net revenues) and $150.7 million of net non-casino revenues (54.4% of total net revenues). The quality of our resorts’ non-casino amenities, combined with providing guests an unparalleled total resort experience, has driven a premium in the two properties’ ADR and other non-gaming revenues as well as increasing the length of casino play.</w:t>
      </w:r>
    </w:p>
    <w:p>
      <w:pPr>
        <w:spacing w:after="0" w:line="93"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Casino revenues are comprised of the net win from our table games and slot machine operations. Casino revenues for the three months ended March 31, 2007 of approximately $457.2 million represents approximately a $330.7 million (or 261%) increase from casino revenues of $126.5 million for the three months ended March 31, 2006. The three months ended March 31, 2007 includes Wynn Macau’s operations; the primary driver of this increase. At Wynn Las Vegas, we experienced a 12% increase in drop for the three months ended March 31, 2007 and the average table games win percentage (before discounts) of 27.6% was above the expected range of 20% to 23%. Slot handle at Wynn Las Vegas increased during the three months ended March 31, 2007 as compared to 2006, and the slot win percentage was within the expected range of 4.5% to 5.5%. Wynn Macau’s win percentage for the VIP casino segment of 3.3% was above the expected range of 2.7% to 3.0%. The average table games win percentage at the general casino at Wynn Macau of 18.2% was within the expected range of 17% to 19%.</w:t>
      </w:r>
    </w:p>
    <w:p>
      <w:pPr>
        <w:spacing w:after="0" w:line="9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For the three months ended March 31, 2007, room revenues were approximately $85.3 million, which represents a $17.1 million (or 25.1%) increase over the $68.2 million generated in the three months ended March 31, 2006. Wynn Macau generated $12.4 million of this increase in room revenue during the three months ended March 31, 2007. See the table below for key operating measures related to room revenue.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88"/>
              </w:rPr>
              <w:t>Three Months Ended</w:t>
            </w:r>
          </w:p>
        </w:tc>
      </w:tr>
      <w:tr>
        <w:trPr>
          <w:trHeight w:val="161"/>
        </w:trPr>
        <w:tc>
          <w:tcPr>
            <w:tcW w:w="55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w w:val="89"/>
              </w:rPr>
              <w:t>March 31,</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5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3"/>
              </w:rPr>
              <w:t>2007</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2006</w:t>
            </w:r>
          </w:p>
        </w:tc>
        <w:tc>
          <w:tcPr>
            <w:tcW w:w="140" w:type="dxa"/>
            <w:vAlign w:val="bottom"/>
          </w:tcPr>
          <w:p>
            <w:pPr>
              <w:spacing w:after="0"/>
              <w:rPr>
                <w:sz w:val="12"/>
                <w:szCs w:val="12"/>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Average Daily Rate</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4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310</w:t>
            </w:r>
          </w:p>
        </w:tc>
        <w:tc>
          <w:tcPr>
            <w:tcW w:w="7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293</w:t>
            </w: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Occupancy</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Las Vegas</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96.2%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Wynn Macau</w:t>
            </w:r>
          </w:p>
        </w:tc>
        <w:tc>
          <w:tcPr>
            <w:tcW w:w="3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84.8</w:t>
            </w: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N/A</w:t>
            </w: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REVPAR</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540" w:type="dxa"/>
            <w:vAlign w:val="bottom"/>
          </w:tcPr>
          <w:p>
            <w:pPr>
              <w:ind w:left="440"/>
              <w:spacing w:after="0"/>
              <w:rPr>
                <w:sz w:val="20"/>
                <w:szCs w:val="20"/>
                <w:color w:val="auto"/>
              </w:rPr>
            </w:pPr>
            <w:r>
              <w:rPr>
                <w:rFonts w:ascii="Arial" w:cs="Arial" w:eastAsia="Arial" w:hAnsi="Arial"/>
                <w:sz w:val="18"/>
                <w:szCs w:val="18"/>
                <w:color w:val="auto"/>
              </w:rPr>
              <w:t>Wynn Las Vegas</w:t>
            </w:r>
          </w:p>
        </w:tc>
        <w:tc>
          <w:tcPr>
            <w:tcW w:w="40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298</w:t>
            </w:r>
          </w:p>
        </w:tc>
        <w:tc>
          <w:tcPr>
            <w:tcW w:w="76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279</w:t>
            </w: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Wynn Macau</w:t>
            </w:r>
          </w:p>
        </w:tc>
        <w:tc>
          <w:tcPr>
            <w:tcW w:w="3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N/A</w:t>
            </w:r>
          </w:p>
        </w:tc>
      </w:tr>
    </w:tbl>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Other non-casino revenues for the three months ended March 31, 2007 included food and beverage revenues of approximately $87.9 million, retail</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revenues of approximately $27.4 million, entertainment revenues of approximately $10.9 million, and other revenues from outlets such as the spa and salon,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$13.9 million. Other non-gaming revenues for the three months ended March 31, 2006 included food and beverage revenues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$74.6 million, retail revenues of approximately $17.2 million, entertainment revenues of approximately $20.3 million, and other revenues from outlets,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spa and salon, of approximately $11.5 million. The additional revenue earned at Wynn Macau during 2007 was the primary contributor to the increase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food and beverage, retail and other revenues. The $9.4 million decrease in entertainment revenues is due to the cancellation of Avenue Q in May 2006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30 fewer Le Reve shows in March 2007 than March 2006 due to closure of the Le Reve theatre for modifications from March 6, 2007 through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April 4, 2007 at Wynn Las Vegas. Revenue from “Monty Python’s Spamalot” which opened at Wynn Las Vegas in March 2007 is also included in entertainment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revenues for the three months ended March 31, 2007.</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Departmental, Administrative and Other Expenses</w:t>
      </w:r>
    </w:p>
    <w:p>
      <w:pPr>
        <w:spacing w:after="0" w:line="7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During the three months ended March 31, 2007, departmental expenses included casino expenses of $264.7 million, rooms expenses of $21 million, food and beverage expenses of $54.3 million, and entertainment, retail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and other expenses of $35.1 million. Also included are general and administrative expenses of approximately $78.2 million and approximately $7.7 million charged as a provision for doubtful accounts receivable. During the three months ended March 31, 2006, departmental expenses included casino expenses of $63.2 million, room expenses of $17 million, food and beverage expenses of $44.8 million, and entertainment, retail and other expenses of $32.5 million. Also included are general and administrative expenses of approximately $47 million and approximately $2.9 million charged as a provision for doubtful accounts receivable. The increase in expenses is due primarily to the inclusion of the operations of Wynn Macau, including the 39 percent gross win tax on casino revenue, and increases in Wynn Las Vegas expenses commensurate with the increase in revenues.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Pre-opening costs</w:t>
      </w:r>
    </w:p>
    <w:p>
      <w:pPr>
        <w:spacing w:after="0" w:line="7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Pre-opening costs for the three months ended March 31, 2007 of $1.8 million decreased by $7.1 million when compared to the three months ended March 31, 2006, primarily due to the opening of Wynn Macau. Pre-opening costs during the three months ended March 31, 2007 related to advertising costs associated with the opening of “Monty Python’s Spamalot” at Wynn Las Vegas and as well as costs related to Encore and the second phase of Wynn Macau. We expect that Wynn Macau’s pre-opening costs will continue as construction and development of the second phase continues toward the expected completion in the third quarter of 2007. Also as Encore progresses, pre-opening costs related to this project will increase as opening approaches in 2009.</w:t>
      </w:r>
    </w:p>
    <w:p>
      <w:pPr>
        <w:spacing w:after="0" w:line="10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Depreciation and amortization</w:t>
      </w:r>
    </w:p>
    <w:p>
      <w:pPr>
        <w:spacing w:after="0" w:line="7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Depreciation and amortization for the three months ended March 31, 2007 of $51.5 million increased by $9.7 million when compared to the three months ended March 31, 2006, primarily due to depreciation expense associated with Wynn Macau.</w:t>
      </w:r>
    </w:p>
    <w:p>
      <w:pPr>
        <w:spacing w:after="0" w:line="118"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the construction of Wynn Las Vegas and Wynn Macau, costs incurred in the construction of the buildings, improvements to land and the purchases of assets for use in operations were capitalized. Once these properties opened, their assets were placed into service and we began recognizing the associated depreciation expense. The depreciation expenses will continue throughout the estimated useful lives of these assets. In addition, we continually evaluate the useful life of our property and equipment, intangibles and other assets. When circumstances require a revision to those estimates of useful life, we adjust them accordingly.</w:t>
      </w:r>
    </w:p>
    <w:p>
      <w:pPr>
        <w:spacing w:after="0" w:line="129"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maximum useful life of assets at Wynn Macau is the remaining life of the gaming concession or land concession, which currently expire in June 2022 and 2029, respectively. Consequently, depreciation related to Wynn Macau is charged on an accelerated basis when compared to Wynn Las Vegas.</w:t>
      </w:r>
    </w:p>
    <w:p>
      <w:pPr>
        <w:spacing w:after="0" w:line="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Contract termination fee</w:t>
      </w:r>
    </w:p>
    <w:p>
      <w:pPr>
        <w:spacing w:after="0" w:line="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 xml:space="preserve">In February 2006, we agreed with the producers of Avenue Q to end Avenue Q’s exclusive Las Vegas run at Wynn Las Vegas’ Broadway Theatre at the end of May 2006. To terminate the contract, we paid a termination fee of $5 million. This fee was recorded in the first quarter of 2006 in accordance with the liability recognition provisions of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Property charges and other</w:t>
      </w:r>
    </w:p>
    <w:p>
      <w:pPr>
        <w:spacing w:after="0" w:line="77" w:lineRule="exact"/>
        <w:rPr>
          <w:sz w:val="20"/>
          <w:szCs w:val="20"/>
          <w:color w:val="auto"/>
        </w:rPr>
      </w:pPr>
    </w:p>
    <w:p>
      <w:pPr>
        <w:jc w:val="both"/>
        <w:ind w:right="180" w:firstLine="456"/>
        <w:spacing w:after="0" w:line="256" w:lineRule="auto"/>
        <w:rPr>
          <w:sz w:val="20"/>
          <w:szCs w:val="20"/>
          <w:color w:val="auto"/>
        </w:rPr>
      </w:pPr>
      <w:r>
        <w:rPr>
          <w:rFonts w:ascii="Arial" w:cs="Arial" w:eastAsia="Arial" w:hAnsi="Arial"/>
          <w:sz w:val="18"/>
          <w:szCs w:val="18"/>
          <w:color w:val="auto"/>
        </w:rPr>
        <w:t>Property charges and other for the three months ended March 31, 2007 of $13.3 million increased by approximately $8.3 million when compared to the three months ended March 31, 2006. This increase is primarily due to the abandonment of our parking garage at Wynn Macau. In January 2007, we decided to abandon this parking garage to make way for the Wynn Diamond Suites project. We recorded a charge of $10 million during the three months ended March 31, 2007 related to the Macau garage abandonment.</w:t>
      </w:r>
    </w:p>
    <w:p>
      <w:pPr>
        <w:spacing w:after="0" w:line="13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response to our evaluation of Wynn Las Vegas and the reactions of our guests, we continue to make enhancements to the property. Costs of $1.1 million relating to assets retired as a result of these enhancement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remodel efforts for the three months ended March 31, 2007 were expensed as property charges. In the first quarter of 2007, we remodeled portions of the Le Reve Theatre to enhance the customer experience.</w:t>
      </w:r>
    </w:p>
    <w:p>
      <w:pPr>
        <w:spacing w:after="0" w:line="118"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Although Wynn Las Vegas’ property charges have decreased in recent quarters, we expect that enhancements and refinements to Wynn Macau will also take place in response to reactions from our customers in that market. During the three months ended March 31, 2007, we incurred approximately $1.7 million of such costs at Wynn Macau. We expect that property charges may increase in future periods at Wynn Macau.</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Other non-operating costs and expenses</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Interest and other income increased by $3.7 million to $12.1 million for the three months ended March 31, 2007 compared to the three months ended March 31, 2006. This increase is due to interest earned on the remaining proceeds from the subconcession sale last September and higher interest rates earned on cash balances compared to 2006.</w:t>
      </w:r>
    </w:p>
    <w:p>
      <w:pPr>
        <w:spacing w:after="0" w:line="127" w:lineRule="exact"/>
        <w:rPr>
          <w:sz w:val="20"/>
          <w:szCs w:val="20"/>
          <w:color w:val="auto"/>
        </w:rPr>
      </w:pPr>
    </w:p>
    <w:p>
      <w:pPr>
        <w:jc w:val="both"/>
        <w:ind w:firstLine="456"/>
        <w:spacing w:after="0" w:line="332" w:lineRule="auto"/>
        <w:rPr>
          <w:sz w:val="20"/>
          <w:szCs w:val="20"/>
          <w:color w:val="auto"/>
        </w:rPr>
      </w:pPr>
      <w:r>
        <w:rPr>
          <w:rFonts w:ascii="Arial" w:cs="Arial" w:eastAsia="Arial" w:hAnsi="Arial"/>
          <w:sz w:val="16"/>
          <w:szCs w:val="16"/>
          <w:color w:val="auto"/>
        </w:rPr>
        <w:t>Interest expense, net of capitalized interest of $6.9 million, for the three months ended March 31, 2007 was $37.7 million compared to $35.9 million, net of capitalized interest of $6.4 million, for the three months ended March 31, 2006. This increase is primarily due to our increased debt outstanding year over year.</w:t>
      </w:r>
    </w:p>
    <w:p>
      <w:pPr>
        <w:spacing w:after="0" w:line="72"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Our interest rate swaps are accounted for in accordance with SFAS No. 133, “Accounting for Derivative Instruments and Hedging Activities”, as amended. The fair value of our interest rate swaps are recorded as either assets or liabilities. Changes in the fair value of our interest rate swaps are recorded as an increase (or decrease) in swap fair value in each period. We recorded an expense of approximately $0.5 million for the three months ended March 31, 2007 resulting from the decrease in the fair value of our interest rate swaps from December 31, 2006 to March 31, 2007. During the three months ended March 31, 2006 we recorded a gain of $6.3 million resulting from the increase in the fair value of interest rate swaps between December 31, 2005 and March 31, 2006. For further information on our interest rate swaps, see Item 3 - “Quantitative and Qualitative Disclosures about Market Risk.”</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effective tax rate of 29% is lower than the U.S. Federal rate of 35% primarily due to the tax holiday applicable to the earnings of Wynn Macau, S.A., as described below. There is no U.S. provision for taxes on our Macau earnings as such earnings are considered permanently invested abroad.</w:t>
      </w:r>
    </w:p>
    <w:p>
      <w:pPr>
        <w:spacing w:after="0" w:line="72" w:lineRule="exact"/>
        <w:rPr>
          <w:sz w:val="20"/>
          <w:szCs w:val="20"/>
          <w:color w:val="auto"/>
        </w:rPr>
      </w:pPr>
    </w:p>
    <w:p>
      <w:pPr>
        <w:ind w:right="420" w:firstLine="456"/>
        <w:spacing w:after="0" w:line="335" w:lineRule="auto"/>
        <w:rPr>
          <w:sz w:val="20"/>
          <w:szCs w:val="20"/>
          <w:color w:val="auto"/>
        </w:rPr>
      </w:pPr>
      <w:r>
        <w:rPr>
          <w:rFonts w:ascii="Arial" w:cs="Arial" w:eastAsia="Arial" w:hAnsi="Arial"/>
          <w:sz w:val="15"/>
          <w:szCs w:val="15"/>
          <w:color w:val="auto"/>
        </w:rPr>
        <w:t>Effective September 6, 2006, Wynn Macau, S.A. received a 5-year exemption from Macau’s 12% Complementary Tax on casino gaming profits. Accordingly, we were exempted from the payment of approximately $5 million in such taxes. Our non-gaming profits remain subject to the Macau Complementary Tax and its casino winnings remain subject to the Macau Special Gaming tax and other levies in accordance with its concession agreement.</w:t>
      </w:r>
    </w:p>
    <w:p>
      <w:pPr>
        <w:spacing w:after="0" w:line="69" w:lineRule="exact"/>
        <w:rPr>
          <w:sz w:val="20"/>
          <w:szCs w:val="20"/>
          <w:color w:val="auto"/>
        </w:rPr>
      </w:pPr>
    </w:p>
    <w:p>
      <w:pPr>
        <w:jc w:val="center"/>
        <w:ind w:right="8940"/>
        <w:spacing w:after="0"/>
        <w:rPr>
          <w:sz w:val="20"/>
          <w:szCs w:val="20"/>
          <w:color w:val="auto"/>
        </w:rPr>
      </w:pPr>
      <w:r>
        <w:rPr>
          <w:rFonts w:ascii="Arial" w:cs="Arial" w:eastAsia="Arial" w:hAnsi="Arial"/>
          <w:sz w:val="16"/>
          <w:szCs w:val="16"/>
          <w:b w:val="1"/>
          <w:bCs w:val="1"/>
          <w:color w:val="auto"/>
        </w:rPr>
        <w:t>Liquidity and Capital Resources</w:t>
      </w:r>
    </w:p>
    <w:p>
      <w:pPr>
        <w:spacing w:after="0" w:line="106" w:lineRule="exact"/>
        <w:rPr>
          <w:sz w:val="20"/>
          <w:szCs w:val="20"/>
          <w:color w:val="auto"/>
        </w:rPr>
      </w:pPr>
    </w:p>
    <w:p>
      <w:pPr>
        <w:jc w:val="center"/>
        <w:ind w:right="8940"/>
        <w:spacing w:after="0"/>
        <w:rPr>
          <w:sz w:val="20"/>
          <w:szCs w:val="20"/>
          <w:color w:val="auto"/>
        </w:rPr>
      </w:pPr>
      <w:r>
        <w:rPr>
          <w:rFonts w:ascii="Arial" w:cs="Arial" w:eastAsia="Arial" w:hAnsi="Arial"/>
          <w:sz w:val="18"/>
          <w:szCs w:val="18"/>
          <w:i w:val="1"/>
          <w:iCs w:val="1"/>
          <w:color w:val="auto"/>
        </w:rPr>
        <w:t>Cash Flow from Operations</w:t>
      </w:r>
    </w:p>
    <w:p>
      <w:pPr>
        <w:spacing w:after="0" w:line="7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operating cash flows are primarily affected by our operating income generated by Wynn Las Vegas and Wynn Macau, interest paid, and non-cash charges included in operating income. Net cash provided from operations for the three months ended March 31, 2007 was $175.4 million compared to $33.3 million provided by operations for the three months ended March 31, 2006. This increase is due to the operations of Wynn Macau and improved results of Wynn Las Vegas, especially in the casino department.</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Capital Resources</w:t>
      </w:r>
    </w:p>
    <w:p>
      <w:pPr>
        <w:spacing w:after="0" w:line="7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require a certain amount of cash on hand for operations. Our cash balances at March 31, 2007 and December 31, 2006, include approximately $509 million and $517 million, respectively, remaining from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80"/>
          </w:cols>
          <w:pgMar w:left="240" w:top="459" w:right="2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$900 million cash received from the sale of our subconcession on September 11, 2006. At March 31, 2007, we had approximately $801.6 million of cash and cash equivalents available for new development activities, general corporate purposes, enhancements to Wynn Las Vegas and Wynn Macau and to support the development and construction of Encore and the second phase of Wynn Macau. Of this amount, approximately $51.6 million is held by Wynn Resorts, Limited, which is not a guarantor of the debt of its subsidiaries, including Wynn Las Vegas, LLC and Wynn Macau, S.A.</w:t>
      </w:r>
    </w:p>
    <w:p>
      <w:pPr>
        <w:spacing w:after="0" w:line="9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At March 31, 2007, we had approximately $144.9 million in cash and investments from the proceeds of our debt and equity financings, which is restricted for the following:</w:t>
      </w:r>
    </w:p>
    <w:p>
      <w:pPr>
        <w:spacing w:after="0" w:line="37" w:lineRule="exact"/>
        <w:rPr>
          <w:sz w:val="20"/>
          <w:szCs w:val="20"/>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Encore;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Construction, development and pre-opening expenses of the second phase of Wynn Macau;</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Remaining costs to be paid in relation to Wynn Macau’s first phase;</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$30 million of contingent equity restricted for Wynn Macau;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$80 million restricted for the Wynn Las Vegas liquidity reserve and completion guarantee ($30 million of which must be retained for Encore).</w:t>
      </w:r>
    </w:p>
    <w:p>
      <w:pPr>
        <w:spacing w:after="0" w:line="208"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Cash equivalents include investments in overnight money market funds. Restricted investments are kept in money market funds or relatively short-term, government-backed, marketable debt securities as required by agreements governing our debt facilities.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Investing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Encore at Wynn Las Vegas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April 28, 2006, we commenced construction on Encore. We expect to open Encore to the public in early 2009.</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Design and construction is progressing as expected at Encore. Current construction activities include the following milestones as of April 2007:</w:t>
      </w:r>
    </w:p>
    <w:p>
      <w:pPr>
        <w:spacing w:after="0" w:line="127" w:lineRule="exact"/>
        <w:rPr>
          <w:sz w:val="20"/>
          <w:szCs w:val="20"/>
          <w:color w:val="auto"/>
        </w:rPr>
      </w:pPr>
    </w:p>
    <w:p>
      <w:pPr>
        <w:ind w:left="780" w:right="40" w:hanging="326"/>
        <w:spacing w:after="0" w:line="250"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high-rise concrete pours have been completed through the 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deck. The installation of the reinforcing rebar for the shear walls and columns for the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is underway.</w:t>
      </w:r>
    </w:p>
    <w:p>
      <w:pPr>
        <w:spacing w:after="0" w:line="1" w:lineRule="exact"/>
        <w:rPr>
          <w:rFonts w:ascii="Arial" w:cs="Arial" w:eastAsia="Arial" w:hAnsi="Arial"/>
          <w:sz w:val="18"/>
          <w:szCs w:val="18"/>
          <w:color w:val="auto"/>
        </w:rPr>
      </w:pPr>
    </w:p>
    <w:p>
      <w:pPr>
        <w:ind w:left="780" w:right="120" w:hanging="326"/>
        <w:spacing w:after="0" w:line="24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mechanical, electrical and plumbing rough-in is completed up to the 16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and framing is completed up to the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with drywall through the 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line="1"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Exterior glass installation is currently on the 9</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on the south side of the building and the 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on the north side.</w:t>
      </w:r>
    </w:p>
    <w:p>
      <w:pPr>
        <w:spacing w:after="0" w:line="42" w:lineRule="exact"/>
        <w:rPr>
          <w:rFonts w:ascii="Arial" w:cs="Arial" w:eastAsia="Arial" w:hAnsi="Arial"/>
          <w:sz w:val="18"/>
          <w:szCs w:val="18"/>
          <w:color w:val="auto"/>
        </w:rPr>
      </w:pPr>
    </w:p>
    <w:p>
      <w:pPr>
        <w:ind w:left="780" w:hanging="32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Concrete pours for the 10-level guest self-park garage are complete as well as three levels of the 10-level employee parking garage.</w:t>
      </w:r>
    </w:p>
    <w:p>
      <w:pPr>
        <w:spacing w:after="0" w:line="89" w:lineRule="exact"/>
        <w:rPr>
          <w:rFonts w:ascii="Arial" w:cs="Arial" w:eastAsia="Arial" w:hAnsi="Arial"/>
          <w:sz w:val="18"/>
          <w:szCs w:val="18"/>
          <w:color w:val="auto"/>
        </w:rPr>
      </w:pPr>
    </w:p>
    <w:p>
      <w:pPr>
        <w:ind w:left="780" w:right="480" w:hanging="326"/>
        <w:spacing w:after="0" w:line="268"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Low-rise casino concrete pours are completed through the mezzanine level with the casino level perimeter walls under way. The footings for the meeting and convention area are 50% complete and pool footings are underway.</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project budget is currently estimated at approximately $2.1 billion, consisting of approximately $2 billion for Encore and approximately $100 million for an employee parking garage on our Koval property, an associated pedestrian bridge and costs incurred in connection with the theatre remodeling and production of “Monty Python’s Spamalot” at Wynn Las Vegas. The project is being funded from our existing Credit Facilities, remaining proceeds from the First Mortgage Notes and operating cash flow from Wynn Las Vegas. To the extent additional funds are required, we will provide these amounts with additional debt and equity contributions by Wynn Resorts or additional indebtedness to be incurred by Wynn Las Vegas.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February 27, 2007, we entered into a Design Build Architectural, Engineering and Construction Services Agreement (the “Contract”) with Tutor-Saliba Corporation (“Tutor”) for the design and construction of Encore. The Contract sets forth all of the terms and conditions pursuant to which Tutor will design and construct Encore. In addition to the terms and conditions governing the design and construction of Encore, the Contract provides that the parties will negotiate a guaranteed maximum price (the Encore “GMP”) for the construction and design of Encore within 90 days of execution of the Contract. If the parties cannot mutually agree upon a GMP during the 90 day period, the Company can, at its option, (a) continue to employ Tutor for construction and design services on a cost-plus basis, (b) agree to alternative arrangements with Tutor or (c) terminate the Contract. In connection with the execution and delivery of the Contract, Tutor and the Ronald N. Tutor Separate Trust (the “Trust”) have entered into and consented to a Net Worth Agreement pursuant to which (x) the Trust agreed that it will retain its current majority holdings of Tutor and (y) the Trust and Tutor agreed that during the term of the Contract, Tutor will maintain (i) net worth of at least $100 million, and (ii) liquid assets of at least $50 million.</w:t>
      </w:r>
    </w:p>
    <w:p>
      <w:pPr>
        <w:spacing w:after="0" w:line="10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of March 31, 2007, we incurred approximately $405.8 million of project costs related to the development and construction of Encore and related capital improvements. These costs are being funded from the Wynn Las Vegas Credit Facilities, the remaining funds from the First Mortgage Notes and cash flow from the operations of Wynn Las Vegas.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ongoing costs of Encore will be paid with funds from the following sources and in the following order of priority:</w:t>
      </w:r>
    </w:p>
    <w:p>
      <w:pPr>
        <w:spacing w:after="0" w:line="77" w:lineRule="exact"/>
        <w:rPr>
          <w:sz w:val="20"/>
          <w:szCs w:val="20"/>
          <w:color w:val="auto"/>
        </w:rPr>
      </w:pPr>
    </w:p>
    <w:p>
      <w:pPr>
        <w:ind w:left="780" w:right="20" w:hanging="326"/>
        <w:spacing w:after="0" w:line="268" w:lineRule="auto"/>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First, by using agreed amounts of excess cash flow from the operations of Wynn Las Vegas and any debt or equity contributions from Wynn Resorts or proceeds of additional debt financing at Wynn Las Vegas;</w:t>
      </w:r>
    </w:p>
    <w:p>
      <w:pPr>
        <w:spacing w:after="0" w:line="37" w:lineRule="exact"/>
        <w:rPr>
          <w:rFonts w:ascii="Arial" w:cs="Arial" w:eastAsia="Arial" w:hAnsi="Arial"/>
          <w:sz w:val="18"/>
          <w:szCs w:val="18"/>
          <w:color w:val="auto"/>
        </w:rPr>
      </w:pPr>
    </w:p>
    <w:p>
      <w:pPr>
        <w:ind w:left="780" w:hanging="326"/>
        <w:spacing w:after="0" w:line="331" w:lineRule="auto"/>
        <w:tabs>
          <w:tab w:leader="none" w:pos="7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Second, by using any proceeds from the First Mortgage Notes (including any additional First Mortgage Notes that may be issued in the future), and the proceeds of borrowings under the Wynn Las Vegas Credit Facilities, until exhaustion of the First Mortgage Notes proceeds (which we expect will be fully used in the second quarter of 2007), with amounts funded 66.67% from notes proceeds and 33.33% from the Wynn Las Vegas Credit Facilities;</w:t>
      </w:r>
    </w:p>
    <w:p>
      <w:pPr>
        <w:spacing w:after="0" w:line="2" w:lineRule="exact"/>
        <w:rPr>
          <w:rFonts w:ascii="Arial" w:cs="Arial" w:eastAsia="Arial" w:hAnsi="Arial"/>
          <w:sz w:val="15"/>
          <w:szCs w:val="15"/>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Third, by using proceeds of additional borrowings under the Wynn Las Vegas Credit Facilities;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Fourth, by using the funds from the completion guarantee deposit account.</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 response to our evaluation of Wynn Las Vegas and the reactions of our guests, we continue to make certain enhancements and refinements to the property. As a result, we have incurred and will continue to incur capital expenditures relating to these enhancements and refinements. Under the terms of the Wynn Las Vegas Credit Facilities, we are permitted to make up to $172.2 million of capital expenditures in 2007, of which we have expended approximately $11 million through March 31, 2007. The spending limit may be increased to the extent funds are contributed to Wynn Las Vegas by Wynn Resorts, Limited.</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first phase of Wynn Macau was completed, and the casino resort opened, on September 6, 2006. The construction of the second phase is progressing and is scheduled to open in the third quarter of 2007. The overall Wynn Macau project remains within budget and the second phase is progressing according to the expected timeframe.</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current total project budget for Wynn Macau, including the second phase but excluding Wynn Diamond Suites and related amenities, is approximately $1.2 billion. Under the Amended and Restated Construction Contract, the general contractor is responsible for both the construction and design of the project (other than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certain limited portions to be designed by one of our subsidiaries) based on an existing scope of work and design specifications for both the first and second phase as provided by us, for a guaranteed maximum price of approximately $484 million (including the contractors’ fee and contingency).</w:t>
      </w:r>
    </w:p>
    <w:p>
      <w:pPr>
        <w:spacing w:after="0" w:line="72"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As of March 31, 2007, the Company has incurred approximately $935.1 million of the total project budget (excluding Wynn Diamond Suites) of approximately $1.2 billion.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Financing Activities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Las Vegas and Encore</w:t>
      </w:r>
    </w:p>
    <w:p>
      <w:pPr>
        <w:spacing w:after="0" w:line="77"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As of March 31, 2007, our Credit Facilities consist of a $900 million revolving credit facility (the “Revolver”) and $225 million term loan facility (the “Term Loan”).</w:t>
      </w:r>
    </w:p>
    <w:p>
      <w:pPr>
        <w:spacing w:after="0" w:line="118"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For borrowings under the Term Loan we have elected, and expect to continue to elect, Eurodollar loans which bear interest at 1-month LIBOR and include a margin of 1.875% on that outstanding balance. We have a $200 million notional amount interest rate swap to essentially fix the interest on $200 million of this Term Loan. (For further information, see Item 3. “Quantitative and Qualitative Discussions about Market Risk”.)</w:t>
      </w:r>
    </w:p>
    <w:p>
      <w:pPr>
        <w:spacing w:after="0" w:line="9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As of March 31, 2007, there are no amounts outstanding under the Revolver. Consequently, $900 million remains available under the Revolver for future borrowings for the construction of Encore or for other uses as necessary. For borrowings under the Revolver, we have elected, and expect to continue to elect, Eurodollar loans, which bear interest at 1-month LIBOR and currently include a margin of 1.625% on the outstanding balance. After opening Encore, the margin will fluctuate between a range of 1.0% to 1.75%, depending on our leverage ratio. In addition to interest, we also pay quarterly in arrears, an annual rate of 0.375% on the daily average of unborrowed availability under the Revolver. After the opening of Encore, the annual fee that we will be required to pay for unborrowed availability under the Revolver will be based on our leverage ratio and will range from an annual rate of 0.25% to 0.50%.</w:t>
      </w:r>
    </w:p>
    <w:p>
      <w:pPr>
        <w:spacing w:after="0" w:line="10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$900 million Revolver will terminate and be payable in full on August 15, 2011. The Term Loan will mature in two installments: $112.5 million will be payable on September 30, 2012 and the remaining $112.5 million will be payable on August 15, 2013.</w:t>
      </w:r>
    </w:p>
    <w:p>
      <w:pPr>
        <w:spacing w:after="0" w:line="118"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Wynn Las Vegas Credit Facilities are obligations of Wynn Las Vegas, LLC and are guaranteed by and secured by substantially all of the assets (except the corporate aircraft) of each of its subsidiaries (other than Wynn Completion Guarantor, LLC). The obligations of Wynn Las Vegas, LLC and the guarantors under the Credit Facilities rank pari passu in right of payment with their existing and future senior indebtedness, including indebtedness with respect to the First Mortgage Notes and senior in right of payment to all of their existing and future subordinated indebtedness.</w:t>
      </w:r>
    </w:p>
    <w:p>
      <w:pPr>
        <w:spacing w:after="0" w:line="99"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In April 2007, the Company amended the Wynn Las Vegas Credit Facilities to: (a) have the Final Completion as defined, be deemed satisfied for Wynn Las Vegas with the resulting release of (i) all amounts in excess of $30 million, which amount must remain for Encore, from the Completion Guaranty Deposit, ($24.6 million at March 31, 2007), and (ii) the balance of funds in the Project Liquidity Reserve Account ($32.8 million at March 31, 2007), (b) increase the permitted expenditures for Encore from $300 million to $500 million prior to the execution of a guaranteed maximum price contract, and (c) permit the issuance of up to $500 million of unsecured debt as and when permitted under the indenture governing the First Mortgage Notes.</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$44.75 Million Note Payable</w:t>
      </w:r>
    </w:p>
    <w:p>
      <w:pPr>
        <w:spacing w:after="0" w:line="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On March 30, 2007, World Travel, LLC, a subsidiary of Wynn Las Vegas, refinanced the $44.75 Million Note Payable. The new loan has a principal balance of $42 million and is due April 1, 2017. The loan is guaranteed by Wynn Las Vegas, LLC and secured by a first priority security interest in one of the Company’s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two aircraft. Principal and interest are due quarterly with a balloon payment of $28 million due at maturity. Interest is calculated at 90-day LIBOR plus 125 basis points. In connection with this transaction, the Company incurred a loss from extinguishment of debt of $157,000 related to the write-off of unamortized debt issue costs associated with the original loan.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Wynn Macau, S.A.’s senior secured credit facility of $764 million includes $729.7 million of senior term loan facilities, a HK$117 million revolving credit facility (approximately US$15 million), and an additional term loan facility of HK$156 million (approximately US$19 million). As of March 31, 2007, we had borrowed approximately $515.7 million under the Wynn Macau, S.A. senior secured credit facility.</w:t>
      </w:r>
    </w:p>
    <w:p>
      <w:pPr>
        <w:spacing w:after="0" w:line="127"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term loan facilities mature in September 2011, and the revolving credit facility matures in September 2007. The principal amount of the term loans is required to be repaid in quarterly installments, commencing on March 14, 2008. The term loans bear interest at LIBOR or the Hong Kong Interbank Offered Rate (“HIBOR”) plus a margin of 2.75%. The senior bank facility also provides for further reductions in the margin on the term loans if Wynn Macau, S.A. satisfies certain prescribed leverage ratio tests. Loans under the revolving credit facility will bear interest at HIBOR plus a margin of 2.5%.</w:t>
      </w:r>
    </w:p>
    <w:p>
      <w:pPr>
        <w:spacing w:after="0" w:line="9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Collateral for the Wynn Macau senior bank facility consists of substantially all of the assets of Wynn Macau, S.A. Certain affiliates that own interests in Wynn Macau, S.A., either directly or indirectly through other subsidiaries, have executed guarantees of the loans and pledged their interests in Wynn Macau, S.A. as additional security for repayment of the loans.</w:t>
      </w:r>
    </w:p>
    <w:p>
      <w:pPr>
        <w:spacing w:after="0" w:line="127"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to the above financing sources, we have $30 million of long-term restricted cash reserved as contingent equity. We have entered into interest rate swap agreements to hedge a portion of the underlying interest rate risk on borrowings under the Wynn Macau, S.A. Credit Facilities. See Item 3. “Quantitative and Qualitative Disclosures About Market Risk.”</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Contractual Obligation and Off Balance Sheet Arrangements</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have been no material changes during the quarter to our contractual obligations or off balance sheet arrangements as disclosed in our Annual Report on Form 10-K for the year ended December 31, 2006.</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Liquidity Matters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Wynn Resorts is a holding company and, as a result, its ability to pay dividends is dependent on its subsidiaries’ ability to provide funds to it. Restrictions imposed by our subsidiaries’ debt instruments significantly restrict certain key subsidiaries holding a majority of our assets, including Wynn Las Vegas, LLC and Wynn Macau, S.A., from making dividends or distributions to us.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may not be made unless certain financial and non-financial criteria have been satisfied. The other Credit Facilities of Wynn Las Vegas, LLC and Wynn Macau, S.A. contain similar restrictions; although the Wynn Macau, S.A. loan agreements permit distribution of the net proceeds of the subconcession sale.</w:t>
      </w:r>
    </w:p>
    <w:p>
      <w:pPr>
        <w:spacing w:after="0" w:line="10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completion of Encore or the second phase of Wynn Macau is delayed, then our debt service obligations accruing prior to the actual opening will increase correspondingly. Wynn Las Vegas will fund its operations and capital requirements from operating cash flow and remaining availability under Wynn Las Vegas, LLC’s Credit Facilities. We cannot assure you, however, that Wynn Las Vegas will generate sufficient cash flow from operations or that future borrowings available to us under the Wynn Las Vegas Credit Facilities will be sufficient</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298" w:lineRule="auto"/>
        <w:rPr>
          <w:sz w:val="20"/>
          <w:szCs w:val="20"/>
          <w:color w:val="auto"/>
        </w:rPr>
      </w:pPr>
      <w:r>
        <w:rPr>
          <w:rFonts w:ascii="Arial" w:cs="Arial" w:eastAsia="Arial" w:hAnsi="Arial"/>
          <w:sz w:val="16"/>
          <w:szCs w:val="16"/>
          <w:color w:val="auto"/>
        </w:rPr>
        <w:t>to enable us to service and repay Wynn Las Vegas, LLC’s indebtedness and to fund its other liquidity needs. Similarly, we expect that Wynn Macau will fund Wynn Macau, S.A.’s debt service obligations with operating cash flow and remaining availability under its senior secured bank facility. However, we cannot assure you that operating cash flows and available borrowings will be sufficient to do so. We may refinance all or a portion of our indebtedness on or before maturity. We cannot assure you that we will be able to refinance any of the indebtedness on acceptable terms or at all.</w:t>
      </w:r>
    </w:p>
    <w:p>
      <w:pPr>
        <w:spacing w:after="0" w:line="99"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Las Vegas, as well as other domestic or international markets. There can be no assurances regarding the business prospects with respect to any other opportunity. Any other development would require us to obtain additional financing. We may decide to conduct any such development through Wynn Resorts or through subsidiaries separate from the Las Vegas or Macau-related entities.</w:t>
      </w:r>
    </w:p>
    <w:p>
      <w:pPr>
        <w:spacing w:after="0" w:line="99"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Wynn Resorts’ articles of incorporation provide that Wynn Resorts may redeem shares of its capital stock, including its common stock, that are owned or controlled by an unsuitable person or its affiliates to the extent a gaming authority makes a determination of unsuitability and orders the redemption, or to the extent deemed necessary or advisable by our Board of Directors. The redemption price may be paid in cash, by promissory note or both, as required by the applicable gaming authority and, if not, as we elect. Any promissory note that we issue to an unsuitable person or its affiliate in exchange for its shares could increase our debt to equity ratio and will increase our leverage ratio.</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8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 description of our critical accounting policies is included in Item 7 of our Annual Report on Form 10-K for the year ended December 31, 2006. There has been no material change to these policies for the three months ended March 31, 2007, other than as related to the allowance for estimated doubtful accounts receivable and income taxes as noted below.</w:t>
      </w:r>
    </w:p>
    <w:p>
      <w:pPr>
        <w:spacing w:after="0" w:line="12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substantial portion of our outstanding receivables relates to casino credit play. Credit play, through the issuance of markers, represents a significant portion of the table games volume at Wynn Las Vegas. However, the issuance of credit at Wynn Macau is less prominent when compared to Wynn Las Vegas. We maintain strict controls over the issuance of credit and aggressively pursue collection from those customers who fail to pay their balances in a timely fashion. These collection efforts may include the mailing of statements and delinquency notices, personal contacts, the use of outside collection agencies, and litigation. Markers issued at Wynn Las Vegas are generally legally enforceable instruments in the United States, and United States assets of foreign customers may be used to satisfy judgments entered in the United States.</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particularly burdensome. We closely consider the likelihood and difficulty of enforceability, among other factors, when issuing credit to customers who are not residents of the United States. In addition to our internal credit and collection departments, located in both Las Vegas and Macau, we have a network of legal, accounting and collection professionals to assist us in our determinations regarding enforceability and our overall collection efforts.</w:t>
      </w:r>
    </w:p>
    <w:p>
      <w:pPr>
        <w:spacing w:after="0" w:line="12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As of March 31, 2007 and December 31, 2006, approximately 62% and 59% of our casino accounts receivable were owed by customers from foreign countries, primarily in Asia. The collectibility of markers given by foreign customers is affected by a number of factors including changes in currency exchange rates and economic conditions in the customers’ home countries.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key statistics related to our casino accounts receivable (amounts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20" w:type="dxa"/>
            <w:vAlign w:val="bottom"/>
          </w:tcPr>
          <w:p>
            <w:pPr>
              <w:spacing w:after="0"/>
              <w:rPr>
                <w:sz w:val="14"/>
                <w:szCs w:val="14"/>
                <w:color w:val="auto"/>
              </w:rPr>
            </w:pPr>
          </w:p>
        </w:tc>
        <w:tc>
          <w:tcPr>
            <w:tcW w:w="13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2"/>
              </w:rPr>
              <w:t>March 31,</w:t>
            </w:r>
          </w:p>
        </w:tc>
        <w:tc>
          <w:tcPr>
            <w:tcW w:w="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3"/>
              </w:rPr>
              <w:t>December 31,</w:t>
            </w:r>
          </w:p>
        </w:tc>
      </w:tr>
      <w:tr>
        <w:trPr>
          <w:trHeight w:val="175"/>
        </w:trPr>
        <w:tc>
          <w:tcPr>
            <w:tcW w:w="9120" w:type="dxa"/>
            <w:vAlign w:val="bottom"/>
          </w:tcPr>
          <w:p>
            <w:pPr>
              <w:spacing w:after="0"/>
              <w:rPr>
                <w:sz w:val="15"/>
                <w:szCs w:val="15"/>
                <w:color w:val="auto"/>
              </w:rPr>
            </w:pPr>
          </w:p>
        </w:tc>
        <w:tc>
          <w:tcPr>
            <w:tcW w:w="66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2007</w:t>
            </w:r>
          </w:p>
        </w:tc>
        <w:tc>
          <w:tcPr>
            <w:tcW w:w="700" w:type="dxa"/>
            <w:vAlign w:val="bottom"/>
          </w:tcPr>
          <w:p>
            <w:pPr>
              <w:spacing w:after="0"/>
              <w:rPr>
                <w:sz w:val="15"/>
                <w:szCs w:val="15"/>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5"/>
                <w:szCs w:val="15"/>
                <w:color w:val="auto"/>
              </w:rPr>
            </w:pPr>
          </w:p>
        </w:tc>
      </w:tr>
      <w:tr>
        <w:trPr>
          <w:trHeight w:val="210"/>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Casino accounts receivable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$140,043</w:t>
            </w:r>
          </w:p>
        </w:tc>
        <w:tc>
          <w:tcPr>
            <w:tcW w:w="7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1"/>
              </w:rPr>
              <w:t>$  148,929</w:t>
            </w:r>
          </w:p>
        </w:tc>
      </w:tr>
      <w:tr>
        <w:trPr>
          <w:trHeight w:val="216"/>
        </w:trPr>
        <w:tc>
          <w:tcPr>
            <w:tcW w:w="9120" w:type="dxa"/>
            <w:vAlign w:val="bottom"/>
          </w:tcPr>
          <w:p>
            <w:pPr>
              <w:spacing w:after="0"/>
              <w:rPr>
                <w:sz w:val="20"/>
                <w:szCs w:val="20"/>
                <w:color w:val="auto"/>
              </w:rPr>
            </w:pPr>
            <w:r>
              <w:rPr>
                <w:rFonts w:ascii="Arial" w:cs="Arial" w:eastAsia="Arial" w:hAnsi="Arial"/>
                <w:sz w:val="18"/>
                <w:szCs w:val="18"/>
                <w:color w:val="auto"/>
              </w:rPr>
              <w:t>Allowance for doubtful casino accounts receivable</w:t>
            </w:r>
          </w:p>
        </w:tc>
        <w:tc>
          <w:tcPr>
            <w:tcW w:w="660" w:type="dxa"/>
            <w:vAlign w:val="bottom"/>
          </w:tcPr>
          <w:p>
            <w:pPr>
              <w:jc w:val="right"/>
              <w:spacing w:after="0"/>
              <w:rPr>
                <w:sz w:val="20"/>
                <w:szCs w:val="20"/>
                <w:color w:val="auto"/>
              </w:rPr>
            </w:pPr>
            <w:r>
              <w:rPr>
                <w:rFonts w:ascii="Arial" w:cs="Arial" w:eastAsia="Arial" w:hAnsi="Arial"/>
                <w:sz w:val="18"/>
                <w:szCs w:val="18"/>
                <w:color w:val="auto"/>
              </w:rPr>
              <w:t>42,588</w:t>
            </w:r>
          </w:p>
        </w:tc>
        <w:tc>
          <w:tcPr>
            <w:tcW w:w="7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35,183</w:t>
            </w:r>
          </w:p>
        </w:tc>
      </w:tr>
      <w:tr>
        <w:trPr>
          <w:trHeight w:val="216"/>
        </w:trPr>
        <w:tc>
          <w:tcPr>
            <w:tcW w:w="912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casino accounts receivable</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30.4%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2"/>
        </w:trPr>
        <w:tc>
          <w:tcPr>
            <w:tcW w:w="9120" w:type="dxa"/>
            <w:vAlign w:val="bottom"/>
          </w:tcPr>
          <w:p>
            <w:pPr>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20.3%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13.9%</w:t>
            </w:r>
          </w:p>
        </w:tc>
      </w:tr>
    </w:tbl>
    <w:p>
      <w:pPr>
        <w:spacing w:after="0" w:line="13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increase in the allowance for doubtful accounts as a percentage of casino accounts receivable is due to seasonality and the aging of customer accounts in the ordinary course as our operations mature. To date, our write-offs have been de minimis. While collection efforts remain active, it is our current policy to fully reserve all accounts over one year old. Our reserve methodology is applied consistently to credit extended at both Wynn Las Vegas and Wynn Macau. As of March 31, 2007 and December 31, 2006, approximately 20% and 10% respectively, of our outstanding casino account receivable balances originated at Wynn Macau.</w:t>
      </w:r>
    </w:p>
    <w:p>
      <w:pPr>
        <w:spacing w:after="0" w:line="129"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expense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Income Taxes</w:t>
      </w:r>
    </w:p>
    <w:p>
      <w:pPr>
        <w:spacing w:after="0" w:line="7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subject to income taxes in the United States and other foreign jurisdictions where the Company operates. We account for income taxes in accordance with SFAS No. 109, “Accounting for Income Taxes”. SFAS No. 109 requires the recognition of deferred tax assets, net of applicable reserves, and liabilities for the estimated future tax consequences attributable to differences between financial statement carrying amounts of existing assets and liabilities and their respective tax bases and operating loss and tax credit carryforwards. Deferred tax assets and liabilities are measured using enacted tax rates in effect for the year in which those temporary differences are expected to be recovered or settled. The effect of a change in tax rates on the income tax provision and deferred tax assets and liabilities is recognized in the results of operations in the period that includes the enactment date.</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SFAS No. 109 requires recognition of a future tax benefit to the extent that realization of such benefit is more likely than not. Otherwise, a valuation allowance is applied. During our development stage, we accumulated significant net operating losses, which generated significant deferred tax assets. Because of the Company’s limited operating history, we had previously fully reserved these net deferred tax assets. On September 11, 2006, we recorded a gain on the sale of the subconcession right. Accordingly we determined that a substantial portion of these net deferred tax assets have become more likely than not realizable as defined by SFAS No. 109.</w:t>
      </w:r>
    </w:p>
    <w:p>
      <w:pPr>
        <w:spacing w:after="0" w:line="129"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Company’s income tax returns are subject to examination by the Internal Revenue Service (“IRS”) and other tax authorities in the locations where it operates. The Company assesses potentially unfavorable outcomes of such examinations based on the criteria of FASB Interpretation No. 48 (“FIN 48”) “Accounting for Uncertainty in Income Taxes” which the Company adopted on January 1, 2007. The Interpretation prescribes a minimum recognition threshold a tax position is required to meet before being recognized in the financial statements. As a result, the Company’s income tax recognition policy related to uncertain income tax positions is no longer covered by SFAS No. 5.</w:t>
      </w:r>
    </w:p>
    <w:p>
      <w:pPr>
        <w:spacing w:after="0" w:line="10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FIN 48 applies to all tax positions related to income taxes subject to SFAS No. 109. FIN 48 utilizes a two-step approach for evaluating tax positions. Recognition (Step I) occurs when the Company concludes that a</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tax position, based on its technical merits, is more likely than not to be sustained upon examination. Measurement (Step II) is only addressed if the position is deemed to be more likely than not to be sustained. Under Step II, the tax benefit is measured as the largest amount of benefit that is more likely than not to be realized upon settlement. FIN 48’s use of the term “more likely than not” is consistent with how that term is used in SFAS No. 109 (i.e. likelihood of occurrence is greater than 50%).</w:t>
      </w:r>
    </w:p>
    <w:p>
      <w:pPr>
        <w:spacing w:after="0" w:line="13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tax position failing to qualify for initial recognition is to be recognized in the first subsequent interim period that they meet the “more likely than not” standard. If it is subsequently determined that a previously recognized tax position no longer meets the “more likely than not” standard, the tax position is required to be derecognized. FIN 48 specifically prohibits the use of a valuation allowance as a substitute for derecognition of tax positions. As applicable, the Company will recognize accrued penalties and interest related to unrecognized tax benefits in the provision for income taxes. During the three months ended March 31, 2007 and the year ended December 31, 2006, the Company recognized no amounts for interest or penalties. We consider many factors when evaluating and estimating our tax positions and tax benefits, which may require periodic adjustments and which may not accurately anticipate our actual resolution of tax positions.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8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September 2006, the FASB issued SFAS No. 157, “Fair Value Measurements”. This Statement defines fair value, establishes a framework for measuring fair value, and expands disclosures about fair value measurements under other accounting pronouncements that require or permit fair value measurements. Accordingly, this Statement does not require any new fair value measurements. This statement is effective for fiscal years beginning after November 15, 2007. We have not yet determined the impact this statement will have on our consolidated financial statements after it is adopted on January 1, 2008.</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83"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Risks</w:t>
      </w:r>
    </w:p>
    <w:p>
      <w:pPr>
        <w:spacing w:after="0" w:line="77"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and using hedging activities. We cannot assure you that these risk management strategies will have the desired effect, and interest rate fluctuations could have a negative impact on our results of operations. We do not use derivative financial instruments, other financial instruments or derivative commodity instruments for trading or speculative purposes.</w:t>
      </w:r>
    </w:p>
    <w:p>
      <w:pPr>
        <w:spacing w:after="0" w:line="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Swap Information</w:t>
      </w:r>
    </w:p>
    <w:p>
      <w:pPr>
        <w:spacing w:after="0" w:line="77"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have entered into floating-for-fixed interest rate swap arrangements relating to certain of our floating-rate debt facilities. We account for these swaps under SFAS No. 133 and its related interpretations.</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Las Vegas</w:t>
      </w:r>
    </w:p>
    <w:p>
      <w:pPr>
        <w:spacing w:after="0" w:line="77"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As of March 31, 2007, we have one interest rate swap arrangement to hedge the underlying interest rate risk on a total of $200 million of borrowings under the current Wynn Las Vegas, LLC term loan facility, which bears interest at LIBOR plus 1.875%. Under this interest rate swap arrangement, we receive payments at a variable rate of LIBOR and pay a fixed rate of 3.793% on the $200 million notional amount which expires on December 31, 2008. Although this interest rate swap is highly effective economically in fixing the interest rate on this borrowing under the new term loan facility at approximately 5.7%, changes in fair value of our interest rate swaps for each reporting period are, and will continue to be, recorded as an increase/(decrease) in swap fair value as the swap does not qualify for hedge accounting.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Wynn Macau</w:t>
      </w:r>
    </w:p>
    <w:p>
      <w:pPr>
        <w:spacing w:after="0" w:line="77"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As of March 31, 2007, we have two interest rate swaps to hedge a portion of the underlying interest rate risk on borrowings under Wynn Macau S.A.’s $749 million senior term loan facility. Under the first swap agreement, we pay a fixed interest rate of 4.84% on borrowings estimated to be incurred under the senior term loan facility up to a maximum of approximately $198.2 million, in exchange for receipts on the same amounts at a variable interest rate based on the applicable LIBOR at the time of payment. Under the second swap agreement, we pay a fixed interest rate of 4.77% on borrowings estimated to be incurred under the senior term loan facility up to a maximum of approximately HK$1.1 billion (approximately US$140.1 million), in exchange for receipts on the same amounts at a variable interest rate based on the applicable HIBOR at the time of payment. The term of both swap agreements is from November 28, 2005 through November 28, 2008.</w:t>
      </w:r>
    </w:p>
    <w:p>
      <w:pPr>
        <w:spacing w:after="0" w:line="134"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These interest rate swaps are expected to be highly effective in fixing the interest rate on 50% of the US dollar and 50% of the Hong Kong dollar borrowings under the senior bank facility at approximately 7.59% and 7.52%, respectively. However, changes in the fair values of these interest rate swaps for each reporting period recorded are, and will continue to be, recognized as an increase/(decrease) in swap fair value as the swaps do not qualify for hedge accounting.</w:t>
      </w:r>
    </w:p>
    <w:p>
      <w:pPr>
        <w:spacing w:after="0" w:line="13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Summary of Historical Fair Values</w:t>
      </w:r>
    </w:p>
    <w:p>
      <w:pPr>
        <w:spacing w:after="0" w:line="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presents the historical asset or (liability) fair values of our interest rate swap arrangements (reflected in deposits and other assets or in other long-term liabilities as appropriate) as of March 31, 2007 and December 31, 2006 (all amounts in thousands):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Wynn Las Vegas</w:t>
            </w:r>
          </w:p>
        </w:tc>
        <w:tc>
          <w:tcPr>
            <w:tcW w:w="36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Wynn Macau</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 (Liability) Fair Value at:</w:t>
            </w: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7"/>
              </w:rPr>
              <w:t>Interest Rate</w:t>
            </w:r>
          </w:p>
        </w:tc>
        <w:tc>
          <w:tcPr>
            <w:tcW w:w="360" w:type="dxa"/>
            <w:vAlign w:val="bottom"/>
          </w:tcPr>
          <w:p>
            <w:pPr>
              <w:spacing w:after="0"/>
              <w:rPr>
                <w:sz w:val="12"/>
                <w:szCs w:val="12"/>
                <w:color w:val="auto"/>
              </w:rPr>
            </w:pP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Interest Rate</w:t>
            </w:r>
          </w:p>
        </w:tc>
        <w:tc>
          <w:tcPr>
            <w:tcW w:w="36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All Interest</w:t>
            </w:r>
          </w:p>
        </w:tc>
        <w:tc>
          <w:tcPr>
            <w:tcW w:w="0" w:type="dxa"/>
            <w:vAlign w:val="bottom"/>
          </w:tcPr>
          <w:p>
            <w:pPr>
              <w:spacing w:after="0"/>
              <w:rPr>
                <w:sz w:val="1"/>
                <w:szCs w:val="1"/>
                <w:color w:val="auto"/>
              </w:rPr>
            </w:pPr>
          </w:p>
        </w:tc>
      </w:tr>
      <w:tr>
        <w:trPr>
          <w:trHeight w:val="148"/>
        </w:trPr>
        <w:tc>
          <w:tcPr>
            <w:tcW w:w="6780" w:type="dxa"/>
            <w:vAlign w:val="bottom"/>
            <w:gridSpan w:val="3"/>
            <w:vMerge w:val="continue"/>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right"/>
              <w:ind w:right="680"/>
              <w:spacing w:after="0" w:line="148" w:lineRule="exact"/>
              <w:rPr>
                <w:sz w:val="20"/>
                <w:szCs w:val="20"/>
                <w:color w:val="auto"/>
              </w:rPr>
            </w:pPr>
            <w:r>
              <w:rPr>
                <w:rFonts w:ascii="Arial" w:cs="Arial" w:eastAsia="Arial" w:hAnsi="Arial"/>
                <w:sz w:val="14"/>
                <w:szCs w:val="14"/>
                <w:b w:val="1"/>
                <w:bCs w:val="1"/>
                <w:color w:val="auto"/>
              </w:rPr>
              <w:t>Swap</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620"/>
              <w:spacing w:after="0" w:line="148" w:lineRule="exact"/>
              <w:rPr>
                <w:sz w:val="20"/>
                <w:szCs w:val="20"/>
                <w:color w:val="auto"/>
              </w:rPr>
            </w:pPr>
            <w:r>
              <w:rPr>
                <w:rFonts w:ascii="Arial" w:cs="Arial" w:eastAsia="Arial" w:hAnsi="Arial"/>
                <w:sz w:val="14"/>
                <w:szCs w:val="14"/>
                <w:b w:val="1"/>
                <w:bCs w:val="1"/>
                <w:color w:val="auto"/>
                <w:w w:val="94"/>
              </w:rPr>
              <w:t>Swaps</w:t>
            </w:r>
          </w:p>
        </w:tc>
        <w:tc>
          <w:tcPr>
            <w:tcW w:w="360" w:type="dxa"/>
            <w:vAlign w:val="bottom"/>
          </w:tcPr>
          <w:p>
            <w:pPr>
              <w:spacing w:after="0"/>
              <w:rPr>
                <w:sz w:val="12"/>
                <w:szCs w:val="12"/>
                <w:color w:val="auto"/>
              </w:rPr>
            </w:pPr>
          </w:p>
        </w:tc>
        <w:tc>
          <w:tcPr>
            <w:tcW w:w="7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w w:val="86"/>
              </w:rPr>
              <w:t>Rate Swaps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2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w w:val="89"/>
              </w:rPr>
              <w:t>March 31,</w:t>
            </w:r>
          </w:p>
        </w:tc>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2007</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3,790</w:t>
            </w:r>
          </w:p>
        </w:tc>
        <w:tc>
          <w:tcPr>
            <w:tcW w:w="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(943)</w:t>
            </w:r>
          </w:p>
        </w:tc>
        <w:tc>
          <w:tcPr>
            <w:tcW w:w="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20"/>
                <w:szCs w:val="20"/>
                <w:color w:val="auto"/>
              </w:rPr>
            </w:pPr>
            <w:r>
              <w:rPr>
                <w:rFonts w:ascii="Arial" w:cs="Arial" w:eastAsia="Arial" w:hAnsi="Arial"/>
                <w:sz w:val="18"/>
                <w:szCs w:val="18"/>
                <w:color w:val="auto"/>
                <w:w w:val="86"/>
              </w:rPr>
              <w:t>December</w:t>
            </w:r>
          </w:p>
        </w:tc>
        <w:tc>
          <w:tcPr>
            <w:tcW w:w="6020" w:type="dxa"/>
            <w:vAlign w:val="bottom"/>
          </w:tcPr>
          <w:p>
            <w:pPr>
              <w:ind w:left="20"/>
              <w:spacing w:after="0"/>
              <w:rPr>
                <w:sz w:val="20"/>
                <w:szCs w:val="20"/>
                <w:color w:val="auto"/>
              </w:rPr>
            </w:pPr>
            <w:r>
              <w:rPr>
                <w:rFonts w:ascii="Arial" w:cs="Arial" w:eastAsia="Arial" w:hAnsi="Arial"/>
                <w:sz w:val="18"/>
                <w:szCs w:val="18"/>
                <w:color w:val="auto"/>
              </w:rPr>
              <w:t>31, 2006</w:t>
            </w:r>
          </w:p>
        </w:tc>
        <w:tc>
          <w:tcPr>
            <w:tcW w:w="820" w:type="dxa"/>
            <w:vAlign w:val="bottom"/>
            <w:gridSpan w:val="2"/>
          </w:tcPr>
          <w:p>
            <w:pPr>
              <w:ind w:left="72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4,789</w:t>
            </w:r>
          </w:p>
        </w:tc>
        <w:tc>
          <w:tcPr>
            <w:tcW w:w="5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(1,467)</w:t>
            </w:r>
          </w:p>
        </w:tc>
        <w:tc>
          <w:tcPr>
            <w:tcW w:w="5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3,322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The fair value approximates the amount the Company would receive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w:t>
      </w:r>
    </w:p>
    <w:p>
      <w:pPr>
        <w:spacing w:after="0" w:line="9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Interest Rate Sensitivity</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2007, approximately 89% of our long-term debt was based on fixed rates, including the notional amounts related to interest rate swaps.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Based on our borrowings as of March 31, 2007, an assumed 1% change in variable rates would cause our annual interest cost to change by $2.4 million.</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Currency Risks</w:t>
      </w:r>
    </w:p>
    <w:p>
      <w:pPr>
        <w:spacing w:after="0" w:line="77"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currency delineated in Wynn Macau’s concession agreement with the government of Macau is the Macau pataca. The Macau pataca, which is not a freely convertible currency, is linked to the Hong Kong dollar, and in many cases the two are used interchangeably in Macau. The Hong Kong dollar is linked to the U.S. dollar and the exchange rate between these two currencies has remained relatively stable over the past several years. However, the exchange linkages of the Hong Kong dollar and the Macau pataca, and the Hong Kong dollar and the U.S. dollar, are subject to potential changes due to, among other things, changes in Chinese governmental policies and international economic and political developments.</w:t>
      </w:r>
    </w:p>
    <w:p>
      <w:pPr>
        <w:spacing w:after="0" w:line="102"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If the Hong Kong dollar and the Macau pataca are not linked to the U.S. dollar in the future, severe fluctuations in the exchange rate for these currencies may result. We do not enter into hedge transactions or derivative instruments to hedge against this potential exposure. We cannot assure you that the current rate of exchange fixed by the applicable monetary authorities for these currencies will remain at the same level.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Because many of Wynn Macau’s payment and expenditure obligations are in Macau patacas, in the event of unfavorable Macau pataca or Hong Kong dollar rate changes, Wynn Macau’s obligations, as denominated in U.S. dollars, would increase. In addition, because we expect that most of the revenues for any casino that Wynn Macau operates in Macau will be in Hong Kong dollars, we are subject to foreign exchange risk with respect to the exchange rate between the Hong Kong dollar and the U.S. dollar. Also, because our Macau-related entities incur U.S. dollar-denominated debt, fluctuations in the exchange rates of the Macau pataca or the Hong Kong dollar, in relation to the U.S. dollar, could have adverse effects on Wynn Macau’s ability to service its debt, its results of operations and its financial condition.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83" w:lineRule="exact"/>
        <w:rPr>
          <w:sz w:val="20"/>
          <w:szCs w:val="20"/>
          <w:color w:val="auto"/>
        </w:rPr>
      </w:pPr>
    </w:p>
    <w:p>
      <w:pPr>
        <w:ind w:firstLine="464"/>
        <w:spacing w:after="0" w:line="289" w:lineRule="auto"/>
        <w:tabs>
          <w:tab w:leader="none" w:pos="695"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Disclosure Controls and Procedures</w:t>
      </w:r>
      <w:r>
        <w:rPr>
          <w:rFonts w:ascii="Arial" w:cs="Arial" w:eastAsia="Arial" w:hAnsi="Arial"/>
          <w:sz w:val="16"/>
          <w:szCs w:val="16"/>
          <w:color w:val="auto"/>
        </w:rPr>
        <w:t>. The Company’s management, with the participation of the Company’s Chief Executive Officer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 and are effective in ensuring that information required to be disclosed by the Company in the reports that it files or submits under the Exchange Act is accumulated and communicated to the Company’s management, including the Company’s Chief Executive Officer and Chief Financial Officer, as appropriate to allow timely decisions regarding required disclosure.</w:t>
      </w:r>
    </w:p>
    <w:p>
      <w:pPr>
        <w:spacing w:after="0" w:line="104" w:lineRule="exact"/>
        <w:rPr>
          <w:rFonts w:ascii="Arial" w:cs="Arial" w:eastAsia="Arial" w:hAnsi="Arial"/>
          <w:sz w:val="16"/>
          <w:szCs w:val="16"/>
          <w:color w:val="auto"/>
        </w:rPr>
      </w:pPr>
    </w:p>
    <w:p>
      <w:pPr>
        <w:ind w:firstLine="464"/>
        <w:spacing w:after="0" w:line="259" w:lineRule="auto"/>
        <w:tabs>
          <w:tab w:leader="none" w:pos="70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Internal Control Over Financial Reporting. </w:t>
      </w:r>
      <w:r>
        <w:rPr>
          <w:rFonts w:ascii="Arial" w:cs="Arial" w:eastAsia="Arial" w:hAnsi="Arial"/>
          <w:sz w:val="18"/>
          <w:szCs w:val="18"/>
          <w:color w:val="auto"/>
        </w:rPr>
        <w:t>There have not been any changes in the Company’s internal control over financial reporting (as such term is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IA. Risk Factors</w:t>
      </w:r>
    </w:p>
    <w:p>
      <w:pPr>
        <w:spacing w:after="0" w:line="83"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A description of our risk factors can be found in Item IA of our Annual Report on Form 10-K for the year ended December 31, 2006. There were no material changes to those risk factors during the three months ended March 31, 2007.</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8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 Restrictions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not regularly declared or paid cash dividends on shares of our common stock.</w:t>
      </w:r>
    </w:p>
    <w:p>
      <w:pPr>
        <w:spacing w:after="0" w:line="15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Wynn Resorts, Limited is a holding company and, as a result, its ability to pay dividends is dependent on its subsidiaries’ ability to provide funds to it. Restrictions imposed by Wynn Resorts, Limited subsidiaries’ debt instruments significantly restrict certain key subsidiaries holding a majority of our assets, including Wynn Las Vegas, LLC and Wynn Macau, S.A. from making dividends or distributions to Wynn Resorts, Limited. Specifically, Wynn Las Vegas, LLC and certain of its subsidiaries are restricted under the indenture governing the First Mortgage Notes from making certain “restricted payments,” as defined in the indenture. These restricted payments include the payment of dividends or distributions to any direct or indirect holders of equity interests of Wynn Las Vegas, LLC. These restricted payments cannot be made unless certain financial and non-financial criteria have been satisfied. In addition, the terms of the other loan agreements of Wynn Las Vegas, LLC and Wynn Macau, S.A. contain similar restrictions; provided that the Wynn Macau, S.A. loan documents permit distribution of the net proceeds from the sale of the subconcession right in September 2006.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Exhibits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80" w:type="dxa"/>
            <w:vAlign w:val="bottom"/>
          </w:tcPr>
          <w:p>
            <w:pPr>
              <w:ind w:left="3500"/>
              <w:spacing w:after="0"/>
              <w:rPr>
                <w:sz w:val="20"/>
                <w:szCs w:val="20"/>
                <w:color w:val="auto"/>
              </w:rPr>
            </w:pPr>
            <w:r>
              <w:rPr>
                <w:rFonts w:ascii="Arial" w:cs="Arial" w:eastAsia="Arial" w:hAnsi="Arial"/>
                <w:sz w:val="18"/>
                <w:szCs w:val="18"/>
                <w:b w:val="1"/>
                <w:bCs w:val="1"/>
                <w:color w:val="auto"/>
              </w:rPr>
              <w:t>EXHIBIT INDEX</w:t>
            </w:r>
          </w:p>
        </w:tc>
      </w:tr>
      <w:tr>
        <w:trPr>
          <w:trHeight w:val="299"/>
        </w:trPr>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7"/>
              </w:rPr>
              <w:t>Exhibit No.</w:t>
            </w:r>
          </w:p>
        </w:tc>
        <w:tc>
          <w:tcPr>
            <w:tcW w:w="440" w:type="dxa"/>
            <w:vAlign w:val="bottom"/>
          </w:tcPr>
          <w:p>
            <w:pPr>
              <w:spacing w:after="0"/>
              <w:rPr>
                <w:sz w:val="24"/>
                <w:szCs w:val="24"/>
                <w:color w:val="auto"/>
              </w:rPr>
            </w:pPr>
          </w:p>
        </w:tc>
        <w:tc>
          <w:tcPr>
            <w:tcW w:w="9880" w:type="dxa"/>
            <w:vAlign w:val="bottom"/>
          </w:tcPr>
          <w:p>
            <w:pPr>
              <w:ind w:left="462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80" w:type="dxa"/>
            <w:vAlign w:val="bottom"/>
            <w:shd w:val="clear" w:color="auto" w:fill="000000"/>
          </w:tcPr>
          <w:p>
            <w:pPr>
              <w:spacing w:after="0"/>
              <w:rPr>
                <w:sz w:val="2"/>
                <w:szCs w:val="2"/>
                <w:color w:val="auto"/>
              </w:rPr>
            </w:pPr>
          </w:p>
        </w:tc>
      </w:tr>
      <w:tr>
        <w:trPr>
          <w:trHeight w:val="322"/>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Second Amended and Restated Articles of Incorporation of the Registrant. (1)</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Third Amended and Restated Bylaws of the Registrant, as amended. (2)</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Chief Executive Officer of Periodic Report Pursuant to Rule 13a - 14(a) and Rule 15d - 14(a).</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*31.2</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Chief Financial Officer of Periodic Report Pursuant to Rule 13a - 14(a) and Rule 15d - 14(a).</w:t>
            </w:r>
          </w:p>
        </w:tc>
      </w:tr>
      <w:tr>
        <w:trPr>
          <w:trHeight w:val="324"/>
        </w:trPr>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*32.1</w:t>
            </w:r>
          </w:p>
        </w:tc>
        <w:tc>
          <w:tcPr>
            <w:tcW w:w="10320" w:type="dxa"/>
            <w:vAlign w:val="bottom"/>
            <w:gridSpan w:val="2"/>
          </w:tcPr>
          <w:p>
            <w:pPr>
              <w:ind w:left="440"/>
              <w:spacing w:after="0"/>
              <w:rPr>
                <w:sz w:val="20"/>
                <w:szCs w:val="20"/>
                <w:color w:val="auto"/>
              </w:rPr>
            </w:pPr>
            <w:r>
              <w:rPr>
                <w:rFonts w:ascii="Arial" w:cs="Arial" w:eastAsia="Arial" w:hAnsi="Arial"/>
                <w:sz w:val="18"/>
                <w:szCs w:val="18"/>
                <w:color w:val="auto"/>
              </w:rPr>
              <w:t>Certification of CEO and CFO Pursuant to 18 U.S.C. Section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461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right="52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Previously filed with Amendment No. 4 to the Form S-1 filed by the Registrant on October 7, 2002 (File No. 333-90600) and incorporated herein by reference.</w:t>
      </w:r>
    </w:p>
    <w:p>
      <w:pPr>
        <w:ind w:left="460" w:hanging="452"/>
        <w:spacing w:after="0"/>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Previously filed with the Quarterly Report on Form 10-Q filed by the Registrant on December 9, 2002 and incorporated herein by reference.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WYNN RESORTS, LIMITED</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May 10, 2007</w:t>
      </w:r>
    </w:p>
    <w:p>
      <w:pPr>
        <w:spacing w:after="0" w:line="15" w:lineRule="exact"/>
        <w:rPr>
          <w:sz w:val="20"/>
          <w:szCs w:val="20"/>
          <w:color w:val="auto"/>
        </w:rPr>
      </w:pPr>
    </w:p>
    <w:p>
      <w:pPr>
        <w:ind w:left="6860"/>
        <w:spacing w:after="0"/>
        <w:tabs>
          <w:tab w:leader="none" w:pos="8440" w:val="left"/>
          <w:tab w:leader="none" w:pos="8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6985</wp:posOffset>
            </wp:positionV>
            <wp:extent cx="265874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5"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John Strzemp</w:t>
      </w:r>
    </w:p>
    <w:p>
      <w:pPr>
        <w:spacing w:after="0" w:line="2" w:lineRule="exact"/>
        <w:rPr>
          <w:sz w:val="20"/>
          <w:szCs w:val="20"/>
          <w:color w:val="auto"/>
        </w:rPr>
      </w:pPr>
    </w:p>
    <w:p>
      <w:pPr>
        <w:jc w:val="center"/>
        <w:ind w:left="7240"/>
        <w:spacing w:after="0"/>
        <w:rPr>
          <w:sz w:val="20"/>
          <w:szCs w:val="20"/>
          <w:color w:val="auto"/>
        </w:rPr>
      </w:pPr>
      <w:r>
        <w:rPr>
          <w:rFonts w:ascii="Arial" w:cs="Arial" w:eastAsia="Arial" w:hAnsi="Arial"/>
          <w:sz w:val="12"/>
          <w:szCs w:val="12"/>
          <w:b w:val="1"/>
          <w:bCs w:val="1"/>
          <w:color w:val="auto"/>
        </w:rPr>
        <w:t>Executive Vice President and Chief Financial Officer (Principal</w:t>
      </w:r>
    </w:p>
    <w:p>
      <w:pPr>
        <w:spacing w:after="0" w:line="10"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Financial Officer)</w:t>
      </w:r>
    </w:p>
    <w:p>
      <w:pPr>
        <w:spacing w:after="0" w:line="1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240" w:top="459" w:right="4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Stephen A. Wynn, certify that:</w:t>
      </w:r>
    </w:p>
    <w:p>
      <w:pPr>
        <w:spacing w:after="0" w:line="77"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2007</w:t>
      </w:r>
    </w:p>
    <w:p>
      <w:pPr>
        <w:spacing w:after="0" w:line="374" w:lineRule="exact"/>
        <w:rPr>
          <w:sz w:val="20"/>
          <w:szCs w:val="20"/>
          <w:color w:val="auto"/>
        </w:rPr>
      </w:pPr>
    </w:p>
    <w:p>
      <w:pPr>
        <w:ind w:left="8120"/>
        <w:spacing w:after="0"/>
        <w:tabs>
          <w:tab w:leader="none" w:pos="84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Stephen A. Wynn</w:t>
      </w:r>
    </w:p>
    <w:p>
      <w:pPr>
        <w:jc w:val="center"/>
        <w:ind w:left="6860"/>
        <w:spacing w:after="0" w:line="223" w:lineRule="auto"/>
        <w:rPr>
          <w:sz w:val="20"/>
          <w:szCs w:val="20"/>
          <w:color w:val="auto"/>
        </w:rPr>
      </w:pPr>
      <w:r>
        <w:rPr>
          <w:rFonts w:ascii="Arial" w:cs="Arial" w:eastAsia="Arial" w:hAnsi="Arial"/>
          <w:sz w:val="14"/>
          <w:szCs w:val="14"/>
          <w:b w:val="1"/>
          <w:bCs w:val="1"/>
          <w:color w:val="auto"/>
        </w:rPr>
        <w:t>Chairman of the Board</w:t>
      </w:r>
    </w:p>
    <w:p>
      <w:pPr>
        <w:jc w:val="center"/>
        <w:ind w:left="6860"/>
        <w:spacing w:after="0" w:line="222" w:lineRule="auto"/>
        <w:rPr>
          <w:sz w:val="20"/>
          <w:szCs w:val="20"/>
          <w:color w:val="auto"/>
        </w:rPr>
      </w:pPr>
      <w:r>
        <w:rPr>
          <w:rFonts w:ascii="Arial" w:cs="Arial" w:eastAsia="Arial" w:hAnsi="Arial"/>
          <w:sz w:val="14"/>
          <w:szCs w:val="14"/>
          <w:b w:val="1"/>
          <w:bCs w:val="1"/>
          <w:color w:val="auto"/>
        </w:rPr>
        <w:t>and Chief Executive Officer</w:t>
      </w:r>
    </w:p>
    <w:p>
      <w:pPr>
        <w:jc w:val="center"/>
        <w:ind w:left="68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5"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Strzemp, certify that:</w:t>
      </w:r>
    </w:p>
    <w:p>
      <w:pPr>
        <w:spacing w:after="0" w:line="77"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20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45" w:lineRule="exact"/>
        <w:rPr>
          <w:rFonts w:ascii="Arial" w:cs="Arial" w:eastAsia="Arial" w:hAnsi="Arial"/>
          <w:sz w:val="18"/>
          <w:szCs w:val="18"/>
          <w:color w:val="auto"/>
        </w:rPr>
      </w:pPr>
    </w:p>
    <w:p>
      <w:pPr>
        <w:ind w:left="900" w:right="100" w:hanging="446"/>
        <w:spacing w:after="0" w:line="325"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640" w:hanging="452"/>
        <w:spacing w:after="0" w:line="325"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May 10, 2007</w:t>
      </w:r>
    </w:p>
    <w:p>
      <w:pPr>
        <w:spacing w:after="0" w:line="374" w:lineRule="exact"/>
        <w:rPr>
          <w:sz w:val="20"/>
          <w:szCs w:val="20"/>
          <w:color w:val="auto"/>
        </w:rPr>
      </w:pPr>
    </w:p>
    <w:p>
      <w:pPr>
        <w:ind w:left="8280"/>
        <w:spacing w:after="0"/>
        <w:tabs>
          <w:tab w:leader="none" w:pos="8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J</w:t>
      </w:r>
      <w:r>
        <w:rPr>
          <w:rFonts w:ascii="Arial" w:cs="Arial" w:eastAsia="Arial" w:hAnsi="Arial"/>
          <w:sz w:val="13"/>
          <w:szCs w:val="13"/>
          <w:color w:val="auto"/>
        </w:rPr>
        <w:t>OHN</w:t>
      </w:r>
      <w:r>
        <w:rPr>
          <w:rFonts w:ascii="Arial" w:cs="Arial" w:eastAsia="Arial" w:hAnsi="Arial"/>
          <w:sz w:val="16"/>
          <w:szCs w:val="16"/>
          <w:color w:val="auto"/>
        </w:rPr>
        <w:t xml:space="preserve"> S</w:t>
      </w:r>
      <w:r>
        <w:rPr>
          <w:rFonts w:ascii="Arial" w:cs="Arial" w:eastAsia="Arial" w:hAnsi="Arial"/>
          <w:sz w:val="13"/>
          <w:szCs w:val="13"/>
          <w:color w:val="auto"/>
        </w:rPr>
        <w:t>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John Strzemp</w:t>
      </w:r>
    </w:p>
    <w:p>
      <w:pPr>
        <w:jc w:val="center"/>
        <w:ind w:left="6860"/>
        <w:spacing w:after="0" w:line="223" w:lineRule="auto"/>
        <w:rPr>
          <w:sz w:val="20"/>
          <w:szCs w:val="20"/>
          <w:color w:val="auto"/>
        </w:rPr>
      </w:pPr>
      <w:r>
        <w:rPr>
          <w:rFonts w:ascii="Arial" w:cs="Arial" w:eastAsia="Arial" w:hAnsi="Arial"/>
          <w:sz w:val="14"/>
          <w:szCs w:val="14"/>
          <w:b w:val="1"/>
          <w:bCs w:val="1"/>
          <w:color w:val="auto"/>
        </w:rPr>
        <w:t>Executive Vice President and</w:t>
      </w:r>
    </w:p>
    <w:p>
      <w:pPr>
        <w:jc w:val="center"/>
        <w:ind w:left="6860"/>
        <w:spacing w:after="0" w:line="222"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5"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158"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1"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1"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March 31, 2007 as filed with the Securities and Exchange Commission on the date hereof (the “Report”), Stephen A. Wynn, as Chief Executive Officer of the Company and John Strzemp, as Chief Financial Officer of the Company, each hereby certifies, pursuant to 18 U.S.C. Section 1350, as adopted pursuant to Section 906 of the Sarbanes-Oxley Act of 2002, that, to the best of his knowledge:</w:t>
      </w:r>
    </w:p>
    <w:p>
      <w:pPr>
        <w:spacing w:after="0" w:line="49"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(15 U.S.C. 78m or 78o(d)); and</w:t>
      </w:r>
    </w:p>
    <w:p>
      <w:pPr>
        <w:spacing w:after="0" w:line="99" w:lineRule="exact"/>
        <w:rPr>
          <w:rFonts w:ascii="Arial" w:cs="Arial" w:eastAsia="Arial" w:hAnsi="Arial"/>
          <w:sz w:val="16"/>
          <w:szCs w:val="16"/>
          <w:color w:val="auto"/>
        </w:rPr>
      </w:pPr>
    </w:p>
    <w:p>
      <w:pPr>
        <w:ind w:left="460" w:hanging="452"/>
        <w:spacing w:after="0"/>
        <w:tabs>
          <w:tab w:leader="none" w:pos="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97" w:lineRule="exact"/>
        <w:rPr>
          <w:sz w:val="20"/>
          <w:szCs w:val="20"/>
          <w:color w:val="auto"/>
        </w:rPr>
      </w:pPr>
    </w:p>
    <w:p>
      <w:pPr>
        <w:ind w:left="1580"/>
        <w:spacing w:after="0"/>
        <w:tabs>
          <w:tab w:leader="none" w:pos="19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TEPHEN</w:t>
      </w:r>
      <w:r>
        <w:rPr>
          <w:rFonts w:ascii="Arial" w:cs="Arial" w:eastAsia="Arial" w:hAnsi="Arial"/>
          <w:sz w:val="16"/>
          <w:szCs w:val="16"/>
          <w:color w:val="auto"/>
        </w:rPr>
        <w:t xml:space="preserve"> A. W</w:t>
      </w:r>
      <w:r>
        <w:rPr>
          <w:rFonts w:ascii="Arial" w:cs="Arial" w:eastAsia="Arial" w:hAnsi="Arial"/>
          <w:sz w:val="13"/>
          <w:szCs w:val="13"/>
          <w:color w:val="auto"/>
        </w:rPr>
        <w:t>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10795</wp:posOffset>
            </wp:positionV>
            <wp:extent cx="25469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Date: May 10, 2007</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center"/>
        <w:ind w:right="7720"/>
        <w:spacing w:after="0"/>
        <w:rPr>
          <w:sz w:val="20"/>
          <w:szCs w:val="20"/>
          <w:color w:val="auto"/>
        </w:rPr>
      </w:pPr>
      <w:r>
        <w:rPr>
          <w:rFonts w:ascii="Arial" w:cs="Arial" w:eastAsia="Arial" w:hAnsi="Arial"/>
          <w:sz w:val="14"/>
          <w:szCs w:val="14"/>
          <w:b w:val="1"/>
          <w:bCs w:val="1"/>
          <w:color w:val="auto"/>
        </w:rPr>
        <w:t>Stephen A. Wynn</w:t>
      </w:r>
    </w:p>
    <w:p>
      <w:pPr>
        <w:spacing w:after="0" w:line="2" w:lineRule="exact"/>
        <w:rPr>
          <w:sz w:val="20"/>
          <w:szCs w:val="20"/>
          <w:color w:val="auto"/>
        </w:rPr>
      </w:pPr>
    </w:p>
    <w:p>
      <w:pPr>
        <w:jc w:val="center"/>
        <w:ind w:right="7720"/>
        <w:spacing w:after="0"/>
        <w:rPr>
          <w:sz w:val="20"/>
          <w:szCs w:val="20"/>
          <w:color w:val="auto"/>
        </w:rPr>
      </w:pPr>
      <w:r>
        <w:rPr>
          <w:rFonts w:ascii="Arial" w:cs="Arial" w:eastAsia="Arial" w:hAnsi="Arial"/>
          <w:sz w:val="12"/>
          <w:szCs w:val="12"/>
          <w:b w:val="1"/>
          <w:bCs w:val="1"/>
          <w:color w:val="auto"/>
        </w:rPr>
        <w:t>Chairman and Chief Executive Officer</w:t>
      </w:r>
    </w:p>
    <w:p>
      <w:pPr>
        <w:spacing w:after="0" w:line="10" w:lineRule="exact"/>
        <w:rPr>
          <w:sz w:val="20"/>
          <w:szCs w:val="20"/>
          <w:color w:val="auto"/>
        </w:rPr>
      </w:pPr>
    </w:p>
    <w:p>
      <w:pPr>
        <w:jc w:val="center"/>
        <w:ind w:right="7700"/>
        <w:spacing w:after="0"/>
        <w:rPr>
          <w:sz w:val="20"/>
          <w:szCs w:val="20"/>
          <w:color w:val="auto"/>
        </w:rPr>
      </w:pPr>
      <w:r>
        <w:rPr>
          <w:rFonts w:ascii="Arial" w:cs="Arial" w:eastAsia="Arial" w:hAnsi="Arial"/>
          <w:sz w:val="14"/>
          <w:szCs w:val="14"/>
          <w:b w:val="1"/>
          <w:bCs w:val="1"/>
          <w:color w:val="auto"/>
        </w:rPr>
        <w:t>(Principal Executive Officer)</w:t>
      </w:r>
    </w:p>
    <w:p>
      <w:pPr>
        <w:spacing w:after="0" w:line="524" w:lineRule="exact"/>
        <w:rPr>
          <w:sz w:val="20"/>
          <w:szCs w:val="20"/>
          <w:color w:val="auto"/>
        </w:rPr>
      </w:pPr>
    </w:p>
    <w:p>
      <w:pPr>
        <w:sectPr>
          <w:pgSz w:w="11900" w:h="16838" w:orient="portrait"/>
          <w:cols w:equalWidth="0" w:num="2">
            <w:col w:w="1420" w:space="40"/>
            <w:col w:w="9960"/>
          </w:cols>
          <w:pgMar w:left="240" w:top="125" w:right="239" w:bottom="1440" w:gutter="0" w:footer="0" w:header="0"/>
          <w:type w:val="continuous"/>
        </w:sectPr>
      </w:pP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60" w:type="dxa"/>
            <w:vAlign w:val="bottom"/>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S</w:t>
            </w:r>
            <w:r>
              <w:rPr>
                <w:rFonts w:ascii="Arial" w:cs="Arial" w:eastAsia="Arial" w:hAnsi="Arial"/>
                <w:sz w:val="14"/>
                <w:szCs w:val="14"/>
                <w:color w:val="auto"/>
              </w:rPr>
              <w:t>TRZEMP</w:t>
            </w:r>
          </w:p>
        </w:tc>
      </w:tr>
      <w:tr>
        <w:trPr>
          <w:trHeight w:val="198"/>
        </w:trPr>
        <w:tc>
          <w:tcPr>
            <w:tcW w:w="560" w:type="dxa"/>
            <w:vAlign w:val="bottom"/>
          </w:tcPr>
          <w:p>
            <w:pPr>
              <w:spacing w:after="0" w:line="198" w:lineRule="exact"/>
              <w:rPr>
                <w:sz w:val="20"/>
                <w:szCs w:val="20"/>
                <w:color w:val="auto"/>
              </w:rPr>
            </w:pPr>
            <w:r>
              <w:rPr>
                <w:rFonts w:ascii="Arial" w:cs="Arial" w:eastAsia="Arial" w:hAnsi="Arial"/>
                <w:sz w:val="18"/>
                <w:szCs w:val="18"/>
                <w:color w:val="auto"/>
              </w:rPr>
              <w:t>Name:</w:t>
            </w:r>
          </w:p>
        </w:tc>
        <w:tc>
          <w:tcPr>
            <w:tcW w:w="1000" w:type="dxa"/>
            <w:vAlign w:val="bottom"/>
          </w:tcPr>
          <w:p>
            <w:pPr>
              <w:spacing w:after="0"/>
              <w:rPr>
                <w:sz w:val="17"/>
                <w:szCs w:val="17"/>
                <w:color w:val="auto"/>
              </w:rPr>
            </w:pPr>
          </w:p>
        </w:tc>
        <w:tc>
          <w:tcPr>
            <w:tcW w:w="3020" w:type="dxa"/>
            <w:vAlign w:val="bottom"/>
          </w:tcPr>
          <w:p>
            <w:pPr>
              <w:jc w:val="center"/>
              <w:ind w:right="888"/>
              <w:spacing w:after="0"/>
              <w:rPr>
                <w:sz w:val="20"/>
                <w:szCs w:val="20"/>
                <w:color w:val="auto"/>
              </w:rPr>
            </w:pPr>
            <w:r>
              <w:rPr>
                <w:rFonts w:ascii="Arial" w:cs="Arial" w:eastAsia="Arial" w:hAnsi="Arial"/>
                <w:sz w:val="14"/>
                <w:szCs w:val="14"/>
                <w:b w:val="1"/>
                <w:bCs w:val="1"/>
                <w:color w:val="auto"/>
                <w:w w:val="88"/>
              </w:rPr>
              <w:t>John Strzemp</w:t>
            </w:r>
          </w:p>
        </w:tc>
      </w:tr>
      <w:tr>
        <w:trPr>
          <w:trHeight w:val="175"/>
        </w:trPr>
        <w:tc>
          <w:tcPr>
            <w:tcW w:w="1560" w:type="dxa"/>
            <w:vAlign w:val="bottom"/>
            <w:gridSpan w:val="2"/>
          </w:tcPr>
          <w:p>
            <w:pPr>
              <w:spacing w:after="0" w:line="175" w:lineRule="exact"/>
              <w:rPr>
                <w:sz w:val="20"/>
                <w:szCs w:val="20"/>
                <w:color w:val="auto"/>
              </w:rPr>
            </w:pPr>
            <w:r>
              <w:rPr>
                <w:rFonts w:ascii="Arial" w:cs="Arial" w:eastAsia="Arial" w:hAnsi="Arial"/>
                <w:sz w:val="18"/>
                <w:szCs w:val="18"/>
                <w:color w:val="auto"/>
              </w:rPr>
              <w:t>Title:</w:t>
            </w:r>
          </w:p>
        </w:tc>
        <w:tc>
          <w:tcPr>
            <w:tcW w:w="3020" w:type="dxa"/>
            <w:vAlign w:val="bottom"/>
          </w:tcPr>
          <w:p>
            <w:pPr>
              <w:jc w:val="center"/>
              <w:ind w:right="908"/>
              <w:spacing w:after="0"/>
              <w:rPr>
                <w:sz w:val="20"/>
                <w:szCs w:val="20"/>
                <w:color w:val="auto"/>
              </w:rPr>
            </w:pPr>
            <w:r>
              <w:rPr>
                <w:rFonts w:ascii="Arial" w:cs="Arial" w:eastAsia="Arial" w:hAnsi="Arial"/>
                <w:sz w:val="14"/>
                <w:szCs w:val="14"/>
                <w:b w:val="1"/>
                <w:bCs w:val="1"/>
                <w:color w:val="auto"/>
                <w:w w:val="86"/>
              </w:rPr>
              <w:t>Executive Vice President and</w:t>
            </w:r>
          </w:p>
        </w:tc>
      </w:tr>
      <w:tr>
        <w:trPr>
          <w:trHeight w:val="122"/>
        </w:trPr>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3020" w:type="dxa"/>
            <w:vAlign w:val="bottom"/>
          </w:tcPr>
          <w:p>
            <w:pPr>
              <w:jc w:val="center"/>
              <w:ind w:right="888"/>
              <w:spacing w:after="0" w:line="123" w:lineRule="exact"/>
              <w:rPr>
                <w:sz w:val="20"/>
                <w:szCs w:val="20"/>
                <w:color w:val="auto"/>
              </w:rPr>
            </w:pPr>
            <w:r>
              <w:rPr>
                <w:rFonts w:ascii="Arial" w:cs="Arial" w:eastAsia="Arial" w:hAnsi="Arial"/>
                <w:sz w:val="14"/>
                <w:szCs w:val="14"/>
                <w:b w:val="1"/>
                <w:bCs w:val="1"/>
                <w:color w:val="auto"/>
                <w:w w:val="90"/>
              </w:rPr>
              <w:t>Chief Financial Officer</w:t>
            </w:r>
          </w:p>
        </w:tc>
      </w:tr>
      <w:tr>
        <w:trPr>
          <w:trHeight w:val="174"/>
        </w:trPr>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20" w:type="dxa"/>
            <w:vAlign w:val="bottom"/>
          </w:tcPr>
          <w:p>
            <w:pPr>
              <w:jc w:val="center"/>
              <w:ind w:right="908"/>
              <w:spacing w:after="0"/>
              <w:rPr>
                <w:sz w:val="20"/>
                <w:szCs w:val="20"/>
                <w:color w:val="auto"/>
              </w:rPr>
            </w:pPr>
            <w:r>
              <w:rPr>
                <w:rFonts w:ascii="Arial" w:cs="Arial" w:eastAsia="Arial" w:hAnsi="Arial"/>
                <w:sz w:val="14"/>
                <w:szCs w:val="14"/>
                <w:b w:val="1"/>
                <w:bCs w:val="1"/>
                <w:color w:val="auto"/>
                <w:w w:val="90"/>
              </w:rPr>
              <w:t>(Principal Financial Officer)</w:t>
            </w:r>
          </w:p>
        </w:tc>
      </w:tr>
      <w:tr>
        <w:trPr>
          <w:trHeight w:val="363"/>
        </w:trPr>
        <w:tc>
          <w:tcPr>
            <w:tcW w:w="1560" w:type="dxa"/>
            <w:vAlign w:val="bottom"/>
            <w:gridSpan w:val="2"/>
          </w:tcPr>
          <w:p>
            <w:pPr>
              <w:spacing w:after="0"/>
              <w:rPr>
                <w:sz w:val="20"/>
                <w:szCs w:val="20"/>
                <w:color w:val="auto"/>
              </w:rPr>
            </w:pPr>
            <w:r>
              <w:rPr>
                <w:rFonts w:ascii="Arial" w:cs="Arial" w:eastAsia="Arial" w:hAnsi="Arial"/>
                <w:sz w:val="18"/>
                <w:szCs w:val="18"/>
                <w:color w:val="auto"/>
                <w:w w:val="98"/>
              </w:rPr>
              <w:t>Date: May 10, 2007</w:t>
            </w:r>
          </w:p>
        </w:tc>
        <w:tc>
          <w:tcPr>
            <w:tcW w:w="3020" w:type="dxa"/>
            <w:vAlign w:val="bottom"/>
          </w:tcPr>
          <w:p>
            <w:pPr>
              <w:spacing w:after="0"/>
              <w:rPr>
                <w:sz w:val="24"/>
                <w:szCs w:val="24"/>
                <w:color w:val="auto"/>
              </w:rPr>
            </w:pPr>
          </w:p>
        </w:tc>
      </w:tr>
    </w:tbl>
    <w:p>
      <w:pPr>
        <w:spacing w:after="0" w:line="14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lowerRoman"/>
      <w:start w:val="1"/>
    </w:lvl>
  </w:abstractNum>
  <w:abstractNum w:abstractNumId="5">
    <w:nsid w:val="DED7263"/>
    <w:multiLevelType w:val="hybridMultilevel"/>
    <w:lvl w:ilvl="0">
      <w:lvlJc w:val="left"/>
      <w:lvlText w:val="%1."/>
      <w:numFmt w:val="decimal"/>
      <w:start w:val="9"/>
    </w:lvl>
  </w:abstractNum>
  <w:abstractNum w:abstractNumId="6">
    <w:nsid w:val="7FDCC233"/>
    <w:multiLevelType w:val="hybridMultilevel"/>
    <w:lvl w:ilvl="0">
      <w:lvlJc w:val="left"/>
      <w:lvlText w:val="%1."/>
      <w:numFmt w:val="decimal"/>
      <w:start w:val="13"/>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lvl w:ilvl="1">
      <w:lvlJc w:val="left"/>
      <w:lvlText w:val="%2)"/>
      <w:numFmt w:val="lowerLetter"/>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2019-12-15T07:28:57Z</dcterms:created>
  <dcterms:modified xsi:type="dcterms:W3CDTF">2019-12-15T07:28:57Z</dcterms:modified>
</cp:coreProperties>
</file>