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6"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4"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2160905</wp:posOffset>
            </wp:positionH>
            <wp:positionV relativeFrom="paragraph">
              <wp:posOffset>146050</wp:posOffset>
            </wp:positionV>
            <wp:extent cx="285178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1785" cy="7620"/>
                    </a:xfrm>
                    <a:prstGeom prst="rect">
                      <a:avLst/>
                    </a:prstGeom>
                    <a:noFill/>
                  </pic:spPr>
                </pic:pic>
              </a:graphicData>
            </a:graphic>
          </wp:anchor>
        </w:drawing>
      </w:r>
    </w:p>
    <w:p>
      <w:pPr>
        <w:spacing w:after="0" w:line="320"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2160905</wp:posOffset>
            </wp:positionH>
            <wp:positionV relativeFrom="paragraph">
              <wp:posOffset>56515</wp:posOffset>
            </wp:positionV>
            <wp:extent cx="28517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1785" cy="7620"/>
                    </a:xfrm>
                    <a:prstGeom prst="rect">
                      <a:avLst/>
                    </a:prstGeom>
                    <a:noFill/>
                  </pic:spPr>
                </pic:pic>
              </a:graphicData>
            </a:graphic>
          </wp:anchor>
        </w:drawing>
      </w:r>
    </w:p>
    <w:p>
      <w:pPr>
        <w:spacing w:after="0" w:line="378"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25"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spacing w:after="0" w:line="1"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63"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June 14,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2168525</wp:posOffset>
            </wp:positionH>
            <wp:positionV relativeFrom="paragraph">
              <wp:posOffset>69215</wp:posOffset>
            </wp:positionV>
            <wp:extent cx="285178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1785" cy="7620"/>
                    </a:xfrm>
                    <a:prstGeom prst="rect">
                      <a:avLst/>
                    </a:prstGeom>
                    <a:noFill/>
                  </pic:spPr>
                </pic:pic>
              </a:graphicData>
            </a:graphic>
          </wp:anchor>
        </w:drawing>
      </w:r>
    </w:p>
    <w:p>
      <w:pPr>
        <w:spacing w:after="0" w:line="196"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37"/>
          <w:szCs w:val="37"/>
          <w:b w:val="1"/>
          <w:bCs w:val="1"/>
          <w:color w:val="auto"/>
        </w:rPr>
        <w:t>WYNN RESORTS, LIMITED</w:t>
      </w:r>
    </w:p>
    <w:p>
      <w:pPr>
        <w:spacing w:after="0" w:line="49"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47" w:lineRule="exact"/>
        <w:rPr>
          <w:sz w:val="24"/>
          <w:szCs w:val="24"/>
          <w:color w:val="auto"/>
        </w:rPr>
      </w:pPr>
    </w:p>
    <w:tbl>
      <w:tblPr>
        <w:tblLayout w:type="fixed"/>
        <w:tblInd w:w="7" w:type="dxa"/>
        <w:tblCellMar>
          <w:top w:w="0" w:type="dxa"/>
          <w:left w:w="0" w:type="dxa"/>
          <w:bottom w:w="0" w:type="dxa"/>
          <w:right w:w="0" w:type="dxa"/>
        </w:tblCellMar>
      </w:tblPr>
      <w:tr>
        <w:trPr>
          <w:trHeight w:val="194"/>
        </w:trPr>
        <w:tc>
          <w:tcPr>
            <w:tcW w:w="920" w:type="dxa"/>
            <w:vAlign w:val="bottom"/>
          </w:tcPr>
          <w:p>
            <w:pPr>
              <w:spacing w:after="0"/>
              <w:rPr>
                <w:sz w:val="16"/>
                <w:szCs w:val="16"/>
                <w:color w:val="auto"/>
              </w:rPr>
            </w:pPr>
          </w:p>
        </w:tc>
        <w:tc>
          <w:tcPr>
            <w:tcW w:w="3020" w:type="dxa"/>
            <w:vAlign w:val="bottom"/>
            <w:gridSpan w:val="3"/>
          </w:tcPr>
          <w:p>
            <w:pPr>
              <w:jc w:val="center"/>
              <w:ind w:right="1240"/>
              <w:spacing w:after="0"/>
              <w:rPr>
                <w:sz w:val="20"/>
                <w:szCs w:val="20"/>
                <w:color w:val="auto"/>
              </w:rPr>
            </w:pPr>
            <w:r>
              <w:rPr>
                <w:rFonts w:ascii="Times New Roman" w:cs="Times New Roman" w:eastAsia="Times New Roman" w:hAnsi="Times New Roman"/>
                <w:sz w:val="15"/>
                <w:szCs w:val="15"/>
                <w:b w:val="1"/>
                <w:bCs w:val="1"/>
                <w:color w:val="auto"/>
              </w:rPr>
              <w:t>Nevada</w:t>
            </w:r>
          </w:p>
        </w:tc>
        <w:tc>
          <w:tcPr>
            <w:tcW w:w="3180" w:type="dxa"/>
            <w:vAlign w:val="bottom"/>
            <w:gridSpan w:val="2"/>
          </w:tcPr>
          <w:p>
            <w:pPr>
              <w:ind w:left="1240"/>
              <w:spacing w:after="0"/>
              <w:rPr>
                <w:sz w:val="20"/>
                <w:szCs w:val="20"/>
                <w:color w:val="auto"/>
              </w:rPr>
            </w:pPr>
            <w:r>
              <w:rPr>
                <w:rFonts w:ascii="Times New Roman" w:cs="Times New Roman" w:eastAsia="Times New Roman" w:hAnsi="Times New Roman"/>
                <w:sz w:val="15"/>
                <w:szCs w:val="15"/>
                <w:b w:val="1"/>
                <w:bCs w:val="1"/>
                <w:color w:val="auto"/>
              </w:rPr>
              <w:t>000-50028</w:t>
            </w:r>
          </w:p>
        </w:tc>
        <w:tc>
          <w:tcPr>
            <w:tcW w:w="2980" w:type="dxa"/>
            <w:vAlign w:val="bottom"/>
            <w:gridSpan w:val="3"/>
          </w:tcPr>
          <w:p>
            <w:pPr>
              <w:jc w:val="right"/>
              <w:ind w:right="338"/>
              <w:spacing w:after="0"/>
              <w:rPr>
                <w:sz w:val="20"/>
                <w:szCs w:val="20"/>
                <w:color w:val="auto"/>
              </w:rPr>
            </w:pPr>
            <w:r>
              <w:rPr>
                <w:rFonts w:ascii="Times New Roman" w:cs="Times New Roman" w:eastAsia="Times New Roman" w:hAnsi="Times New Roman"/>
                <w:sz w:val="15"/>
                <w:szCs w:val="15"/>
                <w:b w:val="1"/>
                <w:bCs w:val="1"/>
                <w:color w:val="auto"/>
              </w:rPr>
              <w:t>46-0484987</w:t>
            </w:r>
          </w:p>
        </w:tc>
        <w:tc>
          <w:tcPr>
            <w:tcW w:w="1160" w:type="dxa"/>
            <w:vAlign w:val="bottom"/>
          </w:tcPr>
          <w:p>
            <w:pPr>
              <w:spacing w:after="0"/>
              <w:rPr>
                <w:sz w:val="16"/>
                <w:szCs w:val="16"/>
                <w:color w:val="auto"/>
              </w:rPr>
            </w:pPr>
          </w:p>
        </w:tc>
      </w:tr>
      <w:tr>
        <w:trPr>
          <w:trHeight w:val="127"/>
        </w:trPr>
        <w:tc>
          <w:tcPr>
            <w:tcW w:w="920" w:type="dxa"/>
            <w:vAlign w:val="bottom"/>
          </w:tcPr>
          <w:p>
            <w:pPr>
              <w:spacing w:after="0"/>
              <w:rPr>
                <w:sz w:val="11"/>
                <w:szCs w:val="11"/>
                <w:color w:val="auto"/>
              </w:rPr>
            </w:pPr>
          </w:p>
        </w:tc>
        <w:tc>
          <w:tcPr>
            <w:tcW w:w="3020" w:type="dxa"/>
            <w:vAlign w:val="bottom"/>
            <w:gridSpan w:val="3"/>
          </w:tcPr>
          <w:p>
            <w:pPr>
              <w:jc w:val="center"/>
              <w:ind w:right="1260"/>
              <w:spacing w:after="0" w:line="128" w:lineRule="exact"/>
              <w:rPr>
                <w:sz w:val="20"/>
                <w:szCs w:val="20"/>
                <w:color w:val="auto"/>
              </w:rPr>
            </w:pPr>
            <w:r>
              <w:rPr>
                <w:rFonts w:ascii="Times New Roman" w:cs="Times New Roman" w:eastAsia="Times New Roman" w:hAnsi="Times New Roman"/>
                <w:sz w:val="12"/>
                <w:szCs w:val="12"/>
                <w:b w:val="1"/>
                <w:bCs w:val="1"/>
                <w:color w:val="auto"/>
              </w:rPr>
              <w:t>(State or other jurisdiction</w:t>
            </w:r>
          </w:p>
        </w:tc>
        <w:tc>
          <w:tcPr>
            <w:tcW w:w="3180" w:type="dxa"/>
            <w:vAlign w:val="bottom"/>
            <w:gridSpan w:val="2"/>
          </w:tcPr>
          <w:p>
            <w:pPr>
              <w:ind w:left="1220"/>
              <w:spacing w:after="0" w:line="128" w:lineRule="exact"/>
              <w:rPr>
                <w:sz w:val="20"/>
                <w:szCs w:val="20"/>
                <w:color w:val="auto"/>
              </w:rPr>
            </w:pPr>
            <w:r>
              <w:rPr>
                <w:rFonts w:ascii="Times New Roman" w:cs="Times New Roman" w:eastAsia="Times New Roman" w:hAnsi="Times New Roman"/>
                <w:sz w:val="12"/>
                <w:szCs w:val="12"/>
                <w:b w:val="1"/>
                <w:bCs w:val="1"/>
                <w:color w:val="auto"/>
              </w:rPr>
              <w:t>(Commission</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380" w:type="dxa"/>
            <w:vAlign w:val="bottom"/>
            <w:gridSpan w:val="2"/>
          </w:tcPr>
          <w:p>
            <w:pPr>
              <w:jc w:val="center"/>
              <w:ind w:right="480"/>
              <w:spacing w:after="0" w:line="128"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62"/>
        </w:trPr>
        <w:tc>
          <w:tcPr>
            <w:tcW w:w="920" w:type="dxa"/>
            <w:vAlign w:val="bottom"/>
          </w:tcPr>
          <w:p>
            <w:pPr>
              <w:spacing w:after="0"/>
              <w:rPr>
                <w:sz w:val="14"/>
                <w:szCs w:val="14"/>
                <w:color w:val="auto"/>
              </w:rPr>
            </w:pPr>
          </w:p>
        </w:tc>
        <w:tc>
          <w:tcPr>
            <w:tcW w:w="3020" w:type="dxa"/>
            <w:vAlign w:val="bottom"/>
            <w:gridSpan w:val="3"/>
          </w:tcPr>
          <w:p>
            <w:pPr>
              <w:jc w:val="center"/>
              <w:ind w:right="1240"/>
              <w:spacing w:after="0"/>
              <w:rPr>
                <w:sz w:val="20"/>
                <w:szCs w:val="20"/>
                <w:color w:val="auto"/>
              </w:rPr>
            </w:pPr>
            <w:r>
              <w:rPr>
                <w:rFonts w:ascii="Times New Roman" w:cs="Times New Roman" w:eastAsia="Times New Roman" w:hAnsi="Times New Roman"/>
                <w:sz w:val="12"/>
                <w:szCs w:val="12"/>
                <w:b w:val="1"/>
                <w:bCs w:val="1"/>
                <w:color w:val="auto"/>
              </w:rPr>
              <w:t>of incorporation)</w:t>
            </w:r>
          </w:p>
        </w:tc>
        <w:tc>
          <w:tcPr>
            <w:tcW w:w="3180" w:type="dxa"/>
            <w:vAlign w:val="bottom"/>
            <w:gridSpan w:val="2"/>
          </w:tcPr>
          <w:p>
            <w:pPr>
              <w:ind w:left="1220"/>
              <w:spacing w:after="0"/>
              <w:rPr>
                <w:sz w:val="20"/>
                <w:szCs w:val="20"/>
                <w:color w:val="auto"/>
              </w:rPr>
            </w:pPr>
            <w:r>
              <w:rPr>
                <w:rFonts w:ascii="Times New Roman" w:cs="Times New Roman" w:eastAsia="Times New Roman" w:hAnsi="Times New Roman"/>
                <w:sz w:val="12"/>
                <w:szCs w:val="12"/>
                <w:b w:val="1"/>
                <w:bCs w:val="1"/>
                <w:color w:val="auto"/>
              </w:rPr>
              <w:t>File Number)</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38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rPr>
              <w:t>Identification No.)</w:t>
            </w:r>
          </w:p>
        </w:tc>
      </w:tr>
      <w:tr>
        <w:trPr>
          <w:trHeight w:val="200"/>
        </w:trPr>
        <w:tc>
          <w:tcPr>
            <w:tcW w:w="3940" w:type="dxa"/>
            <w:vAlign w:val="bottom"/>
            <w:gridSpan w:val="4"/>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3131 Las Vegas Boulevard South</w:t>
            </w:r>
          </w:p>
        </w:tc>
        <w:tc>
          <w:tcPr>
            <w:tcW w:w="12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4"/>
        </w:trPr>
        <w:tc>
          <w:tcPr>
            <w:tcW w:w="920" w:type="dxa"/>
            <w:vAlign w:val="bottom"/>
          </w:tcPr>
          <w:p>
            <w:pPr>
              <w:spacing w:after="0"/>
              <w:rPr>
                <w:sz w:val="16"/>
                <w:szCs w:val="16"/>
                <w:color w:val="auto"/>
              </w:rPr>
            </w:pPr>
          </w:p>
        </w:tc>
        <w:tc>
          <w:tcPr>
            <w:tcW w:w="3020" w:type="dxa"/>
            <w:vAlign w:val="bottom"/>
            <w:gridSpan w:val="3"/>
          </w:tcPr>
          <w:p>
            <w:pPr>
              <w:ind w:left="180"/>
              <w:spacing w:after="0"/>
              <w:rPr>
                <w:sz w:val="20"/>
                <w:szCs w:val="20"/>
                <w:color w:val="auto"/>
              </w:rPr>
            </w:pPr>
            <w:r>
              <w:rPr>
                <w:rFonts w:ascii="Times New Roman" w:cs="Times New Roman" w:eastAsia="Times New Roman" w:hAnsi="Times New Roman"/>
                <w:sz w:val="15"/>
                <w:szCs w:val="15"/>
                <w:b w:val="1"/>
                <w:bCs w:val="1"/>
                <w:color w:val="auto"/>
              </w:rPr>
              <w:t>Las Vegas, Nevada</w:t>
            </w:r>
          </w:p>
        </w:tc>
        <w:tc>
          <w:tcPr>
            <w:tcW w:w="12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980" w:type="dxa"/>
            <w:vAlign w:val="bottom"/>
            <w:gridSpan w:val="3"/>
          </w:tcPr>
          <w:p>
            <w:pPr>
              <w:jc w:val="right"/>
              <w:ind w:right="518"/>
              <w:spacing w:after="0"/>
              <w:rPr>
                <w:sz w:val="20"/>
                <w:szCs w:val="20"/>
                <w:color w:val="auto"/>
              </w:rPr>
            </w:pPr>
            <w:r>
              <w:rPr>
                <w:rFonts w:ascii="Times New Roman" w:cs="Times New Roman" w:eastAsia="Times New Roman" w:hAnsi="Times New Roman"/>
                <w:sz w:val="15"/>
                <w:szCs w:val="15"/>
                <w:b w:val="1"/>
                <w:bCs w:val="1"/>
                <w:color w:val="auto"/>
              </w:rPr>
              <w:t>89109</w:t>
            </w:r>
          </w:p>
        </w:tc>
        <w:tc>
          <w:tcPr>
            <w:tcW w:w="1160" w:type="dxa"/>
            <w:vAlign w:val="bottom"/>
          </w:tcPr>
          <w:p>
            <w:pPr>
              <w:spacing w:after="0"/>
              <w:rPr>
                <w:sz w:val="16"/>
                <w:szCs w:val="16"/>
                <w:color w:val="auto"/>
              </w:rPr>
            </w:pPr>
          </w:p>
        </w:tc>
      </w:tr>
      <w:tr>
        <w:trPr>
          <w:trHeight w:val="162"/>
        </w:trPr>
        <w:tc>
          <w:tcPr>
            <w:tcW w:w="3940" w:type="dxa"/>
            <w:vAlign w:val="bottom"/>
            <w:gridSpan w:val="4"/>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1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38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rPr>
              <w:t>(Zip Code)</w:t>
            </w:r>
          </w:p>
        </w:tc>
      </w:tr>
      <w:tr>
        <w:trPr>
          <w:trHeight w:val="590"/>
        </w:trPr>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80" w:type="dxa"/>
            <w:vAlign w:val="bottom"/>
            <w:gridSpan w:val="2"/>
          </w:tcPr>
          <w:p>
            <w:pPr>
              <w:jc w:val="center"/>
              <w:ind w:left="110"/>
              <w:spacing w:after="0"/>
              <w:rPr>
                <w:sz w:val="20"/>
                <w:szCs w:val="20"/>
                <w:color w:val="auto"/>
              </w:rPr>
            </w:pPr>
            <w:r>
              <w:rPr>
                <w:rFonts w:ascii="Times New Roman" w:cs="Times New Roman" w:eastAsia="Times New Roman" w:hAnsi="Times New Roman"/>
                <w:sz w:val="15"/>
                <w:szCs w:val="15"/>
                <w:b w:val="1"/>
                <w:bCs w:val="1"/>
                <w:color w:val="auto"/>
              </w:rPr>
              <w:t>(702) 770-7555</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2"/>
        </w:trPr>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180" w:type="dxa"/>
            <w:vAlign w:val="bottom"/>
            <w:gridSpan w:val="2"/>
          </w:tcPr>
          <w:p>
            <w:pPr>
              <w:jc w:val="center"/>
              <w:ind w:left="130"/>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59"/>
        </w:trPr>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80" w:type="dxa"/>
            <w:vAlign w:val="bottom"/>
            <w:gridSpan w:val="2"/>
          </w:tcPr>
          <w:p>
            <w:pPr>
              <w:jc w:val="center"/>
              <w:ind w:left="110"/>
              <w:spacing w:after="0"/>
              <w:rPr>
                <w:sz w:val="20"/>
                <w:szCs w:val="20"/>
                <w:color w:val="auto"/>
              </w:rPr>
            </w:pPr>
            <w:r>
              <w:rPr>
                <w:rFonts w:ascii="Times New Roman" w:cs="Times New Roman" w:eastAsia="Times New Roman" w:hAnsi="Times New Roman"/>
                <w:sz w:val="15"/>
                <w:szCs w:val="15"/>
                <w:b w:val="1"/>
                <w:bCs w:val="1"/>
                <w:color w:val="auto"/>
              </w:rPr>
              <w:t>Not Applicable</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2"/>
        </w:trPr>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320" w:type="dxa"/>
            <w:vAlign w:val="bottom"/>
            <w:gridSpan w:val="6"/>
          </w:tcPr>
          <w:p>
            <w:pPr>
              <w:jc w:val="center"/>
              <w:ind w:right="3940"/>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tc>
      </w:tr>
      <w:tr>
        <w:trPr>
          <w:trHeight w:val="242"/>
        </w:trPr>
        <w:tc>
          <w:tcPr>
            <w:tcW w:w="9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2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489"/>
        </w:trPr>
        <w:tc>
          <w:tcPr>
            <w:tcW w:w="394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1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6"/>
        </w:trPr>
        <w:tc>
          <w:tcPr>
            <w:tcW w:w="920" w:type="dxa"/>
            <w:vAlign w:val="bottom"/>
          </w:tcPr>
          <w:p>
            <w:pPr>
              <w:spacing w:after="0"/>
              <w:rPr>
                <w:sz w:val="16"/>
                <w:szCs w:val="16"/>
                <w:color w:val="auto"/>
              </w:rPr>
            </w:pPr>
          </w:p>
        </w:tc>
        <w:tc>
          <w:tcPr>
            <w:tcW w:w="3020" w:type="dxa"/>
            <w:vAlign w:val="bottom"/>
            <w:gridSpan w:val="3"/>
          </w:tcPr>
          <w:p>
            <w:pPr>
              <w:jc w:val="center"/>
              <w:ind w:right="1860"/>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3180" w:type="dxa"/>
            <w:vAlign w:val="bottom"/>
            <w:gridSpan w:val="2"/>
          </w:tcPr>
          <w:p>
            <w:pPr>
              <w:jc w:val="center"/>
              <w:ind w:right="1940"/>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4140" w:type="dxa"/>
            <w:vAlign w:val="bottom"/>
            <w:gridSpan w:val="4"/>
          </w:tcPr>
          <w:p>
            <w:pPr>
              <w:jc w:val="center"/>
              <w:ind w:right="1040"/>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20"/>
        </w:trPr>
        <w:tc>
          <w:tcPr>
            <w:tcW w:w="9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gridSpan w:val="2"/>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1"/>
        </w:trPr>
        <w:tc>
          <w:tcPr>
            <w:tcW w:w="3940" w:type="dxa"/>
            <w:vAlign w:val="bottom"/>
            <w:gridSpan w:val="4"/>
          </w:tcPr>
          <w:p>
            <w:pPr>
              <w:jc w:val="center"/>
              <w:ind w:right="940"/>
              <w:spacing w:after="0"/>
              <w:rPr>
                <w:sz w:val="20"/>
                <w:szCs w:val="20"/>
                <w:color w:val="auto"/>
              </w:rPr>
            </w:pPr>
            <w:r>
              <w:rPr>
                <w:rFonts w:ascii="Times New Roman" w:cs="Times New Roman" w:eastAsia="Times New Roman" w:hAnsi="Times New Roman"/>
                <w:sz w:val="15"/>
                <w:szCs w:val="15"/>
                <w:color w:val="auto"/>
              </w:rPr>
              <w:t>Common stock, par value $0.01</w:t>
            </w:r>
          </w:p>
        </w:tc>
        <w:tc>
          <w:tcPr>
            <w:tcW w:w="3180" w:type="dxa"/>
            <w:vAlign w:val="bottom"/>
            <w:gridSpan w:val="2"/>
          </w:tcPr>
          <w:p>
            <w:pPr>
              <w:jc w:val="center"/>
              <w:ind w:right="1940"/>
              <w:spacing w:after="0"/>
              <w:rPr>
                <w:sz w:val="20"/>
                <w:szCs w:val="20"/>
                <w:color w:val="auto"/>
              </w:rPr>
            </w:pPr>
            <w:r>
              <w:rPr>
                <w:rFonts w:ascii="Times New Roman" w:cs="Times New Roman" w:eastAsia="Times New Roman" w:hAnsi="Times New Roman"/>
                <w:sz w:val="15"/>
                <w:szCs w:val="15"/>
                <w:color w:val="auto"/>
              </w:rPr>
              <w:t>WYNN</w:t>
            </w:r>
          </w:p>
        </w:tc>
        <w:tc>
          <w:tcPr>
            <w:tcW w:w="120" w:type="dxa"/>
            <w:vAlign w:val="bottom"/>
          </w:tcPr>
          <w:p>
            <w:pPr>
              <w:spacing w:after="0"/>
              <w:rPr>
                <w:sz w:val="18"/>
                <w:szCs w:val="18"/>
                <w:color w:val="auto"/>
              </w:rPr>
            </w:pPr>
          </w:p>
        </w:tc>
        <w:tc>
          <w:tcPr>
            <w:tcW w:w="4020" w:type="dxa"/>
            <w:vAlign w:val="bottom"/>
            <w:gridSpan w:val="3"/>
          </w:tcPr>
          <w:p>
            <w:pPr>
              <w:jc w:val="center"/>
              <w:ind w:right="1160"/>
              <w:spacing w:after="0"/>
              <w:rPr>
                <w:sz w:val="20"/>
                <w:szCs w:val="20"/>
                <w:color w:val="auto"/>
              </w:rPr>
            </w:pPr>
            <w:r>
              <w:rPr>
                <w:rFonts w:ascii="Times New Roman" w:cs="Times New Roman" w:eastAsia="Times New Roman" w:hAnsi="Times New Roman"/>
                <w:sz w:val="15"/>
                <w:szCs w:val="15"/>
                <w:color w:val="auto"/>
              </w:rPr>
              <w:t>Nasdaq Global Select Market</w:t>
            </w:r>
          </w:p>
        </w:tc>
      </w:tr>
      <w:tr>
        <w:trPr>
          <w:trHeight w:val="177"/>
        </w:trPr>
        <w:tc>
          <w:tcPr>
            <w:tcW w:w="9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r>
    </w:tbl>
    <w:p>
      <w:pPr>
        <w:spacing w:after="0" w:line="286" w:lineRule="exact"/>
        <w:rPr>
          <w:sz w:val="24"/>
          <w:szCs w:val="24"/>
          <w:color w:val="auto"/>
        </w:rPr>
      </w:pPr>
    </w:p>
    <w:p>
      <w:pPr>
        <w:ind w:left="7"/>
        <w:spacing w:after="0"/>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w:t>
      </w:r>
    </w:p>
    <w:p>
      <w:pPr>
        <w:spacing w:after="0" w:line="27" w:lineRule="exact"/>
        <w:rPr>
          <w:sz w:val="24"/>
          <w:szCs w:val="24"/>
          <w:color w:val="auto"/>
        </w:rPr>
      </w:pPr>
    </w:p>
    <w:p>
      <w:pPr>
        <w:ind w:left="307" w:hanging="307"/>
        <w:spacing w:after="0"/>
        <w:tabs>
          <w:tab w:leader="none" w:pos="30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Written communications pursuant to Rule 425 under the Securities Act (17 CFR 230.425)</w:t>
      </w:r>
    </w:p>
    <w:p>
      <w:pPr>
        <w:spacing w:after="0" w:line="26" w:lineRule="exact"/>
        <w:rPr>
          <w:rFonts w:ascii="MS PGothic" w:cs="MS PGothic" w:eastAsia="MS PGothic" w:hAnsi="MS PGothic"/>
          <w:sz w:val="15"/>
          <w:szCs w:val="15"/>
          <w:color w:val="auto"/>
        </w:rPr>
      </w:pPr>
    </w:p>
    <w:p>
      <w:pPr>
        <w:ind w:left="307" w:hanging="307"/>
        <w:spacing w:after="0"/>
        <w:tabs>
          <w:tab w:leader="none" w:pos="30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24" w:lineRule="exact"/>
        <w:rPr>
          <w:rFonts w:ascii="MS PGothic" w:cs="MS PGothic" w:eastAsia="MS PGothic" w:hAnsi="MS PGothic"/>
          <w:sz w:val="15"/>
          <w:szCs w:val="15"/>
          <w:color w:val="auto"/>
        </w:rPr>
      </w:pPr>
    </w:p>
    <w:p>
      <w:pPr>
        <w:ind w:left="307" w:hanging="307"/>
        <w:spacing w:after="0"/>
        <w:tabs>
          <w:tab w:leader="none" w:pos="30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24" w:lineRule="exact"/>
        <w:rPr>
          <w:rFonts w:ascii="MS PGothic" w:cs="MS PGothic" w:eastAsia="MS PGothic" w:hAnsi="MS PGothic"/>
          <w:sz w:val="15"/>
          <w:szCs w:val="15"/>
          <w:color w:val="auto"/>
        </w:rPr>
      </w:pPr>
    </w:p>
    <w:p>
      <w:pPr>
        <w:ind w:left="307" w:hanging="307"/>
        <w:spacing w:after="0"/>
        <w:tabs>
          <w:tab w:leader="none" w:pos="30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13e-4(c) under the Exchange Act (17 CFR 240.13e-4(c))</w:t>
      </w:r>
    </w:p>
    <w:p>
      <w:pPr>
        <w:spacing w:after="0" w:line="13" w:lineRule="exact"/>
        <w:rPr>
          <w:sz w:val="24"/>
          <w:szCs w:val="24"/>
          <w:color w:val="auto"/>
        </w:rPr>
      </w:pPr>
    </w:p>
    <w:p>
      <w:pPr>
        <w:ind w:left="7" w:right="20"/>
        <w:spacing w:after="0" w:line="256" w:lineRule="auto"/>
        <w:rPr>
          <w:sz w:val="20"/>
          <w:szCs w:val="20"/>
          <w:color w:val="auto"/>
        </w:rPr>
      </w:pPr>
      <w:r>
        <w:rPr>
          <w:rFonts w:ascii="Times New Roman" w:cs="Times New Roman" w:eastAsia="Times New Roman" w:hAnsi="Times New Roman"/>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7"/>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38" w:lineRule="exact"/>
        <w:rPr>
          <w:sz w:val="24"/>
          <w:szCs w:val="24"/>
          <w:color w:val="auto"/>
        </w:rPr>
      </w:pPr>
    </w:p>
    <w:p>
      <w:pPr>
        <w:ind w:left="7"/>
        <w:spacing w:after="0" w:line="192"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588010</wp:posOffset>
            </wp:positionV>
            <wp:extent cx="7177405"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921" w:right="319" w:bottom="1440" w:gutter="0" w:footer="0" w:header="0"/>
        </w:sectPr>
      </w:pPr>
    </w:p>
    <w:bookmarkStart w:id="1" w:name="page2"/>
    <w:bookmarkEnd w:id="1"/>
    <w:p>
      <w:pPr>
        <w:spacing w:after="0"/>
        <w:tabs>
          <w:tab w:leader="none" w:pos="1320" w:val="left"/>
        </w:tabs>
        <w:rPr>
          <w:sz w:val="20"/>
          <w:szCs w:val="20"/>
          <w:color w:val="auto"/>
        </w:rPr>
      </w:pPr>
      <w:r>
        <w:rPr>
          <w:rFonts w:ascii="Times New Roman" w:cs="Times New Roman" w:eastAsia="Times New Roman" w:hAnsi="Times New Roman"/>
          <w:sz w:val="15"/>
          <w:szCs w:val="15"/>
          <w:b w:val="1"/>
          <w:bCs w:val="1"/>
          <w:color w:val="auto"/>
        </w:rPr>
        <w:t>Item 7.01</w:t>
      </w:r>
      <w:r>
        <w:rPr>
          <w:sz w:val="20"/>
          <w:szCs w:val="20"/>
          <w:color w:val="auto"/>
        </w:rPr>
        <w:tab/>
      </w:r>
      <w:r>
        <w:rPr>
          <w:rFonts w:ascii="Times New Roman" w:cs="Times New Roman" w:eastAsia="Times New Roman" w:hAnsi="Times New Roman"/>
          <w:sz w:val="15"/>
          <w:szCs w:val="15"/>
          <w:b w:val="1"/>
          <w:bCs w:val="1"/>
          <w:color w:val="auto"/>
        </w:rPr>
        <w:t>Regulation FD Disclosure.</w:t>
      </w:r>
    </w:p>
    <w:p>
      <w:pPr>
        <w:spacing w:after="0" w:line="306" w:lineRule="exact"/>
        <w:rPr>
          <w:sz w:val="20"/>
          <w:szCs w:val="20"/>
          <w:color w:val="auto"/>
        </w:rPr>
      </w:pPr>
    </w:p>
    <w:p>
      <w:pPr>
        <w:jc w:val="both"/>
        <w:ind w:firstLine="347"/>
        <w:spacing w:after="0" w:line="270" w:lineRule="auto"/>
        <w:rPr>
          <w:sz w:val="20"/>
          <w:szCs w:val="20"/>
          <w:color w:val="auto"/>
        </w:rPr>
      </w:pPr>
      <w:r>
        <w:rPr>
          <w:rFonts w:ascii="Times New Roman" w:cs="Times New Roman" w:eastAsia="Times New Roman" w:hAnsi="Times New Roman"/>
          <w:sz w:val="15"/>
          <w:szCs w:val="15"/>
          <w:color w:val="auto"/>
        </w:rPr>
        <w:t>On June 14, 2022 (Hong Kong time), Wynn Macau, Limited ("WML"), an indirect subsidiary of Wynn Resorts, Limited ("Wynn Resorts") with its ordinary shares of common stock listed on The Stock Exchange of Hong Kong Limited (the "HKSE"), filed with the HKSE an announcement (the "Announcement") that on June 14, 2022, WML entered into a shareholder loan agreement with Wynn Resorts, pursuant to which Wynn Resorts agreed to make available to WML a $500.0 million revolving loan facility. The Announcement is furnished herewith as Exhibit 99.1.</w:t>
      </w:r>
    </w:p>
    <w:p>
      <w:pPr>
        <w:spacing w:after="0" w:line="173" w:lineRule="exact"/>
        <w:rPr>
          <w:sz w:val="20"/>
          <w:szCs w:val="20"/>
          <w:color w:val="auto"/>
        </w:rPr>
      </w:pPr>
    </w:p>
    <w:p>
      <w:pPr>
        <w:jc w:val="both"/>
        <w:ind w:firstLine="347"/>
        <w:spacing w:after="0" w:line="276" w:lineRule="auto"/>
        <w:rPr>
          <w:sz w:val="20"/>
          <w:szCs w:val="20"/>
          <w:color w:val="auto"/>
        </w:rPr>
      </w:pPr>
      <w:r>
        <w:rPr>
          <w:rFonts w:ascii="Times New Roman" w:cs="Times New Roman" w:eastAsia="Times New Roman" w:hAnsi="Times New Roman"/>
          <w:sz w:val="15"/>
          <w:szCs w:val="15"/>
          <w:color w:val="auto"/>
        </w:rPr>
        <w:t>The information furnished pursuant to this Item 7.01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Item 9.01</w:t>
            </w:r>
          </w:p>
        </w:tc>
        <w:tc>
          <w:tcPr>
            <w:tcW w:w="99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Financial Statements and Exhibits.</w:t>
            </w:r>
          </w:p>
        </w:tc>
      </w:tr>
      <w:tr>
        <w:trPr>
          <w:trHeight w:val="370"/>
        </w:trPr>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(d) Exhibits.</w:t>
            </w:r>
          </w:p>
        </w:tc>
        <w:tc>
          <w:tcPr>
            <w:tcW w:w="6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060" w:type="dxa"/>
            <w:vAlign w:val="bottom"/>
          </w:tcPr>
          <w:p>
            <w:pPr>
              <w:spacing w:after="0"/>
              <w:rPr>
                <w:sz w:val="24"/>
                <w:szCs w:val="24"/>
                <w:color w:val="auto"/>
              </w:rPr>
            </w:pPr>
          </w:p>
        </w:tc>
      </w:tr>
      <w:tr>
        <w:trPr>
          <w:trHeight w:val="151"/>
        </w:trPr>
        <w:tc>
          <w:tcPr>
            <w:tcW w:w="6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720" w:type="dxa"/>
            <w:vAlign w:val="bottom"/>
          </w:tcPr>
          <w:p>
            <w:pPr>
              <w:spacing w:after="0"/>
              <w:rPr>
                <w:sz w:val="13"/>
                <w:szCs w:val="13"/>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0"/>
        </w:trPr>
        <w:tc>
          <w:tcPr>
            <w:tcW w:w="6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35"/>
        </w:trPr>
        <w:tc>
          <w:tcPr>
            <w:tcW w:w="620" w:type="dxa"/>
            <w:vAlign w:val="bottom"/>
          </w:tcPr>
          <w:p>
            <w:pPr>
              <w:spacing w:after="0"/>
              <w:rPr>
                <w:sz w:val="20"/>
                <w:szCs w:val="20"/>
                <w:color w:val="auto"/>
              </w:rPr>
            </w:pPr>
            <w:r>
              <w:rPr>
                <w:rFonts w:ascii="Times New Roman" w:cs="Times New Roman" w:eastAsia="Times New Roman" w:hAnsi="Times New Roman"/>
                <w:sz w:val="15"/>
                <w:szCs w:val="15"/>
                <w:color w:val="auto"/>
              </w:rPr>
              <w:t>99.1</w:t>
            </w:r>
          </w:p>
        </w:tc>
        <w:tc>
          <w:tcPr>
            <w:tcW w:w="720" w:type="dxa"/>
            <w:vAlign w:val="bottom"/>
          </w:tcPr>
          <w:p>
            <w:pPr>
              <w:spacing w:after="0"/>
              <w:rPr>
                <w:sz w:val="20"/>
                <w:szCs w:val="20"/>
                <w:color w:val="auto"/>
              </w:rPr>
            </w:pPr>
          </w:p>
        </w:tc>
        <w:tc>
          <w:tcPr>
            <w:tcW w:w="3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5"/>
                <w:szCs w:val="15"/>
                <w:color w:val="0000FF"/>
              </w:rPr>
              <w:t>Announcement of Wynn Macau, Limited, dated June 14, 2022</w:t>
            </w:r>
          </w:p>
        </w:tc>
        <w:tc>
          <w:tcPr>
            <w:tcW w:w="6060" w:type="dxa"/>
            <w:vAlign w:val="bottom"/>
          </w:tcPr>
          <w:p>
            <w:pPr>
              <w:spacing w:after="0"/>
              <w:rPr>
                <w:sz w:val="20"/>
                <w:szCs w:val="20"/>
                <w:color w:val="auto"/>
              </w:rPr>
            </w:pPr>
          </w:p>
        </w:tc>
      </w:tr>
      <w:tr>
        <w:trPr>
          <w:trHeight w:val="211"/>
        </w:trPr>
        <w:tc>
          <w:tcPr>
            <w:tcW w:w="620" w:type="dxa"/>
            <w:vAlign w:val="bottom"/>
          </w:tcPr>
          <w:p>
            <w:pPr>
              <w:spacing w:after="0"/>
              <w:rPr>
                <w:sz w:val="20"/>
                <w:szCs w:val="20"/>
                <w:color w:val="auto"/>
              </w:rPr>
            </w:pPr>
            <w:r>
              <w:rPr>
                <w:rFonts w:ascii="Times New Roman" w:cs="Times New Roman" w:eastAsia="Times New Roman" w:hAnsi="Times New Roman"/>
                <w:sz w:val="15"/>
                <w:szCs w:val="15"/>
                <w:color w:val="auto"/>
              </w:rPr>
              <w:t>104</w:t>
            </w:r>
          </w:p>
        </w:tc>
        <w:tc>
          <w:tcPr>
            <w:tcW w:w="720" w:type="dxa"/>
            <w:vAlign w:val="bottom"/>
          </w:tcPr>
          <w:p>
            <w:pPr>
              <w:spacing w:after="0"/>
              <w:rPr>
                <w:sz w:val="18"/>
                <w:szCs w:val="18"/>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Cover Page Interactive Data File - the cover page XBRL tags are embedded within the Inline XBRL document</w:t>
            </w:r>
          </w:p>
        </w:tc>
      </w:tr>
      <w:tr>
        <w:trPr>
          <w:trHeight w:val="1045"/>
        </w:trPr>
        <w:tc>
          <w:tcPr>
            <w:tcW w:w="6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202" w:lineRule="exact"/>
        <w:rPr>
          <w:sz w:val="20"/>
          <w:szCs w:val="20"/>
          <w:color w:val="auto"/>
        </w:rPr>
      </w:pPr>
    </w:p>
    <w:p>
      <w:pPr>
        <w:ind w:firstLine="382"/>
        <w:spacing w:after="0" w:line="295"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5"/>
          <w:szCs w:val="15"/>
          <w:b w:val="1"/>
          <w:bCs w:val="1"/>
          <w:color w:val="auto"/>
        </w:rPr>
        <w:t>WYNN RESORTS, LIMITED</w:t>
      </w:r>
    </w:p>
    <w:p>
      <w:pPr>
        <w:sectPr>
          <w:pgSz w:w="11900" w:h="16838" w:orient="portrait"/>
          <w:cols w:equalWidth="0" w:num="1">
            <w:col w:w="11260"/>
          </w:cols>
          <w:pgMar w:left="320" w:top="781" w:right="319" w:bottom="1440" w:gutter="0" w:footer="0" w:header="0"/>
        </w:sectPr>
      </w:pP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Dated: June 14, 2022</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/s/ Julie Cameron-Doe</w:t>
      </w:r>
    </w:p>
    <w:p>
      <w:pPr>
        <w:spacing w:after="0" w:line="27" w:lineRule="exact"/>
        <w:rPr>
          <w:sz w:val="20"/>
          <w:szCs w:val="20"/>
          <w:color w:val="auto"/>
        </w:rPr>
      </w:pPr>
    </w:p>
    <w:p>
      <w:pPr>
        <w:sectPr>
          <w:pgSz w:w="11900" w:h="16838" w:orient="portrait"/>
          <w:cols w:equalWidth="0" w:num="2">
            <w:col w:w="6120" w:space="720"/>
            <w:col w:w="4420"/>
          </w:cols>
          <w:pgMar w:left="320" w:top="781" w:right="319" w:bottom="1440" w:gutter="0" w:footer="0" w:header="0"/>
          <w:type w:val="continuous"/>
        </w:sectPr>
      </w:pPr>
    </w:p>
    <w:p>
      <w:pPr>
        <w:ind w:left="6960"/>
        <w:spacing w:after="0"/>
        <w:rPr>
          <w:sz w:val="20"/>
          <w:szCs w:val="20"/>
          <w:color w:val="auto"/>
        </w:rPr>
      </w:pPr>
      <w:r>
        <w:rPr>
          <w:rFonts w:ascii="Times New Roman" w:cs="Times New Roman" w:eastAsia="Times New Roman" w:hAnsi="Times New Roman"/>
          <w:sz w:val="15"/>
          <w:szCs w:val="15"/>
          <w:color w:val="auto"/>
        </w:rPr>
        <w:t>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4736465</wp:posOffset>
            </wp:positionH>
            <wp:positionV relativeFrom="paragraph">
              <wp:posOffset>-108585</wp:posOffset>
            </wp:positionV>
            <wp:extent cx="24644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64435" cy="7620"/>
                    </a:xfrm>
                    <a:prstGeom prst="rect">
                      <a:avLst/>
                    </a:prstGeom>
                    <a:noFill/>
                  </pic:spPr>
                </pic:pic>
              </a:graphicData>
            </a:graphic>
          </wp:anchor>
        </w:drawing>
      </w:r>
    </w:p>
    <w:p>
      <w:pPr>
        <w:spacing w:after="0" w:line="4"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5"/>
          <w:szCs w:val="15"/>
          <w:color w:val="auto"/>
        </w:rPr>
        <w:t>Chief Financial Officer</w:t>
      </w:r>
    </w:p>
    <w:p>
      <w:pPr>
        <w:spacing w:after="0" w:line="24"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5"/>
          <w:szCs w:val="15"/>
          <w:color w:val="auto"/>
        </w:rPr>
        <w:t>(Principal Financial and Accounting Officer)</w:t>
      </w:r>
    </w:p>
    <w:p>
      <w:pPr>
        <w:sectPr>
          <w:pgSz w:w="11900" w:h="16838" w:orient="portrait"/>
          <w:cols w:equalWidth="0" w:num="1">
            <w:col w:w="11260"/>
          </w:cols>
          <w:pgMar w:left="320" w:top="781" w:right="319" w:bottom="1440" w:gutter="0" w:footer="0" w:header="0"/>
          <w:type w:val="continuous"/>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323850</wp:posOffset>
            </wp:positionV>
            <wp:extent cx="7090410" cy="10182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0410" cy="1018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2022-06-14T15:24:23Z</dcterms:created>
  <dcterms:modified xsi:type="dcterms:W3CDTF">2022-06-14T15:24:23Z</dcterms:modified>
</cp:coreProperties>
</file>