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19"/>
        <w:spacing w:after="0"/>
        <w:rPr>
          <w:sz w:val="20"/>
          <w:szCs w:val="20"/>
          <w:color w:val="auto"/>
        </w:rPr>
      </w:pPr>
      <w:r>
        <w:rPr>
          <w:rFonts w:ascii="Courier New" w:cs="Courier New" w:eastAsia="Courier New" w:hAnsi="Courier New"/>
          <w:sz w:val="16"/>
          <w:szCs w:val="16"/>
          <w:color w:val="auto"/>
        </w:rPr>
        <w:t>UNITED STATES</w:t>
      </w:r>
    </w:p>
    <w:p>
      <w:pPr>
        <w:jc w:val="center"/>
        <w:ind w:right="2719"/>
        <w:spacing w:after="0"/>
        <w:rPr>
          <w:sz w:val="20"/>
          <w:szCs w:val="20"/>
          <w:color w:val="auto"/>
        </w:rPr>
      </w:pPr>
      <w:r>
        <w:rPr>
          <w:rFonts w:ascii="Courier New" w:cs="Courier New" w:eastAsia="Courier New" w:hAnsi="Courier New"/>
          <w:sz w:val="16"/>
          <w:szCs w:val="16"/>
          <w:color w:val="auto"/>
        </w:rPr>
        <w:t>SECURITIES AND EXCHANGE COMMISSION</w:t>
      </w:r>
    </w:p>
    <w:p>
      <w:pPr>
        <w:jc w:val="center"/>
        <w:ind w:right="2719"/>
        <w:spacing w:after="0" w:line="237" w:lineRule="auto"/>
        <w:rPr>
          <w:sz w:val="20"/>
          <w:szCs w:val="20"/>
          <w:color w:val="auto"/>
        </w:rPr>
      </w:pPr>
      <w:r>
        <w:rPr>
          <w:rFonts w:ascii="Courier New" w:cs="Courier New" w:eastAsia="Courier New" w:hAnsi="Courier New"/>
          <w:sz w:val="16"/>
          <w:szCs w:val="16"/>
          <w:color w:val="auto"/>
        </w:rPr>
        <w:t>Washington, D.C. 20549</w:t>
      </w:r>
    </w:p>
    <w:p>
      <w:pPr>
        <w:ind w:left="28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FORM 8-K</w:t>
      </w:r>
    </w:p>
    <w:p>
      <w:pPr>
        <w:spacing w:after="0" w:line="179" w:lineRule="exact"/>
        <w:rPr>
          <w:sz w:val="24"/>
          <w:szCs w:val="24"/>
          <w:color w:val="auto"/>
        </w:rPr>
      </w:pPr>
    </w:p>
    <w:p>
      <w:pPr>
        <w:ind w:left="3100"/>
        <w:spacing w:after="0"/>
        <w:rPr>
          <w:sz w:val="20"/>
          <w:szCs w:val="20"/>
          <w:color w:val="auto"/>
        </w:rPr>
      </w:pPr>
      <w:r>
        <w:rPr>
          <w:rFonts w:ascii="Courier New" w:cs="Courier New" w:eastAsia="Courier New" w:hAnsi="Courier New"/>
          <w:sz w:val="16"/>
          <w:szCs w:val="16"/>
          <w:color w:val="auto"/>
        </w:rPr>
        <w:t>CURRENT REPORT</w:t>
      </w:r>
    </w:p>
    <w:p>
      <w:pPr>
        <w:ind w:left="27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4"/>
          <w:szCs w:val="24"/>
          <w:color w:val="auto"/>
        </w:rPr>
      </w:pPr>
    </w:p>
    <w:p>
      <w:pPr>
        <w:ind w:left="1960"/>
        <w:spacing w:after="0"/>
        <w:rPr>
          <w:sz w:val="20"/>
          <w:szCs w:val="20"/>
          <w:color w:val="auto"/>
        </w:rPr>
      </w:pPr>
      <w:r>
        <w:rPr>
          <w:rFonts w:ascii="Courier New" w:cs="Courier New" w:eastAsia="Courier New" w:hAnsi="Courier New"/>
          <w:sz w:val="16"/>
          <w:szCs w:val="16"/>
          <w:color w:val="auto"/>
        </w:rPr>
        <w:t>PURSUANT TO SECTION 13 OR 15(d) OF THE</w:t>
      </w:r>
    </w:p>
    <w:p>
      <w:pPr>
        <w:ind w:left="2240"/>
        <w:spacing w:after="0"/>
        <w:rPr>
          <w:sz w:val="20"/>
          <w:szCs w:val="20"/>
          <w:color w:val="auto"/>
        </w:rPr>
      </w:pPr>
      <w:r>
        <w:rPr>
          <w:rFonts w:ascii="Courier New" w:cs="Courier New" w:eastAsia="Courier New" w:hAnsi="Courier New"/>
          <w:sz w:val="16"/>
          <w:szCs w:val="16"/>
          <w:color w:val="auto"/>
        </w:rPr>
        <w:t>SECURITIES EXCHANGE ACT OF 1934</w:t>
      </w:r>
    </w:p>
    <w:p>
      <w:pPr>
        <w:spacing w:after="0" w:line="184"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5"/>
          <w:szCs w:val="15"/>
          <w:color w:val="auto"/>
        </w:rPr>
        <w:t>Date of Report (Date of earliest event reported): February 23, 2006</w:t>
      </w:r>
    </w:p>
    <w:p>
      <w:pPr>
        <w:spacing w:after="0" w:line="186"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6"/>
          <w:szCs w:val="16"/>
          <w:color w:val="auto"/>
        </w:rPr>
        <w:t>WYNN RESORTS, LIMITED</w:t>
      </w:r>
    </w:p>
    <w:p>
      <w:pPr>
        <w:jc w:val="center"/>
        <w:ind w:right="271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33" w:right="1440" w:bottom="732" w:gutter="0" w:footer="0" w:header="0"/>
        </w:sectPr>
      </w:pPr>
    </w:p>
    <w:p>
      <w:pPr>
        <w:spacing w:after="0" w:line="179" w:lineRule="exact"/>
        <w:rPr>
          <w:sz w:val="24"/>
          <w:szCs w:val="24"/>
          <w:color w:val="auto"/>
        </w:rPr>
      </w:pPr>
    </w:p>
    <w:p>
      <w:pPr>
        <w:ind w:left="840"/>
        <w:spacing w:after="0"/>
        <w:rPr>
          <w:sz w:val="20"/>
          <w:szCs w:val="20"/>
          <w:color w:val="auto"/>
        </w:rPr>
      </w:pPr>
      <w:r>
        <w:rPr>
          <w:rFonts w:ascii="Courier New" w:cs="Courier New" w:eastAsia="Courier New" w:hAnsi="Courier New"/>
          <w:sz w:val="16"/>
          <w:szCs w:val="16"/>
          <w:color w:val="auto"/>
        </w:rPr>
        <w:t>Nevada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(State or other jurisdiction</w:t>
      </w:r>
    </w:p>
    <w:p>
      <w:pPr>
        <w:spacing w:after="0" w:line="5" w:lineRule="exact"/>
        <w:rPr>
          <w:sz w:val="24"/>
          <w:szCs w:val="24"/>
          <w:color w:val="auto"/>
        </w:rPr>
      </w:pPr>
    </w:p>
    <w:p>
      <w:pPr>
        <w:ind w:left="280"/>
        <w:spacing w:after="0"/>
        <w:rPr>
          <w:sz w:val="20"/>
          <w:szCs w:val="20"/>
          <w:color w:val="auto"/>
        </w:rPr>
      </w:pPr>
      <w:r>
        <w:rPr>
          <w:rFonts w:ascii="Courier New" w:cs="Courier New" w:eastAsia="Courier New" w:hAnsi="Courier New"/>
          <w:sz w:val="16"/>
          <w:szCs w:val="16"/>
          <w:color w:val="auto"/>
        </w:rPr>
        <w:t>of incorporation)</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000-50028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ind w:left="280"/>
        <w:spacing w:after="0"/>
        <w:rPr>
          <w:sz w:val="20"/>
          <w:szCs w:val="20"/>
          <w:color w:val="auto"/>
        </w:rPr>
      </w:pPr>
      <w:r>
        <w:rPr>
          <w:rFonts w:ascii="Courier New" w:cs="Courier New" w:eastAsia="Courier New" w:hAnsi="Courier New"/>
          <w:sz w:val="16"/>
          <w:szCs w:val="16"/>
          <w:color w:val="auto"/>
        </w:rPr>
        <w:t>46-0484987</w:t>
      </w:r>
    </w:p>
    <w:p>
      <w:pPr>
        <w:spacing w:after="0"/>
        <w:rPr>
          <w:sz w:val="20"/>
          <w:szCs w:val="20"/>
          <w:color w:val="auto"/>
        </w:rPr>
      </w:pPr>
      <w:r>
        <w:rPr>
          <w:rFonts w:ascii="Courier New" w:cs="Courier New" w:eastAsia="Courier New" w:hAnsi="Courier New"/>
          <w:sz w:val="16"/>
          <w:szCs w:val="16"/>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85" w:lineRule="exact"/>
        <w:rPr>
          <w:sz w:val="24"/>
          <w:szCs w:val="24"/>
          <w:color w:val="auto"/>
        </w:rPr>
      </w:pPr>
    </w:p>
    <w:p>
      <w:pPr>
        <w:sectPr>
          <w:pgSz w:w="11900" w:h="16838" w:orient="portrait"/>
          <w:cols w:equalWidth="0" w:num="3">
            <w:col w:w="2620" w:space="280"/>
            <w:col w:w="2260" w:space="460"/>
            <w:col w:w="4599"/>
          </w:cols>
          <w:pgMar w:left="240" w:top="233" w:right="1440" w:bottom="732" w:gutter="0" w:footer="0" w:header="0"/>
          <w:type w:val="continuous"/>
        </w:sectPr>
      </w:pPr>
    </w:p>
    <w:p>
      <w:pPr>
        <w:jc w:val="center"/>
        <w:ind w:right="2819"/>
        <w:spacing w:after="0"/>
        <w:rPr>
          <w:sz w:val="20"/>
          <w:szCs w:val="20"/>
          <w:color w:val="auto"/>
        </w:rPr>
      </w:pPr>
      <w:r>
        <w:rPr>
          <w:rFonts w:ascii="Courier New" w:cs="Courier New" w:eastAsia="Courier New" w:hAnsi="Courier New"/>
          <w:sz w:val="16"/>
          <w:szCs w:val="16"/>
          <w:color w:val="auto"/>
        </w:rPr>
        <w:t>WYNN LAS VEGAS, LLC</w:t>
      </w:r>
    </w:p>
    <w:p>
      <w:pPr>
        <w:spacing w:after="0" w:line="4"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233" w:right="1440" w:bottom="732" w:gutter="0" w:footer="0" w:header="0"/>
          <w:type w:val="continuous"/>
        </w:sectPr>
      </w:pPr>
    </w:p>
    <w:p>
      <w:pPr>
        <w:spacing w:after="0" w:line="186" w:lineRule="exact"/>
        <w:rPr>
          <w:sz w:val="24"/>
          <w:szCs w:val="24"/>
          <w:color w:val="auto"/>
        </w:rPr>
      </w:pPr>
    </w:p>
    <w:p>
      <w:pPr>
        <w:ind w:left="840"/>
        <w:spacing w:after="0"/>
        <w:rPr>
          <w:sz w:val="20"/>
          <w:szCs w:val="20"/>
          <w:color w:val="auto"/>
        </w:rPr>
      </w:pPr>
      <w:r>
        <w:rPr>
          <w:rFonts w:ascii="Courier New" w:cs="Courier New" w:eastAsia="Courier New" w:hAnsi="Courier New"/>
          <w:sz w:val="16"/>
          <w:szCs w:val="16"/>
          <w:color w:val="auto"/>
        </w:rPr>
        <w:t>Nevada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(State or other jurisdiction</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6"/>
          <w:szCs w:val="16"/>
          <w:color w:val="auto"/>
        </w:rPr>
        <w:t>of incorporation)</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333-98369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ind w:left="360"/>
        <w:spacing w:after="0"/>
        <w:rPr>
          <w:sz w:val="20"/>
          <w:szCs w:val="20"/>
          <w:color w:val="auto"/>
        </w:rPr>
      </w:pPr>
      <w:r>
        <w:rPr>
          <w:rFonts w:ascii="Courier New" w:cs="Courier New" w:eastAsia="Courier New" w:hAnsi="Courier New"/>
          <w:sz w:val="16"/>
          <w:szCs w:val="16"/>
          <w:color w:val="auto"/>
        </w:rPr>
        <w:t>88-0494878</w:t>
      </w:r>
    </w:p>
    <w:p>
      <w:pPr>
        <w:spacing w:after="0"/>
        <w:rPr>
          <w:sz w:val="20"/>
          <w:szCs w:val="20"/>
          <w:color w:val="auto"/>
        </w:rPr>
      </w:pPr>
      <w:r>
        <w:rPr>
          <w:rFonts w:ascii="Courier New" w:cs="Courier New" w:eastAsia="Courier New" w:hAnsi="Courier New"/>
          <w:sz w:val="16"/>
          <w:szCs w:val="16"/>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85" w:lineRule="exact"/>
        <w:rPr>
          <w:sz w:val="24"/>
          <w:szCs w:val="24"/>
          <w:color w:val="auto"/>
        </w:rPr>
      </w:pPr>
    </w:p>
    <w:p>
      <w:pPr>
        <w:sectPr>
          <w:pgSz w:w="11900" w:h="16838" w:orient="portrait"/>
          <w:cols w:equalWidth="0" w:num="3">
            <w:col w:w="2620" w:space="280"/>
            <w:col w:w="2260" w:space="380"/>
            <w:col w:w="4679"/>
          </w:cols>
          <w:pgMar w:left="240" w:top="233" w:right="1440" w:bottom="732" w:gutter="0" w:footer="0" w:header="0"/>
          <w:type w:val="continuous"/>
        </w:sectPr>
      </w:pPr>
    </w:p>
    <w:p>
      <w:pPr>
        <w:ind w:left="660"/>
        <w:spacing w:after="0"/>
        <w:rPr>
          <w:sz w:val="20"/>
          <w:szCs w:val="20"/>
          <w:color w:val="auto"/>
        </w:rPr>
      </w:pPr>
      <w:r>
        <w:rPr>
          <w:rFonts w:ascii="Courier New" w:cs="Courier New" w:eastAsia="Courier New" w:hAnsi="Courier New"/>
          <w:sz w:val="16"/>
          <w:szCs w:val="16"/>
          <w:color w:val="auto"/>
        </w:rPr>
        <w:t>3131 Las Vegas Boulevard South</w:t>
      </w:r>
    </w:p>
    <w:p>
      <w:pPr>
        <w:ind w:left="1300"/>
        <w:spacing w:after="0"/>
        <w:rPr>
          <w:sz w:val="20"/>
          <w:szCs w:val="20"/>
          <w:color w:val="auto"/>
        </w:rPr>
      </w:pPr>
      <w:r>
        <w:rPr>
          <w:rFonts w:ascii="Courier New" w:cs="Courier New" w:eastAsia="Courier New" w:hAnsi="Courier New"/>
          <w:sz w:val="16"/>
          <w:szCs w:val="16"/>
          <w:color w:val="auto"/>
        </w:rPr>
        <w:t>Las Vegas, Nevada</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ind w:left="280"/>
        <w:spacing w:after="0"/>
        <w:rPr>
          <w:sz w:val="20"/>
          <w:szCs w:val="20"/>
          <w:color w:val="auto"/>
        </w:rPr>
      </w:pPr>
      <w:r>
        <w:rPr>
          <w:rFonts w:ascii="Courier New" w:cs="Courier New" w:eastAsia="Courier New" w:hAnsi="Courier New"/>
          <w:sz w:val="16"/>
          <w:szCs w:val="16"/>
          <w:color w:val="auto"/>
        </w:rPr>
        <w:t>89109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186" w:lineRule="exact"/>
        <w:rPr>
          <w:sz w:val="24"/>
          <w:szCs w:val="24"/>
          <w:color w:val="auto"/>
        </w:rPr>
      </w:pPr>
    </w:p>
    <w:p>
      <w:pPr>
        <w:sectPr>
          <w:pgSz w:w="11900" w:h="16838" w:orient="portrait"/>
          <w:cols w:equalWidth="0" w:num="2">
            <w:col w:w="5660" w:space="720"/>
            <w:col w:w="3839"/>
          </w:cols>
          <w:pgMar w:left="240" w:top="233" w:right="1440" w:bottom="732" w:gutter="0" w:footer="0" w:header="0"/>
          <w:type w:val="continuous"/>
        </w:sectPr>
      </w:pPr>
    </w:p>
    <w:p>
      <w:pPr>
        <w:jc w:val="center"/>
        <w:ind w:right="2719"/>
        <w:spacing w:after="0"/>
        <w:rPr>
          <w:sz w:val="20"/>
          <w:szCs w:val="20"/>
          <w:color w:val="auto"/>
        </w:rPr>
      </w:pPr>
      <w:r>
        <w:rPr>
          <w:rFonts w:ascii="Courier New" w:cs="Courier New" w:eastAsia="Courier New" w:hAnsi="Courier New"/>
          <w:sz w:val="16"/>
          <w:szCs w:val="16"/>
          <w:color w:val="auto"/>
        </w:rPr>
        <w:t>(702) 770-7555</w:t>
      </w:r>
    </w:p>
    <w:p>
      <w:pPr>
        <w:jc w:val="center"/>
        <w:ind w:right="2719"/>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179"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Not Applicable</w:t>
      </w:r>
    </w:p>
    <w:p>
      <w:pPr>
        <w:jc w:val="center"/>
        <w:ind w:right="2819"/>
        <w:spacing w:after="0"/>
        <w:rPr>
          <w:sz w:val="20"/>
          <w:szCs w:val="20"/>
          <w:color w:val="auto"/>
        </w:rPr>
      </w:pPr>
      <w:r>
        <w:rPr>
          <w:rFonts w:ascii="Courier New" w:cs="Courier New" w:eastAsia="Courier New" w:hAnsi="Courier New"/>
          <w:sz w:val="16"/>
          <w:szCs w:val="16"/>
          <w:color w:val="auto"/>
        </w:rPr>
        <w:t>(Former name or former address, if changed since last report)</w:t>
      </w:r>
    </w:p>
    <w:p>
      <w:pPr>
        <w:spacing w:after="0" w:line="184" w:lineRule="exact"/>
        <w:rPr>
          <w:sz w:val="24"/>
          <w:szCs w:val="24"/>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Check the appropriate box below if the Form 8-K is intended to simultaneously satisfy the filing obligation of the registrant under any of the following provisions:</w:t>
      </w:r>
    </w:p>
    <w:p>
      <w:pPr>
        <w:sectPr>
          <w:pgSz w:w="11900" w:h="16838" w:orient="portrait"/>
          <w:cols w:equalWidth="0" w:num="1">
            <w:col w:w="10219"/>
          </w:cols>
          <w:pgMar w:left="240" w:top="233" w:right="1440" w:bottom="732" w:gutter="0" w:footer="0" w:header="0"/>
          <w:type w:val="continuous"/>
        </w:sectPr>
      </w:pPr>
    </w:p>
    <w:p>
      <w:pPr>
        <w:spacing w:after="0" w:line="18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|_|</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ind w:right="3099"/>
        <w:spacing w:after="0" w:line="236" w:lineRule="auto"/>
        <w:rPr>
          <w:sz w:val="20"/>
          <w:szCs w:val="20"/>
          <w:color w:val="auto"/>
        </w:rPr>
      </w:pPr>
      <w:r>
        <w:rPr>
          <w:rFonts w:ascii="Courier New" w:cs="Courier New" w:eastAsia="Courier New" w:hAnsi="Courier New"/>
          <w:sz w:val="16"/>
          <w:szCs w:val="16"/>
          <w:color w:val="auto"/>
        </w:rPr>
        <w:t>Written communication pursuant to Rule 425 under the Securities Act (17 CFR 230.425)</w:t>
      </w:r>
    </w:p>
    <w:p>
      <w:pPr>
        <w:spacing w:after="0" w:line="185" w:lineRule="exact"/>
        <w:rPr>
          <w:sz w:val="24"/>
          <w:szCs w:val="24"/>
          <w:color w:val="auto"/>
        </w:rPr>
      </w:pPr>
    </w:p>
    <w:p>
      <w:pPr>
        <w:sectPr>
          <w:pgSz w:w="11900" w:h="16838" w:orient="portrait"/>
          <w:cols w:equalWidth="0" w:num="2">
            <w:col w:w="280" w:space="180"/>
            <w:col w:w="9759"/>
          </w:cols>
          <w:pgMar w:left="240" w:top="233" w:right="1440" w:bottom="732" w:gutter="0" w:footer="0" w:header="0"/>
          <w:type w:val="continuous"/>
        </w:sectPr>
      </w:pPr>
    </w:p>
    <w:p>
      <w:pPr>
        <w:ind w:left="460" w:right="2819" w:hanging="468"/>
        <w:spacing w:after="0" w:line="236" w:lineRule="auto"/>
        <w:tabs>
          <w:tab w:leader="none" w:pos="440" w:val="left"/>
        </w:tabs>
        <w:rPr>
          <w:sz w:val="20"/>
          <w:szCs w:val="20"/>
          <w:color w:val="auto"/>
        </w:rPr>
      </w:pPr>
      <w:r>
        <w:rPr>
          <w:rFonts w:ascii="Courier New" w:cs="Courier New" w:eastAsia="Courier New" w:hAnsi="Courier New"/>
          <w:sz w:val="16"/>
          <w:szCs w:val="16"/>
          <w:color w:val="auto"/>
        </w:rPr>
        <w:t>|_|</w:t>
        <w:tab/>
        <w:t>Soliciting material pursuant to Rule 14a-12 under the Exchange Act (17 CFR 240.14a-12)</w:t>
      </w:r>
    </w:p>
    <w:p>
      <w:pPr>
        <w:spacing w:after="0" w:line="185" w:lineRule="exact"/>
        <w:rPr>
          <w:sz w:val="24"/>
          <w:szCs w:val="24"/>
          <w:color w:val="auto"/>
        </w:rPr>
      </w:pPr>
    </w:p>
    <w:p>
      <w:pPr>
        <w:ind w:left="460" w:right="3479" w:hanging="468"/>
        <w:spacing w:after="0" w:line="236" w:lineRule="auto"/>
        <w:tabs>
          <w:tab w:leader="none" w:pos="440" w:val="left"/>
        </w:tabs>
        <w:rPr>
          <w:sz w:val="20"/>
          <w:szCs w:val="20"/>
          <w:color w:val="auto"/>
        </w:rPr>
      </w:pPr>
      <w:r>
        <w:rPr>
          <w:rFonts w:ascii="Courier New" w:cs="Courier New" w:eastAsia="Courier New" w:hAnsi="Courier New"/>
          <w:sz w:val="16"/>
          <w:szCs w:val="16"/>
          <w:color w:val="auto"/>
        </w:rPr>
        <w:t>|_|</w:t>
        <w:tab/>
        <w:t>Pre-commencement communications pursuant to Rule 14d-2(b) under the Exchange Act (17 CFR 240.14d-2(b))</w:t>
      </w:r>
    </w:p>
    <w:p>
      <w:pPr>
        <w:spacing w:after="0" w:line="185" w:lineRule="exact"/>
        <w:rPr>
          <w:sz w:val="24"/>
          <w:szCs w:val="24"/>
          <w:color w:val="auto"/>
        </w:rPr>
      </w:pPr>
    </w:p>
    <w:p>
      <w:pPr>
        <w:ind w:left="460" w:right="3379" w:hanging="468"/>
        <w:spacing w:after="0" w:line="236" w:lineRule="auto"/>
        <w:tabs>
          <w:tab w:leader="none" w:pos="440" w:val="left"/>
        </w:tabs>
        <w:rPr>
          <w:sz w:val="20"/>
          <w:szCs w:val="20"/>
          <w:color w:val="auto"/>
        </w:rPr>
      </w:pPr>
      <w:r>
        <w:rPr>
          <w:rFonts w:ascii="Courier New" w:cs="Courier New" w:eastAsia="Courier New" w:hAnsi="Courier New"/>
          <w:sz w:val="16"/>
          <w:szCs w:val="16"/>
          <w:color w:val="auto"/>
        </w:rPr>
        <w:t>|_|</w:t>
        <w:tab/>
        <w:t>Pre-commencements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00" w:val="left"/>
        </w:tabs>
        <w:rPr>
          <w:sz w:val="20"/>
          <w:szCs w:val="20"/>
          <w:color w:val="auto"/>
        </w:rPr>
      </w:pPr>
      <w:r>
        <w:rPr>
          <w:rFonts w:ascii="Courier New" w:cs="Courier New" w:eastAsia="Courier New" w:hAnsi="Courier New"/>
          <w:sz w:val="16"/>
          <w:szCs w:val="16"/>
          <w:color w:val="auto"/>
        </w:rPr>
        <w:t>Item 2.02</w:t>
      </w:r>
      <w:r>
        <w:rPr>
          <w:sz w:val="20"/>
          <w:szCs w:val="20"/>
          <w:color w:val="auto"/>
        </w:rPr>
        <w:tab/>
      </w:r>
      <w:r>
        <w:rPr>
          <w:rFonts w:ascii="Courier New" w:cs="Courier New" w:eastAsia="Courier New" w:hAnsi="Courier New"/>
          <w:sz w:val="15"/>
          <w:szCs w:val="15"/>
          <w:color w:val="auto"/>
        </w:rPr>
        <w:t>Results of Operations and Financial Condition.</w:t>
      </w:r>
    </w:p>
    <w:p>
      <w:pPr>
        <w:spacing w:after="0" w:line="185" w:lineRule="exact"/>
        <w:rPr>
          <w:sz w:val="24"/>
          <w:szCs w:val="24"/>
          <w:color w:val="auto"/>
        </w:rPr>
      </w:pPr>
    </w:p>
    <w:p>
      <w:pPr>
        <w:ind w:right="2899"/>
        <w:spacing w:after="0" w:line="238" w:lineRule="auto"/>
        <w:rPr>
          <w:sz w:val="20"/>
          <w:szCs w:val="20"/>
          <w:color w:val="auto"/>
        </w:rPr>
      </w:pPr>
      <w:r>
        <w:rPr>
          <w:rFonts w:ascii="Courier New" w:cs="Courier New" w:eastAsia="Courier New" w:hAnsi="Courier New"/>
          <w:sz w:val="16"/>
          <w:szCs w:val="16"/>
          <w:color w:val="auto"/>
        </w:rPr>
        <w:t>On February 23, 2006, Wynn Resorts, Limited issued a press release announcing its results of operations for the fourth quarter of 2005. The press release is furnished herewith as Exhibit 99.1. The information in this Form 8-K and Exhibit 99.1 attached hereto shall not be deemed "filed" for purposes of Section 18 of the Securities Act of 1934, as amended, nor shall it be deemed incorporated by reference in any filing under the Securities Act of 1933, as amended, except as shall be expressly set forth by specific reference in such filing.</w:t>
      </w:r>
    </w:p>
    <w:p>
      <w:pPr>
        <w:spacing w:after="0" w:line="180" w:lineRule="exact"/>
        <w:rPr>
          <w:sz w:val="24"/>
          <w:szCs w:val="24"/>
          <w:color w:val="auto"/>
        </w:rPr>
      </w:pPr>
    </w:p>
    <w:p>
      <w:pPr>
        <w:spacing w:after="0"/>
        <w:tabs>
          <w:tab w:leader="none" w:pos="1200" w:val="left"/>
        </w:tabs>
        <w:rPr>
          <w:sz w:val="20"/>
          <w:szCs w:val="20"/>
          <w:color w:val="auto"/>
        </w:rPr>
      </w:pPr>
      <w:r>
        <w:rPr>
          <w:rFonts w:ascii="Courier New" w:cs="Courier New" w:eastAsia="Courier New" w:hAnsi="Courier New"/>
          <w:sz w:val="16"/>
          <w:szCs w:val="16"/>
          <w:color w:val="auto"/>
        </w:rPr>
        <w:t>Item 7.01.</w:t>
      </w:r>
      <w:r>
        <w:rPr>
          <w:sz w:val="20"/>
          <w:szCs w:val="20"/>
          <w:color w:val="auto"/>
        </w:rPr>
        <w:tab/>
      </w:r>
      <w:r>
        <w:rPr>
          <w:rFonts w:ascii="Courier New" w:cs="Courier New" w:eastAsia="Courier New" w:hAnsi="Courier New"/>
          <w:sz w:val="15"/>
          <w:szCs w:val="15"/>
          <w:color w:val="auto"/>
        </w:rPr>
        <w:t>Regulation FD Disclosure.</w:t>
      </w:r>
    </w:p>
    <w:p>
      <w:pPr>
        <w:spacing w:after="0" w:line="185" w:lineRule="exact"/>
        <w:rPr>
          <w:sz w:val="24"/>
          <w:szCs w:val="24"/>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The information set forth under Item 2.02 of this report is incorporated herein by reference.</w:t>
      </w:r>
    </w:p>
    <w:p>
      <w:pPr>
        <w:spacing w:after="0" w:line="180" w:lineRule="exact"/>
        <w:rPr>
          <w:sz w:val="24"/>
          <w:szCs w:val="24"/>
          <w:color w:val="auto"/>
        </w:rPr>
      </w:pPr>
    </w:p>
    <w:p>
      <w:pPr>
        <w:spacing w:after="0"/>
        <w:tabs>
          <w:tab w:leader="none" w:pos="1200" w:val="left"/>
        </w:tabs>
        <w:rPr>
          <w:sz w:val="20"/>
          <w:szCs w:val="20"/>
          <w:color w:val="auto"/>
        </w:rPr>
      </w:pPr>
      <w:r>
        <w:rPr>
          <w:rFonts w:ascii="Courier New" w:cs="Courier New" w:eastAsia="Courier New" w:hAnsi="Courier New"/>
          <w:sz w:val="16"/>
          <w:szCs w:val="16"/>
          <w:color w:val="auto"/>
        </w:rPr>
        <w:t>Item 9.01.</w:t>
      </w:r>
      <w:r>
        <w:rPr>
          <w:sz w:val="20"/>
          <w:szCs w:val="20"/>
          <w:color w:val="auto"/>
        </w:rPr>
        <w:tab/>
      </w:r>
      <w:r>
        <w:rPr>
          <w:rFonts w:ascii="Courier New" w:cs="Courier New" w:eastAsia="Courier New" w:hAnsi="Courier New"/>
          <w:sz w:val="15"/>
          <w:szCs w:val="15"/>
          <w:color w:val="auto"/>
        </w:rPr>
        <w:t>Financial Statements and Exhibits.</w:t>
      </w:r>
    </w:p>
    <w:p>
      <w:pPr>
        <w:spacing w:after="0" w:line="179" w:lineRule="exact"/>
        <w:rPr>
          <w:sz w:val="24"/>
          <w:szCs w:val="24"/>
          <w:color w:val="auto"/>
        </w:rPr>
      </w:pPr>
    </w:p>
    <w:p>
      <w:pPr>
        <w:ind w:left="940" w:hanging="475"/>
        <w:spacing w:after="0"/>
        <w:tabs>
          <w:tab w:leader="none" w:pos="9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179" w:lineRule="exact"/>
        <w:rPr>
          <w:sz w:val="24"/>
          <w:szCs w:val="24"/>
          <w:color w:val="auto"/>
        </w:rPr>
      </w:pPr>
    </w:p>
    <w:p>
      <w:pPr>
        <w:ind w:left="940"/>
        <w:spacing w:after="0"/>
        <w:rPr>
          <w:sz w:val="20"/>
          <w:szCs w:val="20"/>
          <w:color w:val="auto"/>
        </w:rPr>
      </w:pPr>
      <w:r>
        <w:rPr>
          <w:rFonts w:ascii="Courier New" w:cs="Courier New" w:eastAsia="Courier New" w:hAnsi="Courier New"/>
          <w:sz w:val="16"/>
          <w:szCs w:val="16"/>
          <w:color w:val="auto"/>
        </w:rPr>
        <w:t>Exhibit</w:t>
      </w:r>
    </w:p>
    <w:p>
      <w:pPr>
        <w:ind w:left="940"/>
        <w:spacing w:after="0"/>
        <w:tabs>
          <w:tab w:leader="none" w:pos="2140"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Description</w:t>
      </w:r>
    </w:p>
    <w:p>
      <w:pPr>
        <w:ind w:left="940"/>
        <w:spacing w:after="0" w:line="237" w:lineRule="auto"/>
        <w:tabs>
          <w:tab w:leader="none" w:pos="21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85" w:lineRule="exact"/>
        <w:rPr>
          <w:sz w:val="24"/>
          <w:szCs w:val="24"/>
          <w:color w:val="auto"/>
        </w:rPr>
      </w:pPr>
    </w:p>
    <w:p>
      <w:pPr>
        <w:ind w:left="2160" w:right="2819" w:hanging="1124"/>
        <w:spacing w:after="0" w:line="236" w:lineRule="auto"/>
        <w:tabs>
          <w:tab w:leader="none" w:pos="2140" w:val="left"/>
        </w:tabs>
        <w:rPr>
          <w:sz w:val="20"/>
          <w:szCs w:val="20"/>
          <w:color w:val="auto"/>
        </w:rPr>
      </w:pPr>
      <w:r>
        <w:rPr>
          <w:rFonts w:ascii="Courier New" w:cs="Courier New" w:eastAsia="Courier New" w:hAnsi="Courier New"/>
          <w:sz w:val="16"/>
          <w:szCs w:val="16"/>
          <w:color w:val="auto"/>
        </w:rPr>
        <w:t>99.1</w:t>
      </w:r>
      <w:r>
        <w:rPr>
          <w:sz w:val="20"/>
          <w:szCs w:val="20"/>
          <w:color w:val="auto"/>
        </w:rPr>
        <w:tab/>
      </w:r>
      <w:r>
        <w:rPr>
          <w:rFonts w:ascii="Courier New" w:cs="Courier New" w:eastAsia="Courier New" w:hAnsi="Courier New"/>
          <w:sz w:val="16"/>
          <w:szCs w:val="16"/>
          <w:color w:val="auto"/>
        </w:rPr>
        <w:t>Press release, dated February 23, 2006, of Wynn Resorts, Limited.</w:t>
      </w:r>
    </w:p>
    <w:p>
      <w:pPr>
        <w:sectPr>
          <w:pgSz w:w="11900" w:h="16838" w:orient="portrait"/>
          <w:cols w:equalWidth="0" w:num="1">
            <w:col w:w="10219"/>
          </w:cols>
          <w:pgMar w:left="240" w:top="233" w:right="1440" w:bottom="732" w:gutter="0" w:footer="0" w:header="0"/>
          <w:type w:val="continuous"/>
        </w:sectPr>
      </w:pPr>
    </w:p>
    <w:bookmarkStart w:id="1" w:name="page2"/>
    <w:bookmarkEnd w:id="1"/>
    <w:p>
      <w:pPr>
        <w:ind w:left="3280"/>
        <w:spacing w:after="0"/>
        <w:rPr>
          <w:sz w:val="20"/>
          <w:szCs w:val="20"/>
          <w:color w:val="auto"/>
        </w:rPr>
      </w:pPr>
      <w:r>
        <w:rPr>
          <w:rFonts w:ascii="Courier New" w:cs="Courier New" w:eastAsia="Courier New" w:hAnsi="Courier New"/>
          <w:sz w:val="16"/>
          <w:szCs w:val="16"/>
          <w:color w:val="auto"/>
        </w:rPr>
        <w:t>SIGNATURES</w:t>
      </w:r>
    </w:p>
    <w:p>
      <w:pPr>
        <w:spacing w:after="0" w:line="185" w:lineRule="exact"/>
        <w:rPr>
          <w:sz w:val="20"/>
          <w:szCs w:val="20"/>
          <w:color w:val="auto"/>
        </w:rPr>
      </w:pPr>
    </w:p>
    <w:p>
      <w:pPr>
        <w:ind w:right="299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6"/>
          <w:szCs w:val="16"/>
          <w:color w:val="auto"/>
        </w:rPr>
        <w:t>February 23, 2006</w:t>
      </w:r>
    </w:p>
    <w:p>
      <w:pPr>
        <w:spacing w:after="0" w:line="179" w:lineRule="exact"/>
        <w:rPr>
          <w:sz w:val="20"/>
          <w:szCs w:val="20"/>
          <w:color w:val="auto"/>
        </w:rPr>
      </w:pPr>
    </w:p>
    <w:p>
      <w:pPr>
        <w:ind w:left="4600"/>
        <w:spacing w:after="0"/>
        <w:rPr>
          <w:sz w:val="20"/>
          <w:szCs w:val="20"/>
          <w:color w:val="auto"/>
        </w:rPr>
      </w:pPr>
      <w:r>
        <w:rPr>
          <w:rFonts w:ascii="Courier New" w:cs="Courier New" w:eastAsia="Courier New" w:hAnsi="Courier New"/>
          <w:sz w:val="16"/>
          <w:szCs w:val="16"/>
          <w:color w:val="auto"/>
        </w:rPr>
        <w:t>Wynn Resorts, Limited</w:t>
      </w:r>
    </w:p>
    <w:p>
      <w:pPr>
        <w:spacing w:after="0" w:line="360" w:lineRule="exact"/>
        <w:rPr>
          <w:sz w:val="20"/>
          <w:szCs w:val="20"/>
          <w:color w:val="auto"/>
        </w:rPr>
      </w:pPr>
    </w:p>
    <w:p>
      <w:pPr>
        <w:ind w:left="4600"/>
        <w:spacing w:after="0"/>
        <w:tabs>
          <w:tab w:leader="none" w:pos="5040" w:val="left"/>
        </w:tabs>
        <w:rPr>
          <w:sz w:val="20"/>
          <w:szCs w:val="20"/>
          <w:color w:val="auto"/>
        </w:rPr>
      </w:pPr>
      <w:r>
        <w:rPr>
          <w:rFonts w:ascii="Courier New" w:cs="Courier New" w:eastAsia="Courier New" w:hAnsi="Courier New"/>
          <w:sz w:val="16"/>
          <w:szCs w:val="16"/>
          <w:color w:val="auto"/>
        </w:rPr>
        <w:t>By:</w:t>
        <w:tab/>
        <w:t>/s/ John Strzemp</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John Strzemp</w:t>
      </w:r>
    </w:p>
    <w:p>
      <w:pPr>
        <w:ind w:left="4960"/>
        <w:spacing w:after="0"/>
        <w:rPr>
          <w:sz w:val="20"/>
          <w:szCs w:val="20"/>
          <w:color w:val="auto"/>
        </w:rPr>
      </w:pPr>
      <w:r>
        <w:rPr>
          <w:rFonts w:ascii="Courier New" w:cs="Courier New" w:eastAsia="Courier New" w:hAnsi="Courier New"/>
          <w:sz w:val="16"/>
          <w:szCs w:val="16"/>
          <w:color w:val="auto"/>
        </w:rPr>
        <w:t>Chief Financial Officer</w:t>
      </w:r>
    </w:p>
    <w:p>
      <w:pPr>
        <w:sectPr>
          <w:pgSz w:w="11900" w:h="16838" w:orient="portrait"/>
          <w:cols w:equalWidth="0" w:num="1">
            <w:col w:w="10219"/>
          </w:cols>
          <w:pgMar w:left="240" w:top="834" w:right="1440" w:bottom="1440" w:gutter="0" w:footer="0" w:header="0"/>
        </w:sectPr>
      </w:pPr>
    </w:p>
    <w:bookmarkStart w:id="2" w:name="page3"/>
    <w:bookmarkEnd w:id="2"/>
    <w:p>
      <w:pPr>
        <w:ind w:left="3280"/>
        <w:spacing w:after="0"/>
        <w:rPr>
          <w:sz w:val="20"/>
          <w:szCs w:val="20"/>
          <w:color w:val="auto"/>
        </w:rPr>
      </w:pPr>
      <w:r>
        <w:rPr>
          <w:rFonts w:ascii="Courier New" w:cs="Courier New" w:eastAsia="Courier New" w:hAnsi="Courier New"/>
          <w:sz w:val="16"/>
          <w:szCs w:val="16"/>
          <w:color w:val="auto"/>
        </w:rPr>
        <w:t>SIGNATURES</w:t>
      </w:r>
    </w:p>
    <w:p>
      <w:pPr>
        <w:spacing w:after="0" w:line="185" w:lineRule="exact"/>
        <w:rPr>
          <w:sz w:val="20"/>
          <w:szCs w:val="20"/>
          <w:color w:val="auto"/>
        </w:rPr>
      </w:pPr>
    </w:p>
    <w:p>
      <w:pPr>
        <w:ind w:right="299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6"/>
          <w:szCs w:val="16"/>
          <w:color w:val="auto"/>
        </w:rPr>
        <w:t>February 23, 2006</w:t>
      </w:r>
    </w:p>
    <w:p>
      <w:pPr>
        <w:spacing w:after="0" w:line="179"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WYNN LAS VEGAS, LLC</w:t>
      </w:r>
    </w:p>
    <w:p>
      <w:pPr>
        <w:spacing w:after="0" w:line="185" w:lineRule="exact"/>
        <w:rPr>
          <w:sz w:val="20"/>
          <w:szCs w:val="20"/>
          <w:color w:val="auto"/>
        </w:rPr>
      </w:pPr>
    </w:p>
    <w:p>
      <w:pPr>
        <w:ind w:left="4320"/>
        <w:spacing w:after="0"/>
        <w:rPr>
          <w:sz w:val="20"/>
          <w:szCs w:val="20"/>
          <w:color w:val="auto"/>
        </w:rPr>
      </w:pPr>
      <w:r>
        <w:rPr>
          <w:rFonts w:ascii="Courier New" w:cs="Courier New" w:eastAsia="Courier New" w:hAnsi="Courier New"/>
          <w:sz w:val="15"/>
          <w:szCs w:val="15"/>
          <w:color w:val="auto"/>
        </w:rPr>
        <w:t>By: Wynn Resorts Holdings, LLC,</w:t>
      </w:r>
    </w:p>
    <w:p>
      <w:pPr>
        <w:spacing w:after="0" w:line="5" w:lineRule="exact"/>
        <w:rPr>
          <w:sz w:val="20"/>
          <w:szCs w:val="20"/>
          <w:color w:val="auto"/>
        </w:rPr>
      </w:pPr>
    </w:p>
    <w:p>
      <w:pPr>
        <w:ind w:left="4880"/>
        <w:spacing w:after="0"/>
        <w:rPr>
          <w:sz w:val="20"/>
          <w:szCs w:val="20"/>
          <w:color w:val="auto"/>
        </w:rPr>
      </w:pPr>
      <w:r>
        <w:rPr>
          <w:rFonts w:ascii="Courier New" w:cs="Courier New" w:eastAsia="Courier New" w:hAnsi="Courier New"/>
          <w:sz w:val="16"/>
          <w:szCs w:val="16"/>
          <w:color w:val="auto"/>
        </w:rPr>
        <w:t>its sole member</w:t>
      </w:r>
    </w:p>
    <w:p>
      <w:pPr>
        <w:spacing w:after="0" w:line="179"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By: Wynn Resorts, Limited, its</w:t>
      </w:r>
    </w:p>
    <w:p>
      <w:pPr>
        <w:ind w:left="4880"/>
        <w:spacing w:after="0"/>
        <w:rPr>
          <w:sz w:val="20"/>
          <w:szCs w:val="20"/>
          <w:color w:val="auto"/>
        </w:rPr>
      </w:pPr>
      <w:r>
        <w:rPr>
          <w:rFonts w:ascii="Courier New" w:cs="Courier New" w:eastAsia="Courier New" w:hAnsi="Courier New"/>
          <w:sz w:val="16"/>
          <w:szCs w:val="16"/>
          <w:color w:val="auto"/>
        </w:rPr>
        <w:t>sole member</w:t>
      </w:r>
    </w:p>
    <w:p>
      <w:pPr>
        <w:spacing w:after="0" w:line="179"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6"/>
          <w:szCs w:val="16"/>
          <w:color w:val="auto"/>
        </w:rPr>
        <w:t>By: /s/ John Strzemp</w:t>
      </w:r>
    </w:p>
    <w:p>
      <w:pPr>
        <w:spacing w:after="0" w:line="4" w:lineRule="exact"/>
        <w:rPr>
          <w:sz w:val="20"/>
          <w:szCs w:val="20"/>
          <w:color w:val="auto"/>
        </w:rPr>
      </w:pPr>
    </w:p>
    <w:p>
      <w:pPr>
        <w:ind w:left="46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680"/>
        <w:spacing w:after="0"/>
        <w:rPr>
          <w:sz w:val="20"/>
          <w:szCs w:val="20"/>
          <w:color w:val="auto"/>
        </w:rPr>
      </w:pPr>
      <w:r>
        <w:rPr>
          <w:rFonts w:ascii="Courier New" w:cs="Courier New" w:eastAsia="Courier New" w:hAnsi="Courier New"/>
          <w:sz w:val="16"/>
          <w:szCs w:val="16"/>
          <w:color w:val="auto"/>
        </w:rPr>
        <w:t>John Strzemp</w:t>
      </w:r>
    </w:p>
    <w:p>
      <w:pPr>
        <w:ind w:left="4680"/>
        <w:spacing w:after="0"/>
        <w:rPr>
          <w:sz w:val="20"/>
          <w:szCs w:val="20"/>
          <w:color w:val="auto"/>
        </w:rPr>
      </w:pPr>
      <w:r>
        <w:rPr>
          <w:rFonts w:ascii="Courier New" w:cs="Courier New" w:eastAsia="Courier New" w:hAnsi="Courier New"/>
          <w:sz w:val="16"/>
          <w:szCs w:val="16"/>
          <w:color w:val="auto"/>
        </w:rPr>
        <w:t>Chief Financial Officer</w:t>
      </w:r>
    </w:p>
    <w:p>
      <w:pPr>
        <w:sectPr>
          <w:pgSz w:w="11900" w:h="16838" w:orient="portrait"/>
          <w:cols w:equalWidth="0" w:num="1">
            <w:col w:w="10219"/>
          </w:cols>
          <w:pgMar w:left="240" w:top="834" w:right="1440" w:bottom="1440" w:gutter="0" w:footer="0" w:header="0"/>
        </w:sectPr>
      </w:pPr>
    </w:p>
    <w:bookmarkStart w:id="3" w:name="page4"/>
    <w:bookmarkEnd w:id="3"/>
    <w:p>
      <w:pPr>
        <w:jc w:val="right"/>
        <w:ind w:right="2819"/>
        <w:spacing w:after="0"/>
        <w:rPr>
          <w:sz w:val="20"/>
          <w:szCs w:val="20"/>
          <w:color w:val="auto"/>
        </w:rPr>
      </w:pPr>
      <w:r>
        <w:rPr>
          <w:rFonts w:ascii="Courier New" w:cs="Courier New" w:eastAsia="Courier New" w:hAnsi="Courier New"/>
          <w:sz w:val="16"/>
          <w:szCs w:val="16"/>
          <w:color w:val="auto"/>
        </w:rPr>
        <w:t>Exhibit 99.1</w:t>
      </w:r>
    </w:p>
    <w:p>
      <w:pPr>
        <w:spacing w:after="0" w:line="360"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Wynn Resorts, Limited Reports Fourth Quarter Results</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Wynn Las Vegas generates adjusted EBITDA of $80.1 million</w:t>
      </w:r>
    </w:p>
    <w:p>
      <w:pPr>
        <w:spacing w:after="0" w:line="4" w:lineRule="exact"/>
        <w:rPr>
          <w:sz w:val="20"/>
          <w:szCs w:val="20"/>
          <w:color w:val="auto"/>
        </w:rPr>
      </w:pPr>
    </w:p>
    <w:p>
      <w:pPr>
        <w:ind w:left="1120" w:right="3839" w:firstLine="188"/>
        <w:spacing w:after="0" w:line="263" w:lineRule="auto"/>
        <w:rPr>
          <w:sz w:val="20"/>
          <w:szCs w:val="20"/>
          <w:color w:val="auto"/>
        </w:rPr>
      </w:pPr>
      <w:r>
        <w:rPr>
          <w:rFonts w:ascii="Courier New" w:cs="Courier New" w:eastAsia="Courier New" w:hAnsi="Courier New"/>
          <w:sz w:val="15"/>
          <w:szCs w:val="15"/>
          <w:color w:val="auto"/>
        </w:rPr>
        <w:t>in its second full quarter of operations and $212.0 million in the 248 days since its April 28, 2005 opening</w:t>
      </w:r>
    </w:p>
    <w:p>
      <w:pPr>
        <w:spacing w:after="0" w:line="164"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Wynn Macau to expand second phase by an additional 150 table games</w:t>
      </w:r>
    </w:p>
    <w:p>
      <w:pPr>
        <w:spacing w:after="0" w:line="185"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LAS VEGAS, February 23, 2005 (BUSINESS WIRE) -- Wynn Resorts, Limited (Nasdaq: WYNN) today reported financial results for the fourth quarter and year ended December 31, 2005.</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Highlights from 2005</w:t>
      </w:r>
    </w:p>
    <w:p>
      <w:pPr>
        <w:spacing w:after="0" w:line="185" w:lineRule="exact"/>
        <w:rPr>
          <w:sz w:val="20"/>
          <w:szCs w:val="20"/>
          <w:color w:val="auto"/>
        </w:rPr>
      </w:pPr>
    </w:p>
    <w:p>
      <w:pPr>
        <w:ind w:left="940" w:right="2819" w:hanging="475"/>
        <w:spacing w:after="0" w:line="236" w:lineRule="auto"/>
        <w:tabs>
          <w:tab w:leader="none" w:pos="9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Successfully opened Wynn Las Vegas on time and on budget on April 28, 2005</w:t>
      </w:r>
    </w:p>
    <w:p>
      <w:pPr>
        <w:spacing w:after="0" w:line="4" w:lineRule="exact"/>
        <w:rPr>
          <w:rFonts w:ascii="Courier New" w:cs="Courier New" w:eastAsia="Courier New" w:hAnsi="Courier New"/>
          <w:sz w:val="16"/>
          <w:szCs w:val="16"/>
          <w:color w:val="auto"/>
        </w:rPr>
      </w:pPr>
    </w:p>
    <w:p>
      <w:pPr>
        <w:ind w:left="940" w:right="2899" w:hanging="475"/>
        <w:spacing w:after="0" w:line="236" w:lineRule="auto"/>
        <w:tabs>
          <w:tab w:leader="none" w:pos="9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Generated adjusted EBITDA (footnote 1) of $212.0 million at Wynn Las Vegas for the 248 days the property was operating in 2005</w:t>
      </w:r>
    </w:p>
    <w:p>
      <w:pPr>
        <w:spacing w:after="0" w:line="4" w:lineRule="exact"/>
        <w:rPr>
          <w:rFonts w:ascii="Courier New" w:cs="Courier New" w:eastAsia="Courier New" w:hAnsi="Courier New"/>
          <w:sz w:val="16"/>
          <w:szCs w:val="16"/>
          <w:color w:val="auto"/>
        </w:rPr>
      </w:pPr>
    </w:p>
    <w:p>
      <w:pPr>
        <w:ind w:left="940" w:right="3179" w:hanging="475"/>
        <w:spacing w:after="0" w:line="236" w:lineRule="auto"/>
        <w:tabs>
          <w:tab w:leader="none" w:pos="9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Wynn Las Vegas generated win/table/day of $8,244, win/slot/day of $254, and average daily rate of $274 since its opening</w:t>
      </w:r>
    </w:p>
    <w:p>
      <w:pPr>
        <w:ind w:left="940" w:hanging="475"/>
        <w:spacing w:after="0"/>
        <w:tabs>
          <w:tab w:leader="none" w:pos="9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Continued construction of Wynn Macau on time and on budget</w:t>
      </w:r>
    </w:p>
    <w:p>
      <w:pPr>
        <w:ind w:left="940" w:hanging="475"/>
        <w:spacing w:after="0"/>
        <w:tabs>
          <w:tab w:leader="none" w:pos="9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Refinanced the Macau Credit Facilities</w:t>
      </w:r>
    </w:p>
    <w:p>
      <w:pPr>
        <w:ind w:left="940" w:hanging="475"/>
        <w:spacing w:after="0"/>
        <w:tabs>
          <w:tab w:leader="none" w:pos="9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Broke ground on the second phase of Wynn Macau</w:t>
      </w:r>
    </w:p>
    <w:p>
      <w:pPr>
        <w:spacing w:after="0" w:line="184"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"2005 was a very important year for Wynn Resorts" said Steve Wynn, Chairman and CEO. "We opened Wynn Las Vegas in April and have achieved great results. We continue to work on Wynn Macau and look forward to having our second property operating in the next seven months".</w:t>
      </w:r>
    </w:p>
    <w:p>
      <w:pPr>
        <w:spacing w:after="0" w:line="186"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Net Revenues for the quarter were $269.4 million and adjusted net income (excluding $16.5 million in pre-opening expenses and property charges for Wynn Las Vegas, Wynn Macau and Encore) was $5.0 million or $0.05 per diluted share (adjusted EPS)(2).</w:t>
      </w:r>
    </w:p>
    <w:p>
      <w:pPr>
        <w:spacing w:after="0" w:line="186"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For the full-year 2005, Net Revenues were $722.0 million and adjusted net income (excluding $111.2 million in pre-opening expenses and property charges for Wynn Las Vegas, Wynn Macau and Encore) was $12.8 million, or $0.13 per diluted share (adjusted EPS). On a US GAAP (Generally Accepted Accounting Principles) basis, net loss for the quarter was $11.4 million, or a net loss of $0.12 per diluted share, and net loss for 2005 was $98.4 million, or a net loss of $1.00 per diluted share.</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Wynn Las Vegas Fourth Quarter Results</w:t>
      </w:r>
    </w:p>
    <w:p>
      <w:pPr>
        <w:spacing w:after="0" w:line="365" w:lineRule="exact"/>
        <w:rPr>
          <w:sz w:val="20"/>
          <w:szCs w:val="20"/>
          <w:color w:val="auto"/>
        </w:rPr>
      </w:pPr>
    </w:p>
    <w:p>
      <w:pPr>
        <w:jc w:val="both"/>
        <w:ind w:right="3279"/>
        <w:spacing w:after="0" w:line="237" w:lineRule="auto"/>
        <w:rPr>
          <w:sz w:val="20"/>
          <w:szCs w:val="20"/>
          <w:color w:val="auto"/>
        </w:rPr>
      </w:pPr>
      <w:r>
        <w:rPr>
          <w:rFonts w:ascii="Courier New" w:cs="Courier New" w:eastAsia="Courier New" w:hAnsi="Courier New"/>
          <w:sz w:val="16"/>
          <w:szCs w:val="16"/>
          <w:color w:val="auto"/>
        </w:rPr>
        <w:t>For the quarter ended December 31, 2005, Wynn Las Vegas generated adjusted EBITDA of $80.1 million, representing a 29.7% margin on fourth quarter net revenues.</w:t>
      </w:r>
    </w:p>
    <w:p>
      <w:pPr>
        <w:spacing w:after="0" w:line="18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Net gaming revenues in the fourth quarter of 2005 were $131.9 million. Table games drop was $499.5 million, with win per table per day (before discounts) of $8,842 for the period. Table games win percentage was 21.3%, which is within the property's expected range of 18% to 22%. Slot machine win per unit per day was $252 on handle (volume) of $882.7 million.</w:t>
      </w:r>
    </w:p>
    <w:p>
      <w:pPr>
        <w:spacing w:after="0" w:line="187" w:lineRule="exact"/>
        <w:rPr>
          <w:sz w:val="20"/>
          <w:szCs w:val="20"/>
          <w:color w:val="auto"/>
        </w:rPr>
      </w:pPr>
    </w:p>
    <w:p>
      <w:pPr>
        <w:ind w:right="2819"/>
        <w:spacing w:after="0" w:line="256" w:lineRule="auto"/>
        <w:rPr>
          <w:sz w:val="20"/>
          <w:szCs w:val="20"/>
          <w:color w:val="auto"/>
        </w:rPr>
      </w:pPr>
      <w:r>
        <w:rPr>
          <w:rFonts w:ascii="Courier New" w:cs="Courier New" w:eastAsia="Courier New" w:hAnsi="Courier New"/>
          <w:sz w:val="15"/>
          <w:szCs w:val="15"/>
          <w:color w:val="auto"/>
        </w:rPr>
        <w:t>Gross non-gaming revenues for the period were $177.2 million and net non-gaming revenues were $137.5 million. Wynn Las Vegas' room revenues were $64.3 million. Average daily rate (ADR) was $278 and occupancy was 92.7%, generating revenue per available room (REVPAR) of $258 for the period. The food and beverage, retail, entertainment and other operations generated gross revenues of $64.4 million, $17.3 million, $19.5 million and $11.7 million, respectively.</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Wynn Las Vegas Full year 2005 Operating Results</w:t>
      </w:r>
    </w:p>
    <w:p>
      <w:pPr>
        <w:spacing w:after="0" w:line="185" w:lineRule="exact"/>
        <w:rPr>
          <w:sz w:val="20"/>
          <w:szCs w:val="20"/>
          <w:color w:val="auto"/>
        </w:rPr>
      </w:pPr>
    </w:p>
    <w:p>
      <w:pPr>
        <w:ind w:right="2819"/>
        <w:spacing w:after="0" w:line="263" w:lineRule="auto"/>
        <w:rPr>
          <w:sz w:val="20"/>
          <w:szCs w:val="20"/>
          <w:color w:val="auto"/>
        </w:rPr>
      </w:pPr>
      <w:r>
        <w:rPr>
          <w:rFonts w:ascii="Courier New" w:cs="Courier New" w:eastAsia="Courier New" w:hAnsi="Courier New"/>
          <w:sz w:val="15"/>
          <w:szCs w:val="15"/>
          <w:color w:val="auto"/>
        </w:rPr>
        <w:t>In the 248 days since its April 28th opening, Wynn Las Vegas generated adjusted EBITDA of $212.0 million, representing a 29.4% margin on net revenues.</w:t>
      </w:r>
    </w:p>
    <w:p>
      <w:pPr>
        <w:spacing w:after="0" w:line="169"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Net gaming revenues from April 28, 2005 to December 31, 2005 were $353.7 million. Table games drop was $1,275.4 million and table games win percentage was 21.5%. Slot machine win per unit per day was $254 on handle (volume) of $2,405.7 million.</w:t>
      </w:r>
    </w:p>
    <w:p>
      <w:pPr>
        <w:spacing w:after="0" w:line="186"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Gross non-gaming revenues for the period were $469.2 million and net non-gaming revenues were $368.3 million. Wynn Las Vegas' room revenues were $170.3 million. Average daily rate (ADR) was $274 and occupancy was 92.1%, generating revenue per available room (REVPAR) of $253 for the period. The food and beverage, retail, entertainment and other operations generated gross revenues of $173.7 million, $51.2 million, $41.8 million and $32.2 million, respectively.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Wynn Macau</w:t>
      </w:r>
    </w:p>
    <w:p>
      <w:pPr>
        <w:spacing w:after="0" w:line="185" w:lineRule="exact"/>
        <w:rPr>
          <w:sz w:val="20"/>
          <w:szCs w:val="20"/>
          <w:color w:val="auto"/>
        </w:rPr>
      </w:pPr>
    </w:p>
    <w:p>
      <w:pPr>
        <w:ind w:right="2999"/>
        <w:spacing w:after="0" w:line="256" w:lineRule="auto"/>
        <w:rPr>
          <w:sz w:val="20"/>
          <w:szCs w:val="20"/>
          <w:color w:val="auto"/>
        </w:rPr>
      </w:pPr>
      <w:r>
        <w:rPr>
          <w:rFonts w:ascii="Courier New" w:cs="Courier New" w:eastAsia="Courier New" w:hAnsi="Courier New"/>
          <w:sz w:val="15"/>
          <w:szCs w:val="15"/>
          <w:color w:val="auto"/>
        </w:rPr>
        <w:t>In June 2004, the Company broke ground on Wynn Macau, its destination casino resort in Macau, China. The first phase of the project will utilize approximately 11 of a total site area of 16 acres of land and includes 600 hotel rooms and suites, approximately 100,000 square feet of casino gaming space, seven restaurants, approximately 26,000 square feet of retail space, a</w:t>
      </w:r>
    </w:p>
    <w:p>
      <w:pPr>
        <w:sectPr>
          <w:pgSz w:w="11900" w:h="16838" w:orient="portrait"/>
          <w:cols w:equalWidth="0" w:num="1">
            <w:col w:w="10219"/>
          </w:cols>
          <w:pgMar w:left="240" w:top="137" w:right="1440" w:bottom="0" w:gutter="0" w:footer="0" w:header="0"/>
        </w:sectPr>
      </w:pPr>
    </w:p>
    <w:bookmarkStart w:id="4" w:name="page5"/>
    <w:bookmarkEnd w:id="4"/>
    <w:p>
      <w:pPr>
        <w:ind w:right="2819"/>
        <w:spacing w:after="0" w:line="256" w:lineRule="auto"/>
        <w:rPr>
          <w:sz w:val="20"/>
          <w:szCs w:val="20"/>
          <w:color w:val="auto"/>
        </w:rPr>
      </w:pPr>
      <w:r>
        <w:rPr>
          <w:rFonts w:ascii="Courier New" w:cs="Courier New" w:eastAsia="Courier New" w:hAnsi="Courier New"/>
          <w:sz w:val="15"/>
          <w:szCs w:val="15"/>
          <w:color w:val="auto"/>
        </w:rPr>
        <w:t>spa, a salon, entertainment lounges and meeting facilities. We expect the first phase to open to the public in the third quarter of 2006. The second phase will include an additional 136,000 square feet of casino space, two restaurants, retail, a theater, and a dramatic front feature attraction. The second phase will be built on the remaining five acres of the Wynn Macau site and will be integrated into the first phase of Wynn Macau. The second phase is expected to be completed and open to the public by the third quarter of 2007.</w:t>
      </w:r>
    </w:p>
    <w:p>
      <w:pPr>
        <w:spacing w:after="0" w:line="174" w:lineRule="exact"/>
        <w:rPr>
          <w:sz w:val="20"/>
          <w:szCs w:val="20"/>
          <w:color w:val="auto"/>
        </w:rPr>
      </w:pPr>
    </w:p>
    <w:p>
      <w:pPr>
        <w:ind w:right="3099"/>
        <w:spacing w:after="0" w:line="256" w:lineRule="auto"/>
        <w:rPr>
          <w:sz w:val="20"/>
          <w:szCs w:val="20"/>
          <w:color w:val="auto"/>
        </w:rPr>
      </w:pPr>
      <w:r>
        <w:rPr>
          <w:rFonts w:ascii="Courier New" w:cs="Courier New" w:eastAsia="Courier New" w:hAnsi="Courier New"/>
          <w:sz w:val="15"/>
          <w:szCs w:val="15"/>
          <w:color w:val="auto"/>
        </w:rPr>
        <w:t>Construction of Wynn Macau is progressing on time and within budget as the first phase is expected to open to the public in the third quarter of 2006. Superstructure works are complete for the podium and tower. Certain areas in the first phase of the project, namely retail and the information technology data center, have been handed over to operations. Final design work on the second phase is rapidly moving from the foundations to the structure.</w:t>
      </w:r>
    </w:p>
    <w:p>
      <w:pPr>
        <w:spacing w:after="0" w:line="175"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Wynn Macau will also add an additional 150 table games in the second phase. The second phase will now include 300 table games taking the total table count in the overall facility from 350 tables to 500 tables. The addition to the casino in the second phase is expected to cost approximately $70 million and is anticipated to be funded through bank facilities. The second phase, including the additional 150 tables, remains on target to open by the third quarter of 2007.</w:t>
      </w:r>
    </w:p>
    <w:p>
      <w:pPr>
        <w:spacing w:after="0" w:line="185"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As of December 31, 2005, the Company has incurred approximately $427.2 million of a total project budget of approximately $1.2 billion (including the expansion of the second phase), with approximately $748.4 million to be spent to complete Wynn Macau.</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Encore at Wynn Las Vegas</w:t>
      </w:r>
    </w:p>
    <w:p>
      <w:pPr>
        <w:spacing w:after="0" w:line="185" w:lineRule="exact"/>
        <w:rPr>
          <w:sz w:val="20"/>
          <w:szCs w:val="20"/>
          <w:color w:val="auto"/>
        </w:rPr>
      </w:pPr>
    </w:p>
    <w:p>
      <w:pPr>
        <w:ind w:right="2899"/>
        <w:spacing w:after="0" w:line="256" w:lineRule="auto"/>
        <w:rPr>
          <w:sz w:val="20"/>
          <w:szCs w:val="20"/>
          <w:color w:val="auto"/>
        </w:rPr>
      </w:pPr>
      <w:r>
        <w:rPr>
          <w:rFonts w:ascii="Courier New" w:cs="Courier New" w:eastAsia="Courier New" w:hAnsi="Courier New"/>
          <w:sz w:val="15"/>
          <w:szCs w:val="15"/>
          <w:color w:val="auto"/>
        </w:rPr>
        <w:t>We have refined the design of Encore to currently feature a 2,054-room hotel tower fully integrated with Wynn Las Vegas, consisting of 144 suites and 1,910 guest rooms, as well as an approximately 44,000 square feet casino, additional convention and meeting space, plus restaurants, nightclubs, swimming pools, a spa and salon, and retail outlets. Once the Company has finalized the budget and plans for Encore, it will seek the necessary approvals from its Board of Directors and lenders. We expect Encore to open by the end of 2008.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Factors Affecting Earnings</w:t>
      </w:r>
    </w:p>
    <w:p>
      <w:pPr>
        <w:spacing w:after="0" w:line="185" w:lineRule="exact"/>
        <w:rPr>
          <w:sz w:val="20"/>
          <w:szCs w:val="20"/>
          <w:color w:val="auto"/>
        </w:rPr>
      </w:pPr>
    </w:p>
    <w:p>
      <w:pPr>
        <w:jc w:val="both"/>
        <w:ind w:right="3479"/>
        <w:spacing w:after="0" w:line="254" w:lineRule="auto"/>
        <w:rPr>
          <w:sz w:val="20"/>
          <w:szCs w:val="20"/>
          <w:color w:val="auto"/>
        </w:rPr>
      </w:pPr>
      <w:r>
        <w:rPr>
          <w:rFonts w:ascii="Courier New" w:cs="Courier New" w:eastAsia="Courier New" w:hAnsi="Courier New"/>
          <w:sz w:val="15"/>
          <w:szCs w:val="15"/>
          <w:color w:val="auto"/>
        </w:rPr>
        <w:t>Interest expense, net of $5.4 million in capitalized interest, was $36.1 million for the fourth quarter of 2005. For the full year 2005, interest expense was $99.5 million, net of $50.0 million in capitalized interest.</w:t>
      </w:r>
    </w:p>
    <w:p>
      <w:pPr>
        <w:spacing w:after="0" w:line="2" w:lineRule="exact"/>
        <w:rPr>
          <w:sz w:val="20"/>
          <w:szCs w:val="20"/>
          <w:color w:val="auto"/>
        </w:rPr>
      </w:pPr>
    </w:p>
    <w:p>
      <w:pPr>
        <w:ind w:right="2899"/>
        <w:spacing w:after="0" w:line="256" w:lineRule="auto"/>
        <w:rPr>
          <w:sz w:val="20"/>
          <w:szCs w:val="20"/>
          <w:color w:val="auto"/>
        </w:rPr>
      </w:pPr>
      <w:r>
        <w:rPr>
          <w:rFonts w:ascii="Courier New" w:cs="Courier New" w:eastAsia="Courier New" w:hAnsi="Courier New"/>
          <w:sz w:val="15"/>
          <w:szCs w:val="15"/>
          <w:color w:val="auto"/>
        </w:rPr>
        <w:t>Depreciation and amortization expenses were $35.8 million, and pre-opening expenses, primarily related to Wynn Macau, totaled $8.3 million during the quarter. For the full year, Depreciation and amortization expenses were $103.3 million and pre-opening expenses were $96.9 million. Corporate expense in the fourth quarter was $10.8 million, and $24.6 million for the full year 2005.</w:t>
      </w:r>
    </w:p>
    <w:p>
      <w:pPr>
        <w:spacing w:after="0" w:line="176"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The Company is evaluating the appropriate hedge accounting interpretation under FAS 133 as it relates to $200.0 million of existing interest rate swaps. Depending upon the final outcome of this research, net income for 2005 may increase up to $5.0 million.</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Balance Sheet and Capital Expenditures</w:t>
      </w:r>
    </w:p>
    <w:p>
      <w:pPr>
        <w:spacing w:after="0" w:line="185"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Our total cash balances at the end of the quarter were $876.9 million, including unrestricted cash balances of $434.3 million and restricted cash balances of $442.6 million. Total debt outstanding at the end of the quarter was $2.1 billion, including $250 million of Convertible Debentures and $78.9 million of Wynn Macau related debt. Capital expenditures during the fourth quarter of 2005, net of changes in construction payables and retention, totaled $121.8 million, of which $83.1 million was related to Wynn Macau.</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Conference Call Information</w:t>
      </w:r>
    </w:p>
    <w:p>
      <w:pPr>
        <w:spacing w:after="0" w:line="18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6"/>
          <w:szCs w:val="16"/>
          <w:color w:val="auto"/>
        </w:rPr>
        <w:t>The Company will hold a conference call to discuss its results on Thursday, February 23rd, 2005 at 1:30 p.m. PT (4:30 p.m. ET). Interested parties are invited to join the call by accessing a live audio webcast at http://www.wynnresorts.com (Investor Relations).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Forward-looking Statements</w:t>
      </w:r>
    </w:p>
    <w:p>
      <w:pPr>
        <w:spacing w:after="0" w:line="185"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This release contains forward-looking statements regarding operating trends and future results of operations. Such forward-looking information involves important risks and uncertainties that could significantly affect anticipated results in the future and, accordingly, such results may differ from those expressed in any forward-looking statements made by us. The risks and uncertainties include, but are not limited to, competition in the casino/hotel and resorts industries, the Company's brief operating history, the Company's dependence on existing management, levels of travel, leisure and casino spending, general domestic or international economic conditions, and changes in gaming laws or regulations. Additional information concerning potential factors that could affect the Company's financial results are included in the Company's Annual Report on Form 10-K for the year ended December 31, 2004 and the Company's other periodic reports filed with the Securities and Exchange Commission. The Company is under no obligation to (and expressly disclaims any such obligation to) update its forward-looking statements as a result of new information, future events or otherwise.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Non-GAAP financial measures</w:t>
      </w:r>
    </w:p>
    <w:p>
      <w:pPr>
        <w:sectPr>
          <w:pgSz w:w="11900" w:h="16838" w:orient="portrait"/>
          <w:cols w:equalWidth="0" w:num="1">
            <w:col w:w="10219"/>
          </w:cols>
          <w:pgMar w:left="240" w:top="142" w:right="1440" w:bottom="0" w:gutter="0" w:footer="0" w:header="0"/>
        </w:sectPr>
      </w:pPr>
    </w:p>
    <w:bookmarkStart w:id="5" w:name="page6"/>
    <w:bookmarkEnd w:id="5"/>
    <w:p>
      <w:pPr>
        <w:spacing w:after="0" w:line="70" w:lineRule="exact"/>
        <w:rPr>
          <w:sz w:val="20"/>
          <w:szCs w:val="20"/>
          <w:color w:val="auto"/>
        </w:rPr>
      </w:pPr>
    </w:p>
    <w:p>
      <w:pPr>
        <w:ind w:left="940" w:right="4120" w:hanging="475"/>
        <w:spacing w:after="0" w:line="255" w:lineRule="auto"/>
        <w:tabs>
          <w:tab w:leader="none" w:pos="9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EBITDA is earnings before interest, taxes, depreciation, amortization, pre-opening expenses, property charges, corporate expenses, earnings or losses from unconsolidated affiliates and other non-operating income and expenses. Adjusted EBITDA is presented exclusively as a supplemental disclosure because management believes that it is widely used to measure the performance, and as a principal basis for valuation, of gaming companies. Management uses adjusted EBITDA as the primary measure of the operating performance of Wynn Las Vegas and to compare the operating performance of its properties with those of its competitors. The Company also presents adjusted EBITDA because it is used by some investors as a way to measure a company's ability to incur and service debt, make capital expenditures and meet working capital requirements. Gaming companies have historically reported EBITDA as a supplemental performance measure to GAAP financial measures. In order to view the operations of their casinos on a more stand-alone basis, gaming companies, including Wynn Resorts, Limited, have historically excluded pre-opening expense, property charges and corporate expense, which do not relate to the management of specific casino properties from their EBITDA calculations. However, adjusted EBITDA should not be considered as an alternative to operating income as an indicator of operating performance, as an alternative to cash flows from operating activities as a measure of liquidity, or as an alternative to any other measure determined in accordance with generally accepted accounting principles in the United States ("GAAP"). The Company has significant uses of cash flow, including capital expenditures, interest payments, debt principal repayments and taxes, which are not reflected in adjusted EBITDA.</w:t>
      </w:r>
    </w:p>
    <w:p>
      <w:pPr>
        <w:spacing w:after="0" w:line="356" w:lineRule="exact"/>
        <w:rPr>
          <w:rFonts w:ascii="Courier New" w:cs="Courier New" w:eastAsia="Courier New" w:hAnsi="Courier New"/>
          <w:sz w:val="15"/>
          <w:szCs w:val="15"/>
          <w:color w:val="auto"/>
        </w:rPr>
      </w:pPr>
    </w:p>
    <w:p>
      <w:pPr>
        <w:ind w:left="940" w:right="4120" w:hanging="475"/>
        <w:spacing w:after="0" w:line="238" w:lineRule="auto"/>
        <w:tabs>
          <w:tab w:leader="none" w:pos="9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Adjusted net income (loss) and adjusted EPS are presented exclusively as a supplemental disclosure because management believes that these financial measures are widely used to measure the performance, and as a principal basis for valuation, of gaming companies. These measures are considered by many to be a better indicator on which to base expectations of future results than income computed in accordance with GAAP.</w:t>
      </w:r>
    </w:p>
    <w:p>
      <w:pPr>
        <w:spacing w:after="0" w:line="184" w:lineRule="exact"/>
        <w:rPr>
          <w:rFonts w:ascii="Courier New" w:cs="Courier New" w:eastAsia="Courier New" w:hAnsi="Courier New"/>
          <w:sz w:val="16"/>
          <w:szCs w:val="16"/>
          <w:color w:val="auto"/>
        </w:rPr>
      </w:pPr>
    </w:p>
    <w:p>
      <w:pPr>
        <w:ind w:left="940" w:right="4120"/>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Wynn Resorts' calculation of adjusted earnings, adjusted EPS and adjusted EBITDA may be different from the calculation methods used by other companies and, therefore, comparability may be limited. The Company has included schedules in the tables that accompany this release that reconcile (i) net loss and net loss per share to adjusted net loss and adjusted net loss per share, and (ii) net loss to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6"/>
          <w:szCs w:val="16"/>
          <w:color w:val="auto"/>
        </w:rPr>
        <w:t>WYNN RESORTS, LIMITED AND SUBSIDIARIES</w:t>
      </w:r>
    </w:p>
    <w:p>
      <w:pPr>
        <w:jc w:val="center"/>
        <w:ind w:right="180"/>
        <w:spacing w:after="0"/>
        <w:rPr>
          <w:sz w:val="20"/>
          <w:szCs w:val="20"/>
          <w:color w:val="auto"/>
        </w:rPr>
      </w:pPr>
      <w:r>
        <w:rPr>
          <w:rFonts w:ascii="Courier New" w:cs="Courier New" w:eastAsia="Courier New" w:hAnsi="Courier New"/>
          <w:sz w:val="16"/>
          <w:szCs w:val="16"/>
          <w:color w:val="auto"/>
        </w:rPr>
        <w:t>CONDENSED CONSOLIDATED STATEMENTS OF OPERATIONS</w:t>
      </w:r>
    </w:p>
    <w:p>
      <w:pPr>
        <w:jc w:val="center"/>
        <w:ind w:right="180"/>
        <w:spacing w:after="0" w:line="237" w:lineRule="auto"/>
        <w:rPr>
          <w:sz w:val="20"/>
          <w:szCs w:val="20"/>
          <w:color w:val="auto"/>
        </w:rPr>
      </w:pPr>
      <w:r>
        <w:rPr>
          <w:rFonts w:ascii="Courier New" w:cs="Courier New" w:eastAsia="Courier New" w:hAnsi="Courier New"/>
          <w:sz w:val="16"/>
          <w:szCs w:val="16"/>
          <w:color w:val="auto"/>
        </w:rPr>
        <w:t>(In thousands, except share and per share data)</w:t>
      </w:r>
    </w:p>
    <w:p>
      <w:pPr>
        <w:jc w:val="center"/>
        <w:ind w:right="180"/>
        <w:spacing w:after="0"/>
        <w:rPr>
          <w:sz w:val="20"/>
          <w:szCs w:val="20"/>
          <w:color w:val="auto"/>
        </w:rPr>
      </w:pPr>
      <w:r>
        <w:rPr>
          <w:rFonts w:ascii="Courier New" w:cs="Courier New" w:eastAsia="Courier New" w:hAnsi="Courier New"/>
          <w:sz w:val="16"/>
          <w:szCs w:val="16"/>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380" w:type="dxa"/>
            <w:vAlign w:val="bottom"/>
            <w:gridSpan w:val="3"/>
          </w:tcPr>
          <w:p>
            <w:pPr>
              <w:jc w:val="right"/>
              <w:ind w:right="522"/>
              <w:spacing w:after="0"/>
              <w:rPr>
                <w:sz w:val="20"/>
                <w:szCs w:val="20"/>
                <w:color w:val="auto"/>
              </w:rPr>
            </w:pPr>
            <w:r>
              <w:rPr>
                <w:rFonts w:ascii="Courier New" w:cs="Courier New" w:eastAsia="Courier New" w:hAnsi="Courier New"/>
                <w:sz w:val="16"/>
                <w:szCs w:val="16"/>
                <w:color w:val="auto"/>
              </w:rPr>
              <w:t>Three Months Ended</w:t>
            </w:r>
          </w:p>
        </w:tc>
        <w:tc>
          <w:tcPr>
            <w:tcW w:w="800" w:type="dxa"/>
            <w:vAlign w:val="bottom"/>
          </w:tcPr>
          <w:p>
            <w:pPr>
              <w:spacing w:after="0"/>
              <w:rPr>
                <w:sz w:val="15"/>
                <w:szCs w:val="15"/>
                <w:color w:val="auto"/>
              </w:rPr>
            </w:pPr>
          </w:p>
        </w:tc>
        <w:tc>
          <w:tcPr>
            <w:tcW w:w="2520" w:type="dxa"/>
            <w:vAlign w:val="bottom"/>
            <w:gridSpan w:val="3"/>
          </w:tcPr>
          <w:p>
            <w:pPr>
              <w:jc w:val="right"/>
              <w:ind w:right="762"/>
              <w:spacing w:after="0"/>
              <w:rPr>
                <w:sz w:val="20"/>
                <w:szCs w:val="20"/>
                <w:color w:val="auto"/>
              </w:rPr>
            </w:pPr>
            <w:r>
              <w:rPr>
                <w:rFonts w:ascii="Courier New" w:cs="Courier New" w:eastAsia="Courier New" w:hAnsi="Courier New"/>
                <w:sz w:val="16"/>
                <w:szCs w:val="16"/>
                <w:color w:val="auto"/>
              </w:rPr>
              <w:t>Year Ended</w:t>
            </w:r>
          </w:p>
        </w:tc>
      </w:tr>
      <w:tr>
        <w:trPr>
          <w:trHeight w:val="180"/>
        </w:trPr>
        <w:tc>
          <w:tcPr>
            <w:tcW w:w="5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380" w:type="dxa"/>
            <w:vAlign w:val="bottom"/>
            <w:gridSpan w:val="3"/>
          </w:tcPr>
          <w:p>
            <w:pPr>
              <w:jc w:val="right"/>
              <w:ind w:right="802"/>
              <w:spacing w:after="0"/>
              <w:rPr>
                <w:sz w:val="20"/>
                <w:szCs w:val="20"/>
                <w:color w:val="auto"/>
              </w:rPr>
            </w:pPr>
            <w:r>
              <w:rPr>
                <w:rFonts w:ascii="Courier New" w:cs="Courier New" w:eastAsia="Courier New" w:hAnsi="Courier New"/>
                <w:sz w:val="16"/>
                <w:szCs w:val="16"/>
                <w:color w:val="auto"/>
              </w:rPr>
              <w:t>December 31,</w:t>
            </w:r>
          </w:p>
        </w:tc>
        <w:tc>
          <w:tcPr>
            <w:tcW w:w="800" w:type="dxa"/>
            <w:vAlign w:val="bottom"/>
          </w:tcPr>
          <w:p>
            <w:pPr>
              <w:spacing w:after="0"/>
              <w:rPr>
                <w:sz w:val="15"/>
                <w:szCs w:val="15"/>
                <w:color w:val="auto"/>
              </w:rPr>
            </w:pPr>
          </w:p>
        </w:tc>
        <w:tc>
          <w:tcPr>
            <w:tcW w:w="2520" w:type="dxa"/>
            <w:vAlign w:val="bottom"/>
            <w:gridSpan w:val="3"/>
          </w:tcPr>
          <w:p>
            <w:pPr>
              <w:jc w:val="right"/>
              <w:ind w:right="662"/>
              <w:spacing w:after="0"/>
              <w:rPr>
                <w:sz w:val="20"/>
                <w:szCs w:val="20"/>
                <w:color w:val="auto"/>
              </w:rPr>
            </w:pPr>
            <w:r>
              <w:rPr>
                <w:rFonts w:ascii="Courier New" w:cs="Courier New" w:eastAsia="Courier New" w:hAnsi="Courier New"/>
                <w:sz w:val="16"/>
                <w:szCs w:val="16"/>
                <w:color w:val="auto"/>
              </w:rPr>
              <w:t>December 31,</w:t>
            </w:r>
          </w:p>
        </w:tc>
      </w:tr>
      <w:tr>
        <w:trPr>
          <w:trHeight w:val="180"/>
        </w:trPr>
        <w:tc>
          <w:tcPr>
            <w:tcW w:w="5100" w:type="dxa"/>
            <w:vAlign w:val="bottom"/>
          </w:tcPr>
          <w:p>
            <w:pPr>
              <w:spacing w:after="0"/>
              <w:rPr>
                <w:sz w:val="15"/>
                <w:szCs w:val="15"/>
                <w:color w:val="auto"/>
              </w:rPr>
            </w:pPr>
          </w:p>
        </w:tc>
        <w:tc>
          <w:tcPr>
            <w:tcW w:w="1700" w:type="dxa"/>
            <w:vAlign w:val="bottom"/>
            <w:gridSpan w:val="2"/>
          </w:tcPr>
          <w:p>
            <w:pPr>
              <w:jc w:val="center"/>
              <w:ind w:left="81"/>
              <w:spacing w:after="0"/>
              <w:rPr>
                <w:sz w:val="20"/>
                <w:szCs w:val="20"/>
                <w:color w:val="auto"/>
              </w:rPr>
            </w:pPr>
            <w:r>
              <w:rPr>
                <w:rFonts w:ascii="Courier New" w:cs="Courier New" w:eastAsia="Courier New" w:hAnsi="Courier New"/>
                <w:sz w:val="11"/>
                <w:szCs w:val="11"/>
                <w:color w:val="auto"/>
                <w:w w:val="73"/>
              </w:rPr>
              <w:t>--------------------------------</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3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jc w:val="center"/>
              <w:ind w:right="542"/>
              <w:spacing w:after="0"/>
              <w:rPr>
                <w:sz w:val="20"/>
                <w:szCs w:val="20"/>
                <w:color w:val="auto"/>
              </w:rPr>
            </w:pPr>
            <w:r>
              <w:rPr>
                <w:rFonts w:ascii="Courier New" w:cs="Courier New" w:eastAsia="Courier New" w:hAnsi="Courier New"/>
                <w:sz w:val="16"/>
                <w:szCs w:val="16"/>
                <w:color w:val="auto"/>
                <w:w w:val="93"/>
              </w:rPr>
              <w:t>2005</w:t>
            </w:r>
          </w:p>
        </w:tc>
        <w:tc>
          <w:tcPr>
            <w:tcW w:w="240" w:type="dxa"/>
            <w:vAlign w:val="bottom"/>
          </w:tcPr>
          <w:p>
            <w:pPr>
              <w:spacing w:after="0"/>
              <w:rPr>
                <w:sz w:val="15"/>
                <w:szCs w:val="15"/>
                <w:color w:val="auto"/>
              </w:rPr>
            </w:pPr>
          </w:p>
        </w:tc>
        <w:tc>
          <w:tcPr>
            <w:tcW w:w="11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2004</w:t>
            </w:r>
          </w:p>
        </w:tc>
        <w:tc>
          <w:tcPr>
            <w:tcW w:w="800" w:type="dxa"/>
            <w:vAlign w:val="bottom"/>
          </w:tcPr>
          <w:p>
            <w:pPr>
              <w:spacing w:after="0"/>
              <w:rPr>
                <w:sz w:val="15"/>
                <w:szCs w:val="15"/>
                <w:color w:val="auto"/>
              </w:rPr>
            </w:pPr>
          </w:p>
        </w:tc>
        <w:tc>
          <w:tcPr>
            <w:tcW w:w="126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2005</w:t>
            </w:r>
          </w:p>
        </w:tc>
        <w:tc>
          <w:tcPr>
            <w:tcW w:w="240" w:type="dxa"/>
            <w:vAlign w:val="bottom"/>
          </w:tcPr>
          <w:p>
            <w:pPr>
              <w:spacing w:after="0"/>
              <w:rPr>
                <w:sz w:val="15"/>
                <w:szCs w:val="15"/>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2004</w:t>
            </w:r>
          </w:p>
        </w:tc>
      </w:tr>
      <w:tr>
        <w:trPr>
          <w:trHeight w:val="180"/>
        </w:trPr>
        <w:tc>
          <w:tcPr>
            <w:tcW w:w="5100" w:type="dxa"/>
            <w:vAlign w:val="bottom"/>
          </w:tcPr>
          <w:p>
            <w:pPr>
              <w:spacing w:after="0"/>
              <w:rPr>
                <w:sz w:val="15"/>
                <w:szCs w:val="15"/>
                <w:color w:val="auto"/>
              </w:rPr>
            </w:pPr>
          </w:p>
        </w:tc>
        <w:tc>
          <w:tcPr>
            <w:tcW w:w="1700" w:type="dxa"/>
            <w:vAlign w:val="bottom"/>
            <w:gridSpan w:val="2"/>
          </w:tcPr>
          <w:p>
            <w:pPr>
              <w:jc w:val="center"/>
              <w:ind w:left="81"/>
              <w:spacing w:after="0"/>
              <w:rPr>
                <w:sz w:val="20"/>
                <w:szCs w:val="20"/>
                <w:color w:val="auto"/>
              </w:rPr>
            </w:pPr>
            <w:r>
              <w:rPr>
                <w:rFonts w:ascii="Courier New" w:cs="Courier New" w:eastAsia="Courier New" w:hAnsi="Courier New"/>
                <w:sz w:val="11"/>
                <w:szCs w:val="11"/>
                <w:color w:val="auto"/>
                <w:w w:val="73"/>
              </w:rPr>
              <w:t>--------------------------------</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3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541"/>
        </w:trPr>
        <w:tc>
          <w:tcPr>
            <w:tcW w:w="510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61"/>
        </w:trPr>
        <w:tc>
          <w:tcPr>
            <w:tcW w:w="51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Casino............................................</w:t>
            </w:r>
          </w:p>
        </w:tc>
        <w:tc>
          <w:tcPr>
            <w:tcW w:w="720" w:type="dxa"/>
            <w:vAlign w:val="bottom"/>
          </w:tcPr>
          <w:p>
            <w:pPr>
              <w:jc w:val="right"/>
              <w:ind w:right="32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131,899</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353,663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180"/>
        </w:trPr>
        <w:tc>
          <w:tcPr>
            <w:tcW w:w="51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Rooms.............................................</w:t>
            </w:r>
          </w:p>
        </w:tc>
        <w:tc>
          <w:tcPr>
            <w:tcW w:w="720" w:type="dxa"/>
            <w:vAlign w:val="bottom"/>
          </w:tcPr>
          <w:p>
            <w:pPr>
              <w:spacing w:after="0"/>
              <w:rPr>
                <w:sz w:val="15"/>
                <w:szCs w:val="15"/>
                <w:color w:val="auto"/>
              </w:rPr>
            </w:pP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64,290</w:t>
            </w:r>
          </w:p>
        </w:tc>
        <w:tc>
          <w:tcPr>
            <w:tcW w:w="240" w:type="dxa"/>
            <w:vAlign w:val="bottom"/>
          </w:tcPr>
          <w:p>
            <w:pPr>
              <w:spacing w:after="0"/>
              <w:rPr>
                <w:sz w:val="15"/>
                <w:szCs w:val="15"/>
                <w:color w:val="auto"/>
              </w:rPr>
            </w:pPr>
          </w:p>
        </w:tc>
        <w:tc>
          <w:tcPr>
            <w:tcW w:w="11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5"/>
                <w:szCs w:val="15"/>
                <w:color w:val="auto"/>
              </w:rPr>
            </w:pP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170,315</w:t>
            </w:r>
          </w:p>
        </w:tc>
        <w:tc>
          <w:tcPr>
            <w:tcW w:w="240" w:type="dxa"/>
            <w:vAlign w:val="bottom"/>
          </w:tcPr>
          <w:p>
            <w:pPr>
              <w:spacing w:after="0"/>
              <w:rPr>
                <w:sz w:val="15"/>
                <w:szCs w:val="15"/>
                <w:color w:val="auto"/>
              </w:rPr>
            </w:pPr>
          </w:p>
        </w:tc>
        <w:tc>
          <w:tcPr>
            <w:tcW w:w="10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180"/>
        </w:trPr>
        <w:tc>
          <w:tcPr>
            <w:tcW w:w="51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Food and beverage.................................</w:t>
            </w:r>
          </w:p>
        </w:tc>
        <w:tc>
          <w:tcPr>
            <w:tcW w:w="720" w:type="dxa"/>
            <w:vAlign w:val="bottom"/>
          </w:tcPr>
          <w:p>
            <w:pPr>
              <w:spacing w:after="0"/>
              <w:rPr>
                <w:sz w:val="15"/>
                <w:szCs w:val="15"/>
                <w:color w:val="auto"/>
              </w:rPr>
            </w:pP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64,433</w:t>
            </w:r>
          </w:p>
        </w:tc>
        <w:tc>
          <w:tcPr>
            <w:tcW w:w="240" w:type="dxa"/>
            <w:vAlign w:val="bottom"/>
          </w:tcPr>
          <w:p>
            <w:pPr>
              <w:spacing w:after="0"/>
              <w:rPr>
                <w:sz w:val="15"/>
                <w:szCs w:val="15"/>
                <w:color w:val="auto"/>
              </w:rPr>
            </w:pPr>
          </w:p>
        </w:tc>
        <w:tc>
          <w:tcPr>
            <w:tcW w:w="11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5"/>
                <w:szCs w:val="15"/>
                <w:color w:val="auto"/>
              </w:rPr>
            </w:pP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173,700</w:t>
            </w:r>
          </w:p>
        </w:tc>
        <w:tc>
          <w:tcPr>
            <w:tcW w:w="240" w:type="dxa"/>
            <w:vAlign w:val="bottom"/>
          </w:tcPr>
          <w:p>
            <w:pPr>
              <w:spacing w:after="0"/>
              <w:rPr>
                <w:sz w:val="15"/>
                <w:szCs w:val="15"/>
                <w:color w:val="auto"/>
              </w:rPr>
            </w:pPr>
          </w:p>
        </w:tc>
        <w:tc>
          <w:tcPr>
            <w:tcW w:w="10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180"/>
        </w:trPr>
        <w:tc>
          <w:tcPr>
            <w:tcW w:w="51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Entertainment, retail and other...................</w:t>
            </w:r>
          </w:p>
        </w:tc>
        <w:tc>
          <w:tcPr>
            <w:tcW w:w="720" w:type="dxa"/>
            <w:vAlign w:val="bottom"/>
          </w:tcPr>
          <w:p>
            <w:pPr>
              <w:spacing w:after="0"/>
              <w:rPr>
                <w:sz w:val="15"/>
                <w:szCs w:val="15"/>
                <w:color w:val="auto"/>
              </w:rPr>
            </w:pP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48,522</w:t>
            </w:r>
          </w:p>
        </w:tc>
        <w:tc>
          <w:tcPr>
            <w:tcW w:w="240" w:type="dxa"/>
            <w:vAlign w:val="bottom"/>
          </w:tcPr>
          <w:p>
            <w:pPr>
              <w:spacing w:after="0"/>
              <w:rPr>
                <w:sz w:val="15"/>
                <w:szCs w:val="15"/>
                <w:color w:val="auto"/>
              </w:rPr>
            </w:pPr>
          </w:p>
        </w:tc>
        <w:tc>
          <w:tcPr>
            <w:tcW w:w="11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5"/>
                <w:szCs w:val="15"/>
                <w:color w:val="auto"/>
              </w:rPr>
            </w:pP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125,230</w:t>
            </w:r>
          </w:p>
        </w:tc>
        <w:tc>
          <w:tcPr>
            <w:tcW w:w="240" w:type="dxa"/>
            <w:vAlign w:val="bottom"/>
          </w:tcPr>
          <w:p>
            <w:pPr>
              <w:spacing w:after="0"/>
              <w:rPr>
                <w:sz w:val="15"/>
                <w:szCs w:val="15"/>
                <w:color w:val="auto"/>
              </w:rPr>
            </w:pPr>
          </w:p>
        </w:tc>
        <w:tc>
          <w:tcPr>
            <w:tcW w:w="10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195</w:t>
            </w:r>
          </w:p>
        </w:tc>
      </w:tr>
      <w:tr>
        <w:trPr>
          <w:trHeight w:val="180"/>
        </w:trPr>
        <w:tc>
          <w:tcPr>
            <w:tcW w:w="5100" w:type="dxa"/>
            <w:vAlign w:val="bottom"/>
          </w:tcPr>
          <w:p>
            <w:pPr>
              <w:spacing w:after="0"/>
              <w:rPr>
                <w:sz w:val="15"/>
                <w:szCs w:val="15"/>
                <w:color w:val="auto"/>
              </w:rPr>
            </w:pPr>
          </w:p>
        </w:tc>
        <w:tc>
          <w:tcPr>
            <w:tcW w:w="1700" w:type="dxa"/>
            <w:vAlign w:val="bottom"/>
            <w:gridSpan w:val="2"/>
          </w:tcPr>
          <w:p>
            <w:pPr>
              <w:jc w:val="center"/>
              <w:ind w:left="81"/>
              <w:spacing w:after="0"/>
              <w:rPr>
                <w:sz w:val="20"/>
                <w:szCs w:val="20"/>
                <w:color w:val="auto"/>
              </w:rPr>
            </w:pPr>
            <w:r>
              <w:rPr>
                <w:rFonts w:ascii="Courier New" w:cs="Courier New" w:eastAsia="Courier New" w:hAnsi="Courier New"/>
                <w:sz w:val="11"/>
                <w:szCs w:val="11"/>
                <w:color w:val="auto"/>
                <w:w w:val="73"/>
              </w:rPr>
              <w:t>--------------------------------</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3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1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Gross revenues................................</w:t>
            </w:r>
          </w:p>
        </w:tc>
        <w:tc>
          <w:tcPr>
            <w:tcW w:w="720" w:type="dxa"/>
            <w:vAlign w:val="bottom"/>
          </w:tcPr>
          <w:p>
            <w:pPr>
              <w:spacing w:after="0"/>
              <w:rPr>
                <w:sz w:val="15"/>
                <w:szCs w:val="15"/>
                <w:color w:val="auto"/>
              </w:rPr>
            </w:pP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309,144</w:t>
            </w:r>
          </w:p>
        </w:tc>
        <w:tc>
          <w:tcPr>
            <w:tcW w:w="240" w:type="dxa"/>
            <w:vAlign w:val="bottom"/>
          </w:tcPr>
          <w:p>
            <w:pPr>
              <w:spacing w:after="0"/>
              <w:rPr>
                <w:sz w:val="15"/>
                <w:szCs w:val="15"/>
                <w:color w:val="auto"/>
              </w:rPr>
            </w:pPr>
          </w:p>
        </w:tc>
        <w:tc>
          <w:tcPr>
            <w:tcW w:w="11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5"/>
                <w:szCs w:val="15"/>
                <w:color w:val="auto"/>
              </w:rPr>
            </w:pP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822,908</w:t>
            </w:r>
          </w:p>
        </w:tc>
        <w:tc>
          <w:tcPr>
            <w:tcW w:w="240" w:type="dxa"/>
            <w:vAlign w:val="bottom"/>
          </w:tcPr>
          <w:p>
            <w:pPr>
              <w:spacing w:after="0"/>
              <w:rPr>
                <w:sz w:val="15"/>
                <w:szCs w:val="15"/>
                <w:color w:val="auto"/>
              </w:rPr>
            </w:pPr>
          </w:p>
        </w:tc>
        <w:tc>
          <w:tcPr>
            <w:tcW w:w="10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195</w:t>
            </w:r>
          </w:p>
        </w:tc>
      </w:tr>
      <w:tr>
        <w:trPr>
          <w:trHeight w:val="180"/>
        </w:trPr>
        <w:tc>
          <w:tcPr>
            <w:tcW w:w="51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Less promotional allowances.......................</w:t>
            </w:r>
          </w:p>
        </w:tc>
        <w:tc>
          <w:tcPr>
            <w:tcW w:w="720" w:type="dxa"/>
            <w:vAlign w:val="bottom"/>
          </w:tcPr>
          <w:p>
            <w:pPr>
              <w:spacing w:after="0"/>
              <w:rPr>
                <w:sz w:val="15"/>
                <w:szCs w:val="15"/>
                <w:color w:val="auto"/>
              </w:rPr>
            </w:pP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(39,724)</w:t>
            </w:r>
          </w:p>
        </w:tc>
        <w:tc>
          <w:tcPr>
            <w:tcW w:w="240" w:type="dxa"/>
            <w:vAlign w:val="bottom"/>
          </w:tcPr>
          <w:p>
            <w:pPr>
              <w:spacing w:after="0"/>
              <w:rPr>
                <w:sz w:val="15"/>
                <w:szCs w:val="15"/>
                <w:color w:val="auto"/>
              </w:rPr>
            </w:pPr>
          </w:p>
        </w:tc>
        <w:tc>
          <w:tcPr>
            <w:tcW w:w="11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5"/>
                <w:szCs w:val="15"/>
                <w:color w:val="auto"/>
              </w:rPr>
            </w:pP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(100,927)</w:t>
            </w:r>
          </w:p>
        </w:tc>
        <w:tc>
          <w:tcPr>
            <w:tcW w:w="240" w:type="dxa"/>
            <w:vAlign w:val="bottom"/>
          </w:tcPr>
          <w:p>
            <w:pPr>
              <w:spacing w:after="0"/>
              <w:rPr>
                <w:sz w:val="15"/>
                <w:szCs w:val="15"/>
                <w:color w:val="auto"/>
              </w:rPr>
            </w:pPr>
          </w:p>
        </w:tc>
        <w:tc>
          <w:tcPr>
            <w:tcW w:w="10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180"/>
        </w:trPr>
        <w:tc>
          <w:tcPr>
            <w:tcW w:w="5100" w:type="dxa"/>
            <w:vAlign w:val="bottom"/>
          </w:tcPr>
          <w:p>
            <w:pPr>
              <w:spacing w:after="0"/>
              <w:rPr>
                <w:sz w:val="15"/>
                <w:szCs w:val="15"/>
                <w:color w:val="auto"/>
              </w:rPr>
            </w:pPr>
          </w:p>
        </w:tc>
        <w:tc>
          <w:tcPr>
            <w:tcW w:w="1700" w:type="dxa"/>
            <w:vAlign w:val="bottom"/>
            <w:gridSpan w:val="2"/>
          </w:tcPr>
          <w:p>
            <w:pPr>
              <w:jc w:val="center"/>
              <w:ind w:left="81"/>
              <w:spacing w:after="0"/>
              <w:rPr>
                <w:sz w:val="20"/>
                <w:szCs w:val="20"/>
                <w:color w:val="auto"/>
              </w:rPr>
            </w:pPr>
            <w:r>
              <w:rPr>
                <w:rFonts w:ascii="Courier New" w:cs="Courier New" w:eastAsia="Courier New" w:hAnsi="Courier New"/>
                <w:sz w:val="11"/>
                <w:szCs w:val="11"/>
                <w:color w:val="auto"/>
                <w:w w:val="73"/>
              </w:rPr>
              <w:t>--------------------------------</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3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1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Net revenues..................................</w:t>
            </w:r>
          </w:p>
        </w:tc>
        <w:tc>
          <w:tcPr>
            <w:tcW w:w="720" w:type="dxa"/>
            <w:vAlign w:val="bottom"/>
          </w:tcPr>
          <w:p>
            <w:pPr>
              <w:spacing w:after="0"/>
              <w:rPr>
                <w:sz w:val="15"/>
                <w:szCs w:val="15"/>
                <w:color w:val="auto"/>
              </w:rPr>
            </w:pP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269,420</w:t>
            </w:r>
          </w:p>
        </w:tc>
        <w:tc>
          <w:tcPr>
            <w:tcW w:w="240" w:type="dxa"/>
            <w:vAlign w:val="bottom"/>
          </w:tcPr>
          <w:p>
            <w:pPr>
              <w:spacing w:after="0"/>
              <w:rPr>
                <w:sz w:val="15"/>
                <w:szCs w:val="15"/>
                <w:color w:val="auto"/>
              </w:rPr>
            </w:pPr>
          </w:p>
        </w:tc>
        <w:tc>
          <w:tcPr>
            <w:tcW w:w="11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5"/>
                <w:szCs w:val="15"/>
                <w:color w:val="auto"/>
              </w:rPr>
            </w:pP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721,981</w:t>
            </w:r>
          </w:p>
        </w:tc>
        <w:tc>
          <w:tcPr>
            <w:tcW w:w="240" w:type="dxa"/>
            <w:vAlign w:val="bottom"/>
          </w:tcPr>
          <w:p>
            <w:pPr>
              <w:spacing w:after="0"/>
              <w:rPr>
                <w:sz w:val="15"/>
                <w:szCs w:val="15"/>
                <w:color w:val="auto"/>
              </w:rPr>
            </w:pPr>
          </w:p>
        </w:tc>
        <w:tc>
          <w:tcPr>
            <w:tcW w:w="10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195</w:t>
            </w:r>
          </w:p>
        </w:tc>
      </w:tr>
      <w:tr>
        <w:trPr>
          <w:trHeight w:val="361"/>
        </w:trPr>
        <w:tc>
          <w:tcPr>
            <w:tcW w:w="5100" w:type="dxa"/>
            <w:vAlign w:val="bottom"/>
          </w:tcPr>
          <w:p>
            <w:pPr>
              <w:spacing w:after="0"/>
              <w:rPr>
                <w:sz w:val="20"/>
                <w:szCs w:val="20"/>
                <w:color w:val="auto"/>
              </w:rPr>
            </w:pPr>
            <w:r>
              <w:rPr>
                <w:rFonts w:ascii="Courier New" w:cs="Courier New" w:eastAsia="Courier New" w:hAnsi="Courier New"/>
                <w:sz w:val="16"/>
                <w:szCs w:val="16"/>
                <w:color w:val="auto"/>
              </w:rPr>
              <w:t>Operating costs and expenses:</w:t>
            </w: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0"/>
        </w:trPr>
        <w:tc>
          <w:tcPr>
            <w:tcW w:w="51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Casino............................................</w:t>
            </w:r>
          </w:p>
        </w:tc>
        <w:tc>
          <w:tcPr>
            <w:tcW w:w="720" w:type="dxa"/>
            <w:vAlign w:val="bottom"/>
          </w:tcPr>
          <w:p>
            <w:pPr>
              <w:spacing w:after="0"/>
              <w:rPr>
                <w:sz w:val="15"/>
                <w:szCs w:val="15"/>
                <w:color w:val="auto"/>
              </w:rPr>
            </w:pP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59,407</w:t>
            </w:r>
          </w:p>
        </w:tc>
        <w:tc>
          <w:tcPr>
            <w:tcW w:w="240" w:type="dxa"/>
            <w:vAlign w:val="bottom"/>
          </w:tcPr>
          <w:p>
            <w:pPr>
              <w:spacing w:after="0"/>
              <w:rPr>
                <w:sz w:val="15"/>
                <w:szCs w:val="15"/>
                <w:color w:val="auto"/>
              </w:rPr>
            </w:pPr>
          </w:p>
        </w:tc>
        <w:tc>
          <w:tcPr>
            <w:tcW w:w="11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5"/>
                <w:szCs w:val="15"/>
                <w:color w:val="auto"/>
              </w:rPr>
            </w:pP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155,075</w:t>
            </w:r>
          </w:p>
        </w:tc>
        <w:tc>
          <w:tcPr>
            <w:tcW w:w="240" w:type="dxa"/>
            <w:vAlign w:val="bottom"/>
          </w:tcPr>
          <w:p>
            <w:pPr>
              <w:spacing w:after="0"/>
              <w:rPr>
                <w:sz w:val="15"/>
                <w:szCs w:val="15"/>
                <w:color w:val="auto"/>
              </w:rPr>
            </w:pPr>
          </w:p>
        </w:tc>
        <w:tc>
          <w:tcPr>
            <w:tcW w:w="10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180"/>
        </w:trPr>
        <w:tc>
          <w:tcPr>
            <w:tcW w:w="51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Rooms.............................................</w:t>
            </w:r>
          </w:p>
        </w:tc>
        <w:tc>
          <w:tcPr>
            <w:tcW w:w="720" w:type="dxa"/>
            <w:vAlign w:val="bottom"/>
          </w:tcPr>
          <w:p>
            <w:pPr>
              <w:spacing w:after="0"/>
              <w:rPr>
                <w:sz w:val="15"/>
                <w:szCs w:val="15"/>
                <w:color w:val="auto"/>
              </w:rPr>
            </w:pP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16,271</w:t>
            </w:r>
          </w:p>
        </w:tc>
        <w:tc>
          <w:tcPr>
            <w:tcW w:w="240" w:type="dxa"/>
            <w:vAlign w:val="bottom"/>
          </w:tcPr>
          <w:p>
            <w:pPr>
              <w:spacing w:after="0"/>
              <w:rPr>
                <w:sz w:val="15"/>
                <w:szCs w:val="15"/>
                <w:color w:val="auto"/>
              </w:rPr>
            </w:pPr>
          </w:p>
        </w:tc>
        <w:tc>
          <w:tcPr>
            <w:tcW w:w="11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5"/>
                <w:szCs w:val="15"/>
                <w:color w:val="auto"/>
              </w:rPr>
            </w:pP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44,171</w:t>
            </w:r>
          </w:p>
        </w:tc>
        <w:tc>
          <w:tcPr>
            <w:tcW w:w="240" w:type="dxa"/>
            <w:vAlign w:val="bottom"/>
          </w:tcPr>
          <w:p>
            <w:pPr>
              <w:spacing w:after="0"/>
              <w:rPr>
                <w:sz w:val="15"/>
                <w:szCs w:val="15"/>
                <w:color w:val="auto"/>
              </w:rPr>
            </w:pPr>
          </w:p>
        </w:tc>
        <w:tc>
          <w:tcPr>
            <w:tcW w:w="10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180"/>
        </w:trPr>
        <w:tc>
          <w:tcPr>
            <w:tcW w:w="51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Food and beverage.................................</w:t>
            </w:r>
          </w:p>
        </w:tc>
        <w:tc>
          <w:tcPr>
            <w:tcW w:w="720" w:type="dxa"/>
            <w:vAlign w:val="bottom"/>
          </w:tcPr>
          <w:p>
            <w:pPr>
              <w:spacing w:after="0"/>
              <w:rPr>
                <w:sz w:val="15"/>
                <w:szCs w:val="15"/>
                <w:color w:val="auto"/>
              </w:rPr>
            </w:pP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42,487</w:t>
            </w:r>
          </w:p>
        </w:tc>
        <w:tc>
          <w:tcPr>
            <w:tcW w:w="240" w:type="dxa"/>
            <w:vAlign w:val="bottom"/>
          </w:tcPr>
          <w:p>
            <w:pPr>
              <w:spacing w:after="0"/>
              <w:rPr>
                <w:sz w:val="15"/>
                <w:szCs w:val="15"/>
                <w:color w:val="auto"/>
              </w:rPr>
            </w:pPr>
          </w:p>
        </w:tc>
        <w:tc>
          <w:tcPr>
            <w:tcW w:w="11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5"/>
                <w:szCs w:val="15"/>
                <w:color w:val="auto"/>
              </w:rPr>
            </w:pP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118,670</w:t>
            </w:r>
          </w:p>
        </w:tc>
        <w:tc>
          <w:tcPr>
            <w:tcW w:w="240" w:type="dxa"/>
            <w:vAlign w:val="bottom"/>
          </w:tcPr>
          <w:p>
            <w:pPr>
              <w:spacing w:after="0"/>
              <w:rPr>
                <w:sz w:val="15"/>
                <w:szCs w:val="15"/>
                <w:color w:val="auto"/>
              </w:rPr>
            </w:pPr>
          </w:p>
        </w:tc>
        <w:tc>
          <w:tcPr>
            <w:tcW w:w="10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180"/>
        </w:trPr>
        <w:tc>
          <w:tcPr>
            <w:tcW w:w="51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Entertainment, retail and other...................</w:t>
            </w:r>
          </w:p>
        </w:tc>
        <w:tc>
          <w:tcPr>
            <w:tcW w:w="720" w:type="dxa"/>
            <w:vAlign w:val="bottom"/>
          </w:tcPr>
          <w:p>
            <w:pPr>
              <w:spacing w:after="0"/>
              <w:rPr>
                <w:sz w:val="15"/>
                <w:szCs w:val="15"/>
                <w:color w:val="auto"/>
              </w:rPr>
            </w:pP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31,220</w:t>
            </w:r>
          </w:p>
        </w:tc>
        <w:tc>
          <w:tcPr>
            <w:tcW w:w="240" w:type="dxa"/>
            <w:vAlign w:val="bottom"/>
          </w:tcPr>
          <w:p>
            <w:pPr>
              <w:spacing w:after="0"/>
              <w:rPr>
                <w:sz w:val="15"/>
                <w:szCs w:val="15"/>
                <w:color w:val="auto"/>
              </w:rPr>
            </w:pPr>
          </w:p>
        </w:tc>
        <w:tc>
          <w:tcPr>
            <w:tcW w:w="11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5"/>
                <w:szCs w:val="15"/>
                <w:color w:val="auto"/>
              </w:rPr>
            </w:pP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80,185</w:t>
            </w:r>
          </w:p>
        </w:tc>
        <w:tc>
          <w:tcPr>
            <w:tcW w:w="240" w:type="dxa"/>
            <w:vAlign w:val="bottom"/>
          </w:tcPr>
          <w:p>
            <w:pPr>
              <w:spacing w:after="0"/>
              <w:rPr>
                <w:sz w:val="15"/>
                <w:szCs w:val="15"/>
                <w:color w:val="auto"/>
              </w:rPr>
            </w:pPr>
          </w:p>
        </w:tc>
        <w:tc>
          <w:tcPr>
            <w:tcW w:w="10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68</w:t>
            </w:r>
          </w:p>
        </w:tc>
      </w:tr>
      <w:tr>
        <w:trPr>
          <w:trHeight w:val="180"/>
        </w:trPr>
        <w:tc>
          <w:tcPr>
            <w:tcW w:w="51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General and administrative........................</w:t>
            </w:r>
          </w:p>
        </w:tc>
        <w:tc>
          <w:tcPr>
            <w:tcW w:w="720" w:type="dxa"/>
            <w:vAlign w:val="bottom"/>
          </w:tcPr>
          <w:p>
            <w:pPr>
              <w:spacing w:after="0"/>
              <w:rPr>
                <w:sz w:val="15"/>
                <w:szCs w:val="15"/>
                <w:color w:val="auto"/>
              </w:rPr>
            </w:pP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45,789</w:t>
            </w:r>
          </w:p>
        </w:tc>
        <w:tc>
          <w:tcPr>
            <w:tcW w:w="240" w:type="dxa"/>
            <w:vAlign w:val="bottom"/>
          </w:tcPr>
          <w:p>
            <w:pPr>
              <w:spacing w:after="0"/>
              <w:rPr>
                <w:sz w:val="15"/>
                <w:szCs w:val="15"/>
                <w:color w:val="auto"/>
              </w:rPr>
            </w:pPr>
          </w:p>
        </w:tc>
        <w:tc>
          <w:tcPr>
            <w:tcW w:w="11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36</w:t>
            </w:r>
          </w:p>
        </w:tc>
        <w:tc>
          <w:tcPr>
            <w:tcW w:w="800" w:type="dxa"/>
            <w:vAlign w:val="bottom"/>
          </w:tcPr>
          <w:p>
            <w:pPr>
              <w:spacing w:after="0"/>
              <w:rPr>
                <w:sz w:val="15"/>
                <w:szCs w:val="15"/>
                <w:color w:val="auto"/>
              </w:rPr>
            </w:pP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121,618</w:t>
            </w:r>
          </w:p>
        </w:tc>
        <w:tc>
          <w:tcPr>
            <w:tcW w:w="240" w:type="dxa"/>
            <w:vAlign w:val="bottom"/>
          </w:tcPr>
          <w:p>
            <w:pPr>
              <w:spacing w:after="0"/>
              <w:rPr>
                <w:sz w:val="15"/>
                <w:szCs w:val="15"/>
                <w:color w:val="auto"/>
              </w:rPr>
            </w:pPr>
          </w:p>
        </w:tc>
        <w:tc>
          <w:tcPr>
            <w:tcW w:w="10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335</w:t>
            </w:r>
          </w:p>
        </w:tc>
      </w:tr>
      <w:tr>
        <w:trPr>
          <w:trHeight w:val="180"/>
        </w:trPr>
        <w:tc>
          <w:tcPr>
            <w:tcW w:w="51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Provision for doubtful accounts...................</w:t>
            </w:r>
          </w:p>
        </w:tc>
        <w:tc>
          <w:tcPr>
            <w:tcW w:w="720" w:type="dxa"/>
            <w:vAlign w:val="bottom"/>
          </w:tcPr>
          <w:p>
            <w:pPr>
              <w:spacing w:after="0"/>
              <w:rPr>
                <w:sz w:val="15"/>
                <w:szCs w:val="15"/>
                <w:color w:val="auto"/>
              </w:rPr>
            </w:pP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5,564</w:t>
            </w:r>
          </w:p>
        </w:tc>
        <w:tc>
          <w:tcPr>
            <w:tcW w:w="240" w:type="dxa"/>
            <w:vAlign w:val="bottom"/>
          </w:tcPr>
          <w:p>
            <w:pPr>
              <w:spacing w:after="0"/>
              <w:rPr>
                <w:sz w:val="15"/>
                <w:szCs w:val="15"/>
                <w:color w:val="auto"/>
              </w:rPr>
            </w:pPr>
          </w:p>
        </w:tc>
        <w:tc>
          <w:tcPr>
            <w:tcW w:w="11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5"/>
                <w:szCs w:val="15"/>
                <w:color w:val="auto"/>
              </w:rPr>
            </w:pP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16,206</w:t>
            </w:r>
          </w:p>
        </w:tc>
        <w:tc>
          <w:tcPr>
            <w:tcW w:w="240" w:type="dxa"/>
            <w:vAlign w:val="bottom"/>
          </w:tcPr>
          <w:p>
            <w:pPr>
              <w:spacing w:after="0"/>
              <w:rPr>
                <w:sz w:val="15"/>
                <w:szCs w:val="15"/>
                <w:color w:val="auto"/>
              </w:rPr>
            </w:pPr>
          </w:p>
        </w:tc>
        <w:tc>
          <w:tcPr>
            <w:tcW w:w="10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180"/>
        </w:trPr>
        <w:tc>
          <w:tcPr>
            <w:tcW w:w="51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Pre-opening costs.................................</w:t>
            </w:r>
          </w:p>
        </w:tc>
        <w:tc>
          <w:tcPr>
            <w:tcW w:w="720" w:type="dxa"/>
            <w:vAlign w:val="bottom"/>
          </w:tcPr>
          <w:p>
            <w:pPr>
              <w:spacing w:after="0"/>
              <w:rPr>
                <w:sz w:val="15"/>
                <w:szCs w:val="15"/>
                <w:color w:val="auto"/>
              </w:rPr>
            </w:pP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8,324</w:t>
            </w:r>
          </w:p>
        </w:tc>
        <w:tc>
          <w:tcPr>
            <w:tcW w:w="240" w:type="dxa"/>
            <w:vAlign w:val="bottom"/>
          </w:tcPr>
          <w:p>
            <w:pPr>
              <w:spacing w:after="0"/>
              <w:rPr>
                <w:sz w:val="15"/>
                <w:szCs w:val="15"/>
                <w:color w:val="auto"/>
              </w:rPr>
            </w:pPr>
          </w:p>
        </w:tc>
        <w:tc>
          <w:tcPr>
            <w:tcW w:w="1160" w:type="dxa"/>
            <w:vAlign w:val="bottom"/>
          </w:tcPr>
          <w:p>
            <w:pPr>
              <w:jc w:val="right"/>
              <w:ind w:right="522"/>
              <w:spacing w:after="0"/>
              <w:rPr>
                <w:sz w:val="20"/>
                <w:szCs w:val="20"/>
                <w:color w:val="auto"/>
              </w:rPr>
            </w:pPr>
            <w:r>
              <w:rPr>
                <w:rFonts w:ascii="Courier New" w:cs="Courier New" w:eastAsia="Courier New" w:hAnsi="Courier New"/>
                <w:sz w:val="16"/>
                <w:szCs w:val="16"/>
                <w:color w:val="auto"/>
                <w:w w:val="93"/>
              </w:rPr>
              <w:t>28,779</w:t>
            </w:r>
          </w:p>
        </w:tc>
        <w:tc>
          <w:tcPr>
            <w:tcW w:w="800" w:type="dxa"/>
            <w:vAlign w:val="bottom"/>
          </w:tcPr>
          <w:p>
            <w:pPr>
              <w:spacing w:after="0"/>
              <w:rPr>
                <w:sz w:val="15"/>
                <w:szCs w:val="15"/>
                <w:color w:val="auto"/>
              </w:rPr>
            </w:pP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96,940</w:t>
            </w:r>
          </w:p>
        </w:tc>
        <w:tc>
          <w:tcPr>
            <w:tcW w:w="240" w:type="dxa"/>
            <w:vAlign w:val="bottom"/>
          </w:tcPr>
          <w:p>
            <w:pPr>
              <w:spacing w:after="0"/>
              <w:rPr>
                <w:sz w:val="15"/>
                <w:szCs w:val="15"/>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81,321</w:t>
            </w:r>
          </w:p>
        </w:tc>
      </w:tr>
      <w:tr>
        <w:trPr>
          <w:trHeight w:val="180"/>
        </w:trPr>
        <w:tc>
          <w:tcPr>
            <w:tcW w:w="51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Depreciation and amortization.....................</w:t>
            </w:r>
          </w:p>
        </w:tc>
        <w:tc>
          <w:tcPr>
            <w:tcW w:w="720" w:type="dxa"/>
            <w:vAlign w:val="bottom"/>
          </w:tcPr>
          <w:p>
            <w:pPr>
              <w:spacing w:after="0"/>
              <w:rPr>
                <w:sz w:val="15"/>
                <w:szCs w:val="15"/>
                <w:color w:val="auto"/>
              </w:rPr>
            </w:pP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35,839</w:t>
            </w:r>
          </w:p>
        </w:tc>
        <w:tc>
          <w:tcPr>
            <w:tcW w:w="240" w:type="dxa"/>
            <w:vAlign w:val="bottom"/>
          </w:tcPr>
          <w:p>
            <w:pPr>
              <w:spacing w:after="0"/>
              <w:rPr>
                <w:sz w:val="15"/>
                <w:szCs w:val="15"/>
                <w:color w:val="auto"/>
              </w:rPr>
            </w:pPr>
          </w:p>
        </w:tc>
        <w:tc>
          <w:tcPr>
            <w:tcW w:w="11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3,252</w:t>
            </w:r>
          </w:p>
        </w:tc>
        <w:tc>
          <w:tcPr>
            <w:tcW w:w="800" w:type="dxa"/>
            <w:vAlign w:val="bottom"/>
          </w:tcPr>
          <w:p>
            <w:pPr>
              <w:spacing w:after="0"/>
              <w:rPr>
                <w:sz w:val="15"/>
                <w:szCs w:val="15"/>
                <w:color w:val="auto"/>
              </w:rPr>
            </w:pP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103,344</w:t>
            </w:r>
          </w:p>
        </w:tc>
        <w:tc>
          <w:tcPr>
            <w:tcW w:w="240" w:type="dxa"/>
            <w:vAlign w:val="bottom"/>
          </w:tcPr>
          <w:p>
            <w:pPr>
              <w:spacing w:after="0"/>
              <w:rPr>
                <w:sz w:val="15"/>
                <w:szCs w:val="15"/>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6,979</w:t>
            </w:r>
          </w:p>
        </w:tc>
      </w:tr>
      <w:tr>
        <w:trPr>
          <w:trHeight w:val="180"/>
        </w:trPr>
        <w:tc>
          <w:tcPr>
            <w:tcW w:w="51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Property charges and other........................</w:t>
            </w:r>
          </w:p>
        </w:tc>
        <w:tc>
          <w:tcPr>
            <w:tcW w:w="720" w:type="dxa"/>
            <w:vAlign w:val="bottom"/>
          </w:tcPr>
          <w:p>
            <w:pPr>
              <w:spacing w:after="0"/>
              <w:rPr>
                <w:sz w:val="15"/>
                <w:szCs w:val="15"/>
                <w:color w:val="auto"/>
              </w:rPr>
            </w:pP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8,144</w:t>
            </w:r>
          </w:p>
        </w:tc>
        <w:tc>
          <w:tcPr>
            <w:tcW w:w="240" w:type="dxa"/>
            <w:vAlign w:val="bottom"/>
          </w:tcPr>
          <w:p>
            <w:pPr>
              <w:spacing w:after="0"/>
              <w:rPr>
                <w:sz w:val="15"/>
                <w:szCs w:val="15"/>
                <w:color w:val="auto"/>
              </w:rPr>
            </w:pPr>
          </w:p>
        </w:tc>
        <w:tc>
          <w:tcPr>
            <w:tcW w:w="11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(10)</w:t>
            </w:r>
          </w:p>
        </w:tc>
        <w:tc>
          <w:tcPr>
            <w:tcW w:w="800" w:type="dxa"/>
            <w:vAlign w:val="bottom"/>
          </w:tcPr>
          <w:p>
            <w:pPr>
              <w:spacing w:after="0"/>
              <w:rPr>
                <w:sz w:val="15"/>
                <w:szCs w:val="15"/>
                <w:color w:val="auto"/>
              </w:rPr>
            </w:pP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14,297</w:t>
            </w:r>
          </w:p>
        </w:tc>
        <w:tc>
          <w:tcPr>
            <w:tcW w:w="240" w:type="dxa"/>
            <w:vAlign w:val="bottom"/>
          </w:tcPr>
          <w:p>
            <w:pPr>
              <w:spacing w:after="0"/>
              <w:rPr>
                <w:sz w:val="15"/>
                <w:szCs w:val="15"/>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1,290</w:t>
            </w:r>
          </w:p>
        </w:tc>
      </w:tr>
      <w:tr>
        <w:trPr>
          <w:trHeight w:val="180"/>
        </w:trPr>
        <w:tc>
          <w:tcPr>
            <w:tcW w:w="5100" w:type="dxa"/>
            <w:vAlign w:val="bottom"/>
          </w:tcPr>
          <w:p>
            <w:pPr>
              <w:spacing w:after="0"/>
              <w:rPr>
                <w:sz w:val="15"/>
                <w:szCs w:val="15"/>
                <w:color w:val="auto"/>
              </w:rPr>
            </w:pPr>
          </w:p>
        </w:tc>
        <w:tc>
          <w:tcPr>
            <w:tcW w:w="1700" w:type="dxa"/>
            <w:vAlign w:val="bottom"/>
            <w:gridSpan w:val="2"/>
          </w:tcPr>
          <w:p>
            <w:pPr>
              <w:jc w:val="center"/>
              <w:ind w:left="81"/>
              <w:spacing w:after="0"/>
              <w:rPr>
                <w:sz w:val="20"/>
                <w:szCs w:val="20"/>
                <w:color w:val="auto"/>
              </w:rPr>
            </w:pPr>
            <w:r>
              <w:rPr>
                <w:rFonts w:ascii="Courier New" w:cs="Courier New" w:eastAsia="Courier New" w:hAnsi="Courier New"/>
                <w:sz w:val="11"/>
                <w:szCs w:val="11"/>
                <w:color w:val="auto"/>
                <w:w w:val="71"/>
              </w:rPr>
              <w:t>---------------------------------</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3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1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Total operating costs and expenses...........</w:t>
            </w:r>
          </w:p>
        </w:tc>
        <w:tc>
          <w:tcPr>
            <w:tcW w:w="720" w:type="dxa"/>
            <w:vAlign w:val="bottom"/>
          </w:tcPr>
          <w:p>
            <w:pPr>
              <w:spacing w:after="0"/>
              <w:rPr>
                <w:sz w:val="15"/>
                <w:szCs w:val="15"/>
                <w:color w:val="auto"/>
              </w:rPr>
            </w:pP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253,045</w:t>
            </w:r>
          </w:p>
        </w:tc>
        <w:tc>
          <w:tcPr>
            <w:tcW w:w="240" w:type="dxa"/>
            <w:vAlign w:val="bottom"/>
          </w:tcPr>
          <w:p>
            <w:pPr>
              <w:spacing w:after="0"/>
              <w:rPr>
                <w:sz w:val="15"/>
                <w:szCs w:val="15"/>
                <w:color w:val="auto"/>
              </w:rPr>
            </w:pPr>
          </w:p>
        </w:tc>
        <w:tc>
          <w:tcPr>
            <w:tcW w:w="1160" w:type="dxa"/>
            <w:vAlign w:val="bottom"/>
          </w:tcPr>
          <w:p>
            <w:pPr>
              <w:jc w:val="right"/>
              <w:ind w:right="522"/>
              <w:spacing w:after="0"/>
              <w:rPr>
                <w:sz w:val="20"/>
                <w:szCs w:val="20"/>
                <w:color w:val="auto"/>
              </w:rPr>
            </w:pPr>
            <w:r>
              <w:rPr>
                <w:rFonts w:ascii="Courier New" w:cs="Courier New" w:eastAsia="Courier New" w:hAnsi="Courier New"/>
                <w:sz w:val="16"/>
                <w:szCs w:val="16"/>
                <w:color w:val="auto"/>
                <w:w w:val="93"/>
              </w:rPr>
              <w:t>32,057</w:t>
            </w:r>
          </w:p>
        </w:tc>
        <w:tc>
          <w:tcPr>
            <w:tcW w:w="800" w:type="dxa"/>
            <w:vAlign w:val="bottom"/>
          </w:tcPr>
          <w:p>
            <w:pPr>
              <w:spacing w:after="0"/>
              <w:rPr>
                <w:sz w:val="15"/>
                <w:szCs w:val="15"/>
                <w:color w:val="auto"/>
              </w:rPr>
            </w:pP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750,506</w:t>
            </w:r>
          </w:p>
        </w:tc>
        <w:tc>
          <w:tcPr>
            <w:tcW w:w="240" w:type="dxa"/>
            <w:vAlign w:val="bottom"/>
          </w:tcPr>
          <w:p>
            <w:pPr>
              <w:spacing w:after="0"/>
              <w:rPr>
                <w:sz w:val="15"/>
                <w:szCs w:val="15"/>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89,993</w:t>
            </w:r>
          </w:p>
        </w:tc>
      </w:tr>
      <w:tr>
        <w:trPr>
          <w:trHeight w:val="361"/>
        </w:trPr>
        <w:tc>
          <w:tcPr>
            <w:tcW w:w="51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7"/>
              </w:rPr>
              <w:t>Equity in income from unconsolidated affiliates......</w:t>
            </w:r>
          </w:p>
        </w:tc>
        <w:tc>
          <w:tcPr>
            <w:tcW w:w="720" w:type="dxa"/>
            <w:vAlign w:val="bottom"/>
          </w:tcPr>
          <w:p>
            <w:pPr>
              <w:spacing w:after="0"/>
              <w:rPr>
                <w:sz w:val="24"/>
                <w:szCs w:val="24"/>
                <w:color w:val="auto"/>
              </w:rPr>
            </w:pP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617</w:t>
            </w:r>
          </w:p>
        </w:tc>
        <w:tc>
          <w:tcPr>
            <w:tcW w:w="240" w:type="dxa"/>
            <w:vAlign w:val="bottom"/>
          </w:tcPr>
          <w:p>
            <w:pPr>
              <w:spacing w:after="0"/>
              <w:rPr>
                <w:sz w:val="24"/>
                <w:szCs w:val="24"/>
                <w:color w:val="auto"/>
              </w:rPr>
            </w:pPr>
          </w:p>
        </w:tc>
        <w:tc>
          <w:tcPr>
            <w:tcW w:w="11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24"/>
                <w:szCs w:val="24"/>
                <w:color w:val="auto"/>
              </w:rPr>
            </w:pP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1,331</w:t>
            </w:r>
          </w:p>
        </w:tc>
        <w:tc>
          <w:tcPr>
            <w:tcW w:w="240" w:type="dxa"/>
            <w:vAlign w:val="bottom"/>
          </w:tcPr>
          <w:p>
            <w:pPr>
              <w:spacing w:after="0"/>
              <w:rPr>
                <w:sz w:val="24"/>
                <w:szCs w:val="24"/>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r>
      <w:tr>
        <w:trPr>
          <w:trHeight w:val="180"/>
        </w:trPr>
        <w:tc>
          <w:tcPr>
            <w:tcW w:w="5100" w:type="dxa"/>
            <w:vAlign w:val="bottom"/>
          </w:tcPr>
          <w:p>
            <w:pPr>
              <w:spacing w:after="0"/>
              <w:rPr>
                <w:sz w:val="15"/>
                <w:szCs w:val="15"/>
                <w:color w:val="auto"/>
              </w:rPr>
            </w:pPr>
          </w:p>
        </w:tc>
        <w:tc>
          <w:tcPr>
            <w:tcW w:w="1700" w:type="dxa"/>
            <w:vAlign w:val="bottom"/>
            <w:gridSpan w:val="2"/>
          </w:tcPr>
          <w:p>
            <w:pPr>
              <w:jc w:val="center"/>
              <w:ind w:left="81"/>
              <w:spacing w:after="0"/>
              <w:rPr>
                <w:sz w:val="20"/>
                <w:szCs w:val="20"/>
                <w:color w:val="auto"/>
              </w:rPr>
            </w:pPr>
            <w:r>
              <w:rPr>
                <w:rFonts w:ascii="Courier New" w:cs="Courier New" w:eastAsia="Courier New" w:hAnsi="Courier New"/>
                <w:sz w:val="11"/>
                <w:szCs w:val="11"/>
                <w:color w:val="auto"/>
                <w:w w:val="71"/>
              </w:rPr>
              <w:t>---------------------------------</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3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1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7"/>
              </w:rPr>
              <w:t>Operating income (loss)..............................</w:t>
            </w:r>
          </w:p>
        </w:tc>
        <w:tc>
          <w:tcPr>
            <w:tcW w:w="720" w:type="dxa"/>
            <w:vAlign w:val="bottom"/>
          </w:tcPr>
          <w:p>
            <w:pPr>
              <w:spacing w:after="0"/>
              <w:rPr>
                <w:sz w:val="24"/>
                <w:szCs w:val="24"/>
                <w:color w:val="auto"/>
              </w:rPr>
            </w:pP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16,992</w:t>
            </w:r>
          </w:p>
        </w:tc>
        <w:tc>
          <w:tcPr>
            <w:tcW w:w="140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(32,057)</w:t>
            </w:r>
          </w:p>
        </w:tc>
        <w:tc>
          <w:tcPr>
            <w:tcW w:w="800" w:type="dxa"/>
            <w:vAlign w:val="bottom"/>
          </w:tcPr>
          <w:p>
            <w:pPr>
              <w:spacing w:after="0"/>
              <w:rPr>
                <w:sz w:val="24"/>
                <w:szCs w:val="24"/>
                <w:color w:val="auto"/>
              </w:rPr>
            </w:pP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(27,194)</w:t>
            </w:r>
          </w:p>
        </w:tc>
        <w:tc>
          <w:tcPr>
            <w:tcW w:w="240" w:type="dxa"/>
            <w:vAlign w:val="bottom"/>
          </w:tcPr>
          <w:p>
            <w:pPr>
              <w:spacing w:after="0"/>
              <w:rPr>
                <w:sz w:val="24"/>
                <w:szCs w:val="24"/>
                <w:color w:val="auto"/>
              </w:rPr>
            </w:pPr>
          </w:p>
        </w:tc>
        <w:tc>
          <w:tcPr>
            <w:tcW w:w="1020" w:type="dxa"/>
            <w:vAlign w:val="bottom"/>
          </w:tcPr>
          <w:p>
            <w:pPr>
              <w:jc w:val="right"/>
              <w:ind w:right="182"/>
              <w:spacing w:after="0"/>
              <w:rPr>
                <w:sz w:val="20"/>
                <w:szCs w:val="20"/>
                <w:color w:val="auto"/>
              </w:rPr>
            </w:pPr>
            <w:r>
              <w:rPr>
                <w:rFonts w:ascii="Courier New" w:cs="Courier New" w:eastAsia="Courier New" w:hAnsi="Courier New"/>
                <w:sz w:val="16"/>
                <w:szCs w:val="16"/>
                <w:color w:val="auto"/>
                <w:w w:val="96"/>
              </w:rPr>
              <w:t>(89,798)</w:t>
            </w:r>
          </w:p>
        </w:tc>
      </w:tr>
      <w:tr>
        <w:trPr>
          <w:trHeight w:val="180"/>
        </w:trPr>
        <w:tc>
          <w:tcPr>
            <w:tcW w:w="5100" w:type="dxa"/>
            <w:vAlign w:val="bottom"/>
          </w:tcPr>
          <w:p>
            <w:pPr>
              <w:spacing w:after="0"/>
              <w:rPr>
                <w:sz w:val="15"/>
                <w:szCs w:val="15"/>
                <w:color w:val="auto"/>
              </w:rPr>
            </w:pPr>
          </w:p>
        </w:tc>
        <w:tc>
          <w:tcPr>
            <w:tcW w:w="1700" w:type="dxa"/>
            <w:vAlign w:val="bottom"/>
            <w:gridSpan w:val="2"/>
          </w:tcPr>
          <w:p>
            <w:pPr>
              <w:jc w:val="center"/>
              <w:ind w:left="81"/>
              <w:spacing w:after="0"/>
              <w:rPr>
                <w:sz w:val="20"/>
                <w:szCs w:val="20"/>
                <w:color w:val="auto"/>
              </w:rPr>
            </w:pPr>
            <w:r>
              <w:rPr>
                <w:rFonts w:ascii="Courier New" w:cs="Courier New" w:eastAsia="Courier New" w:hAnsi="Courier New"/>
                <w:sz w:val="11"/>
                <w:szCs w:val="11"/>
                <w:color w:val="auto"/>
                <w:w w:val="71"/>
              </w:rPr>
              <w:t>---------------------------------</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3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bl>
    <w:p>
      <w:pPr>
        <w:sectPr>
          <w:pgSz w:w="11900" w:h="16908" w:orient="portrait"/>
          <w:cols w:equalWidth="0" w:num="1">
            <w:col w:w="11520"/>
          </w:cols>
          <w:pgMar w:left="240" w:top="142" w:right="1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100" w:type="dxa"/>
            <w:vAlign w:val="bottom"/>
          </w:tcPr>
          <w:p>
            <w:pPr>
              <w:spacing w:after="0"/>
              <w:rPr>
                <w:sz w:val="20"/>
                <w:szCs w:val="20"/>
                <w:color w:val="auto"/>
              </w:rPr>
            </w:pPr>
            <w:r>
              <w:rPr>
                <w:rFonts w:ascii="Courier New" w:cs="Courier New" w:eastAsia="Courier New" w:hAnsi="Courier New"/>
                <w:sz w:val="16"/>
                <w:szCs w:val="16"/>
                <w:color w:val="auto"/>
              </w:rPr>
              <w:t>Other income/(expense):</w:t>
            </w: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5100" w:type="dxa"/>
            <w:vAlign w:val="bottom"/>
          </w:tcPr>
          <w:p>
            <w:pPr>
              <w:ind w:left="280"/>
              <w:spacing w:after="0"/>
              <w:rPr>
                <w:sz w:val="20"/>
                <w:szCs w:val="20"/>
                <w:color w:val="auto"/>
              </w:rPr>
            </w:pPr>
            <w:r>
              <w:rPr>
                <w:rFonts w:ascii="Courier New" w:cs="Courier New" w:eastAsia="Courier New" w:hAnsi="Courier New"/>
                <w:sz w:val="16"/>
                <w:szCs w:val="16"/>
                <w:color w:val="auto"/>
                <w:w w:val="99"/>
              </w:rPr>
              <w:t>Interest income...................................</w:t>
            </w:r>
          </w:p>
        </w:tc>
        <w:tc>
          <w:tcPr>
            <w:tcW w:w="80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7,635</w:t>
            </w:r>
          </w:p>
        </w:tc>
        <w:tc>
          <w:tcPr>
            <w:tcW w:w="140" w:type="dxa"/>
            <w:vAlign w:val="bottom"/>
          </w:tcPr>
          <w:p>
            <w:pPr>
              <w:spacing w:after="0"/>
              <w:rPr>
                <w:sz w:val="15"/>
                <w:szCs w:val="15"/>
                <w:color w:val="auto"/>
              </w:rPr>
            </w:pPr>
          </w:p>
        </w:tc>
        <w:tc>
          <w:tcPr>
            <w:tcW w:w="170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3,658</w:t>
            </w:r>
          </w:p>
        </w:tc>
        <w:tc>
          <w:tcPr>
            <w:tcW w:w="56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28,267</w:t>
            </w:r>
          </w:p>
        </w:tc>
        <w:tc>
          <w:tcPr>
            <w:tcW w:w="180" w:type="dxa"/>
            <w:vAlign w:val="bottom"/>
          </w:tcPr>
          <w:p>
            <w:pPr>
              <w:spacing w:after="0"/>
              <w:rPr>
                <w:sz w:val="15"/>
                <w:szCs w:val="15"/>
                <w:color w:val="auto"/>
              </w:rPr>
            </w:pPr>
          </w:p>
        </w:tc>
        <w:tc>
          <w:tcPr>
            <w:tcW w:w="11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8,633</w:t>
            </w:r>
          </w:p>
        </w:tc>
      </w:tr>
      <w:tr>
        <w:trPr>
          <w:trHeight w:val="180"/>
        </w:trPr>
        <w:tc>
          <w:tcPr>
            <w:tcW w:w="5100" w:type="dxa"/>
            <w:vAlign w:val="bottom"/>
          </w:tcPr>
          <w:p>
            <w:pPr>
              <w:ind w:left="280"/>
              <w:spacing w:after="0"/>
              <w:rPr>
                <w:sz w:val="20"/>
                <w:szCs w:val="20"/>
                <w:color w:val="auto"/>
              </w:rPr>
            </w:pPr>
            <w:r>
              <w:rPr>
                <w:rFonts w:ascii="Courier New" w:cs="Courier New" w:eastAsia="Courier New" w:hAnsi="Courier New"/>
                <w:sz w:val="16"/>
                <w:szCs w:val="16"/>
                <w:color w:val="auto"/>
                <w:w w:val="99"/>
              </w:rPr>
              <w:t>Interest expense, net.............................</w:t>
            </w:r>
          </w:p>
        </w:tc>
        <w:tc>
          <w:tcPr>
            <w:tcW w:w="8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6"/>
              </w:rPr>
              <w:t>(36,066)</w:t>
            </w:r>
          </w:p>
        </w:tc>
        <w:tc>
          <w:tcPr>
            <w:tcW w:w="140" w:type="dxa"/>
            <w:vAlign w:val="bottom"/>
          </w:tcPr>
          <w:p>
            <w:pPr>
              <w:spacing w:after="0"/>
              <w:rPr>
                <w:sz w:val="15"/>
                <w:szCs w:val="15"/>
                <w:color w:val="auto"/>
              </w:rPr>
            </w:pPr>
          </w:p>
        </w:tc>
        <w:tc>
          <w:tcPr>
            <w:tcW w:w="1700" w:type="dxa"/>
            <w:vAlign w:val="bottom"/>
          </w:tcPr>
          <w:p>
            <w:pPr>
              <w:jc w:val="right"/>
              <w:ind w:right="782"/>
              <w:spacing w:after="0"/>
              <w:rPr>
                <w:sz w:val="20"/>
                <w:szCs w:val="20"/>
                <w:color w:val="auto"/>
              </w:rPr>
            </w:pPr>
            <w:r>
              <w:rPr>
                <w:rFonts w:ascii="Courier New" w:cs="Courier New" w:eastAsia="Courier New" w:hAnsi="Courier New"/>
                <w:sz w:val="16"/>
                <w:szCs w:val="16"/>
                <w:color w:val="auto"/>
              </w:rPr>
              <w:t>(2,154)</w:t>
            </w:r>
          </w:p>
        </w:tc>
        <w:tc>
          <w:tcPr>
            <w:tcW w:w="560" w:type="dxa"/>
            <w:vAlign w:val="bottom"/>
          </w:tcPr>
          <w:p>
            <w:pPr>
              <w:spacing w:after="0"/>
              <w:rPr>
                <w:sz w:val="15"/>
                <w:szCs w:val="15"/>
                <w:color w:val="auto"/>
              </w:rPr>
            </w:pP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(99,491)</w:t>
            </w:r>
          </w:p>
        </w:tc>
        <w:tc>
          <w:tcPr>
            <w:tcW w:w="180" w:type="dxa"/>
            <w:vAlign w:val="bottom"/>
          </w:tcPr>
          <w:p>
            <w:pPr>
              <w:spacing w:after="0"/>
              <w:rPr>
                <w:sz w:val="15"/>
                <w:szCs w:val="15"/>
                <w:color w:val="auto"/>
              </w:rPr>
            </w:pPr>
          </w:p>
        </w:tc>
        <w:tc>
          <w:tcPr>
            <w:tcW w:w="112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(2,687)</w:t>
            </w:r>
          </w:p>
        </w:tc>
      </w:tr>
      <w:tr>
        <w:trPr>
          <w:trHeight w:val="180"/>
        </w:trPr>
        <w:tc>
          <w:tcPr>
            <w:tcW w:w="5100" w:type="dxa"/>
            <w:vAlign w:val="bottom"/>
          </w:tcPr>
          <w:p>
            <w:pPr>
              <w:ind w:left="280"/>
              <w:spacing w:after="0"/>
              <w:rPr>
                <w:sz w:val="20"/>
                <w:szCs w:val="20"/>
                <w:color w:val="auto"/>
              </w:rPr>
            </w:pPr>
            <w:r>
              <w:rPr>
                <w:rFonts w:ascii="Courier New" w:cs="Courier New" w:eastAsia="Courier New" w:hAnsi="Courier New"/>
                <w:sz w:val="16"/>
                <w:szCs w:val="16"/>
                <w:color w:val="auto"/>
                <w:w w:val="99"/>
              </w:rPr>
              <w:t>Loss on early extinguishment of debt..............</w:t>
            </w:r>
          </w:p>
        </w:tc>
        <w:tc>
          <w:tcPr>
            <w:tcW w:w="80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700" w:type="dxa"/>
            <w:vAlign w:val="bottom"/>
          </w:tcPr>
          <w:p>
            <w:pPr>
              <w:jc w:val="right"/>
              <w:ind w:right="782"/>
              <w:spacing w:after="0"/>
              <w:rPr>
                <w:sz w:val="20"/>
                <w:szCs w:val="20"/>
                <w:color w:val="auto"/>
              </w:rPr>
            </w:pPr>
            <w:r>
              <w:rPr>
                <w:rFonts w:ascii="Courier New" w:cs="Courier New" w:eastAsia="Courier New" w:hAnsi="Courier New"/>
                <w:sz w:val="16"/>
                <w:szCs w:val="16"/>
                <w:color w:val="auto"/>
              </w:rPr>
              <w:t>(97,160)</w:t>
            </w:r>
          </w:p>
        </w:tc>
        <w:tc>
          <w:tcPr>
            <w:tcW w:w="56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120" w:type="dxa"/>
            <w:vAlign w:val="bottom"/>
          </w:tcPr>
          <w:p>
            <w:pPr>
              <w:jc w:val="right"/>
              <w:ind w:right="182"/>
              <w:spacing w:after="0"/>
              <w:rPr>
                <w:sz w:val="20"/>
                <w:szCs w:val="20"/>
                <w:color w:val="auto"/>
              </w:rPr>
            </w:pPr>
            <w:r>
              <w:rPr>
                <w:rFonts w:ascii="Courier New" w:cs="Courier New" w:eastAsia="Courier New" w:hAnsi="Courier New"/>
                <w:sz w:val="16"/>
                <w:szCs w:val="16"/>
                <w:color w:val="auto"/>
                <w:w w:val="97"/>
              </w:rPr>
              <w:t>(122,788)</w:t>
            </w:r>
          </w:p>
        </w:tc>
      </w:tr>
      <w:tr>
        <w:trPr>
          <w:trHeight w:val="180"/>
        </w:trPr>
        <w:tc>
          <w:tcPr>
            <w:tcW w:w="5100" w:type="dxa"/>
            <w:vAlign w:val="bottom"/>
          </w:tcPr>
          <w:p>
            <w:pPr>
              <w:spacing w:after="0"/>
              <w:rPr>
                <w:sz w:val="15"/>
                <w:szCs w:val="15"/>
                <w:color w:val="auto"/>
              </w:rPr>
            </w:pPr>
          </w:p>
        </w:tc>
        <w:tc>
          <w:tcPr>
            <w:tcW w:w="1600" w:type="dxa"/>
            <w:vAlign w:val="bottom"/>
            <w:gridSpan w:val="2"/>
          </w:tcPr>
          <w:p>
            <w:pPr>
              <w:ind w:left="140"/>
              <w:spacing w:after="0"/>
              <w:rPr>
                <w:sz w:val="20"/>
                <w:szCs w:val="20"/>
                <w:color w:val="auto"/>
              </w:rPr>
            </w:pPr>
            <w:r>
              <w:rPr>
                <w:rFonts w:ascii="Courier New" w:cs="Courier New" w:eastAsia="Courier New" w:hAnsi="Courier New"/>
                <w:sz w:val="10"/>
                <w:szCs w:val="10"/>
                <w:color w:val="auto"/>
                <w:w w:val="72"/>
              </w:rPr>
              <w:t>---------------------------------</w:t>
            </w: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980" w:type="dxa"/>
            <w:vAlign w:val="bottom"/>
            <w:gridSpan w:val="4"/>
          </w:tcPr>
          <w:p>
            <w:pPr>
              <w:ind w:left="180"/>
              <w:spacing w:after="0"/>
              <w:rPr>
                <w:sz w:val="20"/>
                <w:szCs w:val="20"/>
                <w:color w:val="auto"/>
              </w:rPr>
            </w:pPr>
            <w:r>
              <w:rPr>
                <w:rFonts w:ascii="Courier New" w:cs="Courier New" w:eastAsia="Courier New" w:hAnsi="Courier New"/>
                <w:sz w:val="16"/>
                <w:szCs w:val="16"/>
                <w:color w:val="auto"/>
                <w:w w:val="96"/>
              </w:rPr>
              <w:t>------------------------------</w:t>
            </w:r>
          </w:p>
        </w:tc>
      </w:tr>
      <w:tr>
        <w:trPr>
          <w:trHeight w:val="180"/>
        </w:trPr>
        <w:tc>
          <w:tcPr>
            <w:tcW w:w="51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Other income (expense), net..................</w:t>
            </w:r>
          </w:p>
        </w:tc>
        <w:tc>
          <w:tcPr>
            <w:tcW w:w="8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6"/>
              </w:rPr>
              <w:t>(28,431)</w:t>
            </w:r>
          </w:p>
        </w:tc>
        <w:tc>
          <w:tcPr>
            <w:tcW w:w="140" w:type="dxa"/>
            <w:vAlign w:val="bottom"/>
          </w:tcPr>
          <w:p>
            <w:pPr>
              <w:spacing w:after="0"/>
              <w:rPr>
                <w:sz w:val="15"/>
                <w:szCs w:val="15"/>
                <w:color w:val="auto"/>
              </w:rPr>
            </w:pPr>
          </w:p>
        </w:tc>
        <w:tc>
          <w:tcPr>
            <w:tcW w:w="1700" w:type="dxa"/>
            <w:vAlign w:val="bottom"/>
          </w:tcPr>
          <w:p>
            <w:pPr>
              <w:jc w:val="right"/>
              <w:ind w:right="782"/>
              <w:spacing w:after="0"/>
              <w:rPr>
                <w:sz w:val="20"/>
                <w:szCs w:val="20"/>
                <w:color w:val="auto"/>
              </w:rPr>
            </w:pPr>
            <w:r>
              <w:rPr>
                <w:rFonts w:ascii="Courier New" w:cs="Courier New" w:eastAsia="Courier New" w:hAnsi="Courier New"/>
                <w:sz w:val="16"/>
                <w:szCs w:val="16"/>
                <w:color w:val="auto"/>
              </w:rPr>
              <w:t>(95,656)</w:t>
            </w:r>
          </w:p>
        </w:tc>
        <w:tc>
          <w:tcPr>
            <w:tcW w:w="560" w:type="dxa"/>
            <w:vAlign w:val="bottom"/>
          </w:tcPr>
          <w:p>
            <w:pPr>
              <w:spacing w:after="0"/>
              <w:rPr>
                <w:sz w:val="15"/>
                <w:szCs w:val="15"/>
                <w:color w:val="auto"/>
              </w:rPr>
            </w:pP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(71,224)</w:t>
            </w:r>
          </w:p>
        </w:tc>
        <w:tc>
          <w:tcPr>
            <w:tcW w:w="180" w:type="dxa"/>
            <w:vAlign w:val="bottom"/>
          </w:tcPr>
          <w:p>
            <w:pPr>
              <w:spacing w:after="0"/>
              <w:rPr>
                <w:sz w:val="15"/>
                <w:szCs w:val="15"/>
                <w:color w:val="auto"/>
              </w:rPr>
            </w:pPr>
          </w:p>
        </w:tc>
        <w:tc>
          <w:tcPr>
            <w:tcW w:w="1120" w:type="dxa"/>
            <w:vAlign w:val="bottom"/>
          </w:tcPr>
          <w:p>
            <w:pPr>
              <w:jc w:val="right"/>
              <w:ind w:right="182"/>
              <w:spacing w:after="0"/>
              <w:rPr>
                <w:sz w:val="20"/>
                <w:szCs w:val="20"/>
                <w:color w:val="auto"/>
              </w:rPr>
            </w:pPr>
            <w:r>
              <w:rPr>
                <w:rFonts w:ascii="Courier New" w:cs="Courier New" w:eastAsia="Courier New" w:hAnsi="Courier New"/>
                <w:sz w:val="16"/>
                <w:szCs w:val="16"/>
                <w:color w:val="auto"/>
                <w:w w:val="97"/>
              </w:rPr>
              <w:t>(116,842)</w:t>
            </w:r>
          </w:p>
        </w:tc>
      </w:tr>
      <w:tr>
        <w:trPr>
          <w:trHeight w:val="180"/>
        </w:trPr>
        <w:tc>
          <w:tcPr>
            <w:tcW w:w="5100" w:type="dxa"/>
            <w:vAlign w:val="bottom"/>
          </w:tcPr>
          <w:p>
            <w:pPr>
              <w:spacing w:after="0"/>
              <w:rPr>
                <w:sz w:val="15"/>
                <w:szCs w:val="15"/>
                <w:color w:val="auto"/>
              </w:rPr>
            </w:pPr>
          </w:p>
        </w:tc>
        <w:tc>
          <w:tcPr>
            <w:tcW w:w="1600" w:type="dxa"/>
            <w:vAlign w:val="bottom"/>
            <w:gridSpan w:val="2"/>
          </w:tcPr>
          <w:p>
            <w:pPr>
              <w:ind w:left="140"/>
              <w:spacing w:after="0"/>
              <w:rPr>
                <w:sz w:val="20"/>
                <w:szCs w:val="20"/>
                <w:color w:val="auto"/>
              </w:rPr>
            </w:pPr>
            <w:r>
              <w:rPr>
                <w:rFonts w:ascii="Courier New" w:cs="Courier New" w:eastAsia="Courier New" w:hAnsi="Courier New"/>
                <w:sz w:val="10"/>
                <w:szCs w:val="10"/>
                <w:color w:val="auto"/>
                <w:w w:val="72"/>
              </w:rPr>
              <w:t>---------------------------------</w:t>
            </w: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980" w:type="dxa"/>
            <w:vAlign w:val="bottom"/>
            <w:gridSpan w:val="4"/>
          </w:tcPr>
          <w:p>
            <w:pPr>
              <w:ind w:left="180"/>
              <w:spacing w:after="0"/>
              <w:rPr>
                <w:sz w:val="20"/>
                <w:szCs w:val="20"/>
                <w:color w:val="auto"/>
              </w:rPr>
            </w:pPr>
            <w:r>
              <w:rPr>
                <w:rFonts w:ascii="Courier New" w:cs="Courier New" w:eastAsia="Courier New" w:hAnsi="Courier New"/>
                <w:sz w:val="16"/>
                <w:szCs w:val="16"/>
                <w:color w:val="auto"/>
                <w:w w:val="96"/>
              </w:rPr>
              <w:t>------------------------------</w:t>
            </w:r>
          </w:p>
        </w:tc>
      </w:tr>
      <w:tr>
        <w:trPr>
          <w:trHeight w:val="361"/>
        </w:trPr>
        <w:tc>
          <w:tcPr>
            <w:tcW w:w="51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7"/>
              </w:rPr>
              <w:t>Minority interest....................................</w:t>
            </w:r>
          </w:p>
        </w:tc>
        <w:tc>
          <w:tcPr>
            <w:tcW w:w="800" w:type="dxa"/>
            <w:vAlign w:val="bottom"/>
          </w:tcPr>
          <w:p>
            <w:pPr>
              <w:spacing w:after="0"/>
              <w:rPr>
                <w:sz w:val="24"/>
                <w:szCs w:val="24"/>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24"/>
                <w:szCs w:val="24"/>
                <w:color w:val="auto"/>
              </w:rPr>
            </w:pPr>
          </w:p>
        </w:tc>
        <w:tc>
          <w:tcPr>
            <w:tcW w:w="170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24"/>
                <w:szCs w:val="24"/>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24"/>
                <w:szCs w:val="24"/>
                <w:color w:val="auto"/>
              </w:rPr>
            </w:pPr>
          </w:p>
        </w:tc>
        <w:tc>
          <w:tcPr>
            <w:tcW w:w="11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1,054</w:t>
            </w:r>
          </w:p>
        </w:tc>
      </w:tr>
      <w:tr>
        <w:trPr>
          <w:trHeight w:val="180"/>
        </w:trPr>
        <w:tc>
          <w:tcPr>
            <w:tcW w:w="5100" w:type="dxa"/>
            <w:vAlign w:val="bottom"/>
          </w:tcPr>
          <w:p>
            <w:pPr>
              <w:spacing w:after="0"/>
              <w:rPr>
                <w:sz w:val="15"/>
                <w:szCs w:val="15"/>
                <w:color w:val="auto"/>
              </w:rPr>
            </w:pPr>
          </w:p>
        </w:tc>
        <w:tc>
          <w:tcPr>
            <w:tcW w:w="1600" w:type="dxa"/>
            <w:vAlign w:val="bottom"/>
            <w:gridSpan w:val="2"/>
          </w:tcPr>
          <w:p>
            <w:pPr>
              <w:ind w:left="140"/>
              <w:spacing w:after="0"/>
              <w:rPr>
                <w:sz w:val="20"/>
                <w:szCs w:val="20"/>
                <w:color w:val="auto"/>
              </w:rPr>
            </w:pPr>
            <w:r>
              <w:rPr>
                <w:rFonts w:ascii="Courier New" w:cs="Courier New" w:eastAsia="Courier New" w:hAnsi="Courier New"/>
                <w:sz w:val="10"/>
                <w:szCs w:val="10"/>
                <w:color w:val="auto"/>
                <w:w w:val="72"/>
              </w:rPr>
              <w:t>---------------------------------</w:t>
            </w: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980" w:type="dxa"/>
            <w:vAlign w:val="bottom"/>
            <w:gridSpan w:val="4"/>
          </w:tcPr>
          <w:p>
            <w:pPr>
              <w:ind w:left="180"/>
              <w:spacing w:after="0"/>
              <w:rPr>
                <w:sz w:val="20"/>
                <w:szCs w:val="20"/>
                <w:color w:val="auto"/>
              </w:rPr>
            </w:pPr>
            <w:r>
              <w:rPr>
                <w:rFonts w:ascii="Courier New" w:cs="Courier New" w:eastAsia="Courier New" w:hAnsi="Courier New"/>
                <w:sz w:val="16"/>
                <w:szCs w:val="16"/>
                <w:color w:val="auto"/>
                <w:w w:val="96"/>
              </w:rPr>
              <w:t>------------------------------</w:t>
            </w:r>
          </w:p>
        </w:tc>
      </w:tr>
      <w:tr>
        <w:trPr>
          <w:trHeight w:val="361"/>
        </w:trPr>
        <w:tc>
          <w:tcPr>
            <w:tcW w:w="51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7"/>
              </w:rPr>
              <w:t>Net loss.............................................</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6"/>
              </w:rPr>
              <w:t>(11,439)</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782"/>
              <w:spacing w:after="0"/>
              <w:rPr>
                <w:sz w:val="20"/>
                <w:szCs w:val="20"/>
                <w:color w:val="auto"/>
              </w:rPr>
            </w:pPr>
            <w:r>
              <w:rPr>
                <w:rFonts w:ascii="Courier New" w:cs="Courier New" w:eastAsia="Courier New" w:hAnsi="Courier New"/>
                <w:sz w:val="16"/>
                <w:szCs w:val="16"/>
                <w:color w:val="auto"/>
                <w:w w:val="94"/>
              </w:rPr>
              <w:t>(127,713)</w:t>
            </w:r>
          </w:p>
        </w:tc>
        <w:tc>
          <w:tcPr>
            <w:tcW w:w="56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(98,418)</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82"/>
              <w:spacing w:after="0"/>
              <w:rPr>
                <w:sz w:val="20"/>
                <w:szCs w:val="20"/>
                <w:color w:val="auto"/>
              </w:rPr>
            </w:pPr>
            <w:r>
              <w:rPr>
                <w:rFonts w:ascii="Courier New" w:cs="Courier New" w:eastAsia="Courier New" w:hAnsi="Courier New"/>
                <w:sz w:val="16"/>
                <w:szCs w:val="16"/>
                <w:color w:val="auto"/>
                <w:w w:val="97"/>
              </w:rPr>
              <w:t>(205,586)</w:t>
            </w:r>
          </w:p>
        </w:tc>
      </w:tr>
      <w:tr>
        <w:trPr>
          <w:trHeight w:val="180"/>
        </w:trPr>
        <w:tc>
          <w:tcPr>
            <w:tcW w:w="5100" w:type="dxa"/>
            <w:vAlign w:val="bottom"/>
          </w:tcPr>
          <w:p>
            <w:pPr>
              <w:spacing w:after="0"/>
              <w:rPr>
                <w:sz w:val="15"/>
                <w:szCs w:val="15"/>
                <w:color w:val="auto"/>
              </w:rPr>
            </w:pPr>
          </w:p>
        </w:tc>
        <w:tc>
          <w:tcPr>
            <w:tcW w:w="3440" w:type="dxa"/>
            <w:vAlign w:val="bottom"/>
            <w:gridSpan w:val="4"/>
          </w:tcPr>
          <w:p>
            <w:pPr>
              <w:ind w:left="140"/>
              <w:spacing w:after="0"/>
              <w:rPr>
                <w:sz w:val="20"/>
                <w:szCs w:val="20"/>
                <w:color w:val="auto"/>
              </w:rPr>
            </w:pPr>
            <w:r>
              <w:rPr>
                <w:rFonts w:ascii="Courier New" w:cs="Courier New" w:eastAsia="Courier New" w:hAnsi="Courier New"/>
                <w:sz w:val="16"/>
                <w:szCs w:val="16"/>
                <w:color w:val="auto"/>
              </w:rPr>
              <w:t>=================================</w:t>
            </w:r>
          </w:p>
        </w:tc>
        <w:tc>
          <w:tcPr>
            <w:tcW w:w="2980" w:type="dxa"/>
            <w:vAlign w:val="bottom"/>
            <w:gridSpan w:val="4"/>
          </w:tcPr>
          <w:p>
            <w:pPr>
              <w:ind w:left="180"/>
              <w:spacing w:after="0"/>
              <w:rPr>
                <w:sz w:val="20"/>
                <w:szCs w:val="20"/>
                <w:color w:val="auto"/>
              </w:rPr>
            </w:pPr>
            <w:r>
              <w:rPr>
                <w:rFonts w:ascii="Courier New" w:cs="Courier New" w:eastAsia="Courier New" w:hAnsi="Courier New"/>
                <w:sz w:val="16"/>
                <w:szCs w:val="16"/>
                <w:color w:val="auto"/>
                <w:w w:val="96"/>
              </w:rPr>
              <w:t>==============================</w:t>
            </w:r>
          </w:p>
        </w:tc>
      </w:tr>
      <w:tr>
        <w:trPr>
          <w:trHeight w:val="361"/>
        </w:trPr>
        <w:tc>
          <w:tcPr>
            <w:tcW w:w="5100" w:type="dxa"/>
            <w:vAlign w:val="bottom"/>
          </w:tcPr>
          <w:p>
            <w:pPr>
              <w:spacing w:after="0"/>
              <w:rPr>
                <w:sz w:val="20"/>
                <w:szCs w:val="20"/>
                <w:color w:val="auto"/>
              </w:rPr>
            </w:pPr>
            <w:r>
              <w:rPr>
                <w:rFonts w:ascii="Courier New" w:cs="Courier New" w:eastAsia="Courier New" w:hAnsi="Courier New"/>
                <w:sz w:val="16"/>
                <w:szCs w:val="16"/>
                <w:color w:val="auto"/>
              </w:rPr>
              <w:t>Basic and diluted earnings per</w:t>
            </w: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0"/>
        </w:trPr>
        <w:tc>
          <w:tcPr>
            <w:tcW w:w="5100" w:type="dxa"/>
            <w:vAlign w:val="bottom"/>
          </w:tcPr>
          <w:p>
            <w:pPr>
              <w:ind w:left="280"/>
              <w:spacing w:after="0"/>
              <w:rPr>
                <w:sz w:val="20"/>
                <w:szCs w:val="20"/>
                <w:color w:val="auto"/>
              </w:rPr>
            </w:pPr>
            <w:r>
              <w:rPr>
                <w:rFonts w:ascii="Courier New" w:cs="Courier New" w:eastAsia="Courier New" w:hAnsi="Courier New"/>
                <w:sz w:val="16"/>
                <w:szCs w:val="16"/>
                <w:color w:val="auto"/>
              </w:rPr>
              <w:t>common share:</w:t>
            </w: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5100" w:type="dxa"/>
            <w:vAlign w:val="bottom"/>
          </w:tcPr>
          <w:p>
            <w:pPr>
              <w:ind w:left="280"/>
              <w:spacing w:after="0"/>
              <w:rPr>
                <w:sz w:val="20"/>
                <w:szCs w:val="20"/>
                <w:color w:val="auto"/>
              </w:rPr>
            </w:pPr>
            <w:r>
              <w:rPr>
                <w:rFonts w:ascii="Courier New" w:cs="Courier New" w:eastAsia="Courier New" w:hAnsi="Courier New"/>
                <w:sz w:val="16"/>
                <w:szCs w:val="16"/>
                <w:color w:val="auto"/>
              </w:rPr>
              <w:t>Net loss:</w:t>
            </w: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51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Basic...........................................</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(0.12)</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782"/>
              <w:spacing w:after="0"/>
              <w:rPr>
                <w:sz w:val="20"/>
                <w:szCs w:val="20"/>
                <w:color w:val="auto"/>
              </w:rPr>
            </w:pPr>
            <w:r>
              <w:rPr>
                <w:rFonts w:ascii="Courier New" w:cs="Courier New" w:eastAsia="Courier New" w:hAnsi="Courier New"/>
                <w:sz w:val="16"/>
                <w:szCs w:val="16"/>
                <w:color w:val="auto"/>
              </w:rPr>
              <w:t>(1.37)</w:t>
            </w:r>
          </w:p>
        </w:tc>
        <w:tc>
          <w:tcPr>
            <w:tcW w:w="56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(1.00)</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(2.37)</w:t>
            </w:r>
          </w:p>
        </w:tc>
      </w:tr>
      <w:tr>
        <w:trPr>
          <w:trHeight w:val="180"/>
        </w:trPr>
        <w:tc>
          <w:tcPr>
            <w:tcW w:w="51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Diluted.........................................</w:t>
            </w:r>
          </w:p>
        </w:tc>
        <w:tc>
          <w:tcPr>
            <w:tcW w:w="8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(0.12)</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782"/>
              <w:spacing w:after="0"/>
              <w:rPr>
                <w:sz w:val="20"/>
                <w:szCs w:val="20"/>
                <w:color w:val="auto"/>
              </w:rPr>
            </w:pPr>
            <w:r>
              <w:rPr>
                <w:rFonts w:ascii="Courier New" w:cs="Courier New" w:eastAsia="Courier New" w:hAnsi="Courier New"/>
                <w:sz w:val="16"/>
                <w:szCs w:val="16"/>
                <w:color w:val="auto"/>
              </w:rPr>
              <w:t>(1.37)</w:t>
            </w:r>
          </w:p>
        </w:tc>
        <w:tc>
          <w:tcPr>
            <w:tcW w:w="56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(1.00)</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(2.37)</w:t>
            </w:r>
          </w:p>
        </w:tc>
      </w:tr>
      <w:tr>
        <w:trPr>
          <w:trHeight w:val="180"/>
        </w:trPr>
        <w:tc>
          <w:tcPr>
            <w:tcW w:w="5100" w:type="dxa"/>
            <w:vAlign w:val="bottom"/>
          </w:tcPr>
          <w:p>
            <w:pPr>
              <w:ind w:left="280"/>
              <w:spacing w:after="0"/>
              <w:rPr>
                <w:sz w:val="20"/>
                <w:szCs w:val="20"/>
                <w:color w:val="auto"/>
              </w:rPr>
            </w:pPr>
            <w:r>
              <w:rPr>
                <w:rFonts w:ascii="Courier New" w:cs="Courier New" w:eastAsia="Courier New" w:hAnsi="Courier New"/>
                <w:sz w:val="16"/>
                <w:szCs w:val="16"/>
                <w:color w:val="auto"/>
              </w:rPr>
              <w:t>Weighted average common</w:t>
            </w: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5100" w:type="dxa"/>
            <w:vAlign w:val="bottom"/>
          </w:tcPr>
          <w:p>
            <w:pPr>
              <w:ind w:left="460"/>
              <w:spacing w:after="0"/>
              <w:rPr>
                <w:sz w:val="20"/>
                <w:szCs w:val="20"/>
                <w:color w:val="auto"/>
              </w:rPr>
            </w:pPr>
            <w:r>
              <w:rPr>
                <w:rFonts w:ascii="Courier New" w:cs="Courier New" w:eastAsia="Courier New" w:hAnsi="Courier New"/>
                <w:sz w:val="16"/>
                <w:szCs w:val="16"/>
                <w:color w:val="auto"/>
              </w:rPr>
              <w:t>shares outstanding:</w:t>
            </w: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51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Basic...........................................</w:t>
            </w:r>
          </w:p>
        </w:tc>
        <w:tc>
          <w:tcPr>
            <w:tcW w:w="80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98,494</w:t>
            </w:r>
          </w:p>
        </w:tc>
        <w:tc>
          <w:tcPr>
            <w:tcW w:w="140" w:type="dxa"/>
            <w:vAlign w:val="bottom"/>
          </w:tcPr>
          <w:p>
            <w:pPr>
              <w:spacing w:after="0"/>
              <w:rPr>
                <w:sz w:val="15"/>
                <w:szCs w:val="15"/>
                <w:color w:val="auto"/>
              </w:rPr>
            </w:pPr>
          </w:p>
        </w:tc>
        <w:tc>
          <w:tcPr>
            <w:tcW w:w="170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93,433</w:t>
            </w:r>
          </w:p>
        </w:tc>
        <w:tc>
          <w:tcPr>
            <w:tcW w:w="56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98,308</w:t>
            </w:r>
          </w:p>
        </w:tc>
        <w:tc>
          <w:tcPr>
            <w:tcW w:w="180" w:type="dxa"/>
            <w:vAlign w:val="bottom"/>
          </w:tcPr>
          <w:p>
            <w:pPr>
              <w:spacing w:after="0"/>
              <w:rPr>
                <w:sz w:val="15"/>
                <w:szCs w:val="15"/>
                <w:color w:val="auto"/>
              </w:rPr>
            </w:pPr>
          </w:p>
        </w:tc>
        <w:tc>
          <w:tcPr>
            <w:tcW w:w="11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86,778</w:t>
            </w:r>
          </w:p>
        </w:tc>
      </w:tr>
      <w:tr>
        <w:trPr>
          <w:trHeight w:val="180"/>
        </w:trPr>
        <w:tc>
          <w:tcPr>
            <w:tcW w:w="51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Diluted.........................................</w:t>
            </w:r>
          </w:p>
        </w:tc>
        <w:tc>
          <w:tcPr>
            <w:tcW w:w="80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98,494</w:t>
            </w:r>
          </w:p>
        </w:tc>
        <w:tc>
          <w:tcPr>
            <w:tcW w:w="140" w:type="dxa"/>
            <w:vAlign w:val="bottom"/>
          </w:tcPr>
          <w:p>
            <w:pPr>
              <w:spacing w:after="0"/>
              <w:rPr>
                <w:sz w:val="15"/>
                <w:szCs w:val="15"/>
                <w:color w:val="auto"/>
              </w:rPr>
            </w:pPr>
          </w:p>
        </w:tc>
        <w:tc>
          <w:tcPr>
            <w:tcW w:w="170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93,433</w:t>
            </w:r>
          </w:p>
        </w:tc>
        <w:tc>
          <w:tcPr>
            <w:tcW w:w="56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98,308</w:t>
            </w:r>
          </w:p>
        </w:tc>
        <w:tc>
          <w:tcPr>
            <w:tcW w:w="180" w:type="dxa"/>
            <w:vAlign w:val="bottom"/>
          </w:tcPr>
          <w:p>
            <w:pPr>
              <w:spacing w:after="0"/>
              <w:rPr>
                <w:sz w:val="15"/>
                <w:szCs w:val="15"/>
                <w:color w:val="auto"/>
              </w:rPr>
            </w:pPr>
          </w:p>
        </w:tc>
        <w:tc>
          <w:tcPr>
            <w:tcW w:w="11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86,778</w:t>
            </w:r>
          </w:p>
        </w:tc>
      </w:tr>
    </w:tbl>
    <w:p>
      <w:pPr>
        <w:sectPr>
          <w:pgSz w:w="11900" w:h="16838" w:orient="portrait"/>
          <w:cols w:equalWidth="0" w:num="1">
            <w:col w:w="11520"/>
          </w:cols>
          <w:pgMar w:left="240" w:top="317" w:right="139" w:bottom="1440" w:gutter="0" w:footer="0" w:header="0"/>
        </w:sectPr>
      </w:pPr>
    </w:p>
    <w:bookmarkStart w:id="7" w:name="page8"/>
    <w:bookmarkEnd w:id="7"/>
    <w:p>
      <w:pPr>
        <w:jc w:val="center"/>
        <w:ind w:right="-919"/>
        <w:spacing w:after="0"/>
        <w:rPr>
          <w:sz w:val="20"/>
          <w:szCs w:val="20"/>
          <w:color w:val="auto"/>
        </w:rPr>
      </w:pPr>
      <w:r>
        <w:rPr>
          <w:rFonts w:ascii="Courier New" w:cs="Courier New" w:eastAsia="Courier New" w:hAnsi="Courier New"/>
          <w:sz w:val="16"/>
          <w:szCs w:val="16"/>
          <w:color w:val="auto"/>
        </w:rPr>
        <w:t>WYNN RESORTS, LIMITED AND SUBSIDIARIES</w:t>
      </w:r>
    </w:p>
    <w:p>
      <w:pPr>
        <w:jc w:val="center"/>
        <w:ind w:right="-919"/>
        <w:spacing w:after="0"/>
        <w:rPr>
          <w:sz w:val="20"/>
          <w:szCs w:val="20"/>
          <w:color w:val="auto"/>
        </w:rPr>
      </w:pPr>
      <w:r>
        <w:rPr>
          <w:rFonts w:ascii="Courier New" w:cs="Courier New" w:eastAsia="Courier New" w:hAnsi="Courier New"/>
          <w:sz w:val="16"/>
          <w:szCs w:val="16"/>
          <w:color w:val="auto"/>
        </w:rPr>
        <w:t>RECONCILIATION OF NET LOSS AND NET LOSS PER SHARE TO</w:t>
      </w:r>
    </w:p>
    <w:p>
      <w:pPr>
        <w:jc w:val="center"/>
        <w:ind w:right="-1019"/>
        <w:spacing w:after="0" w:line="237" w:lineRule="auto"/>
        <w:rPr>
          <w:sz w:val="20"/>
          <w:szCs w:val="20"/>
          <w:color w:val="auto"/>
        </w:rPr>
      </w:pPr>
      <w:r>
        <w:rPr>
          <w:rFonts w:ascii="Courier New" w:cs="Courier New" w:eastAsia="Courier New" w:hAnsi="Courier New"/>
          <w:sz w:val="16"/>
          <w:szCs w:val="16"/>
          <w:color w:val="auto"/>
        </w:rPr>
        <w:t>ADJUSTED NET LOSS AND ADJUSTED NET LOSS PER SHARE</w:t>
      </w:r>
    </w:p>
    <w:p>
      <w:pPr>
        <w:jc w:val="center"/>
        <w:ind w:right="-919"/>
        <w:spacing w:after="0"/>
        <w:rPr>
          <w:sz w:val="20"/>
          <w:szCs w:val="20"/>
          <w:color w:val="auto"/>
        </w:rPr>
      </w:pPr>
      <w:r>
        <w:rPr>
          <w:rFonts w:ascii="Courier New" w:cs="Courier New" w:eastAsia="Courier New" w:hAnsi="Courier New"/>
          <w:sz w:val="16"/>
          <w:szCs w:val="16"/>
          <w:color w:val="auto"/>
        </w:rPr>
        <w:t>(In thousands)</w:t>
      </w:r>
    </w:p>
    <w:tbl>
      <w:tblPr>
        <w:tblLayout w:type="fixed"/>
        <w:tblInd w:w="0" w:type="dxa"/>
        <w:tblCellMar>
          <w:top w:w="0" w:type="dxa"/>
          <w:left w:w="0" w:type="dxa"/>
          <w:bottom w:w="0" w:type="dxa"/>
          <w:right w:w="0" w:type="dxa"/>
        </w:tblCellMar>
      </w:tblPr>
      <w:tr>
        <w:trPr>
          <w:trHeight w:val="180"/>
        </w:trPr>
        <w:tc>
          <w:tcPr>
            <w:tcW w:w="11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40" w:type="dxa"/>
            <w:vAlign w:val="bottom"/>
            <w:gridSpan w:val="3"/>
          </w:tcPr>
          <w:p>
            <w:pPr>
              <w:jc w:val="center"/>
              <w:ind w:right="262"/>
              <w:spacing w:after="0" w:line="180" w:lineRule="exact"/>
              <w:rPr>
                <w:sz w:val="20"/>
                <w:szCs w:val="20"/>
                <w:color w:val="auto"/>
              </w:rPr>
            </w:pPr>
            <w:r>
              <w:rPr>
                <w:rFonts w:ascii="Courier New" w:cs="Courier New" w:eastAsia="Courier New" w:hAnsi="Courier New"/>
                <w:sz w:val="16"/>
                <w:szCs w:val="16"/>
                <w:color w:val="auto"/>
                <w:w w:val="96"/>
              </w:rPr>
              <w:t>(Unaudited)</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361"/>
        </w:trPr>
        <w:tc>
          <w:tcPr>
            <w:tcW w:w="11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40" w:type="dxa"/>
            <w:vAlign w:val="bottom"/>
            <w:gridSpan w:val="3"/>
          </w:tcPr>
          <w:p>
            <w:pPr>
              <w:jc w:val="right"/>
              <w:ind w:right="642"/>
              <w:spacing w:after="0"/>
              <w:rPr>
                <w:sz w:val="20"/>
                <w:szCs w:val="20"/>
                <w:color w:val="auto"/>
              </w:rPr>
            </w:pPr>
            <w:r>
              <w:rPr>
                <w:rFonts w:ascii="Courier New" w:cs="Courier New" w:eastAsia="Courier New" w:hAnsi="Courier New"/>
                <w:sz w:val="16"/>
                <w:szCs w:val="16"/>
                <w:color w:val="auto"/>
              </w:rPr>
              <w:t>Three Months Ended</w:t>
            </w:r>
          </w:p>
        </w:tc>
        <w:tc>
          <w:tcPr>
            <w:tcW w:w="180" w:type="dxa"/>
            <w:vAlign w:val="bottom"/>
          </w:tcPr>
          <w:p>
            <w:pPr>
              <w:spacing w:after="0"/>
              <w:rPr>
                <w:sz w:val="24"/>
                <w:szCs w:val="24"/>
                <w:color w:val="auto"/>
              </w:rPr>
            </w:pPr>
          </w:p>
        </w:tc>
        <w:tc>
          <w:tcPr>
            <w:tcW w:w="2680" w:type="dxa"/>
            <w:vAlign w:val="bottom"/>
            <w:gridSpan w:val="3"/>
          </w:tcPr>
          <w:p>
            <w:pPr>
              <w:ind w:left="700"/>
              <w:spacing w:after="0"/>
              <w:rPr>
                <w:sz w:val="20"/>
                <w:szCs w:val="20"/>
                <w:color w:val="auto"/>
              </w:rPr>
            </w:pPr>
            <w:r>
              <w:rPr>
                <w:rFonts w:ascii="Courier New" w:cs="Courier New" w:eastAsia="Courier New" w:hAnsi="Courier New"/>
                <w:sz w:val="16"/>
                <w:szCs w:val="16"/>
                <w:color w:val="auto"/>
              </w:rPr>
              <w:t>Year Ended</w:t>
            </w:r>
          </w:p>
        </w:tc>
      </w:tr>
      <w:tr>
        <w:trPr>
          <w:trHeight w:val="180"/>
        </w:trPr>
        <w:tc>
          <w:tcPr>
            <w:tcW w:w="11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160" w:type="dxa"/>
            <w:vAlign w:val="bottom"/>
            <w:gridSpan w:val="2"/>
          </w:tcPr>
          <w:p>
            <w:pPr>
              <w:jc w:val="right"/>
              <w:ind w:right="1002"/>
              <w:spacing w:after="0"/>
              <w:rPr>
                <w:sz w:val="20"/>
                <w:szCs w:val="20"/>
                <w:color w:val="auto"/>
              </w:rPr>
            </w:pPr>
            <w:r>
              <w:rPr>
                <w:rFonts w:ascii="Courier New" w:cs="Courier New" w:eastAsia="Courier New" w:hAnsi="Courier New"/>
                <w:sz w:val="16"/>
                <w:szCs w:val="16"/>
                <w:color w:val="auto"/>
              </w:rPr>
              <w:t>December 31</w:t>
            </w:r>
          </w:p>
        </w:tc>
        <w:tc>
          <w:tcPr>
            <w:tcW w:w="180" w:type="dxa"/>
            <w:vAlign w:val="bottom"/>
          </w:tcPr>
          <w:p>
            <w:pPr>
              <w:spacing w:after="0"/>
              <w:rPr>
                <w:sz w:val="15"/>
                <w:szCs w:val="15"/>
                <w:color w:val="auto"/>
              </w:rPr>
            </w:pPr>
          </w:p>
        </w:tc>
        <w:tc>
          <w:tcPr>
            <w:tcW w:w="2680" w:type="dxa"/>
            <w:vAlign w:val="bottom"/>
            <w:gridSpan w:val="3"/>
          </w:tcPr>
          <w:p>
            <w:pPr>
              <w:ind w:left="700"/>
              <w:spacing w:after="0"/>
              <w:rPr>
                <w:sz w:val="20"/>
                <w:szCs w:val="20"/>
                <w:color w:val="auto"/>
              </w:rPr>
            </w:pPr>
            <w:r>
              <w:rPr>
                <w:rFonts w:ascii="Courier New" w:cs="Courier New" w:eastAsia="Courier New" w:hAnsi="Courier New"/>
                <w:sz w:val="16"/>
                <w:szCs w:val="16"/>
                <w:color w:val="auto"/>
              </w:rPr>
              <w:t>December 31</w:t>
            </w:r>
          </w:p>
        </w:tc>
      </w:tr>
      <w:tr>
        <w:trPr>
          <w:trHeight w:val="180"/>
        </w:trPr>
        <w:tc>
          <w:tcPr>
            <w:tcW w:w="11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6340" w:type="dxa"/>
            <w:vAlign w:val="bottom"/>
            <w:gridSpan w:val="8"/>
          </w:tcPr>
          <w:p>
            <w:pPr>
              <w:ind w:left="40"/>
              <w:spacing w:after="0"/>
              <w:rPr>
                <w:sz w:val="20"/>
                <w:szCs w:val="20"/>
                <w:color w:val="auto"/>
              </w:rPr>
            </w:pPr>
            <w:r>
              <w:rPr>
                <w:rFonts w:ascii="Courier New" w:cs="Courier New" w:eastAsia="Courier New" w:hAnsi="Courier New"/>
                <w:sz w:val="16"/>
                <w:szCs w:val="16"/>
                <w:color w:val="auto"/>
                <w:w w:val="97"/>
              </w:rPr>
              <w:t>------------------------------------ ------------------------------</w:t>
            </w:r>
          </w:p>
        </w:tc>
      </w:tr>
      <w:tr>
        <w:trPr>
          <w:trHeight w:val="180"/>
        </w:trPr>
        <w:tc>
          <w:tcPr>
            <w:tcW w:w="11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2005</w:t>
            </w:r>
          </w:p>
        </w:tc>
        <w:tc>
          <w:tcPr>
            <w:tcW w:w="460" w:type="dxa"/>
            <w:vAlign w:val="bottom"/>
          </w:tcPr>
          <w:p>
            <w:pPr>
              <w:spacing w:after="0"/>
              <w:rPr>
                <w:sz w:val="15"/>
                <w:szCs w:val="15"/>
                <w:color w:val="auto"/>
              </w:rPr>
            </w:pPr>
          </w:p>
        </w:tc>
        <w:tc>
          <w:tcPr>
            <w:tcW w:w="1700" w:type="dxa"/>
            <w:vAlign w:val="bottom"/>
          </w:tcPr>
          <w:p>
            <w:pPr>
              <w:jc w:val="right"/>
              <w:ind w:right="922"/>
              <w:spacing w:after="0"/>
              <w:rPr>
                <w:sz w:val="20"/>
                <w:szCs w:val="20"/>
                <w:color w:val="auto"/>
              </w:rPr>
            </w:pPr>
            <w:r>
              <w:rPr>
                <w:rFonts w:ascii="Courier New" w:cs="Courier New" w:eastAsia="Courier New" w:hAnsi="Courier New"/>
                <w:sz w:val="16"/>
                <w:szCs w:val="16"/>
                <w:color w:val="auto"/>
              </w:rPr>
              <w:t>2004</w:t>
            </w:r>
          </w:p>
        </w:tc>
        <w:tc>
          <w:tcPr>
            <w:tcW w:w="180" w:type="dxa"/>
            <w:vAlign w:val="bottom"/>
          </w:tcPr>
          <w:p>
            <w:pPr>
              <w:spacing w:after="0"/>
              <w:rPr>
                <w:sz w:val="15"/>
                <w:szCs w:val="15"/>
                <w:color w:val="auto"/>
              </w:rPr>
            </w:pPr>
          </w:p>
        </w:tc>
        <w:tc>
          <w:tcPr>
            <w:tcW w:w="122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2005</w:t>
            </w:r>
          </w:p>
        </w:tc>
        <w:tc>
          <w:tcPr>
            <w:tcW w:w="280" w:type="dxa"/>
            <w:vAlign w:val="bottom"/>
          </w:tcPr>
          <w:p>
            <w:pPr>
              <w:spacing w:after="0"/>
              <w:rPr>
                <w:sz w:val="15"/>
                <w:szCs w:val="15"/>
                <w:color w:val="auto"/>
              </w:rPr>
            </w:pPr>
          </w:p>
        </w:tc>
        <w:tc>
          <w:tcPr>
            <w:tcW w:w="11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2004</w:t>
            </w:r>
          </w:p>
        </w:tc>
      </w:tr>
      <w:tr>
        <w:trPr>
          <w:trHeight w:val="180"/>
        </w:trPr>
        <w:tc>
          <w:tcPr>
            <w:tcW w:w="11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480" w:type="dxa"/>
            <w:vAlign w:val="bottom"/>
            <w:gridSpan w:val="4"/>
          </w:tcPr>
          <w:p>
            <w:pPr>
              <w:ind w:left="40"/>
              <w:spacing w:after="0"/>
              <w:rPr>
                <w:sz w:val="20"/>
                <w:szCs w:val="20"/>
                <w:color w:val="auto"/>
              </w:rPr>
            </w:pPr>
            <w:r>
              <w:rPr>
                <w:rFonts w:ascii="Courier New" w:cs="Courier New" w:eastAsia="Courier New" w:hAnsi="Courier New"/>
                <w:sz w:val="16"/>
                <w:szCs w:val="16"/>
                <w:color w:val="auto"/>
                <w:w w:val="98"/>
              </w:rPr>
              <w:t>------------------------------------</w:t>
            </w:r>
          </w:p>
        </w:tc>
        <w:tc>
          <w:tcPr>
            <w:tcW w:w="2860" w:type="dxa"/>
            <w:vAlign w:val="bottom"/>
            <w:gridSpan w:val="4"/>
          </w:tcPr>
          <w:p>
            <w:pPr>
              <w:ind w:left="40"/>
              <w:spacing w:after="0"/>
              <w:rPr>
                <w:sz w:val="20"/>
                <w:szCs w:val="20"/>
                <w:color w:val="auto"/>
              </w:rPr>
            </w:pPr>
            <w:r>
              <w:rPr>
                <w:rFonts w:ascii="Courier New" w:cs="Courier New" w:eastAsia="Courier New" w:hAnsi="Courier New"/>
                <w:sz w:val="16"/>
                <w:szCs w:val="16"/>
                <w:color w:val="auto"/>
                <w:w w:val="97"/>
              </w:rPr>
              <w:t>------------------------------</w:t>
            </w:r>
          </w:p>
        </w:tc>
      </w:tr>
      <w:tr>
        <w:trPr>
          <w:trHeight w:val="721"/>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w w:val="95"/>
              </w:rPr>
              <w:t>Net income /</w:t>
            </w:r>
          </w:p>
        </w:tc>
        <w:tc>
          <w:tcPr>
            <w:tcW w:w="2860" w:type="dxa"/>
            <w:vAlign w:val="bottom"/>
          </w:tcPr>
          <w:p>
            <w:pPr>
              <w:jc w:val="right"/>
              <w:spacing w:after="0"/>
              <w:rPr>
                <w:sz w:val="20"/>
                <w:szCs w:val="20"/>
                <w:color w:val="auto"/>
              </w:rPr>
            </w:pPr>
            <w:r>
              <w:rPr>
                <w:rFonts w:ascii="Courier New" w:cs="Courier New" w:eastAsia="Courier New" w:hAnsi="Courier New"/>
                <w:sz w:val="16"/>
                <w:szCs w:val="16"/>
                <w:color w:val="auto"/>
              </w:rPr>
              <w:t>(loss).......................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(11,439)</w:t>
            </w:r>
          </w:p>
        </w:tc>
        <w:tc>
          <w:tcPr>
            <w:tcW w:w="460" w:type="dxa"/>
            <w:vAlign w:val="bottom"/>
          </w:tcPr>
          <w:p>
            <w:pPr>
              <w:jc w:val="center"/>
              <w:ind w:left="202"/>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(127,713)</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(98,418)</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(205,586)</w:t>
            </w:r>
          </w:p>
        </w:tc>
      </w:tr>
      <w:tr>
        <w:trPr>
          <w:trHeight w:val="180"/>
        </w:trPr>
        <w:tc>
          <w:tcPr>
            <w:tcW w:w="3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Pre-opening costs.....................</w:t>
            </w:r>
          </w:p>
        </w:tc>
        <w:tc>
          <w:tcPr>
            <w:tcW w:w="24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8,324</w:t>
            </w:r>
          </w:p>
        </w:tc>
        <w:tc>
          <w:tcPr>
            <w:tcW w:w="460" w:type="dxa"/>
            <w:vAlign w:val="bottom"/>
          </w:tcPr>
          <w:p>
            <w:pPr>
              <w:spacing w:after="0"/>
              <w:rPr>
                <w:sz w:val="15"/>
                <w:szCs w:val="15"/>
                <w:color w:val="auto"/>
              </w:rPr>
            </w:pPr>
          </w:p>
        </w:tc>
        <w:tc>
          <w:tcPr>
            <w:tcW w:w="170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28,779</w:t>
            </w:r>
          </w:p>
        </w:tc>
        <w:tc>
          <w:tcPr>
            <w:tcW w:w="180" w:type="dxa"/>
            <w:vAlign w:val="bottom"/>
          </w:tcPr>
          <w:p>
            <w:pPr>
              <w:spacing w:after="0"/>
              <w:rPr>
                <w:sz w:val="15"/>
                <w:szCs w:val="15"/>
                <w:color w:val="auto"/>
              </w:rPr>
            </w:pPr>
          </w:p>
        </w:tc>
        <w:tc>
          <w:tcPr>
            <w:tcW w:w="12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96,940</w:t>
            </w:r>
          </w:p>
        </w:tc>
        <w:tc>
          <w:tcPr>
            <w:tcW w:w="280" w:type="dxa"/>
            <w:vAlign w:val="bottom"/>
          </w:tcPr>
          <w:p>
            <w:pPr>
              <w:spacing w:after="0"/>
              <w:rPr>
                <w:sz w:val="15"/>
                <w:szCs w:val="15"/>
                <w:color w:val="auto"/>
              </w:rPr>
            </w:pPr>
          </w:p>
        </w:tc>
        <w:tc>
          <w:tcPr>
            <w:tcW w:w="11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81,321</w:t>
            </w:r>
          </w:p>
        </w:tc>
      </w:tr>
      <w:tr>
        <w:trPr>
          <w:trHeight w:val="180"/>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Property</w:t>
            </w:r>
          </w:p>
        </w:tc>
        <w:tc>
          <w:tcPr>
            <w:tcW w:w="2860" w:type="dxa"/>
            <w:vAlign w:val="bottom"/>
          </w:tcPr>
          <w:p>
            <w:pPr>
              <w:jc w:val="right"/>
              <w:spacing w:after="0"/>
              <w:rPr>
                <w:sz w:val="20"/>
                <w:szCs w:val="20"/>
                <w:color w:val="auto"/>
              </w:rPr>
            </w:pPr>
            <w:r>
              <w:rPr>
                <w:rFonts w:ascii="Courier New" w:cs="Courier New" w:eastAsia="Courier New" w:hAnsi="Courier New"/>
                <w:sz w:val="16"/>
                <w:szCs w:val="16"/>
                <w:color w:val="auto"/>
              </w:rPr>
              <w:t>charges and other............</w:t>
            </w:r>
          </w:p>
        </w:tc>
        <w:tc>
          <w:tcPr>
            <w:tcW w:w="24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8,144</w:t>
            </w:r>
          </w:p>
        </w:tc>
        <w:tc>
          <w:tcPr>
            <w:tcW w:w="460" w:type="dxa"/>
            <w:vAlign w:val="bottom"/>
          </w:tcPr>
          <w:p>
            <w:pPr>
              <w:spacing w:after="0"/>
              <w:rPr>
                <w:sz w:val="15"/>
                <w:szCs w:val="15"/>
                <w:color w:val="auto"/>
              </w:rPr>
            </w:pPr>
          </w:p>
        </w:tc>
        <w:tc>
          <w:tcPr>
            <w:tcW w:w="170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(10)</w:t>
            </w:r>
          </w:p>
        </w:tc>
        <w:tc>
          <w:tcPr>
            <w:tcW w:w="180" w:type="dxa"/>
            <w:vAlign w:val="bottom"/>
          </w:tcPr>
          <w:p>
            <w:pPr>
              <w:spacing w:after="0"/>
              <w:rPr>
                <w:sz w:val="15"/>
                <w:szCs w:val="15"/>
                <w:color w:val="auto"/>
              </w:rPr>
            </w:pPr>
          </w:p>
        </w:tc>
        <w:tc>
          <w:tcPr>
            <w:tcW w:w="12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14,297</w:t>
            </w:r>
          </w:p>
        </w:tc>
        <w:tc>
          <w:tcPr>
            <w:tcW w:w="280" w:type="dxa"/>
            <w:vAlign w:val="bottom"/>
          </w:tcPr>
          <w:p>
            <w:pPr>
              <w:spacing w:after="0"/>
              <w:rPr>
                <w:sz w:val="15"/>
                <w:szCs w:val="15"/>
                <w:color w:val="auto"/>
              </w:rPr>
            </w:pPr>
          </w:p>
        </w:tc>
        <w:tc>
          <w:tcPr>
            <w:tcW w:w="11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1,290</w:t>
            </w:r>
          </w:p>
        </w:tc>
      </w:tr>
      <w:tr>
        <w:trPr>
          <w:trHeight w:val="180"/>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w w:val="95"/>
              </w:rPr>
              <w:t>Adjusted net</w:t>
            </w:r>
          </w:p>
        </w:tc>
        <w:tc>
          <w:tcPr>
            <w:tcW w:w="2860" w:type="dxa"/>
            <w:vAlign w:val="bottom"/>
          </w:tcPr>
          <w:p>
            <w:pPr>
              <w:jc w:val="right"/>
              <w:spacing w:after="0"/>
              <w:rPr>
                <w:sz w:val="20"/>
                <w:szCs w:val="20"/>
                <w:color w:val="auto"/>
              </w:rPr>
            </w:pPr>
            <w:r>
              <w:rPr>
                <w:rFonts w:ascii="Courier New" w:cs="Courier New" w:eastAsia="Courier New" w:hAnsi="Courier New"/>
                <w:sz w:val="16"/>
                <w:szCs w:val="16"/>
                <w:color w:val="auto"/>
              </w:rPr>
              <w:t>income / (loss)..............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5,029</w:t>
            </w:r>
          </w:p>
        </w:tc>
        <w:tc>
          <w:tcPr>
            <w:tcW w:w="460" w:type="dxa"/>
            <w:vAlign w:val="bottom"/>
          </w:tcPr>
          <w:p>
            <w:pPr>
              <w:jc w:val="center"/>
              <w:ind w:left="202"/>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(98,944)</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12,819</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(122,975)</w:t>
            </w:r>
          </w:p>
        </w:tc>
      </w:tr>
      <w:tr>
        <w:trPr>
          <w:trHeight w:val="361"/>
        </w:trPr>
        <w:tc>
          <w:tcPr>
            <w:tcW w:w="3980" w:type="dxa"/>
            <w:vAlign w:val="bottom"/>
            <w:gridSpan w:val="2"/>
          </w:tcPr>
          <w:p>
            <w:pPr>
              <w:spacing w:after="0"/>
              <w:rPr>
                <w:sz w:val="20"/>
                <w:szCs w:val="20"/>
                <w:color w:val="auto"/>
              </w:rPr>
            </w:pPr>
            <w:r>
              <w:rPr>
                <w:rFonts w:ascii="Courier New" w:cs="Courier New" w:eastAsia="Courier New" w:hAnsi="Courier New"/>
                <w:sz w:val="16"/>
                <w:szCs w:val="16"/>
                <w:color w:val="auto"/>
              </w:rPr>
              <w:t>Per diluted share of common stock</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0"/>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Net loss</w:t>
            </w:r>
          </w:p>
        </w:tc>
        <w:tc>
          <w:tcPr>
            <w:tcW w:w="286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(0.12)</w:t>
            </w:r>
          </w:p>
        </w:tc>
        <w:tc>
          <w:tcPr>
            <w:tcW w:w="460" w:type="dxa"/>
            <w:vAlign w:val="bottom"/>
          </w:tcPr>
          <w:p>
            <w:pPr>
              <w:jc w:val="center"/>
              <w:ind w:left="202"/>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(1.37)</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(2.37)</w:t>
            </w:r>
          </w:p>
        </w:tc>
      </w:tr>
      <w:tr>
        <w:trPr>
          <w:trHeight w:val="180"/>
        </w:trPr>
        <w:tc>
          <w:tcPr>
            <w:tcW w:w="3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Pre-opening costs.....................</w:t>
            </w:r>
          </w:p>
        </w:tc>
        <w:tc>
          <w:tcPr>
            <w:tcW w:w="24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0.08</w:t>
            </w:r>
          </w:p>
        </w:tc>
        <w:tc>
          <w:tcPr>
            <w:tcW w:w="460" w:type="dxa"/>
            <w:vAlign w:val="bottom"/>
          </w:tcPr>
          <w:p>
            <w:pPr>
              <w:spacing w:after="0"/>
              <w:rPr>
                <w:sz w:val="15"/>
                <w:szCs w:val="15"/>
                <w:color w:val="auto"/>
              </w:rPr>
            </w:pPr>
          </w:p>
        </w:tc>
        <w:tc>
          <w:tcPr>
            <w:tcW w:w="170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0.31</w:t>
            </w:r>
          </w:p>
        </w:tc>
        <w:tc>
          <w:tcPr>
            <w:tcW w:w="180" w:type="dxa"/>
            <w:vAlign w:val="bottom"/>
          </w:tcPr>
          <w:p>
            <w:pPr>
              <w:spacing w:after="0"/>
              <w:rPr>
                <w:sz w:val="15"/>
                <w:szCs w:val="15"/>
                <w:color w:val="auto"/>
              </w:rPr>
            </w:pPr>
          </w:p>
        </w:tc>
        <w:tc>
          <w:tcPr>
            <w:tcW w:w="12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0.99</w:t>
            </w:r>
          </w:p>
        </w:tc>
        <w:tc>
          <w:tcPr>
            <w:tcW w:w="280" w:type="dxa"/>
            <w:vAlign w:val="bottom"/>
          </w:tcPr>
          <w:p>
            <w:pPr>
              <w:spacing w:after="0"/>
              <w:rPr>
                <w:sz w:val="15"/>
                <w:szCs w:val="15"/>
                <w:color w:val="auto"/>
              </w:rPr>
            </w:pPr>
          </w:p>
        </w:tc>
        <w:tc>
          <w:tcPr>
            <w:tcW w:w="11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0.94</w:t>
            </w:r>
          </w:p>
        </w:tc>
      </w:tr>
      <w:tr>
        <w:trPr>
          <w:trHeight w:val="180"/>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Property</w:t>
            </w:r>
          </w:p>
        </w:tc>
        <w:tc>
          <w:tcPr>
            <w:tcW w:w="2860" w:type="dxa"/>
            <w:vAlign w:val="bottom"/>
          </w:tcPr>
          <w:p>
            <w:pPr>
              <w:jc w:val="right"/>
              <w:spacing w:after="0"/>
              <w:rPr>
                <w:sz w:val="20"/>
                <w:szCs w:val="20"/>
                <w:color w:val="auto"/>
              </w:rPr>
            </w:pPr>
            <w:r>
              <w:rPr>
                <w:rFonts w:ascii="Courier New" w:cs="Courier New" w:eastAsia="Courier New" w:hAnsi="Courier New"/>
                <w:sz w:val="16"/>
                <w:szCs w:val="16"/>
                <w:color w:val="auto"/>
              </w:rPr>
              <w:t>charges and other............</w:t>
            </w:r>
          </w:p>
        </w:tc>
        <w:tc>
          <w:tcPr>
            <w:tcW w:w="24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0.08</w:t>
            </w:r>
          </w:p>
        </w:tc>
        <w:tc>
          <w:tcPr>
            <w:tcW w:w="460" w:type="dxa"/>
            <w:vAlign w:val="bottom"/>
          </w:tcPr>
          <w:p>
            <w:pPr>
              <w:spacing w:after="0"/>
              <w:rPr>
                <w:sz w:val="15"/>
                <w:szCs w:val="15"/>
                <w:color w:val="auto"/>
              </w:rPr>
            </w:pPr>
          </w:p>
        </w:tc>
        <w:tc>
          <w:tcPr>
            <w:tcW w:w="170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(0.00)</w:t>
            </w:r>
          </w:p>
        </w:tc>
        <w:tc>
          <w:tcPr>
            <w:tcW w:w="180" w:type="dxa"/>
            <w:vAlign w:val="bottom"/>
          </w:tcPr>
          <w:p>
            <w:pPr>
              <w:spacing w:after="0"/>
              <w:rPr>
                <w:sz w:val="15"/>
                <w:szCs w:val="15"/>
                <w:color w:val="auto"/>
              </w:rPr>
            </w:pPr>
          </w:p>
        </w:tc>
        <w:tc>
          <w:tcPr>
            <w:tcW w:w="12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0.15</w:t>
            </w:r>
          </w:p>
        </w:tc>
        <w:tc>
          <w:tcPr>
            <w:tcW w:w="280" w:type="dxa"/>
            <w:vAlign w:val="bottom"/>
          </w:tcPr>
          <w:p>
            <w:pPr>
              <w:spacing w:after="0"/>
              <w:rPr>
                <w:sz w:val="15"/>
                <w:szCs w:val="15"/>
                <w:color w:val="auto"/>
              </w:rPr>
            </w:pPr>
          </w:p>
        </w:tc>
        <w:tc>
          <w:tcPr>
            <w:tcW w:w="11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0.01</w:t>
            </w:r>
          </w:p>
        </w:tc>
      </w:tr>
      <w:tr>
        <w:trPr>
          <w:trHeight w:val="180"/>
        </w:trPr>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w w:val="95"/>
              </w:rPr>
              <w:t>Adjusted net</w:t>
            </w:r>
          </w:p>
        </w:tc>
        <w:tc>
          <w:tcPr>
            <w:tcW w:w="2860" w:type="dxa"/>
            <w:vAlign w:val="bottom"/>
          </w:tcPr>
          <w:p>
            <w:pPr>
              <w:jc w:val="right"/>
              <w:spacing w:after="0"/>
              <w:rPr>
                <w:sz w:val="20"/>
                <w:szCs w:val="20"/>
                <w:color w:val="auto"/>
              </w:rPr>
            </w:pPr>
            <w:r>
              <w:rPr>
                <w:rFonts w:ascii="Courier New" w:cs="Courier New" w:eastAsia="Courier New" w:hAnsi="Courier New"/>
                <w:sz w:val="16"/>
                <w:szCs w:val="16"/>
                <w:color w:val="auto"/>
              </w:rPr>
              <w:t>income / (loss)..............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0.05</w:t>
            </w:r>
          </w:p>
        </w:tc>
        <w:tc>
          <w:tcPr>
            <w:tcW w:w="460" w:type="dxa"/>
            <w:vAlign w:val="bottom"/>
          </w:tcPr>
          <w:p>
            <w:pPr>
              <w:jc w:val="center"/>
              <w:ind w:left="202"/>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(1.06)</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0.13</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(1.42)</w:t>
            </w:r>
          </w:p>
        </w:tc>
      </w:tr>
      <w:tr>
        <w:trPr>
          <w:trHeight w:val="361"/>
        </w:trPr>
        <w:tc>
          <w:tcPr>
            <w:tcW w:w="3980" w:type="dxa"/>
            <w:vAlign w:val="bottom"/>
            <w:gridSpan w:val="2"/>
          </w:tcPr>
          <w:p>
            <w:pPr>
              <w:spacing w:after="0"/>
              <w:rPr>
                <w:sz w:val="20"/>
                <w:szCs w:val="20"/>
                <w:color w:val="auto"/>
              </w:rPr>
            </w:pPr>
            <w:r>
              <w:rPr>
                <w:rFonts w:ascii="Courier New" w:cs="Courier New" w:eastAsia="Courier New" w:hAnsi="Courier New"/>
                <w:sz w:val="16"/>
                <w:szCs w:val="16"/>
                <w:color w:val="auto"/>
              </w:rPr>
              <w:t>Weighted average diluted</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0"/>
        </w:trPr>
        <w:tc>
          <w:tcPr>
            <w:tcW w:w="3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common shares outstanding.............</w:t>
            </w:r>
          </w:p>
        </w:tc>
        <w:tc>
          <w:tcPr>
            <w:tcW w:w="24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98,494,421</w:t>
            </w:r>
          </w:p>
        </w:tc>
        <w:tc>
          <w:tcPr>
            <w:tcW w:w="460" w:type="dxa"/>
            <w:vAlign w:val="bottom"/>
          </w:tcPr>
          <w:p>
            <w:pPr>
              <w:spacing w:after="0"/>
              <w:rPr>
                <w:sz w:val="15"/>
                <w:szCs w:val="15"/>
                <w:color w:val="auto"/>
              </w:rPr>
            </w:pPr>
          </w:p>
        </w:tc>
        <w:tc>
          <w:tcPr>
            <w:tcW w:w="1700" w:type="dxa"/>
            <w:vAlign w:val="bottom"/>
          </w:tcPr>
          <w:p>
            <w:pPr>
              <w:jc w:val="right"/>
              <w:ind w:right="642"/>
              <w:spacing w:after="0"/>
              <w:rPr>
                <w:sz w:val="20"/>
                <w:szCs w:val="20"/>
                <w:color w:val="auto"/>
              </w:rPr>
            </w:pPr>
            <w:r>
              <w:rPr>
                <w:rFonts w:ascii="Courier New" w:cs="Courier New" w:eastAsia="Courier New" w:hAnsi="Courier New"/>
                <w:sz w:val="16"/>
                <w:szCs w:val="16"/>
                <w:color w:val="auto"/>
                <w:w w:val="99"/>
              </w:rPr>
              <w:t>93,432,556</w:t>
            </w:r>
          </w:p>
        </w:tc>
        <w:tc>
          <w:tcPr>
            <w:tcW w:w="180" w:type="dxa"/>
            <w:vAlign w:val="bottom"/>
          </w:tcPr>
          <w:p>
            <w:pPr>
              <w:spacing w:after="0"/>
              <w:rPr>
                <w:sz w:val="15"/>
                <w:szCs w:val="15"/>
                <w:color w:val="auto"/>
              </w:rPr>
            </w:pPr>
          </w:p>
        </w:tc>
        <w:tc>
          <w:tcPr>
            <w:tcW w:w="122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9"/>
              </w:rPr>
              <w:t>98,307,788</w:t>
            </w:r>
          </w:p>
        </w:tc>
        <w:tc>
          <w:tcPr>
            <w:tcW w:w="280" w:type="dxa"/>
            <w:vAlign w:val="bottom"/>
          </w:tcPr>
          <w:p>
            <w:pPr>
              <w:spacing w:after="0"/>
              <w:rPr>
                <w:sz w:val="15"/>
                <w:szCs w:val="15"/>
                <w:color w:val="auto"/>
              </w:rPr>
            </w:pPr>
          </w:p>
        </w:tc>
        <w:tc>
          <w:tcPr>
            <w:tcW w:w="118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9"/>
              </w:rPr>
              <w:t>86,777,567</w:t>
            </w:r>
          </w:p>
        </w:tc>
      </w:tr>
    </w:tbl>
    <w:p>
      <w:pPr>
        <w:sectPr>
          <w:pgSz w:w="11900" w:h="16838" w:orient="portrait"/>
          <w:cols w:equalWidth="0" w:num="1">
            <w:col w:w="10320"/>
          </w:cols>
          <w:pgMar w:left="240" w:top="1014" w:right="1339" w:bottom="1440" w:gutter="0" w:footer="0" w:header="0"/>
        </w:sectPr>
      </w:pPr>
    </w:p>
    <w:bookmarkStart w:id="8" w:name="page9"/>
    <w:bookmarkEnd w:id="8"/>
    <w:p>
      <w:pPr>
        <w:jc w:val="center"/>
        <w:ind w:right="-179"/>
        <w:spacing w:after="0"/>
        <w:rPr>
          <w:sz w:val="20"/>
          <w:szCs w:val="20"/>
          <w:color w:val="auto"/>
        </w:rPr>
      </w:pPr>
      <w:r>
        <w:rPr>
          <w:rFonts w:ascii="Courier New" w:cs="Courier New" w:eastAsia="Courier New" w:hAnsi="Courier New"/>
          <w:sz w:val="16"/>
          <w:szCs w:val="16"/>
          <w:color w:val="auto"/>
        </w:rPr>
        <w:t>WYNN RESORTS, LIMITED AND SUBSIDIARIES</w:t>
      </w:r>
    </w:p>
    <w:p>
      <w:pPr>
        <w:jc w:val="center"/>
        <w:ind w:right="-279"/>
        <w:spacing w:after="0"/>
        <w:rPr>
          <w:sz w:val="20"/>
          <w:szCs w:val="20"/>
          <w:color w:val="auto"/>
        </w:rPr>
      </w:pPr>
      <w:r>
        <w:rPr>
          <w:rFonts w:ascii="Courier New" w:cs="Courier New" w:eastAsia="Courier New" w:hAnsi="Courier New"/>
          <w:sz w:val="16"/>
          <w:szCs w:val="16"/>
          <w:color w:val="auto"/>
        </w:rPr>
        <w:t>RECONCILIATION OF NET LOSS TO ADJUSTED EBITDA</w:t>
      </w:r>
    </w:p>
    <w:p>
      <w:pPr>
        <w:jc w:val="center"/>
        <w:ind w:right="-179"/>
        <w:spacing w:after="0" w:line="237" w:lineRule="auto"/>
        <w:rPr>
          <w:sz w:val="20"/>
          <w:szCs w:val="20"/>
          <w:color w:val="auto"/>
        </w:rPr>
      </w:pPr>
      <w:r>
        <w:rPr>
          <w:rFonts w:ascii="Courier New" w:cs="Courier New" w:eastAsia="Courier New" w:hAnsi="Courier New"/>
          <w:sz w:val="16"/>
          <w:szCs w:val="16"/>
          <w:color w:val="auto"/>
        </w:rPr>
        <w:t>(In thousands)</w:t>
      </w:r>
    </w:p>
    <w:tbl>
      <w:tblPr>
        <w:tblLayout w:type="fixed"/>
        <w:tblInd w:w="0" w:type="dxa"/>
        <w:tblCellMar>
          <w:top w:w="0" w:type="dxa"/>
          <w:left w:w="0" w:type="dxa"/>
          <w:bottom w:w="0" w:type="dxa"/>
          <w:right w:w="0" w:type="dxa"/>
        </w:tblCellMar>
      </w:tblPr>
      <w:tr>
        <w:trPr>
          <w:trHeight w:val="181"/>
        </w:trPr>
        <w:tc>
          <w:tcPr>
            <w:tcW w:w="4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(Unaudited)</w:t>
            </w: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361"/>
        </w:trPr>
        <w:tc>
          <w:tcPr>
            <w:tcW w:w="4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60" w:type="dxa"/>
            <w:vAlign w:val="bottom"/>
            <w:gridSpan w:val="3"/>
          </w:tcPr>
          <w:p>
            <w:pPr>
              <w:jc w:val="right"/>
              <w:ind w:right="562"/>
              <w:spacing w:after="0"/>
              <w:rPr>
                <w:sz w:val="20"/>
                <w:szCs w:val="20"/>
                <w:color w:val="auto"/>
              </w:rPr>
            </w:pPr>
            <w:r>
              <w:rPr>
                <w:rFonts w:ascii="Courier New" w:cs="Courier New" w:eastAsia="Courier New" w:hAnsi="Courier New"/>
                <w:sz w:val="16"/>
                <w:szCs w:val="16"/>
                <w:color w:val="auto"/>
              </w:rPr>
              <w:t>Three Months Ended</w:t>
            </w:r>
          </w:p>
        </w:tc>
        <w:tc>
          <w:tcPr>
            <w:tcW w:w="620" w:type="dxa"/>
            <w:vAlign w:val="bottom"/>
          </w:tcPr>
          <w:p>
            <w:pPr>
              <w:spacing w:after="0"/>
              <w:rPr>
                <w:sz w:val="24"/>
                <w:szCs w:val="24"/>
                <w:color w:val="auto"/>
              </w:rPr>
            </w:pPr>
          </w:p>
        </w:tc>
        <w:tc>
          <w:tcPr>
            <w:tcW w:w="1600" w:type="dxa"/>
            <w:vAlign w:val="bottom"/>
            <w:gridSpan w:val="2"/>
          </w:tcPr>
          <w:p>
            <w:pPr>
              <w:ind w:left="600"/>
              <w:spacing w:after="0"/>
              <w:rPr>
                <w:sz w:val="20"/>
                <w:szCs w:val="20"/>
                <w:color w:val="auto"/>
              </w:rPr>
            </w:pPr>
            <w:r>
              <w:rPr>
                <w:rFonts w:ascii="Courier New" w:cs="Courier New" w:eastAsia="Courier New" w:hAnsi="Courier New"/>
                <w:sz w:val="16"/>
                <w:szCs w:val="16"/>
                <w:color w:val="auto"/>
              </w:rPr>
              <w:t>Year Ended</w:t>
            </w:r>
          </w:p>
        </w:tc>
        <w:tc>
          <w:tcPr>
            <w:tcW w:w="1160" w:type="dxa"/>
            <w:vAlign w:val="bottom"/>
          </w:tcPr>
          <w:p>
            <w:pPr>
              <w:spacing w:after="0"/>
              <w:rPr>
                <w:sz w:val="24"/>
                <w:szCs w:val="24"/>
                <w:color w:val="auto"/>
              </w:rPr>
            </w:pPr>
          </w:p>
        </w:tc>
      </w:tr>
      <w:tr>
        <w:trPr>
          <w:trHeight w:val="180"/>
        </w:trPr>
        <w:tc>
          <w:tcPr>
            <w:tcW w:w="4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60" w:type="dxa"/>
            <w:vAlign w:val="bottom"/>
            <w:gridSpan w:val="3"/>
          </w:tcPr>
          <w:p>
            <w:pPr>
              <w:jc w:val="right"/>
              <w:ind w:right="862"/>
              <w:spacing w:after="0"/>
              <w:rPr>
                <w:sz w:val="20"/>
                <w:szCs w:val="20"/>
                <w:color w:val="auto"/>
              </w:rPr>
            </w:pPr>
            <w:r>
              <w:rPr>
                <w:rFonts w:ascii="Courier New" w:cs="Courier New" w:eastAsia="Courier New" w:hAnsi="Courier New"/>
                <w:sz w:val="16"/>
                <w:szCs w:val="16"/>
                <w:color w:val="auto"/>
              </w:rPr>
              <w:t>December 31,</w:t>
            </w:r>
          </w:p>
        </w:tc>
        <w:tc>
          <w:tcPr>
            <w:tcW w:w="620" w:type="dxa"/>
            <w:vAlign w:val="bottom"/>
          </w:tcPr>
          <w:p>
            <w:pPr>
              <w:spacing w:after="0"/>
              <w:rPr>
                <w:sz w:val="15"/>
                <w:szCs w:val="15"/>
                <w:color w:val="auto"/>
              </w:rPr>
            </w:pPr>
          </w:p>
        </w:tc>
        <w:tc>
          <w:tcPr>
            <w:tcW w:w="2760" w:type="dxa"/>
            <w:vAlign w:val="bottom"/>
            <w:gridSpan w:val="3"/>
          </w:tcPr>
          <w:p>
            <w:pPr>
              <w:ind w:left="600"/>
              <w:spacing w:after="0"/>
              <w:rPr>
                <w:sz w:val="20"/>
                <w:szCs w:val="20"/>
                <w:color w:val="auto"/>
              </w:rPr>
            </w:pPr>
            <w:r>
              <w:rPr>
                <w:rFonts w:ascii="Courier New" w:cs="Courier New" w:eastAsia="Courier New" w:hAnsi="Courier New"/>
                <w:sz w:val="16"/>
                <w:szCs w:val="16"/>
                <w:color w:val="auto"/>
              </w:rPr>
              <w:t>December 31,</w:t>
            </w:r>
          </w:p>
        </w:tc>
      </w:tr>
      <w:tr>
        <w:trPr>
          <w:trHeight w:val="180"/>
        </w:trPr>
        <w:tc>
          <w:tcPr>
            <w:tcW w:w="4180" w:type="dxa"/>
            <w:vAlign w:val="bottom"/>
          </w:tcPr>
          <w:p>
            <w:pPr>
              <w:spacing w:after="0"/>
              <w:rPr>
                <w:sz w:val="15"/>
                <w:szCs w:val="15"/>
                <w:color w:val="auto"/>
              </w:rPr>
            </w:pPr>
          </w:p>
        </w:tc>
        <w:tc>
          <w:tcPr>
            <w:tcW w:w="6880" w:type="dxa"/>
            <w:vAlign w:val="bottom"/>
            <w:gridSpan w:val="8"/>
          </w:tcPr>
          <w:p>
            <w:pPr>
              <w:ind w:left="320"/>
              <w:spacing w:after="0"/>
              <w:rPr>
                <w:sz w:val="20"/>
                <w:szCs w:val="20"/>
                <w:color w:val="auto"/>
              </w:rPr>
            </w:pPr>
            <w:r>
              <w:rPr>
                <w:rFonts w:ascii="Courier New" w:cs="Courier New" w:eastAsia="Courier New" w:hAnsi="Courier New"/>
                <w:sz w:val="16"/>
                <w:szCs w:val="16"/>
                <w:color w:val="auto"/>
                <w:w w:val="98"/>
              </w:rPr>
              <w:t>------------------------------------ --------------------------------</w:t>
            </w:r>
          </w:p>
        </w:tc>
      </w:tr>
      <w:tr>
        <w:trPr>
          <w:trHeight w:val="180"/>
        </w:trPr>
        <w:tc>
          <w:tcPr>
            <w:tcW w:w="4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2005</w:t>
            </w:r>
          </w:p>
        </w:tc>
        <w:tc>
          <w:tcPr>
            <w:tcW w:w="200" w:type="dxa"/>
            <w:vAlign w:val="bottom"/>
          </w:tcPr>
          <w:p>
            <w:pPr>
              <w:spacing w:after="0"/>
              <w:rPr>
                <w:sz w:val="15"/>
                <w:szCs w:val="15"/>
                <w:color w:val="auto"/>
              </w:rPr>
            </w:pPr>
          </w:p>
        </w:tc>
        <w:tc>
          <w:tcPr>
            <w:tcW w:w="13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2004</w:t>
            </w:r>
          </w:p>
        </w:tc>
        <w:tc>
          <w:tcPr>
            <w:tcW w:w="620" w:type="dxa"/>
            <w:vAlign w:val="bottom"/>
          </w:tcPr>
          <w:p>
            <w:pPr>
              <w:spacing w:after="0"/>
              <w:rPr>
                <w:sz w:val="15"/>
                <w:szCs w:val="15"/>
                <w:color w:val="auto"/>
              </w:rPr>
            </w:pPr>
          </w:p>
        </w:tc>
        <w:tc>
          <w:tcPr>
            <w:tcW w:w="10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2005</w:t>
            </w:r>
          </w:p>
        </w:tc>
        <w:tc>
          <w:tcPr>
            <w:tcW w:w="580" w:type="dxa"/>
            <w:vAlign w:val="bottom"/>
          </w:tcPr>
          <w:p>
            <w:pPr>
              <w:spacing w:after="0"/>
              <w:rPr>
                <w:sz w:val="15"/>
                <w:szCs w:val="15"/>
                <w:color w:val="auto"/>
              </w:rPr>
            </w:pPr>
          </w:p>
        </w:tc>
        <w:tc>
          <w:tcPr>
            <w:tcW w:w="11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2004</w:t>
            </w:r>
          </w:p>
        </w:tc>
      </w:tr>
      <w:tr>
        <w:trPr>
          <w:trHeight w:val="180"/>
        </w:trPr>
        <w:tc>
          <w:tcPr>
            <w:tcW w:w="4180" w:type="dxa"/>
            <w:vAlign w:val="bottom"/>
          </w:tcPr>
          <w:p>
            <w:pPr>
              <w:spacing w:after="0"/>
              <w:rPr>
                <w:sz w:val="15"/>
                <w:szCs w:val="15"/>
                <w:color w:val="auto"/>
              </w:rPr>
            </w:pPr>
          </w:p>
        </w:tc>
        <w:tc>
          <w:tcPr>
            <w:tcW w:w="6880" w:type="dxa"/>
            <w:vAlign w:val="bottom"/>
            <w:gridSpan w:val="8"/>
          </w:tcPr>
          <w:p>
            <w:pPr>
              <w:ind w:left="320"/>
              <w:spacing w:after="0"/>
              <w:rPr>
                <w:sz w:val="20"/>
                <w:szCs w:val="20"/>
                <w:color w:val="auto"/>
              </w:rPr>
            </w:pPr>
            <w:r>
              <w:rPr>
                <w:rFonts w:ascii="Courier New" w:cs="Courier New" w:eastAsia="Courier New" w:hAnsi="Courier New"/>
                <w:sz w:val="16"/>
                <w:szCs w:val="16"/>
                <w:color w:val="auto"/>
                <w:w w:val="98"/>
              </w:rPr>
              <w:t>------------------------------------ --------------------------------</w:t>
            </w:r>
          </w:p>
        </w:tc>
      </w:tr>
      <w:tr>
        <w:trPr>
          <w:trHeight w:val="721"/>
        </w:trPr>
        <w:tc>
          <w:tcPr>
            <w:tcW w:w="418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640" w:type="dxa"/>
            <w:vAlign w:val="bottom"/>
          </w:tcPr>
          <w:p>
            <w:pPr>
              <w:ind w:left="420"/>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(11,439)</w:t>
            </w:r>
          </w:p>
        </w:tc>
        <w:tc>
          <w:tcPr>
            <w:tcW w:w="200" w:type="dxa"/>
            <w:vAlign w:val="bottom"/>
          </w:tcPr>
          <w:p>
            <w:pPr>
              <w:jc w:val="right"/>
              <w:ind w:right="22"/>
              <w:spacing w:after="0"/>
              <w:rPr>
                <w:sz w:val="20"/>
                <w:szCs w:val="20"/>
                <w:color w:val="auto"/>
              </w:rPr>
            </w:pPr>
            <w:r>
              <w:rPr>
                <w:rFonts w:ascii="Courier New" w:cs="Courier New" w:eastAsia="Courier New" w:hAnsi="Courier New"/>
                <w:sz w:val="16"/>
                <w:szCs w:val="16"/>
                <w:color w:val="auto"/>
                <w:w w:val="82"/>
              </w:rPr>
              <w:t>$</w:t>
            </w:r>
          </w:p>
        </w:tc>
        <w:tc>
          <w:tcPr>
            <w:tcW w:w="13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(127,713)</w:t>
            </w: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(98,418)</w:t>
            </w:r>
          </w:p>
        </w:tc>
        <w:tc>
          <w:tcPr>
            <w:tcW w:w="5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9"/>
              </w:rPr>
              <w:t>(205,586)</w:t>
            </w:r>
          </w:p>
        </w:tc>
      </w:tr>
      <w:tr>
        <w:trPr>
          <w:trHeight w:val="361"/>
        </w:trPr>
        <w:tc>
          <w:tcPr>
            <w:tcW w:w="4180" w:type="dxa"/>
            <w:vAlign w:val="bottom"/>
          </w:tcPr>
          <w:p>
            <w:pPr>
              <w:ind w:left="280"/>
              <w:spacing w:after="0"/>
              <w:rPr>
                <w:sz w:val="20"/>
                <w:szCs w:val="20"/>
                <w:color w:val="auto"/>
              </w:rPr>
            </w:pPr>
            <w:r>
              <w:rPr>
                <w:rFonts w:ascii="Courier New" w:cs="Courier New" w:eastAsia="Courier New" w:hAnsi="Courier New"/>
                <w:sz w:val="16"/>
                <w:szCs w:val="16"/>
                <w:color w:val="auto"/>
              </w:rPr>
              <w:t>Add/(Deduct):</w:t>
            </w:r>
          </w:p>
        </w:tc>
        <w:tc>
          <w:tcPr>
            <w:tcW w:w="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0"/>
        </w:trPr>
        <w:tc>
          <w:tcPr>
            <w:tcW w:w="4180" w:type="dxa"/>
            <w:vAlign w:val="bottom"/>
          </w:tcPr>
          <w:p>
            <w:pPr>
              <w:ind w:left="460"/>
              <w:spacing w:after="0"/>
              <w:rPr>
                <w:sz w:val="20"/>
                <w:szCs w:val="20"/>
                <w:color w:val="auto"/>
              </w:rPr>
            </w:pPr>
            <w:r>
              <w:rPr>
                <w:rFonts w:ascii="Courier New" w:cs="Courier New" w:eastAsia="Courier New" w:hAnsi="Courier New"/>
                <w:sz w:val="16"/>
                <w:szCs w:val="16"/>
                <w:color w:val="auto"/>
              </w:rPr>
              <w:t>Minority interest</w:t>
            </w:r>
          </w:p>
        </w:tc>
        <w:tc>
          <w:tcPr>
            <w:tcW w:w="640" w:type="dxa"/>
            <w:vAlign w:val="bottom"/>
          </w:tcPr>
          <w:p>
            <w:pPr>
              <w:spacing w:after="0"/>
              <w:rPr>
                <w:sz w:val="15"/>
                <w:szCs w:val="15"/>
                <w:color w:val="auto"/>
              </w:rPr>
            </w:pPr>
          </w:p>
        </w:tc>
        <w:tc>
          <w:tcPr>
            <w:tcW w:w="13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5"/>
                <w:szCs w:val="15"/>
                <w:color w:val="auto"/>
              </w:rPr>
            </w:pP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(1,054)</w:t>
            </w:r>
          </w:p>
        </w:tc>
      </w:tr>
      <w:tr>
        <w:trPr>
          <w:trHeight w:val="361"/>
        </w:trPr>
        <w:tc>
          <w:tcPr>
            <w:tcW w:w="4180" w:type="dxa"/>
            <w:vAlign w:val="bottom"/>
          </w:tcPr>
          <w:p>
            <w:pPr>
              <w:ind w:left="460"/>
              <w:spacing w:after="0"/>
              <w:rPr>
                <w:sz w:val="20"/>
                <w:szCs w:val="20"/>
                <w:color w:val="auto"/>
              </w:rPr>
            </w:pPr>
            <w:r>
              <w:rPr>
                <w:rFonts w:ascii="Courier New" w:cs="Courier New" w:eastAsia="Courier New" w:hAnsi="Courier New"/>
                <w:sz w:val="16"/>
                <w:szCs w:val="16"/>
                <w:color w:val="auto"/>
              </w:rPr>
              <w:t>Interest income</w:t>
            </w:r>
          </w:p>
        </w:tc>
        <w:tc>
          <w:tcPr>
            <w:tcW w:w="640" w:type="dxa"/>
            <w:vAlign w:val="bottom"/>
          </w:tcPr>
          <w:p>
            <w:pPr>
              <w:spacing w:after="0"/>
              <w:rPr>
                <w:sz w:val="24"/>
                <w:szCs w:val="24"/>
                <w:color w:val="auto"/>
              </w:rPr>
            </w:pPr>
          </w:p>
        </w:tc>
        <w:tc>
          <w:tcPr>
            <w:tcW w:w="13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(7,635)</w:t>
            </w:r>
          </w:p>
        </w:tc>
        <w:tc>
          <w:tcPr>
            <w:tcW w:w="200" w:type="dxa"/>
            <w:vAlign w:val="bottom"/>
          </w:tcPr>
          <w:p>
            <w:pPr>
              <w:spacing w:after="0"/>
              <w:rPr>
                <w:sz w:val="24"/>
                <w:szCs w:val="24"/>
                <w:color w:val="auto"/>
              </w:rPr>
            </w:pPr>
          </w:p>
        </w:tc>
        <w:tc>
          <w:tcPr>
            <w:tcW w:w="13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(3,658)</w:t>
            </w:r>
          </w:p>
        </w:tc>
        <w:tc>
          <w:tcPr>
            <w:tcW w:w="620" w:type="dxa"/>
            <w:vAlign w:val="bottom"/>
          </w:tcPr>
          <w:p>
            <w:pPr>
              <w:spacing w:after="0"/>
              <w:rPr>
                <w:sz w:val="24"/>
                <w:szCs w:val="24"/>
                <w:color w:val="auto"/>
              </w:rPr>
            </w:pP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(28,267)</w:t>
            </w:r>
          </w:p>
        </w:tc>
        <w:tc>
          <w:tcPr>
            <w:tcW w:w="580" w:type="dxa"/>
            <w:vAlign w:val="bottom"/>
          </w:tcPr>
          <w:p>
            <w:pPr>
              <w:spacing w:after="0"/>
              <w:rPr>
                <w:sz w:val="24"/>
                <w:szCs w:val="24"/>
                <w:color w:val="auto"/>
              </w:rPr>
            </w:pP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(8,633)</w:t>
            </w:r>
          </w:p>
        </w:tc>
      </w:tr>
      <w:tr>
        <w:trPr>
          <w:trHeight w:val="180"/>
        </w:trPr>
        <w:tc>
          <w:tcPr>
            <w:tcW w:w="4180" w:type="dxa"/>
            <w:vAlign w:val="bottom"/>
          </w:tcPr>
          <w:p>
            <w:pPr>
              <w:ind w:left="460"/>
              <w:spacing w:after="0"/>
              <w:rPr>
                <w:sz w:val="20"/>
                <w:szCs w:val="20"/>
                <w:color w:val="auto"/>
              </w:rPr>
            </w:pPr>
            <w:r>
              <w:rPr>
                <w:rFonts w:ascii="Courier New" w:cs="Courier New" w:eastAsia="Courier New" w:hAnsi="Courier New"/>
                <w:sz w:val="16"/>
                <w:szCs w:val="16"/>
                <w:color w:val="auto"/>
              </w:rPr>
              <w:t>Interest expense, net</w:t>
            </w:r>
          </w:p>
        </w:tc>
        <w:tc>
          <w:tcPr>
            <w:tcW w:w="640" w:type="dxa"/>
            <w:vAlign w:val="bottom"/>
          </w:tcPr>
          <w:p>
            <w:pPr>
              <w:spacing w:after="0"/>
              <w:rPr>
                <w:sz w:val="15"/>
                <w:szCs w:val="15"/>
                <w:color w:val="auto"/>
              </w:rPr>
            </w:pPr>
          </w:p>
        </w:tc>
        <w:tc>
          <w:tcPr>
            <w:tcW w:w="13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36,066</w:t>
            </w:r>
          </w:p>
        </w:tc>
        <w:tc>
          <w:tcPr>
            <w:tcW w:w="200" w:type="dxa"/>
            <w:vAlign w:val="bottom"/>
          </w:tcPr>
          <w:p>
            <w:pPr>
              <w:spacing w:after="0"/>
              <w:rPr>
                <w:sz w:val="15"/>
                <w:szCs w:val="15"/>
                <w:color w:val="auto"/>
              </w:rPr>
            </w:pP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2,154</w:t>
            </w:r>
          </w:p>
        </w:tc>
        <w:tc>
          <w:tcPr>
            <w:tcW w:w="620" w:type="dxa"/>
            <w:vAlign w:val="bottom"/>
          </w:tcPr>
          <w:p>
            <w:pPr>
              <w:spacing w:after="0"/>
              <w:rPr>
                <w:sz w:val="15"/>
                <w:szCs w:val="15"/>
                <w:color w:val="auto"/>
              </w:rPr>
            </w:pP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99,491</w:t>
            </w:r>
          </w:p>
        </w:tc>
        <w:tc>
          <w:tcPr>
            <w:tcW w:w="580" w:type="dxa"/>
            <w:vAlign w:val="bottom"/>
          </w:tcPr>
          <w:p>
            <w:pPr>
              <w:spacing w:after="0"/>
              <w:rPr>
                <w:sz w:val="15"/>
                <w:szCs w:val="15"/>
                <w:color w:val="auto"/>
              </w:rPr>
            </w:pPr>
          </w:p>
        </w:tc>
        <w:tc>
          <w:tcPr>
            <w:tcW w:w="11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2,687</w:t>
            </w:r>
          </w:p>
        </w:tc>
      </w:tr>
      <w:tr>
        <w:trPr>
          <w:trHeight w:val="180"/>
        </w:trPr>
        <w:tc>
          <w:tcPr>
            <w:tcW w:w="4180" w:type="dxa"/>
            <w:vAlign w:val="bottom"/>
          </w:tcPr>
          <w:p>
            <w:pPr>
              <w:ind w:left="460"/>
              <w:spacing w:after="0"/>
              <w:rPr>
                <w:sz w:val="20"/>
                <w:szCs w:val="20"/>
                <w:color w:val="auto"/>
              </w:rPr>
            </w:pPr>
            <w:r>
              <w:rPr>
                <w:rFonts w:ascii="Courier New" w:cs="Courier New" w:eastAsia="Courier New" w:hAnsi="Courier New"/>
                <w:sz w:val="16"/>
                <w:szCs w:val="16"/>
                <w:color w:val="auto"/>
              </w:rPr>
              <w:t>Loss on early extinguishment of debt</w:t>
            </w:r>
          </w:p>
        </w:tc>
        <w:tc>
          <w:tcPr>
            <w:tcW w:w="640" w:type="dxa"/>
            <w:vAlign w:val="bottom"/>
          </w:tcPr>
          <w:p>
            <w:pPr>
              <w:spacing w:after="0"/>
              <w:rPr>
                <w:sz w:val="15"/>
                <w:szCs w:val="15"/>
                <w:color w:val="auto"/>
              </w:rPr>
            </w:pPr>
          </w:p>
        </w:tc>
        <w:tc>
          <w:tcPr>
            <w:tcW w:w="13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97,160</w:t>
            </w:r>
          </w:p>
        </w:tc>
        <w:tc>
          <w:tcPr>
            <w:tcW w:w="620" w:type="dxa"/>
            <w:vAlign w:val="bottom"/>
          </w:tcPr>
          <w:p>
            <w:pPr>
              <w:spacing w:after="0"/>
              <w:rPr>
                <w:sz w:val="15"/>
                <w:szCs w:val="15"/>
                <w:color w:val="auto"/>
              </w:rPr>
            </w:pP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5"/>
                <w:szCs w:val="15"/>
                <w:color w:val="auto"/>
              </w:rPr>
            </w:pPr>
          </w:p>
        </w:tc>
        <w:tc>
          <w:tcPr>
            <w:tcW w:w="11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122,788</w:t>
            </w:r>
          </w:p>
        </w:tc>
      </w:tr>
      <w:tr>
        <w:trPr>
          <w:trHeight w:val="180"/>
        </w:trPr>
        <w:tc>
          <w:tcPr>
            <w:tcW w:w="4180" w:type="dxa"/>
            <w:vAlign w:val="bottom"/>
          </w:tcPr>
          <w:p>
            <w:pPr>
              <w:spacing w:after="0"/>
              <w:rPr>
                <w:sz w:val="15"/>
                <w:szCs w:val="15"/>
                <w:color w:val="auto"/>
              </w:rPr>
            </w:pPr>
          </w:p>
        </w:tc>
        <w:tc>
          <w:tcPr>
            <w:tcW w:w="6880" w:type="dxa"/>
            <w:vAlign w:val="bottom"/>
            <w:gridSpan w:val="8"/>
          </w:tcPr>
          <w:p>
            <w:pPr>
              <w:ind w:left="320"/>
              <w:spacing w:after="0"/>
              <w:rPr>
                <w:sz w:val="20"/>
                <w:szCs w:val="20"/>
                <w:color w:val="auto"/>
              </w:rPr>
            </w:pPr>
            <w:r>
              <w:rPr>
                <w:rFonts w:ascii="Courier New" w:cs="Courier New" w:eastAsia="Courier New" w:hAnsi="Courier New"/>
                <w:sz w:val="16"/>
                <w:szCs w:val="16"/>
                <w:color w:val="auto"/>
                <w:w w:val="97"/>
              </w:rPr>
              <w:t>------------------------------------ ---------------------------------</w:t>
            </w:r>
          </w:p>
        </w:tc>
      </w:tr>
      <w:tr>
        <w:trPr>
          <w:trHeight w:val="180"/>
        </w:trPr>
        <w:tc>
          <w:tcPr>
            <w:tcW w:w="4180" w:type="dxa"/>
            <w:vAlign w:val="bottom"/>
          </w:tcPr>
          <w:p>
            <w:pPr>
              <w:ind w:left="460"/>
              <w:spacing w:after="0"/>
              <w:rPr>
                <w:sz w:val="20"/>
                <w:szCs w:val="20"/>
                <w:color w:val="auto"/>
              </w:rPr>
            </w:pPr>
            <w:r>
              <w:rPr>
                <w:rFonts w:ascii="Courier New" w:cs="Courier New" w:eastAsia="Courier New" w:hAnsi="Courier New"/>
                <w:sz w:val="16"/>
                <w:szCs w:val="16"/>
                <w:color w:val="auto"/>
              </w:rPr>
              <w:t>Total</w:t>
            </w:r>
          </w:p>
        </w:tc>
        <w:tc>
          <w:tcPr>
            <w:tcW w:w="640" w:type="dxa"/>
            <w:vAlign w:val="bottom"/>
          </w:tcPr>
          <w:p>
            <w:pPr>
              <w:spacing w:after="0"/>
              <w:rPr>
                <w:sz w:val="15"/>
                <w:szCs w:val="15"/>
                <w:color w:val="auto"/>
              </w:rPr>
            </w:pPr>
          </w:p>
        </w:tc>
        <w:tc>
          <w:tcPr>
            <w:tcW w:w="13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28,431</w:t>
            </w:r>
          </w:p>
        </w:tc>
        <w:tc>
          <w:tcPr>
            <w:tcW w:w="200" w:type="dxa"/>
            <w:vAlign w:val="bottom"/>
          </w:tcPr>
          <w:p>
            <w:pPr>
              <w:spacing w:after="0"/>
              <w:rPr>
                <w:sz w:val="15"/>
                <w:szCs w:val="15"/>
                <w:color w:val="auto"/>
              </w:rPr>
            </w:pP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95,656</w:t>
            </w:r>
          </w:p>
        </w:tc>
        <w:tc>
          <w:tcPr>
            <w:tcW w:w="620" w:type="dxa"/>
            <w:vAlign w:val="bottom"/>
          </w:tcPr>
          <w:p>
            <w:pPr>
              <w:spacing w:after="0"/>
              <w:rPr>
                <w:sz w:val="15"/>
                <w:szCs w:val="15"/>
                <w:color w:val="auto"/>
              </w:rPr>
            </w:pP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71,224</w:t>
            </w:r>
          </w:p>
        </w:tc>
        <w:tc>
          <w:tcPr>
            <w:tcW w:w="580" w:type="dxa"/>
            <w:vAlign w:val="bottom"/>
          </w:tcPr>
          <w:p>
            <w:pPr>
              <w:spacing w:after="0"/>
              <w:rPr>
                <w:sz w:val="15"/>
                <w:szCs w:val="15"/>
                <w:color w:val="auto"/>
              </w:rPr>
            </w:pPr>
          </w:p>
        </w:tc>
        <w:tc>
          <w:tcPr>
            <w:tcW w:w="11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116,842</w:t>
            </w:r>
          </w:p>
        </w:tc>
      </w:tr>
      <w:tr>
        <w:trPr>
          <w:trHeight w:val="180"/>
        </w:trPr>
        <w:tc>
          <w:tcPr>
            <w:tcW w:w="4180" w:type="dxa"/>
            <w:vAlign w:val="bottom"/>
          </w:tcPr>
          <w:p>
            <w:pPr>
              <w:spacing w:after="0"/>
              <w:rPr>
                <w:sz w:val="15"/>
                <w:szCs w:val="15"/>
                <w:color w:val="auto"/>
              </w:rPr>
            </w:pPr>
          </w:p>
        </w:tc>
        <w:tc>
          <w:tcPr>
            <w:tcW w:w="6880" w:type="dxa"/>
            <w:vAlign w:val="bottom"/>
            <w:gridSpan w:val="8"/>
          </w:tcPr>
          <w:p>
            <w:pPr>
              <w:ind w:left="320"/>
              <w:spacing w:after="0"/>
              <w:rPr>
                <w:sz w:val="20"/>
                <w:szCs w:val="20"/>
                <w:color w:val="auto"/>
              </w:rPr>
            </w:pPr>
            <w:r>
              <w:rPr>
                <w:rFonts w:ascii="Courier New" w:cs="Courier New" w:eastAsia="Courier New" w:hAnsi="Courier New"/>
                <w:sz w:val="16"/>
                <w:szCs w:val="16"/>
                <w:color w:val="auto"/>
                <w:w w:val="97"/>
              </w:rPr>
              <w:t>------------------------------------ ---------------------------------</w:t>
            </w:r>
          </w:p>
        </w:tc>
      </w:tr>
      <w:tr>
        <w:trPr>
          <w:trHeight w:val="361"/>
        </w:trPr>
        <w:tc>
          <w:tcPr>
            <w:tcW w:w="4180" w:type="dxa"/>
            <w:vAlign w:val="bottom"/>
          </w:tcPr>
          <w:p>
            <w:pPr>
              <w:spacing w:after="0"/>
              <w:rPr>
                <w:sz w:val="20"/>
                <w:szCs w:val="20"/>
                <w:color w:val="auto"/>
              </w:rPr>
            </w:pPr>
            <w:r>
              <w:rPr>
                <w:rFonts w:ascii="Courier New" w:cs="Courier New" w:eastAsia="Courier New" w:hAnsi="Courier New"/>
                <w:sz w:val="16"/>
                <w:szCs w:val="16"/>
                <w:color w:val="auto"/>
              </w:rPr>
              <w:t>Operating loss</w:t>
            </w:r>
          </w:p>
        </w:tc>
        <w:tc>
          <w:tcPr>
            <w:tcW w:w="640" w:type="dxa"/>
            <w:vAlign w:val="bottom"/>
          </w:tcPr>
          <w:p>
            <w:pPr>
              <w:spacing w:after="0"/>
              <w:rPr>
                <w:sz w:val="24"/>
                <w:szCs w:val="24"/>
                <w:color w:val="auto"/>
              </w:rPr>
            </w:pPr>
          </w:p>
        </w:tc>
        <w:tc>
          <w:tcPr>
            <w:tcW w:w="13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16,992</w:t>
            </w:r>
          </w:p>
        </w:tc>
        <w:tc>
          <w:tcPr>
            <w:tcW w:w="200" w:type="dxa"/>
            <w:vAlign w:val="bottom"/>
          </w:tcPr>
          <w:p>
            <w:pPr>
              <w:spacing w:after="0"/>
              <w:rPr>
                <w:sz w:val="24"/>
                <w:szCs w:val="24"/>
                <w:color w:val="auto"/>
              </w:rPr>
            </w:pPr>
          </w:p>
        </w:tc>
        <w:tc>
          <w:tcPr>
            <w:tcW w:w="13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(32,057)</w:t>
            </w:r>
          </w:p>
        </w:tc>
        <w:tc>
          <w:tcPr>
            <w:tcW w:w="620" w:type="dxa"/>
            <w:vAlign w:val="bottom"/>
          </w:tcPr>
          <w:p>
            <w:pPr>
              <w:spacing w:after="0"/>
              <w:rPr>
                <w:sz w:val="24"/>
                <w:szCs w:val="24"/>
                <w:color w:val="auto"/>
              </w:rPr>
            </w:pP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(27,194)</w:t>
            </w:r>
          </w:p>
        </w:tc>
        <w:tc>
          <w:tcPr>
            <w:tcW w:w="580" w:type="dxa"/>
            <w:vAlign w:val="bottom"/>
          </w:tcPr>
          <w:p>
            <w:pPr>
              <w:spacing w:after="0"/>
              <w:rPr>
                <w:sz w:val="24"/>
                <w:szCs w:val="24"/>
                <w:color w:val="auto"/>
              </w:rPr>
            </w:pP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(89,798)</w:t>
            </w:r>
          </w:p>
        </w:tc>
      </w:tr>
      <w:tr>
        <w:trPr>
          <w:trHeight w:val="361"/>
        </w:trPr>
        <w:tc>
          <w:tcPr>
            <w:tcW w:w="4180" w:type="dxa"/>
            <w:vAlign w:val="bottom"/>
          </w:tcPr>
          <w:p>
            <w:pPr>
              <w:ind w:left="280"/>
              <w:spacing w:after="0"/>
              <w:rPr>
                <w:sz w:val="20"/>
                <w:szCs w:val="20"/>
                <w:color w:val="auto"/>
              </w:rPr>
            </w:pPr>
            <w:r>
              <w:rPr>
                <w:rFonts w:ascii="Courier New" w:cs="Courier New" w:eastAsia="Courier New" w:hAnsi="Courier New"/>
                <w:sz w:val="16"/>
                <w:szCs w:val="16"/>
                <w:color w:val="auto"/>
              </w:rPr>
              <w:t>Add/(Deduct):</w:t>
            </w:r>
          </w:p>
        </w:tc>
        <w:tc>
          <w:tcPr>
            <w:tcW w:w="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0"/>
        </w:trPr>
        <w:tc>
          <w:tcPr>
            <w:tcW w:w="4180" w:type="dxa"/>
            <w:vAlign w:val="bottom"/>
          </w:tcPr>
          <w:p>
            <w:pPr>
              <w:ind w:left="280"/>
              <w:spacing w:after="0"/>
              <w:rPr>
                <w:sz w:val="20"/>
                <w:szCs w:val="20"/>
                <w:color w:val="auto"/>
              </w:rPr>
            </w:pPr>
            <w:r>
              <w:rPr>
                <w:rFonts w:ascii="Courier New" w:cs="Courier New" w:eastAsia="Courier New" w:hAnsi="Courier New"/>
                <w:sz w:val="16"/>
                <w:szCs w:val="16"/>
                <w:color w:val="auto"/>
              </w:rPr>
              <w:t>Preopening expenses:</w:t>
            </w:r>
          </w:p>
        </w:tc>
        <w:tc>
          <w:tcPr>
            <w:tcW w:w="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0"/>
        </w:trPr>
        <w:tc>
          <w:tcPr>
            <w:tcW w:w="4180" w:type="dxa"/>
            <w:vAlign w:val="bottom"/>
          </w:tcPr>
          <w:p>
            <w:pPr>
              <w:ind w:left="460"/>
              <w:spacing w:after="0"/>
              <w:rPr>
                <w:sz w:val="20"/>
                <w:szCs w:val="20"/>
                <w:color w:val="auto"/>
              </w:rPr>
            </w:pPr>
            <w:r>
              <w:rPr>
                <w:rFonts w:ascii="Courier New" w:cs="Courier New" w:eastAsia="Courier New" w:hAnsi="Courier New"/>
                <w:sz w:val="16"/>
                <w:szCs w:val="16"/>
                <w:color w:val="auto"/>
              </w:rPr>
              <w:t>Wynn Las Vegas</w:t>
            </w:r>
          </w:p>
        </w:tc>
        <w:tc>
          <w:tcPr>
            <w:tcW w:w="640" w:type="dxa"/>
            <w:vAlign w:val="bottom"/>
          </w:tcPr>
          <w:p>
            <w:pPr>
              <w:spacing w:after="0"/>
              <w:rPr>
                <w:sz w:val="15"/>
                <w:szCs w:val="15"/>
                <w:color w:val="auto"/>
              </w:rPr>
            </w:pPr>
          </w:p>
        </w:tc>
        <w:tc>
          <w:tcPr>
            <w:tcW w:w="13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27</w:t>
            </w:r>
          </w:p>
        </w:tc>
        <w:tc>
          <w:tcPr>
            <w:tcW w:w="200" w:type="dxa"/>
            <w:vAlign w:val="bottom"/>
          </w:tcPr>
          <w:p>
            <w:pPr>
              <w:spacing w:after="0"/>
              <w:rPr>
                <w:sz w:val="15"/>
                <w:szCs w:val="15"/>
                <w:color w:val="auto"/>
              </w:rPr>
            </w:pP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14,418</w:t>
            </w:r>
          </w:p>
        </w:tc>
        <w:tc>
          <w:tcPr>
            <w:tcW w:w="620" w:type="dxa"/>
            <w:vAlign w:val="bottom"/>
          </w:tcPr>
          <w:p>
            <w:pPr>
              <w:spacing w:after="0"/>
              <w:rPr>
                <w:sz w:val="15"/>
                <w:szCs w:val="15"/>
                <w:color w:val="auto"/>
              </w:rPr>
            </w:pP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67,454</w:t>
            </w:r>
          </w:p>
        </w:tc>
        <w:tc>
          <w:tcPr>
            <w:tcW w:w="580" w:type="dxa"/>
            <w:vAlign w:val="bottom"/>
          </w:tcPr>
          <w:p>
            <w:pPr>
              <w:spacing w:after="0"/>
              <w:rPr>
                <w:sz w:val="15"/>
                <w:szCs w:val="15"/>
                <w:color w:val="auto"/>
              </w:rPr>
            </w:pPr>
          </w:p>
        </w:tc>
        <w:tc>
          <w:tcPr>
            <w:tcW w:w="11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41,073</w:t>
            </w:r>
          </w:p>
        </w:tc>
      </w:tr>
      <w:tr>
        <w:trPr>
          <w:trHeight w:val="180"/>
        </w:trPr>
        <w:tc>
          <w:tcPr>
            <w:tcW w:w="4180" w:type="dxa"/>
            <w:vAlign w:val="bottom"/>
          </w:tcPr>
          <w:p>
            <w:pPr>
              <w:ind w:left="460"/>
              <w:spacing w:after="0"/>
              <w:rPr>
                <w:sz w:val="20"/>
                <w:szCs w:val="20"/>
                <w:color w:val="auto"/>
              </w:rPr>
            </w:pPr>
            <w:r>
              <w:rPr>
                <w:rFonts w:ascii="Courier New" w:cs="Courier New" w:eastAsia="Courier New" w:hAnsi="Courier New"/>
                <w:sz w:val="16"/>
                <w:szCs w:val="16"/>
                <w:color w:val="auto"/>
              </w:rPr>
              <w:t>Wynn Macau</w:t>
            </w:r>
          </w:p>
        </w:tc>
        <w:tc>
          <w:tcPr>
            <w:tcW w:w="640" w:type="dxa"/>
            <w:vAlign w:val="bottom"/>
          </w:tcPr>
          <w:p>
            <w:pPr>
              <w:spacing w:after="0"/>
              <w:rPr>
                <w:sz w:val="15"/>
                <w:szCs w:val="15"/>
                <w:color w:val="auto"/>
              </w:rPr>
            </w:pPr>
          </w:p>
        </w:tc>
        <w:tc>
          <w:tcPr>
            <w:tcW w:w="13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8,197</w:t>
            </w:r>
          </w:p>
        </w:tc>
        <w:tc>
          <w:tcPr>
            <w:tcW w:w="200" w:type="dxa"/>
            <w:vAlign w:val="bottom"/>
          </w:tcPr>
          <w:p>
            <w:pPr>
              <w:spacing w:after="0"/>
              <w:rPr>
                <w:sz w:val="15"/>
                <w:szCs w:val="15"/>
                <w:color w:val="auto"/>
              </w:rPr>
            </w:pP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4,920</w:t>
            </w:r>
          </w:p>
        </w:tc>
        <w:tc>
          <w:tcPr>
            <w:tcW w:w="620" w:type="dxa"/>
            <w:vAlign w:val="bottom"/>
          </w:tcPr>
          <w:p>
            <w:pPr>
              <w:spacing w:after="0"/>
              <w:rPr>
                <w:sz w:val="15"/>
                <w:szCs w:val="15"/>
                <w:color w:val="auto"/>
              </w:rPr>
            </w:pP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20,402</w:t>
            </w:r>
          </w:p>
        </w:tc>
        <w:tc>
          <w:tcPr>
            <w:tcW w:w="580" w:type="dxa"/>
            <w:vAlign w:val="bottom"/>
          </w:tcPr>
          <w:p>
            <w:pPr>
              <w:spacing w:after="0"/>
              <w:rPr>
                <w:sz w:val="15"/>
                <w:szCs w:val="15"/>
                <w:color w:val="auto"/>
              </w:rPr>
            </w:pPr>
          </w:p>
        </w:tc>
        <w:tc>
          <w:tcPr>
            <w:tcW w:w="11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15,970</w:t>
            </w:r>
          </w:p>
        </w:tc>
      </w:tr>
      <w:tr>
        <w:trPr>
          <w:trHeight w:val="180"/>
        </w:trPr>
        <w:tc>
          <w:tcPr>
            <w:tcW w:w="4180" w:type="dxa"/>
            <w:vAlign w:val="bottom"/>
          </w:tcPr>
          <w:p>
            <w:pPr>
              <w:ind w:left="460"/>
              <w:spacing w:after="0"/>
              <w:rPr>
                <w:sz w:val="20"/>
                <w:szCs w:val="20"/>
                <w:color w:val="auto"/>
              </w:rPr>
            </w:pPr>
            <w:r>
              <w:rPr>
                <w:rFonts w:ascii="Courier New" w:cs="Courier New" w:eastAsia="Courier New" w:hAnsi="Courier New"/>
                <w:sz w:val="16"/>
                <w:szCs w:val="16"/>
                <w:color w:val="auto"/>
              </w:rPr>
              <w:t>Corporate and other</w:t>
            </w:r>
          </w:p>
        </w:tc>
        <w:tc>
          <w:tcPr>
            <w:tcW w:w="640" w:type="dxa"/>
            <w:vAlign w:val="bottom"/>
          </w:tcPr>
          <w:p>
            <w:pPr>
              <w:spacing w:after="0"/>
              <w:rPr>
                <w:sz w:val="15"/>
                <w:szCs w:val="15"/>
                <w:color w:val="auto"/>
              </w:rPr>
            </w:pPr>
          </w:p>
        </w:tc>
        <w:tc>
          <w:tcPr>
            <w:tcW w:w="13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100</w:t>
            </w:r>
          </w:p>
        </w:tc>
        <w:tc>
          <w:tcPr>
            <w:tcW w:w="200" w:type="dxa"/>
            <w:vAlign w:val="bottom"/>
          </w:tcPr>
          <w:p>
            <w:pPr>
              <w:spacing w:after="0"/>
              <w:rPr>
                <w:sz w:val="15"/>
                <w:szCs w:val="15"/>
                <w:color w:val="auto"/>
              </w:rPr>
            </w:pP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9,441</w:t>
            </w:r>
          </w:p>
        </w:tc>
        <w:tc>
          <w:tcPr>
            <w:tcW w:w="620" w:type="dxa"/>
            <w:vAlign w:val="bottom"/>
          </w:tcPr>
          <w:p>
            <w:pPr>
              <w:spacing w:after="0"/>
              <w:rPr>
                <w:sz w:val="15"/>
                <w:szCs w:val="15"/>
                <w:color w:val="auto"/>
              </w:rPr>
            </w:pP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9,084</w:t>
            </w:r>
          </w:p>
        </w:tc>
        <w:tc>
          <w:tcPr>
            <w:tcW w:w="580" w:type="dxa"/>
            <w:vAlign w:val="bottom"/>
          </w:tcPr>
          <w:p>
            <w:pPr>
              <w:spacing w:after="0"/>
              <w:rPr>
                <w:sz w:val="15"/>
                <w:szCs w:val="15"/>
                <w:color w:val="auto"/>
              </w:rPr>
            </w:pPr>
          </w:p>
        </w:tc>
        <w:tc>
          <w:tcPr>
            <w:tcW w:w="11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24,278</w:t>
            </w:r>
          </w:p>
        </w:tc>
      </w:tr>
      <w:tr>
        <w:trPr>
          <w:trHeight w:val="180"/>
        </w:trPr>
        <w:tc>
          <w:tcPr>
            <w:tcW w:w="4180" w:type="dxa"/>
            <w:vAlign w:val="bottom"/>
          </w:tcPr>
          <w:p>
            <w:pPr>
              <w:ind w:left="280"/>
              <w:spacing w:after="0"/>
              <w:rPr>
                <w:sz w:val="20"/>
                <w:szCs w:val="20"/>
                <w:color w:val="auto"/>
              </w:rPr>
            </w:pPr>
            <w:r>
              <w:rPr>
                <w:rFonts w:ascii="Courier New" w:cs="Courier New" w:eastAsia="Courier New" w:hAnsi="Courier New"/>
                <w:sz w:val="16"/>
                <w:szCs w:val="16"/>
                <w:color w:val="auto"/>
              </w:rPr>
              <w:t>Depreciation and amortization:</w:t>
            </w:r>
          </w:p>
        </w:tc>
        <w:tc>
          <w:tcPr>
            <w:tcW w:w="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0"/>
        </w:trPr>
        <w:tc>
          <w:tcPr>
            <w:tcW w:w="4180" w:type="dxa"/>
            <w:vAlign w:val="bottom"/>
          </w:tcPr>
          <w:p>
            <w:pPr>
              <w:ind w:left="460"/>
              <w:spacing w:after="0"/>
              <w:rPr>
                <w:sz w:val="20"/>
                <w:szCs w:val="20"/>
                <w:color w:val="auto"/>
              </w:rPr>
            </w:pPr>
            <w:r>
              <w:rPr>
                <w:rFonts w:ascii="Courier New" w:cs="Courier New" w:eastAsia="Courier New" w:hAnsi="Courier New"/>
                <w:sz w:val="16"/>
                <w:szCs w:val="16"/>
                <w:color w:val="auto"/>
              </w:rPr>
              <w:t>Wynn Las Vegas</w:t>
            </w:r>
          </w:p>
        </w:tc>
        <w:tc>
          <w:tcPr>
            <w:tcW w:w="640" w:type="dxa"/>
            <w:vAlign w:val="bottom"/>
          </w:tcPr>
          <w:p>
            <w:pPr>
              <w:spacing w:after="0"/>
              <w:rPr>
                <w:sz w:val="15"/>
                <w:szCs w:val="15"/>
                <w:color w:val="auto"/>
              </w:rPr>
            </w:pPr>
          </w:p>
        </w:tc>
        <w:tc>
          <w:tcPr>
            <w:tcW w:w="13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33,115</w:t>
            </w:r>
          </w:p>
        </w:tc>
        <w:tc>
          <w:tcPr>
            <w:tcW w:w="200" w:type="dxa"/>
            <w:vAlign w:val="bottom"/>
          </w:tcPr>
          <w:p>
            <w:pPr>
              <w:spacing w:after="0"/>
              <w:rPr>
                <w:sz w:val="15"/>
                <w:szCs w:val="15"/>
                <w:color w:val="auto"/>
              </w:rPr>
            </w:pP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1,502</w:t>
            </w:r>
          </w:p>
        </w:tc>
        <w:tc>
          <w:tcPr>
            <w:tcW w:w="620" w:type="dxa"/>
            <w:vAlign w:val="bottom"/>
          </w:tcPr>
          <w:p>
            <w:pPr>
              <w:spacing w:after="0"/>
              <w:rPr>
                <w:sz w:val="15"/>
                <w:szCs w:val="15"/>
                <w:color w:val="auto"/>
              </w:rPr>
            </w:pP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94,297</w:t>
            </w:r>
          </w:p>
        </w:tc>
        <w:tc>
          <w:tcPr>
            <w:tcW w:w="580" w:type="dxa"/>
            <w:vAlign w:val="bottom"/>
          </w:tcPr>
          <w:p>
            <w:pPr>
              <w:spacing w:after="0"/>
              <w:rPr>
                <w:sz w:val="15"/>
                <w:szCs w:val="15"/>
                <w:color w:val="auto"/>
              </w:rPr>
            </w:pPr>
          </w:p>
        </w:tc>
        <w:tc>
          <w:tcPr>
            <w:tcW w:w="11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3,793</w:t>
            </w:r>
          </w:p>
        </w:tc>
      </w:tr>
      <w:tr>
        <w:trPr>
          <w:trHeight w:val="180"/>
        </w:trPr>
        <w:tc>
          <w:tcPr>
            <w:tcW w:w="4180" w:type="dxa"/>
            <w:vAlign w:val="bottom"/>
          </w:tcPr>
          <w:p>
            <w:pPr>
              <w:ind w:left="460"/>
              <w:spacing w:after="0"/>
              <w:rPr>
                <w:sz w:val="20"/>
                <w:szCs w:val="20"/>
                <w:color w:val="auto"/>
              </w:rPr>
            </w:pPr>
            <w:r>
              <w:rPr>
                <w:rFonts w:ascii="Courier New" w:cs="Courier New" w:eastAsia="Courier New" w:hAnsi="Courier New"/>
                <w:sz w:val="16"/>
                <w:szCs w:val="16"/>
                <w:color w:val="auto"/>
              </w:rPr>
              <w:t>Wynn Macau</w:t>
            </w:r>
          </w:p>
        </w:tc>
        <w:tc>
          <w:tcPr>
            <w:tcW w:w="640" w:type="dxa"/>
            <w:vAlign w:val="bottom"/>
          </w:tcPr>
          <w:p>
            <w:pPr>
              <w:spacing w:after="0"/>
              <w:rPr>
                <w:sz w:val="15"/>
                <w:szCs w:val="15"/>
                <w:color w:val="auto"/>
              </w:rPr>
            </w:pPr>
          </w:p>
        </w:tc>
        <w:tc>
          <w:tcPr>
            <w:tcW w:w="13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1,969</w:t>
            </w:r>
          </w:p>
        </w:tc>
        <w:tc>
          <w:tcPr>
            <w:tcW w:w="200" w:type="dxa"/>
            <w:vAlign w:val="bottom"/>
          </w:tcPr>
          <w:p>
            <w:pPr>
              <w:spacing w:after="0"/>
              <w:rPr>
                <w:sz w:val="15"/>
                <w:szCs w:val="15"/>
                <w:color w:val="auto"/>
              </w:rPr>
            </w:pP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1,347</w:t>
            </w:r>
          </w:p>
        </w:tc>
        <w:tc>
          <w:tcPr>
            <w:tcW w:w="620" w:type="dxa"/>
            <w:vAlign w:val="bottom"/>
          </w:tcPr>
          <w:p>
            <w:pPr>
              <w:spacing w:after="0"/>
              <w:rPr>
                <w:sz w:val="15"/>
                <w:szCs w:val="15"/>
                <w:color w:val="auto"/>
              </w:rPr>
            </w:pP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6,429</w:t>
            </w:r>
          </w:p>
        </w:tc>
        <w:tc>
          <w:tcPr>
            <w:tcW w:w="580" w:type="dxa"/>
            <w:vAlign w:val="bottom"/>
          </w:tcPr>
          <w:p>
            <w:pPr>
              <w:spacing w:after="0"/>
              <w:rPr>
                <w:sz w:val="15"/>
                <w:szCs w:val="15"/>
                <w:color w:val="auto"/>
              </w:rPr>
            </w:pPr>
          </w:p>
        </w:tc>
        <w:tc>
          <w:tcPr>
            <w:tcW w:w="11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1,704</w:t>
            </w:r>
          </w:p>
        </w:tc>
      </w:tr>
      <w:tr>
        <w:trPr>
          <w:trHeight w:val="180"/>
        </w:trPr>
        <w:tc>
          <w:tcPr>
            <w:tcW w:w="4180" w:type="dxa"/>
            <w:vAlign w:val="bottom"/>
          </w:tcPr>
          <w:p>
            <w:pPr>
              <w:ind w:left="460"/>
              <w:spacing w:after="0"/>
              <w:rPr>
                <w:sz w:val="20"/>
                <w:szCs w:val="20"/>
                <w:color w:val="auto"/>
              </w:rPr>
            </w:pPr>
            <w:r>
              <w:rPr>
                <w:rFonts w:ascii="Courier New" w:cs="Courier New" w:eastAsia="Courier New" w:hAnsi="Courier New"/>
                <w:sz w:val="16"/>
                <w:szCs w:val="16"/>
                <w:color w:val="auto"/>
              </w:rPr>
              <w:t>Corporate and other</w:t>
            </w:r>
          </w:p>
        </w:tc>
        <w:tc>
          <w:tcPr>
            <w:tcW w:w="640" w:type="dxa"/>
            <w:vAlign w:val="bottom"/>
          </w:tcPr>
          <w:p>
            <w:pPr>
              <w:spacing w:after="0"/>
              <w:rPr>
                <w:sz w:val="15"/>
                <w:szCs w:val="15"/>
                <w:color w:val="auto"/>
              </w:rPr>
            </w:pPr>
          </w:p>
        </w:tc>
        <w:tc>
          <w:tcPr>
            <w:tcW w:w="13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755</w:t>
            </w:r>
          </w:p>
        </w:tc>
        <w:tc>
          <w:tcPr>
            <w:tcW w:w="200" w:type="dxa"/>
            <w:vAlign w:val="bottom"/>
          </w:tcPr>
          <w:p>
            <w:pPr>
              <w:spacing w:after="0"/>
              <w:rPr>
                <w:sz w:val="15"/>
                <w:szCs w:val="15"/>
                <w:color w:val="auto"/>
              </w:rPr>
            </w:pP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403</w:t>
            </w:r>
          </w:p>
        </w:tc>
        <w:tc>
          <w:tcPr>
            <w:tcW w:w="620" w:type="dxa"/>
            <w:vAlign w:val="bottom"/>
          </w:tcPr>
          <w:p>
            <w:pPr>
              <w:spacing w:after="0"/>
              <w:rPr>
                <w:sz w:val="15"/>
                <w:szCs w:val="15"/>
                <w:color w:val="auto"/>
              </w:rPr>
            </w:pP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2,618</w:t>
            </w:r>
          </w:p>
        </w:tc>
        <w:tc>
          <w:tcPr>
            <w:tcW w:w="580" w:type="dxa"/>
            <w:vAlign w:val="bottom"/>
          </w:tcPr>
          <w:p>
            <w:pPr>
              <w:spacing w:after="0"/>
              <w:rPr>
                <w:sz w:val="15"/>
                <w:szCs w:val="15"/>
                <w:color w:val="auto"/>
              </w:rPr>
            </w:pPr>
          </w:p>
        </w:tc>
        <w:tc>
          <w:tcPr>
            <w:tcW w:w="11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1,482</w:t>
            </w:r>
          </w:p>
        </w:tc>
      </w:tr>
      <w:tr>
        <w:trPr>
          <w:trHeight w:val="180"/>
        </w:trPr>
        <w:tc>
          <w:tcPr>
            <w:tcW w:w="4180" w:type="dxa"/>
            <w:vAlign w:val="bottom"/>
          </w:tcPr>
          <w:p>
            <w:pPr>
              <w:ind w:left="280"/>
              <w:spacing w:after="0"/>
              <w:rPr>
                <w:sz w:val="20"/>
                <w:szCs w:val="20"/>
                <w:color w:val="auto"/>
              </w:rPr>
            </w:pPr>
            <w:r>
              <w:rPr>
                <w:rFonts w:ascii="Courier New" w:cs="Courier New" w:eastAsia="Courier New" w:hAnsi="Courier New"/>
                <w:sz w:val="16"/>
                <w:szCs w:val="16"/>
                <w:color w:val="auto"/>
              </w:rPr>
              <w:t>Property charges and other:</w:t>
            </w:r>
          </w:p>
        </w:tc>
        <w:tc>
          <w:tcPr>
            <w:tcW w:w="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0"/>
        </w:trPr>
        <w:tc>
          <w:tcPr>
            <w:tcW w:w="4180" w:type="dxa"/>
            <w:vAlign w:val="bottom"/>
          </w:tcPr>
          <w:p>
            <w:pPr>
              <w:ind w:left="460"/>
              <w:spacing w:after="0"/>
              <w:rPr>
                <w:sz w:val="20"/>
                <w:szCs w:val="20"/>
                <w:color w:val="auto"/>
              </w:rPr>
            </w:pPr>
            <w:r>
              <w:rPr>
                <w:rFonts w:ascii="Courier New" w:cs="Courier New" w:eastAsia="Courier New" w:hAnsi="Courier New"/>
                <w:sz w:val="16"/>
                <w:szCs w:val="16"/>
                <w:color w:val="auto"/>
              </w:rPr>
              <w:t>Wynn Las Vegas</w:t>
            </w:r>
          </w:p>
        </w:tc>
        <w:tc>
          <w:tcPr>
            <w:tcW w:w="640" w:type="dxa"/>
            <w:vAlign w:val="bottom"/>
          </w:tcPr>
          <w:p>
            <w:pPr>
              <w:spacing w:after="0"/>
              <w:rPr>
                <w:sz w:val="15"/>
                <w:szCs w:val="15"/>
                <w:color w:val="auto"/>
              </w:rPr>
            </w:pPr>
          </w:p>
        </w:tc>
        <w:tc>
          <w:tcPr>
            <w:tcW w:w="13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8,144</w:t>
            </w:r>
          </w:p>
        </w:tc>
        <w:tc>
          <w:tcPr>
            <w:tcW w:w="200" w:type="dxa"/>
            <w:vAlign w:val="bottom"/>
          </w:tcPr>
          <w:p>
            <w:pPr>
              <w:spacing w:after="0"/>
              <w:rPr>
                <w:sz w:val="15"/>
                <w:szCs w:val="15"/>
                <w:color w:val="auto"/>
              </w:rPr>
            </w:pP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100</w:t>
            </w:r>
          </w:p>
        </w:tc>
        <w:tc>
          <w:tcPr>
            <w:tcW w:w="620" w:type="dxa"/>
            <w:vAlign w:val="bottom"/>
          </w:tcPr>
          <w:p>
            <w:pPr>
              <w:spacing w:after="0"/>
              <w:rPr>
                <w:sz w:val="15"/>
                <w:szCs w:val="15"/>
                <w:color w:val="auto"/>
              </w:rPr>
            </w:pP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14,183</w:t>
            </w:r>
          </w:p>
        </w:tc>
        <w:tc>
          <w:tcPr>
            <w:tcW w:w="580" w:type="dxa"/>
            <w:vAlign w:val="bottom"/>
          </w:tcPr>
          <w:p>
            <w:pPr>
              <w:spacing w:after="0"/>
              <w:rPr>
                <w:sz w:val="15"/>
                <w:szCs w:val="15"/>
                <w:color w:val="auto"/>
              </w:rPr>
            </w:pPr>
          </w:p>
        </w:tc>
        <w:tc>
          <w:tcPr>
            <w:tcW w:w="11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1,290</w:t>
            </w:r>
          </w:p>
        </w:tc>
      </w:tr>
      <w:tr>
        <w:trPr>
          <w:trHeight w:val="180"/>
        </w:trPr>
        <w:tc>
          <w:tcPr>
            <w:tcW w:w="4180" w:type="dxa"/>
            <w:vAlign w:val="bottom"/>
          </w:tcPr>
          <w:p>
            <w:pPr>
              <w:ind w:left="460"/>
              <w:spacing w:after="0"/>
              <w:rPr>
                <w:sz w:val="20"/>
                <w:szCs w:val="20"/>
                <w:color w:val="auto"/>
              </w:rPr>
            </w:pPr>
            <w:r>
              <w:rPr>
                <w:rFonts w:ascii="Courier New" w:cs="Courier New" w:eastAsia="Courier New" w:hAnsi="Courier New"/>
                <w:sz w:val="16"/>
                <w:szCs w:val="16"/>
                <w:color w:val="auto"/>
              </w:rPr>
              <w:t>Wynn Macau</w:t>
            </w:r>
          </w:p>
        </w:tc>
        <w:tc>
          <w:tcPr>
            <w:tcW w:w="640" w:type="dxa"/>
            <w:vAlign w:val="bottom"/>
          </w:tcPr>
          <w:p>
            <w:pPr>
              <w:spacing w:after="0"/>
              <w:rPr>
                <w:sz w:val="15"/>
                <w:szCs w:val="15"/>
                <w:color w:val="auto"/>
              </w:rPr>
            </w:pPr>
          </w:p>
        </w:tc>
        <w:tc>
          <w:tcPr>
            <w:tcW w:w="13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5"/>
                <w:szCs w:val="15"/>
                <w:color w:val="auto"/>
              </w:rPr>
            </w:pPr>
          </w:p>
        </w:tc>
        <w:tc>
          <w:tcPr>
            <w:tcW w:w="11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0"/>
        </w:trPr>
        <w:tc>
          <w:tcPr>
            <w:tcW w:w="4180" w:type="dxa"/>
            <w:vAlign w:val="bottom"/>
          </w:tcPr>
          <w:p>
            <w:pPr>
              <w:ind w:left="460"/>
              <w:spacing w:after="0"/>
              <w:rPr>
                <w:sz w:val="20"/>
                <w:szCs w:val="20"/>
                <w:color w:val="auto"/>
              </w:rPr>
            </w:pPr>
            <w:r>
              <w:rPr>
                <w:rFonts w:ascii="Courier New" w:cs="Courier New" w:eastAsia="Courier New" w:hAnsi="Courier New"/>
                <w:sz w:val="16"/>
                <w:szCs w:val="16"/>
                <w:color w:val="auto"/>
              </w:rPr>
              <w:t>Corporate and other</w:t>
            </w:r>
          </w:p>
        </w:tc>
        <w:tc>
          <w:tcPr>
            <w:tcW w:w="640" w:type="dxa"/>
            <w:vAlign w:val="bottom"/>
          </w:tcPr>
          <w:p>
            <w:pPr>
              <w:spacing w:after="0"/>
              <w:rPr>
                <w:sz w:val="15"/>
                <w:szCs w:val="15"/>
                <w:color w:val="auto"/>
              </w:rPr>
            </w:pPr>
          </w:p>
        </w:tc>
        <w:tc>
          <w:tcPr>
            <w:tcW w:w="13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3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(110)</w:t>
            </w:r>
          </w:p>
        </w:tc>
        <w:tc>
          <w:tcPr>
            <w:tcW w:w="620" w:type="dxa"/>
            <w:vAlign w:val="bottom"/>
          </w:tcPr>
          <w:p>
            <w:pPr>
              <w:spacing w:after="0"/>
              <w:rPr>
                <w:sz w:val="15"/>
                <w:szCs w:val="15"/>
                <w:color w:val="auto"/>
              </w:rPr>
            </w:pP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114</w:t>
            </w:r>
          </w:p>
        </w:tc>
        <w:tc>
          <w:tcPr>
            <w:tcW w:w="580" w:type="dxa"/>
            <w:vAlign w:val="bottom"/>
          </w:tcPr>
          <w:p>
            <w:pPr>
              <w:spacing w:after="0"/>
              <w:rPr>
                <w:sz w:val="15"/>
                <w:szCs w:val="15"/>
                <w:color w:val="auto"/>
              </w:rPr>
            </w:pPr>
          </w:p>
        </w:tc>
        <w:tc>
          <w:tcPr>
            <w:tcW w:w="11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0"/>
        </w:trPr>
        <w:tc>
          <w:tcPr>
            <w:tcW w:w="4180" w:type="dxa"/>
            <w:vAlign w:val="bottom"/>
          </w:tcPr>
          <w:p>
            <w:pPr>
              <w:ind w:left="280"/>
              <w:spacing w:after="0"/>
              <w:rPr>
                <w:sz w:val="20"/>
                <w:szCs w:val="20"/>
                <w:color w:val="auto"/>
              </w:rPr>
            </w:pPr>
            <w:r>
              <w:rPr>
                <w:rFonts w:ascii="Courier New" w:cs="Courier New" w:eastAsia="Courier New" w:hAnsi="Courier New"/>
                <w:sz w:val="16"/>
                <w:szCs w:val="16"/>
                <w:color w:val="auto"/>
              </w:rPr>
              <w:t>Corporate expenses and other</w:t>
            </w:r>
          </w:p>
        </w:tc>
        <w:tc>
          <w:tcPr>
            <w:tcW w:w="640" w:type="dxa"/>
            <w:vAlign w:val="bottom"/>
          </w:tcPr>
          <w:p>
            <w:pPr>
              <w:spacing w:after="0"/>
              <w:rPr>
                <w:sz w:val="15"/>
                <w:szCs w:val="15"/>
                <w:color w:val="auto"/>
              </w:rPr>
            </w:pPr>
          </w:p>
        </w:tc>
        <w:tc>
          <w:tcPr>
            <w:tcW w:w="13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10,768</w:t>
            </w:r>
          </w:p>
        </w:tc>
        <w:tc>
          <w:tcPr>
            <w:tcW w:w="200" w:type="dxa"/>
            <w:vAlign w:val="bottom"/>
          </w:tcPr>
          <w:p>
            <w:pPr>
              <w:spacing w:after="0"/>
              <w:rPr>
                <w:sz w:val="15"/>
                <w:szCs w:val="15"/>
                <w:color w:val="auto"/>
              </w:rPr>
            </w:pP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24,620</w:t>
            </w:r>
          </w:p>
        </w:tc>
        <w:tc>
          <w:tcPr>
            <w:tcW w:w="580" w:type="dxa"/>
            <w:vAlign w:val="bottom"/>
          </w:tcPr>
          <w:p>
            <w:pPr>
              <w:spacing w:after="0"/>
              <w:rPr>
                <w:sz w:val="15"/>
                <w:szCs w:val="15"/>
                <w:color w:val="auto"/>
              </w:rPr>
            </w:pPr>
          </w:p>
        </w:tc>
        <w:tc>
          <w:tcPr>
            <w:tcW w:w="11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0"/>
        </w:trPr>
        <w:tc>
          <w:tcPr>
            <w:tcW w:w="4180" w:type="dxa"/>
            <w:vAlign w:val="bottom"/>
          </w:tcPr>
          <w:p>
            <w:pPr>
              <w:spacing w:after="0"/>
              <w:rPr>
                <w:sz w:val="15"/>
                <w:szCs w:val="15"/>
                <w:color w:val="auto"/>
              </w:rPr>
            </w:pPr>
          </w:p>
        </w:tc>
        <w:tc>
          <w:tcPr>
            <w:tcW w:w="6880" w:type="dxa"/>
            <w:vAlign w:val="bottom"/>
            <w:gridSpan w:val="8"/>
          </w:tcPr>
          <w:p>
            <w:pPr>
              <w:ind w:left="320"/>
              <w:spacing w:after="0"/>
              <w:rPr>
                <w:sz w:val="20"/>
                <w:szCs w:val="20"/>
                <w:color w:val="auto"/>
              </w:rPr>
            </w:pPr>
            <w:r>
              <w:rPr>
                <w:rFonts w:ascii="Courier New" w:cs="Courier New" w:eastAsia="Courier New" w:hAnsi="Courier New"/>
                <w:sz w:val="16"/>
                <w:szCs w:val="16"/>
                <w:color w:val="auto"/>
                <w:w w:val="97"/>
              </w:rPr>
              <w:t>------------------------------------ ---------------------------------</w:t>
            </w:r>
          </w:p>
        </w:tc>
      </w:tr>
      <w:tr>
        <w:trPr>
          <w:trHeight w:val="180"/>
        </w:trPr>
        <w:tc>
          <w:tcPr>
            <w:tcW w:w="4180" w:type="dxa"/>
            <w:vAlign w:val="bottom"/>
          </w:tcPr>
          <w:p>
            <w:pPr>
              <w:ind w:left="460"/>
              <w:spacing w:after="0"/>
              <w:rPr>
                <w:sz w:val="20"/>
                <w:szCs w:val="20"/>
                <w:color w:val="auto"/>
              </w:rPr>
            </w:pPr>
            <w:r>
              <w:rPr>
                <w:rFonts w:ascii="Courier New" w:cs="Courier New" w:eastAsia="Courier New" w:hAnsi="Courier New"/>
                <w:sz w:val="16"/>
                <w:szCs w:val="16"/>
                <w:color w:val="auto"/>
              </w:rPr>
              <w:t>Total</w:t>
            </w:r>
          </w:p>
        </w:tc>
        <w:tc>
          <w:tcPr>
            <w:tcW w:w="640" w:type="dxa"/>
            <w:vAlign w:val="bottom"/>
          </w:tcPr>
          <w:p>
            <w:pPr>
              <w:spacing w:after="0"/>
              <w:rPr>
                <w:sz w:val="15"/>
                <w:szCs w:val="15"/>
                <w:color w:val="auto"/>
              </w:rPr>
            </w:pPr>
          </w:p>
        </w:tc>
        <w:tc>
          <w:tcPr>
            <w:tcW w:w="13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63,075</w:t>
            </w:r>
          </w:p>
        </w:tc>
        <w:tc>
          <w:tcPr>
            <w:tcW w:w="200" w:type="dxa"/>
            <w:vAlign w:val="bottom"/>
          </w:tcPr>
          <w:p>
            <w:pPr>
              <w:spacing w:after="0"/>
              <w:rPr>
                <w:sz w:val="15"/>
                <w:szCs w:val="15"/>
                <w:color w:val="auto"/>
              </w:rPr>
            </w:pP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32,021</w:t>
            </w:r>
          </w:p>
        </w:tc>
        <w:tc>
          <w:tcPr>
            <w:tcW w:w="620" w:type="dxa"/>
            <w:vAlign w:val="bottom"/>
          </w:tcPr>
          <w:p>
            <w:pPr>
              <w:spacing w:after="0"/>
              <w:rPr>
                <w:sz w:val="15"/>
                <w:szCs w:val="15"/>
                <w:color w:val="auto"/>
              </w:rPr>
            </w:pP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239,201</w:t>
            </w:r>
          </w:p>
        </w:tc>
        <w:tc>
          <w:tcPr>
            <w:tcW w:w="580" w:type="dxa"/>
            <w:vAlign w:val="bottom"/>
          </w:tcPr>
          <w:p>
            <w:pPr>
              <w:spacing w:after="0"/>
              <w:rPr>
                <w:sz w:val="15"/>
                <w:szCs w:val="15"/>
                <w:color w:val="auto"/>
              </w:rPr>
            </w:pPr>
          </w:p>
        </w:tc>
        <w:tc>
          <w:tcPr>
            <w:tcW w:w="11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89,590</w:t>
            </w:r>
          </w:p>
        </w:tc>
      </w:tr>
      <w:tr>
        <w:trPr>
          <w:trHeight w:val="180"/>
        </w:trPr>
        <w:tc>
          <w:tcPr>
            <w:tcW w:w="4180" w:type="dxa"/>
            <w:vAlign w:val="bottom"/>
          </w:tcPr>
          <w:p>
            <w:pPr>
              <w:spacing w:after="0"/>
              <w:rPr>
                <w:sz w:val="15"/>
                <w:szCs w:val="15"/>
                <w:color w:val="auto"/>
              </w:rPr>
            </w:pPr>
          </w:p>
        </w:tc>
        <w:tc>
          <w:tcPr>
            <w:tcW w:w="6880" w:type="dxa"/>
            <w:vAlign w:val="bottom"/>
            <w:gridSpan w:val="8"/>
          </w:tcPr>
          <w:p>
            <w:pPr>
              <w:ind w:left="320"/>
              <w:spacing w:after="0"/>
              <w:rPr>
                <w:sz w:val="20"/>
                <w:szCs w:val="20"/>
                <w:color w:val="auto"/>
              </w:rPr>
            </w:pPr>
            <w:r>
              <w:rPr>
                <w:rFonts w:ascii="Courier New" w:cs="Courier New" w:eastAsia="Courier New" w:hAnsi="Courier New"/>
                <w:sz w:val="16"/>
                <w:szCs w:val="16"/>
                <w:color w:val="auto"/>
                <w:w w:val="97"/>
              </w:rPr>
              <w:t>------------------------------------ ---------------------------------</w:t>
            </w:r>
          </w:p>
        </w:tc>
      </w:tr>
      <w:tr>
        <w:trPr>
          <w:trHeight w:val="180"/>
        </w:trPr>
        <w:tc>
          <w:tcPr>
            <w:tcW w:w="4180" w:type="dxa"/>
            <w:vAlign w:val="bottom"/>
          </w:tcPr>
          <w:p>
            <w:pPr>
              <w:spacing w:after="0"/>
              <w:rPr>
                <w:sz w:val="20"/>
                <w:szCs w:val="20"/>
                <w:color w:val="auto"/>
              </w:rPr>
            </w:pPr>
            <w:r>
              <w:rPr>
                <w:rFonts w:ascii="Courier New" w:cs="Courier New" w:eastAsia="Courier New" w:hAnsi="Courier New"/>
                <w:sz w:val="16"/>
                <w:szCs w:val="16"/>
                <w:color w:val="auto"/>
              </w:rPr>
              <w:t>Wynn Las Vegas adjusted EBITDA (1)</w:t>
            </w:r>
          </w:p>
        </w:tc>
        <w:tc>
          <w:tcPr>
            <w:tcW w:w="640" w:type="dxa"/>
            <w:vAlign w:val="bottom"/>
          </w:tcPr>
          <w:p>
            <w:pPr>
              <w:ind w:left="420"/>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80,067</w:t>
            </w:r>
          </w:p>
        </w:tc>
        <w:tc>
          <w:tcPr>
            <w:tcW w:w="200" w:type="dxa"/>
            <w:vAlign w:val="bottom"/>
          </w:tcPr>
          <w:p>
            <w:pPr>
              <w:jc w:val="right"/>
              <w:ind w:right="22"/>
              <w:spacing w:after="0"/>
              <w:rPr>
                <w:sz w:val="20"/>
                <w:szCs w:val="20"/>
                <w:color w:val="auto"/>
              </w:rPr>
            </w:pPr>
            <w:r>
              <w:rPr>
                <w:rFonts w:ascii="Courier New" w:cs="Courier New" w:eastAsia="Courier New" w:hAnsi="Courier New"/>
                <w:sz w:val="16"/>
                <w:szCs w:val="16"/>
                <w:color w:val="auto"/>
                <w:w w:val="82"/>
              </w:rPr>
              <w:t>$</w:t>
            </w:r>
          </w:p>
        </w:tc>
        <w:tc>
          <w:tcPr>
            <w:tcW w:w="13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(36)</w:t>
            </w: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212,007</w:t>
            </w:r>
          </w:p>
        </w:tc>
        <w:tc>
          <w:tcPr>
            <w:tcW w:w="5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(208)</w:t>
            </w:r>
          </w:p>
        </w:tc>
      </w:tr>
      <w:tr>
        <w:trPr>
          <w:trHeight w:val="180"/>
        </w:trPr>
        <w:tc>
          <w:tcPr>
            <w:tcW w:w="4180" w:type="dxa"/>
            <w:vAlign w:val="bottom"/>
          </w:tcPr>
          <w:p>
            <w:pPr>
              <w:spacing w:after="0"/>
              <w:rPr>
                <w:sz w:val="15"/>
                <w:szCs w:val="15"/>
                <w:color w:val="auto"/>
              </w:rPr>
            </w:pPr>
          </w:p>
        </w:tc>
        <w:tc>
          <w:tcPr>
            <w:tcW w:w="6880" w:type="dxa"/>
            <w:vAlign w:val="bottom"/>
            <w:gridSpan w:val="8"/>
          </w:tcPr>
          <w:p>
            <w:pPr>
              <w:ind w:left="320"/>
              <w:spacing w:after="0"/>
              <w:rPr>
                <w:sz w:val="20"/>
                <w:szCs w:val="20"/>
                <w:color w:val="auto"/>
              </w:rPr>
            </w:pPr>
            <w:r>
              <w:rPr>
                <w:rFonts w:ascii="Courier New" w:cs="Courier New" w:eastAsia="Courier New" w:hAnsi="Courier New"/>
                <w:sz w:val="16"/>
                <w:szCs w:val="16"/>
                <w:color w:val="auto"/>
                <w:w w:val="97"/>
              </w:rPr>
              <w:t>==================================== =================================</w:t>
            </w:r>
          </w:p>
        </w:tc>
      </w:tr>
    </w:tbl>
    <w:p>
      <w:pPr>
        <w:sectPr>
          <w:pgSz w:w="11900" w:h="16838" w:orient="portrait"/>
          <w:cols w:equalWidth="0" w:num="1">
            <w:col w:w="11060"/>
          </w:cols>
          <w:pgMar w:left="240" w:top="834" w:right="599" w:bottom="1440" w:gutter="0" w:footer="0" w:header="0"/>
        </w:sectPr>
      </w:pPr>
    </w:p>
    <w:bookmarkStart w:id="9" w:name="page10"/>
    <w:bookmarkEnd w:id="9"/>
    <w:p>
      <w:pPr>
        <w:jc w:val="center"/>
        <w:ind w:right="940"/>
        <w:spacing w:after="0"/>
        <w:rPr>
          <w:sz w:val="20"/>
          <w:szCs w:val="20"/>
          <w:color w:val="auto"/>
        </w:rPr>
      </w:pPr>
      <w:r>
        <w:rPr>
          <w:rFonts w:ascii="Courier New" w:cs="Courier New" w:eastAsia="Courier New" w:hAnsi="Courier New"/>
          <w:sz w:val="16"/>
          <w:szCs w:val="16"/>
          <w:color w:val="auto"/>
        </w:rPr>
        <w:t>WYNN RESORTS, LIMITED AND SUBSIDIARIES</w:t>
      </w:r>
    </w:p>
    <w:p>
      <w:pPr>
        <w:jc w:val="center"/>
        <w:ind w:right="940"/>
        <w:spacing w:after="0"/>
        <w:rPr>
          <w:sz w:val="20"/>
          <w:szCs w:val="20"/>
          <w:color w:val="auto"/>
        </w:rPr>
      </w:pPr>
      <w:r>
        <w:rPr>
          <w:rFonts w:ascii="Courier New" w:cs="Courier New" w:eastAsia="Courier New" w:hAnsi="Courier New"/>
          <w:sz w:val="16"/>
          <w:szCs w:val="16"/>
          <w:color w:val="auto"/>
        </w:rPr>
        <w:t>SUPPLEMENTAL DATA SCHEDULE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40" w:type="dxa"/>
            <w:vAlign w:val="bottom"/>
          </w:tcPr>
          <w:p>
            <w:pPr>
              <w:spacing w:after="0"/>
              <w:rPr>
                <w:sz w:val="15"/>
                <w:szCs w:val="15"/>
                <w:color w:val="auto"/>
              </w:rPr>
            </w:pPr>
          </w:p>
        </w:tc>
        <w:tc>
          <w:tcPr>
            <w:tcW w:w="2900" w:type="dxa"/>
            <w:vAlign w:val="bottom"/>
          </w:tcPr>
          <w:p>
            <w:pPr>
              <w:ind w:left="800"/>
              <w:spacing w:after="0"/>
              <w:rPr>
                <w:sz w:val="20"/>
                <w:szCs w:val="20"/>
                <w:color w:val="auto"/>
              </w:rPr>
            </w:pPr>
            <w:r>
              <w:rPr>
                <w:rFonts w:ascii="Courier New" w:cs="Courier New" w:eastAsia="Courier New" w:hAnsi="Courier New"/>
                <w:sz w:val="16"/>
                <w:szCs w:val="16"/>
                <w:color w:val="auto"/>
              </w:rPr>
              <w:t>Three Months Ended</w:t>
            </w:r>
          </w:p>
        </w:tc>
        <w:tc>
          <w:tcPr>
            <w:tcW w:w="22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April 28, 2005 to</w:t>
            </w:r>
          </w:p>
        </w:tc>
      </w:tr>
      <w:tr>
        <w:trPr>
          <w:trHeight w:val="180"/>
        </w:trPr>
        <w:tc>
          <w:tcPr>
            <w:tcW w:w="4740" w:type="dxa"/>
            <w:vAlign w:val="bottom"/>
          </w:tcPr>
          <w:p>
            <w:pPr>
              <w:spacing w:after="0"/>
              <w:rPr>
                <w:sz w:val="15"/>
                <w:szCs w:val="15"/>
                <w:color w:val="auto"/>
              </w:rPr>
            </w:pPr>
          </w:p>
        </w:tc>
        <w:tc>
          <w:tcPr>
            <w:tcW w:w="2900" w:type="dxa"/>
            <w:vAlign w:val="bottom"/>
          </w:tcPr>
          <w:p>
            <w:pPr>
              <w:ind w:left="800"/>
              <w:spacing w:after="0"/>
              <w:rPr>
                <w:sz w:val="20"/>
                <w:szCs w:val="20"/>
                <w:color w:val="auto"/>
              </w:rPr>
            </w:pPr>
            <w:r>
              <w:rPr>
                <w:rFonts w:ascii="Courier New" w:cs="Courier New" w:eastAsia="Courier New" w:hAnsi="Courier New"/>
                <w:sz w:val="16"/>
                <w:szCs w:val="16"/>
                <w:color w:val="auto"/>
              </w:rPr>
              <w:t>December 31, 2005</w:t>
            </w:r>
          </w:p>
        </w:tc>
        <w:tc>
          <w:tcPr>
            <w:tcW w:w="22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December 31, 2005</w:t>
            </w:r>
          </w:p>
        </w:tc>
      </w:tr>
      <w:tr>
        <w:trPr>
          <w:trHeight w:val="180"/>
        </w:trPr>
        <w:tc>
          <w:tcPr>
            <w:tcW w:w="4740" w:type="dxa"/>
            <w:vAlign w:val="bottom"/>
          </w:tcPr>
          <w:p>
            <w:pPr>
              <w:spacing w:after="0"/>
              <w:rPr>
                <w:sz w:val="15"/>
                <w:szCs w:val="15"/>
                <w:color w:val="auto"/>
              </w:rPr>
            </w:pPr>
          </w:p>
        </w:tc>
        <w:tc>
          <w:tcPr>
            <w:tcW w:w="5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721"/>
        </w:trPr>
        <w:tc>
          <w:tcPr>
            <w:tcW w:w="4740" w:type="dxa"/>
            <w:vAlign w:val="bottom"/>
          </w:tcPr>
          <w:p>
            <w:pPr>
              <w:spacing w:after="0"/>
              <w:rPr>
                <w:sz w:val="20"/>
                <w:szCs w:val="20"/>
                <w:color w:val="auto"/>
              </w:rPr>
            </w:pPr>
            <w:r>
              <w:rPr>
                <w:rFonts w:ascii="Courier New" w:cs="Courier New" w:eastAsia="Courier New" w:hAnsi="Courier New"/>
                <w:sz w:val="16"/>
                <w:szCs w:val="16"/>
                <w:color w:val="auto"/>
              </w:rPr>
              <w:t>Room Statistics for Wynn Las Vegas:</w:t>
            </w:r>
          </w:p>
        </w:tc>
        <w:tc>
          <w:tcPr>
            <w:tcW w:w="29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541"/>
        </w:trPr>
        <w:tc>
          <w:tcPr>
            <w:tcW w:w="4740" w:type="dxa"/>
            <w:vAlign w:val="bottom"/>
          </w:tcPr>
          <w:p>
            <w:pPr>
              <w:ind w:left="660"/>
              <w:spacing w:after="0"/>
              <w:rPr>
                <w:sz w:val="20"/>
                <w:szCs w:val="20"/>
                <w:color w:val="auto"/>
              </w:rPr>
            </w:pPr>
            <w:r>
              <w:rPr>
                <w:rFonts w:ascii="Courier New" w:cs="Courier New" w:eastAsia="Courier New" w:hAnsi="Courier New"/>
                <w:sz w:val="16"/>
                <w:szCs w:val="16"/>
                <w:color w:val="auto"/>
              </w:rPr>
              <w:t>Occupancy %</w:t>
            </w:r>
          </w:p>
        </w:tc>
        <w:tc>
          <w:tcPr>
            <w:tcW w:w="2900" w:type="dxa"/>
            <w:vAlign w:val="bottom"/>
          </w:tcPr>
          <w:p>
            <w:pPr>
              <w:jc w:val="right"/>
              <w:ind w:right="1182"/>
              <w:spacing w:after="0"/>
              <w:rPr>
                <w:sz w:val="20"/>
                <w:szCs w:val="20"/>
                <w:color w:val="auto"/>
              </w:rPr>
            </w:pPr>
            <w:r>
              <w:rPr>
                <w:rFonts w:ascii="Courier New" w:cs="Courier New" w:eastAsia="Courier New" w:hAnsi="Courier New"/>
                <w:sz w:val="16"/>
                <w:szCs w:val="16"/>
                <w:color w:val="auto"/>
              </w:rPr>
              <w:t>92.7%</w:t>
            </w:r>
          </w:p>
        </w:tc>
        <w:tc>
          <w:tcPr>
            <w:tcW w:w="22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92.1%</w:t>
            </w:r>
          </w:p>
        </w:tc>
      </w:tr>
      <w:tr>
        <w:trPr>
          <w:trHeight w:val="361"/>
        </w:trPr>
        <w:tc>
          <w:tcPr>
            <w:tcW w:w="4740" w:type="dxa"/>
            <w:vAlign w:val="bottom"/>
          </w:tcPr>
          <w:p>
            <w:pPr>
              <w:ind w:left="660"/>
              <w:spacing w:after="0"/>
              <w:rPr>
                <w:sz w:val="20"/>
                <w:szCs w:val="20"/>
                <w:color w:val="auto"/>
              </w:rPr>
            </w:pPr>
            <w:r>
              <w:rPr>
                <w:rFonts w:ascii="Courier New" w:cs="Courier New" w:eastAsia="Courier New" w:hAnsi="Courier New"/>
                <w:sz w:val="16"/>
                <w:szCs w:val="16"/>
                <w:color w:val="auto"/>
              </w:rPr>
              <w:t>Average Daily Room Rate (ADR)(1)</w:t>
            </w:r>
          </w:p>
        </w:tc>
        <w:tc>
          <w:tcPr>
            <w:tcW w:w="2900" w:type="dxa"/>
            <w:vAlign w:val="bottom"/>
          </w:tcPr>
          <w:p>
            <w:pPr>
              <w:jc w:val="right"/>
              <w:ind w:right="1282"/>
              <w:spacing w:after="0"/>
              <w:rPr>
                <w:sz w:val="20"/>
                <w:szCs w:val="20"/>
                <w:color w:val="auto"/>
              </w:rPr>
            </w:pPr>
            <w:r>
              <w:rPr>
                <w:rFonts w:ascii="Courier New" w:cs="Courier New" w:eastAsia="Courier New" w:hAnsi="Courier New"/>
                <w:sz w:val="16"/>
                <w:szCs w:val="16"/>
                <w:color w:val="auto"/>
              </w:rPr>
              <w:t>$278</w:t>
            </w:r>
          </w:p>
        </w:tc>
        <w:tc>
          <w:tcPr>
            <w:tcW w:w="22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$274</w:t>
            </w:r>
          </w:p>
        </w:tc>
      </w:tr>
      <w:tr>
        <w:trPr>
          <w:trHeight w:val="361"/>
        </w:trPr>
        <w:tc>
          <w:tcPr>
            <w:tcW w:w="4740" w:type="dxa"/>
            <w:vAlign w:val="bottom"/>
          </w:tcPr>
          <w:p>
            <w:pPr>
              <w:ind w:left="660"/>
              <w:spacing w:after="0"/>
              <w:rPr>
                <w:sz w:val="20"/>
                <w:szCs w:val="20"/>
                <w:color w:val="auto"/>
              </w:rPr>
            </w:pPr>
            <w:r>
              <w:rPr>
                <w:rFonts w:ascii="Courier New" w:cs="Courier New" w:eastAsia="Courier New" w:hAnsi="Courier New"/>
                <w:sz w:val="16"/>
                <w:szCs w:val="16"/>
                <w:color w:val="auto"/>
              </w:rPr>
              <w:t>Average Paying Rate (APR)(2)</w:t>
            </w:r>
          </w:p>
        </w:tc>
        <w:tc>
          <w:tcPr>
            <w:tcW w:w="2900" w:type="dxa"/>
            <w:vAlign w:val="bottom"/>
          </w:tcPr>
          <w:p>
            <w:pPr>
              <w:jc w:val="right"/>
              <w:ind w:right="1282"/>
              <w:spacing w:after="0"/>
              <w:rPr>
                <w:sz w:val="20"/>
                <w:szCs w:val="20"/>
                <w:color w:val="auto"/>
              </w:rPr>
            </w:pPr>
            <w:r>
              <w:rPr>
                <w:rFonts w:ascii="Courier New" w:cs="Courier New" w:eastAsia="Courier New" w:hAnsi="Courier New"/>
                <w:sz w:val="16"/>
                <w:szCs w:val="16"/>
                <w:color w:val="auto"/>
              </w:rPr>
              <w:t>273</w:t>
            </w:r>
          </w:p>
        </w:tc>
        <w:tc>
          <w:tcPr>
            <w:tcW w:w="22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264</w:t>
            </w:r>
          </w:p>
        </w:tc>
      </w:tr>
      <w:tr>
        <w:trPr>
          <w:trHeight w:val="361"/>
        </w:trPr>
        <w:tc>
          <w:tcPr>
            <w:tcW w:w="4740" w:type="dxa"/>
            <w:vAlign w:val="bottom"/>
          </w:tcPr>
          <w:p>
            <w:pPr>
              <w:ind w:left="660"/>
              <w:spacing w:after="0"/>
              <w:rPr>
                <w:sz w:val="20"/>
                <w:szCs w:val="20"/>
                <w:color w:val="auto"/>
              </w:rPr>
            </w:pPr>
            <w:r>
              <w:rPr>
                <w:rFonts w:ascii="Courier New" w:cs="Courier New" w:eastAsia="Courier New" w:hAnsi="Courier New"/>
                <w:sz w:val="16"/>
                <w:szCs w:val="16"/>
                <w:color w:val="auto"/>
              </w:rPr>
              <w:t>Revenue per available room (REVPAR)(3)</w:t>
            </w:r>
          </w:p>
        </w:tc>
        <w:tc>
          <w:tcPr>
            <w:tcW w:w="2900" w:type="dxa"/>
            <w:vAlign w:val="bottom"/>
          </w:tcPr>
          <w:p>
            <w:pPr>
              <w:jc w:val="right"/>
              <w:ind w:right="1282"/>
              <w:spacing w:after="0"/>
              <w:rPr>
                <w:sz w:val="20"/>
                <w:szCs w:val="20"/>
                <w:color w:val="auto"/>
              </w:rPr>
            </w:pPr>
            <w:r>
              <w:rPr>
                <w:rFonts w:ascii="Courier New" w:cs="Courier New" w:eastAsia="Courier New" w:hAnsi="Courier New"/>
                <w:sz w:val="16"/>
                <w:szCs w:val="16"/>
                <w:color w:val="auto"/>
              </w:rPr>
              <w:t>258</w:t>
            </w:r>
          </w:p>
        </w:tc>
        <w:tc>
          <w:tcPr>
            <w:tcW w:w="22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253</w:t>
            </w:r>
          </w:p>
        </w:tc>
      </w:tr>
      <w:tr>
        <w:trPr>
          <w:trHeight w:val="541"/>
        </w:trPr>
        <w:tc>
          <w:tcPr>
            <w:tcW w:w="4740" w:type="dxa"/>
            <w:vAlign w:val="bottom"/>
          </w:tcPr>
          <w:p>
            <w:pPr>
              <w:spacing w:after="0"/>
              <w:rPr>
                <w:sz w:val="20"/>
                <w:szCs w:val="20"/>
                <w:color w:val="auto"/>
              </w:rPr>
            </w:pPr>
            <w:r>
              <w:rPr>
                <w:rFonts w:ascii="Courier New" w:cs="Courier New" w:eastAsia="Courier New" w:hAnsi="Courier New"/>
                <w:sz w:val="16"/>
                <w:szCs w:val="16"/>
                <w:color w:val="auto"/>
              </w:rPr>
              <w:t>Other information:</w:t>
            </w:r>
          </w:p>
        </w:tc>
        <w:tc>
          <w:tcPr>
            <w:tcW w:w="29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61"/>
        </w:trPr>
        <w:tc>
          <w:tcPr>
            <w:tcW w:w="4740" w:type="dxa"/>
            <w:vAlign w:val="bottom"/>
          </w:tcPr>
          <w:p>
            <w:pPr>
              <w:ind w:left="660"/>
              <w:spacing w:after="0"/>
              <w:rPr>
                <w:sz w:val="20"/>
                <w:szCs w:val="20"/>
                <w:color w:val="auto"/>
              </w:rPr>
            </w:pPr>
            <w:r>
              <w:rPr>
                <w:rFonts w:ascii="Courier New" w:cs="Courier New" w:eastAsia="Courier New" w:hAnsi="Courier New"/>
                <w:sz w:val="16"/>
                <w:szCs w:val="16"/>
                <w:color w:val="auto"/>
              </w:rPr>
              <w:t>Table games win per unit per day(4)</w:t>
            </w:r>
          </w:p>
        </w:tc>
        <w:tc>
          <w:tcPr>
            <w:tcW w:w="2900" w:type="dxa"/>
            <w:vAlign w:val="bottom"/>
          </w:tcPr>
          <w:p>
            <w:pPr>
              <w:jc w:val="right"/>
              <w:ind w:right="1282"/>
              <w:spacing w:after="0"/>
              <w:rPr>
                <w:sz w:val="20"/>
                <w:szCs w:val="20"/>
                <w:color w:val="auto"/>
              </w:rPr>
            </w:pPr>
            <w:r>
              <w:rPr>
                <w:rFonts w:ascii="Courier New" w:cs="Courier New" w:eastAsia="Courier New" w:hAnsi="Courier New"/>
                <w:sz w:val="16"/>
                <w:szCs w:val="16"/>
                <w:color w:val="auto"/>
              </w:rPr>
              <w:t>$8,842</w:t>
            </w:r>
          </w:p>
        </w:tc>
        <w:tc>
          <w:tcPr>
            <w:tcW w:w="22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$8,244</w:t>
            </w:r>
          </w:p>
        </w:tc>
      </w:tr>
      <w:tr>
        <w:trPr>
          <w:trHeight w:val="361"/>
        </w:trPr>
        <w:tc>
          <w:tcPr>
            <w:tcW w:w="4740" w:type="dxa"/>
            <w:vAlign w:val="bottom"/>
          </w:tcPr>
          <w:p>
            <w:pPr>
              <w:ind w:left="660"/>
              <w:spacing w:after="0"/>
              <w:rPr>
                <w:sz w:val="20"/>
                <w:szCs w:val="20"/>
                <w:color w:val="auto"/>
              </w:rPr>
            </w:pPr>
            <w:r>
              <w:rPr>
                <w:rFonts w:ascii="Courier New" w:cs="Courier New" w:eastAsia="Courier New" w:hAnsi="Courier New"/>
                <w:sz w:val="16"/>
                <w:szCs w:val="16"/>
                <w:color w:val="auto"/>
              </w:rPr>
              <w:t>Table Hold %</w:t>
            </w:r>
          </w:p>
        </w:tc>
        <w:tc>
          <w:tcPr>
            <w:tcW w:w="2900" w:type="dxa"/>
            <w:vAlign w:val="bottom"/>
          </w:tcPr>
          <w:p>
            <w:pPr>
              <w:jc w:val="right"/>
              <w:ind w:right="1182"/>
              <w:spacing w:after="0"/>
              <w:rPr>
                <w:sz w:val="20"/>
                <w:szCs w:val="20"/>
                <w:color w:val="auto"/>
              </w:rPr>
            </w:pPr>
            <w:r>
              <w:rPr>
                <w:rFonts w:ascii="Courier New" w:cs="Courier New" w:eastAsia="Courier New" w:hAnsi="Courier New"/>
                <w:sz w:val="16"/>
                <w:szCs w:val="16"/>
                <w:color w:val="auto"/>
              </w:rPr>
              <w:t>21.3%</w:t>
            </w:r>
          </w:p>
        </w:tc>
        <w:tc>
          <w:tcPr>
            <w:tcW w:w="22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21.5%</w:t>
            </w:r>
          </w:p>
        </w:tc>
      </w:tr>
      <w:tr>
        <w:trPr>
          <w:trHeight w:val="361"/>
        </w:trPr>
        <w:tc>
          <w:tcPr>
            <w:tcW w:w="4740" w:type="dxa"/>
            <w:vAlign w:val="bottom"/>
          </w:tcPr>
          <w:p>
            <w:pPr>
              <w:ind w:left="660"/>
              <w:spacing w:after="0"/>
              <w:rPr>
                <w:sz w:val="20"/>
                <w:szCs w:val="20"/>
                <w:color w:val="auto"/>
              </w:rPr>
            </w:pPr>
            <w:r>
              <w:rPr>
                <w:rFonts w:ascii="Courier New" w:cs="Courier New" w:eastAsia="Courier New" w:hAnsi="Courier New"/>
                <w:sz w:val="16"/>
                <w:szCs w:val="16"/>
                <w:color w:val="auto"/>
              </w:rPr>
              <w:t>Slot Machine win per unit per day(5)</w:t>
            </w:r>
          </w:p>
        </w:tc>
        <w:tc>
          <w:tcPr>
            <w:tcW w:w="2900" w:type="dxa"/>
            <w:vAlign w:val="bottom"/>
          </w:tcPr>
          <w:p>
            <w:pPr>
              <w:jc w:val="right"/>
              <w:ind w:right="1282"/>
              <w:spacing w:after="0"/>
              <w:rPr>
                <w:sz w:val="20"/>
                <w:szCs w:val="20"/>
                <w:color w:val="auto"/>
              </w:rPr>
            </w:pPr>
            <w:r>
              <w:rPr>
                <w:rFonts w:ascii="Courier New" w:cs="Courier New" w:eastAsia="Courier New" w:hAnsi="Courier New"/>
                <w:sz w:val="16"/>
                <w:szCs w:val="16"/>
                <w:color w:val="auto"/>
              </w:rPr>
              <w:t>$252</w:t>
            </w:r>
          </w:p>
        </w:tc>
        <w:tc>
          <w:tcPr>
            <w:tcW w:w="22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$254</w:t>
            </w:r>
          </w:p>
        </w:tc>
      </w:tr>
      <w:tr>
        <w:trPr>
          <w:trHeight w:val="361"/>
        </w:trPr>
        <w:tc>
          <w:tcPr>
            <w:tcW w:w="4740" w:type="dxa"/>
            <w:vAlign w:val="bottom"/>
          </w:tcPr>
          <w:p>
            <w:pPr>
              <w:ind w:left="660"/>
              <w:spacing w:after="0"/>
              <w:rPr>
                <w:sz w:val="20"/>
                <w:szCs w:val="20"/>
                <w:color w:val="auto"/>
              </w:rPr>
            </w:pPr>
            <w:r>
              <w:rPr>
                <w:rFonts w:ascii="Courier New" w:cs="Courier New" w:eastAsia="Courier New" w:hAnsi="Courier New"/>
                <w:sz w:val="16"/>
                <w:szCs w:val="16"/>
                <w:color w:val="auto"/>
              </w:rPr>
              <w:t>Average number of table games</w:t>
            </w:r>
          </w:p>
        </w:tc>
        <w:tc>
          <w:tcPr>
            <w:tcW w:w="2900" w:type="dxa"/>
            <w:vAlign w:val="bottom"/>
          </w:tcPr>
          <w:p>
            <w:pPr>
              <w:jc w:val="right"/>
              <w:ind w:right="1282"/>
              <w:spacing w:after="0"/>
              <w:rPr>
                <w:sz w:val="20"/>
                <w:szCs w:val="20"/>
                <w:color w:val="auto"/>
              </w:rPr>
            </w:pPr>
            <w:r>
              <w:rPr>
                <w:rFonts w:ascii="Courier New" w:cs="Courier New" w:eastAsia="Courier New" w:hAnsi="Courier New"/>
                <w:sz w:val="16"/>
                <w:szCs w:val="16"/>
                <w:color w:val="auto"/>
              </w:rPr>
              <w:t>131</w:t>
            </w:r>
          </w:p>
        </w:tc>
        <w:tc>
          <w:tcPr>
            <w:tcW w:w="22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134</w:t>
            </w:r>
          </w:p>
        </w:tc>
      </w:tr>
      <w:tr>
        <w:trPr>
          <w:trHeight w:val="361"/>
        </w:trPr>
        <w:tc>
          <w:tcPr>
            <w:tcW w:w="4740" w:type="dxa"/>
            <w:vAlign w:val="bottom"/>
          </w:tcPr>
          <w:p>
            <w:pPr>
              <w:ind w:left="660"/>
              <w:spacing w:after="0"/>
              <w:rPr>
                <w:sz w:val="20"/>
                <w:szCs w:val="20"/>
                <w:color w:val="auto"/>
              </w:rPr>
            </w:pPr>
            <w:r>
              <w:rPr>
                <w:rFonts w:ascii="Courier New" w:cs="Courier New" w:eastAsia="Courier New" w:hAnsi="Courier New"/>
                <w:sz w:val="16"/>
                <w:szCs w:val="16"/>
                <w:color w:val="auto"/>
              </w:rPr>
              <w:t>Average number of slot machines</w:t>
            </w:r>
          </w:p>
        </w:tc>
        <w:tc>
          <w:tcPr>
            <w:tcW w:w="2900" w:type="dxa"/>
            <w:vAlign w:val="bottom"/>
          </w:tcPr>
          <w:p>
            <w:pPr>
              <w:jc w:val="right"/>
              <w:ind w:right="1282"/>
              <w:spacing w:after="0"/>
              <w:rPr>
                <w:sz w:val="20"/>
                <w:szCs w:val="20"/>
                <w:color w:val="auto"/>
              </w:rPr>
            </w:pPr>
            <w:r>
              <w:rPr>
                <w:rFonts w:ascii="Courier New" w:cs="Courier New" w:eastAsia="Courier New" w:hAnsi="Courier New"/>
                <w:sz w:val="16"/>
                <w:szCs w:val="16"/>
                <w:color w:val="auto"/>
              </w:rPr>
              <w:t>1,950</w:t>
            </w:r>
          </w:p>
        </w:tc>
        <w:tc>
          <w:tcPr>
            <w:tcW w:w="22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1,955</w:t>
            </w:r>
          </w:p>
        </w:tc>
      </w:tr>
    </w:tbl>
    <w:p>
      <w:pPr>
        <w:spacing w:after="0" w:line="365" w:lineRule="exact"/>
        <w:rPr>
          <w:sz w:val="20"/>
          <w:szCs w:val="20"/>
          <w:color w:val="auto"/>
        </w:rPr>
      </w:pPr>
    </w:p>
    <w:p>
      <w:pPr>
        <w:ind w:left="940" w:hanging="475"/>
        <w:spacing w:after="0"/>
        <w:tabs>
          <w:tab w:leader="none" w:pos="9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ADR is Average Daily Rate and is calculated by dividing total room revenue by total rooms occupied.</w:t>
      </w:r>
    </w:p>
    <w:p>
      <w:pPr>
        <w:spacing w:after="0" w:line="190" w:lineRule="exact"/>
        <w:rPr>
          <w:rFonts w:ascii="Courier New" w:cs="Courier New" w:eastAsia="Courier New" w:hAnsi="Courier New"/>
          <w:sz w:val="15"/>
          <w:szCs w:val="15"/>
          <w:color w:val="auto"/>
        </w:rPr>
      </w:pPr>
    </w:p>
    <w:p>
      <w:pPr>
        <w:ind w:left="940" w:hanging="475"/>
        <w:spacing w:after="0"/>
        <w:tabs>
          <w:tab w:leader="none" w:pos="9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APR is Average Paying Rate and is calculated by dividing cash room revenue by cash rooms occupied.</w:t>
      </w:r>
    </w:p>
    <w:p>
      <w:pPr>
        <w:spacing w:after="0" w:line="190" w:lineRule="exact"/>
        <w:rPr>
          <w:rFonts w:ascii="Courier New" w:cs="Courier New" w:eastAsia="Courier New" w:hAnsi="Courier New"/>
          <w:sz w:val="15"/>
          <w:szCs w:val="15"/>
          <w:color w:val="auto"/>
        </w:rPr>
      </w:pPr>
    </w:p>
    <w:p>
      <w:pPr>
        <w:ind w:left="940" w:hanging="475"/>
        <w:spacing w:after="0" w:line="236" w:lineRule="auto"/>
        <w:tabs>
          <w:tab w:leader="none" w:pos="9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REVPAR is Revenue per Available Room and is calculated by dividing total room revenue by total rooms available.</w:t>
      </w:r>
    </w:p>
    <w:p>
      <w:pPr>
        <w:spacing w:after="0" w:line="179"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Table games win per unit per day shown before discounts and commissions.</w:t>
      </w:r>
    </w:p>
    <w:p>
      <w:pPr>
        <w:spacing w:after="0" w:line="179" w:lineRule="exact"/>
        <w:rPr>
          <w:rFonts w:ascii="Courier New" w:cs="Courier New" w:eastAsia="Courier New" w:hAnsi="Courier New"/>
          <w:sz w:val="16"/>
          <w:szCs w:val="16"/>
          <w:color w:val="auto"/>
        </w:rPr>
      </w:pPr>
    </w:p>
    <w:p>
      <w:pPr>
        <w:ind w:left="940" w:hanging="475"/>
        <w:spacing w:after="0"/>
        <w:tabs>
          <w:tab w:leader="none" w:pos="9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Slot machine win per unit per day net of participation fees and progressive accruals.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SOURCE:</w:t>
      </w:r>
    </w:p>
    <w:p>
      <w:pPr>
        <w:spacing w:after="0"/>
        <w:rPr>
          <w:sz w:val="20"/>
          <w:szCs w:val="20"/>
          <w:color w:val="auto"/>
        </w:rPr>
      </w:pPr>
      <w:r>
        <w:rPr>
          <w:rFonts w:ascii="Courier New" w:cs="Courier New" w:eastAsia="Courier New" w:hAnsi="Courier New"/>
          <w:sz w:val="16"/>
          <w:szCs w:val="16"/>
          <w:color w:val="auto"/>
        </w:rPr>
        <w:t>Wynn Resorts, Limited</w:t>
      </w:r>
    </w:p>
    <w:p>
      <w:pPr>
        <w:spacing w:after="0" w:line="237" w:lineRule="auto"/>
        <w:rPr>
          <w:sz w:val="20"/>
          <w:szCs w:val="20"/>
          <w:color w:val="auto"/>
        </w:rPr>
      </w:pPr>
      <w:r>
        <w:rPr>
          <w:rFonts w:ascii="Courier New" w:cs="Courier New" w:eastAsia="Courier New" w:hAnsi="Courier New"/>
          <w:sz w:val="16"/>
          <w:szCs w:val="16"/>
          <w:color w:val="auto"/>
        </w:rPr>
        <w:t>CONTACT:</w:t>
      </w:r>
    </w:p>
    <w:p>
      <w:pPr>
        <w:spacing w:after="0"/>
        <w:rPr>
          <w:sz w:val="20"/>
          <w:szCs w:val="20"/>
          <w:color w:val="auto"/>
        </w:rPr>
      </w:pPr>
      <w:r>
        <w:rPr>
          <w:rFonts w:ascii="Courier New" w:cs="Courier New" w:eastAsia="Courier New" w:hAnsi="Courier New"/>
          <w:sz w:val="16"/>
          <w:szCs w:val="16"/>
          <w:color w:val="auto"/>
        </w:rPr>
        <w:t>Samanta Stewart, 702-770-7555</w:t>
      </w:r>
    </w:p>
    <w:p>
      <w:pPr>
        <w:spacing w:after="0" w:line="238" w:lineRule="auto"/>
        <w:rPr>
          <w:sz w:val="20"/>
          <w:szCs w:val="20"/>
          <w:color w:val="auto"/>
        </w:rPr>
      </w:pPr>
      <w:r>
        <w:rPr>
          <w:rFonts w:ascii="Courier New" w:cs="Courier New" w:eastAsia="Courier New" w:hAnsi="Courier New"/>
          <w:sz w:val="16"/>
          <w:szCs w:val="16"/>
          <w:color w:val="auto"/>
        </w:rPr>
        <w:t>investorrelations@wynnresorts.com</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www.wynnresorts.com</w:t>
      </w:r>
    </w:p>
    <w:p>
      <w:pPr>
        <w:spacing w:after="0"/>
        <w:rPr>
          <w:sz w:val="20"/>
          <w:szCs w:val="20"/>
          <w:color w:val="auto"/>
        </w:rPr>
      </w:pPr>
      <w:r>
        <w:rPr>
          <w:rFonts w:ascii="Courier New" w:cs="Courier New" w:eastAsia="Courier New" w:hAnsi="Courier New"/>
          <w:sz w:val="16"/>
          <w:szCs w:val="16"/>
          <w:color w:val="auto"/>
        </w:rPr>
        <w:t>www.wynnlasvegas.com</w:t>
      </w:r>
    </w:p>
    <w:sectPr>
      <w:pgSz w:w="11900" w:h="16838" w:orient="portrait"/>
      <w:cols w:equalWidth="0" w:num="1">
        <w:col w:w="10320"/>
      </w:cols>
      <w:pgMar w:left="240" w:top="1014"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2019-12-15T07:02:46Z</dcterms:created>
  <dcterms:modified xsi:type="dcterms:W3CDTF">2019-12-15T07:02:46Z</dcterms:modified>
</cp:coreProperties>
</file>