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Billings Craig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6"/>
          <w:szCs w:val="16"/>
          <w:color w:val="0000FF"/>
        </w:rPr>
        <w:t>President, CFO and Treasurer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2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20" w:type="dxa"/>
            <w:vAlign w:val="bottom"/>
            <w:tcBorders>
              <w:bottom w:val="single" w:sz="8" w:color="2C2C2C"/>
            </w:tcBorders>
            <w:gridSpan w:val="3"/>
          </w:tcPr>
          <w:p>
            <w:pPr>
              <w:jc w:val="right"/>
              <w:ind w:right="98"/>
              <w:spacing w:after="0"/>
              <w:rPr>
                <w:sz w:val="20"/>
                <w:szCs w:val="20"/>
                <w:color w:val="auto"/>
              </w:rPr>
            </w:pPr>
            <w:r>
              <w:rPr>
                <w:rFonts w:ascii="Arial" w:cs="Arial" w:eastAsia="Arial" w:hAnsi="Arial"/>
                <w:sz w:val="18"/>
                <w:szCs w:val="18"/>
                <w:color w:val="0000FF"/>
              </w:rPr>
              <w:t>02/26/2020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7,332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84,995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Vesting of 100% of the shares is based solely upon the achievement of an extension of the Company's Macau gaming concession. Certain accelerated vesting provisions may apply if the reporting person's employment with the Company is terminated prior to March 1,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Nick Pannucci, attorney-in-  </w:t>
      </w:r>
      <w:r>
        <w:rPr>
          <w:rFonts w:ascii="Arial" w:cs="Arial" w:eastAsia="Arial" w:hAnsi="Arial"/>
          <w:sz w:val="35"/>
          <w:szCs w:val="35"/>
          <w:color w:val="0000FF"/>
          <w:vertAlign w:val="subscript"/>
        </w:rPr>
        <w:t>02/28/2020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38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2020-02-28T21:33:00Z</dcterms:created>
  <dcterms:modified xsi:type="dcterms:W3CDTF">2020-02-28T21:33:00Z</dcterms:modified>
</cp:coreProperties>
</file>