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259"/>
        <w:spacing w:after="0"/>
        <w:rPr>
          <w:sz w:val="20"/>
          <w:szCs w:val="20"/>
          <w:color w:val="auto"/>
        </w:rPr>
      </w:pPr>
      <w:r>
        <w:rPr>
          <w:rFonts w:ascii="Arial" w:cs="Arial" w:eastAsia="Arial" w:hAnsi="Arial"/>
          <w:sz w:val="25"/>
          <w:szCs w:val="25"/>
          <w:b w:val="1"/>
          <w:bCs w:val="1"/>
          <w:color w:val="auto"/>
        </w:rPr>
        <w:t>SCHEDULE 14A</w:t>
      </w:r>
    </w:p>
    <w:p>
      <w:pPr>
        <w:spacing w:after="0" w:line="230"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(Rule 14a-101)</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SCHEDULE 14A INFORMATION</w:t>
      </w:r>
    </w:p>
    <w:p>
      <w:pPr>
        <w:spacing w:after="0" w:line="211"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the Securities Exchange Act of 1934 (Amendment No.  )</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52"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52" w:lineRule="exact"/>
        <w:rPr>
          <w:sz w:val="24"/>
          <w:szCs w:val="24"/>
          <w:color w:val="auto"/>
        </w:rPr>
      </w:pPr>
    </w:p>
    <w:p>
      <w:pPr>
        <w:ind w:left="660" w:hanging="652"/>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34" w:lineRule="exact"/>
        <w:rPr>
          <w:sz w:val="24"/>
          <w:szCs w:val="24"/>
          <w:color w:val="auto"/>
        </w:rPr>
      </w:pPr>
    </w:p>
    <w:p>
      <w:pPr>
        <w:jc w:val="center"/>
        <w:ind w:right="-259"/>
        <w:spacing w:after="0"/>
        <w:rPr>
          <w:sz w:val="20"/>
          <w:szCs w:val="20"/>
          <w:color w:val="auto"/>
        </w:rPr>
      </w:pPr>
      <w:r>
        <w:rPr>
          <w:rFonts w:ascii="Arial" w:cs="Arial" w:eastAsia="Arial" w:hAnsi="Arial"/>
          <w:sz w:val="29"/>
          <w:szCs w:val="29"/>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(Name of Registrant as Specified In Its Charter)</w:t>
      </w:r>
    </w:p>
    <w:p>
      <w:pPr>
        <w:spacing w:after="0" w:line="221"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Elaine P. Wynn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60" w:hanging="652"/>
        <w:spacing w:after="0"/>
        <w:tabs>
          <w:tab w:leader="none" w:pos="6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660" w:hanging="652"/>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52" w:lineRule="exact"/>
        <w:rPr>
          <w:rFonts w:ascii="MS PGothic" w:cs="MS PGothic" w:eastAsia="MS PGothic" w:hAnsi="MS PGothic"/>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84" w:lineRule="exact"/>
        <w:rPr>
          <w:rFonts w:ascii="Arial" w:cs="Arial" w:eastAsia="Arial" w:hAnsi="Arial"/>
          <w:sz w:val="18"/>
          <w:szCs w:val="18"/>
          <w:color w:val="auto"/>
        </w:rPr>
      </w:pPr>
    </w:p>
    <w:p>
      <w:pPr>
        <w:ind w:left="1300" w:right="60" w:hanging="644"/>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29"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660" w:hanging="652"/>
        <w:spacing w:after="0" w:line="308" w:lineRule="auto"/>
        <w:tabs>
          <w:tab w:leader="none" w:pos="6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3" w:lineRule="exact"/>
        <w:rPr>
          <w:rFonts w:ascii="MS PGothic" w:cs="MS PGothic" w:eastAsia="MS PGothic" w:hAnsi="MS PGothic"/>
          <w:sz w:val="17"/>
          <w:szCs w:val="17"/>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828675</wp:posOffset>
            </wp:positionH>
            <wp:positionV relativeFrom="paragraph">
              <wp:posOffset>-2857500</wp:posOffset>
            </wp:positionV>
            <wp:extent cx="64230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-2608580</wp:posOffset>
            </wp:positionV>
            <wp:extent cx="64230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-2222500</wp:posOffset>
            </wp:positionV>
            <wp:extent cx="64230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-1974215</wp:posOffset>
            </wp:positionV>
            <wp:extent cx="64230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-1725295</wp:posOffset>
            </wp:positionV>
            <wp:extent cx="64230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-636270</wp:posOffset>
            </wp:positionV>
            <wp:extent cx="64230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-387350</wp:posOffset>
            </wp:positionV>
            <wp:extent cx="64230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-139065</wp:posOffset>
            </wp:positionV>
            <wp:extent cx="64230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109220</wp:posOffset>
            </wp:positionV>
            <wp:extent cx="64230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80"/>
          </w:cols>
          <w:pgMar w:left="240" w:top="540" w:right="479" w:bottom="1440" w:gutter="0" w:footer="0" w:header="0"/>
        </w:sectPr>
      </w:pPr>
    </w:p>
    <w:bookmarkStart w:id="1" w:name="page2"/>
    <w:bookmarkEnd w:id="1"/>
    <w:p>
      <w:pPr>
        <w:jc w:val="both"/>
        <w:ind w:right="20"/>
        <w:spacing w:after="0" w:line="277" w:lineRule="auto"/>
        <w:rPr>
          <w:sz w:val="20"/>
          <w:szCs w:val="20"/>
          <w:color w:val="auto"/>
        </w:rPr>
      </w:pPr>
      <w:r>
        <w:rPr>
          <w:rFonts w:ascii="Arial" w:cs="Arial" w:eastAsia="Arial" w:hAnsi="Arial"/>
          <w:sz w:val="18"/>
          <w:szCs w:val="18"/>
          <w:color w:val="auto"/>
        </w:rPr>
        <w:t>On May 12 and May 13, 2018, Elaine P. Wynn will publish a letter to the employees of Wynn Resorts, Limited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in the Las Vegas Review-Journal. A copy of the letter is filed herewith as </w:t>
      </w:r>
      <w:r>
        <w:rPr>
          <w:rFonts w:ascii="Arial" w:cs="Arial" w:eastAsia="Arial" w:hAnsi="Arial"/>
          <w:sz w:val="18"/>
          <w:szCs w:val="18"/>
          <w:u w:val="single" w:color="auto"/>
          <w:color w:val="0000EE"/>
        </w:rPr>
        <w:t>Exhibit 99.1</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Important Additional Information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Elaine P. Wynn is a participant in the solicitation of proxies from the shareholders of the Company in connection with the Company’s 2018 annual meeting of shareholders. On April 27, 2018, Ms. Wynn filed a definitive proxy statement (the “</w:t>
      </w:r>
      <w:r>
        <w:rPr>
          <w:rFonts w:ascii="Arial" w:cs="Arial" w:eastAsia="Arial" w:hAnsi="Arial"/>
          <w:sz w:val="17"/>
          <w:szCs w:val="17"/>
          <w:b w:val="1"/>
          <w:bCs w:val="1"/>
          <w:i w:val="1"/>
          <w:iCs w:val="1"/>
          <w:color w:val="auto"/>
        </w:rPr>
        <w:t>Definitive Proxy Statement</w:t>
      </w:r>
      <w:r>
        <w:rPr>
          <w:rFonts w:ascii="Arial" w:cs="Arial" w:eastAsia="Arial" w:hAnsi="Arial"/>
          <w:sz w:val="17"/>
          <w:szCs w:val="17"/>
          <w:color w:val="auto"/>
        </w:rPr>
        <w:t xml:space="preserve">”) and form of </w:t>
      </w:r>
      <w:r>
        <w:rPr>
          <w:rFonts w:ascii="Arial" w:cs="Arial" w:eastAsia="Arial" w:hAnsi="Arial"/>
          <w:sz w:val="17"/>
          <w:szCs w:val="17"/>
          <w:b w:val="1"/>
          <w:bCs w:val="1"/>
          <w:color w:val="auto"/>
        </w:rPr>
        <w:t>BLUE</w:t>
      </w:r>
      <w:r>
        <w:rPr>
          <w:rFonts w:ascii="Arial" w:cs="Arial" w:eastAsia="Arial" w:hAnsi="Arial"/>
          <w:sz w:val="17"/>
          <w:szCs w:val="17"/>
          <w:color w:val="auto"/>
        </w:rPr>
        <w:t xml:space="preserve"> proxy card with the U.S. Securities and Exchange Commission (the “</w:t>
      </w:r>
      <w:r>
        <w:rPr>
          <w:rFonts w:ascii="Arial" w:cs="Arial" w:eastAsia="Arial" w:hAnsi="Arial"/>
          <w:sz w:val="17"/>
          <w:szCs w:val="17"/>
          <w:b w:val="1"/>
          <w:bCs w:val="1"/>
          <w:i w:val="1"/>
          <w:iCs w:val="1"/>
          <w:color w:val="auto"/>
        </w:rPr>
        <w:t>SEC</w:t>
      </w:r>
      <w:r>
        <w:rPr>
          <w:rFonts w:ascii="Arial" w:cs="Arial" w:eastAsia="Arial" w:hAnsi="Arial"/>
          <w:sz w:val="17"/>
          <w:szCs w:val="17"/>
          <w:color w:val="auto"/>
        </w:rPr>
        <w:t xml:space="preserve">”) in connection with such solicitation of proxies from the Company’s shareholders. A description of Ms. Wynn’s direct or indirect interests, by security holdings or otherwise, is contained in the Definitive Proxy Statement. MS. WYNN STRONGLY ENCOURAGES THE COMPANY’S SHAREHOLDERS TO READ THE DEFINITIVE PROXY STATEMENT, ACCOMPANYING </w:t>
      </w:r>
      <w:r>
        <w:rPr>
          <w:rFonts w:ascii="Arial" w:cs="Arial" w:eastAsia="Arial" w:hAnsi="Arial"/>
          <w:sz w:val="17"/>
          <w:szCs w:val="17"/>
          <w:b w:val="1"/>
          <w:bCs w:val="1"/>
          <w:color w:val="auto"/>
        </w:rPr>
        <w:t>BLUE</w:t>
      </w:r>
      <w:r>
        <w:rPr>
          <w:rFonts w:ascii="Arial" w:cs="Arial" w:eastAsia="Arial" w:hAnsi="Arial"/>
          <w:sz w:val="17"/>
          <w:szCs w:val="17"/>
          <w:color w:val="auto"/>
        </w:rPr>
        <w:t xml:space="preserve"> PROXY CARD AND OTHER PROXY MATERIALS BECAUSE THEY CONTAIN IMPORTANT INFORMATION. Shareholders may obtain the Definitive Proxy Statement and any other relevant documents at no charge from the SEC’s website at www.sec.gov or by contacting Ms. Wynn’s proxy solicitor MacKenzie Partners, Inc. at wynn@mackenziepartners.com or by calling toll-free (800) 322-2885 or collect (212) 929-5500.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4"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PAID ADVERTISING</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An open Letter to the employees of Wynn Resorts . . .</w:t>
      </w:r>
    </w:p>
    <w:p>
      <w:pPr>
        <w:spacing w:after="0" w:line="19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KEEPING THE WYNN PROMISE</w:t>
      </w:r>
    </w:p>
    <w:p>
      <w:pPr>
        <w:spacing w:after="0" w:line="258" w:lineRule="exact"/>
        <w:rPr>
          <w:sz w:val="20"/>
          <w:szCs w:val="20"/>
          <w:color w:val="auto"/>
        </w:rPr>
      </w:pPr>
    </w:p>
    <w:p>
      <w:pPr>
        <w:ind w:right="60" w:firstLine="648"/>
        <w:spacing w:after="0" w:line="236" w:lineRule="auto"/>
        <w:rPr>
          <w:sz w:val="20"/>
          <w:szCs w:val="20"/>
          <w:color w:val="auto"/>
        </w:rPr>
      </w:pPr>
      <w:r>
        <w:rPr>
          <w:rFonts w:ascii="Arial" w:cs="Arial" w:eastAsia="Arial" w:hAnsi="Arial"/>
          <w:sz w:val="22"/>
          <w:szCs w:val="22"/>
          <w:color w:val="auto"/>
        </w:rPr>
        <w:t>Most of you know that this simple declaration is at the heart of all that you do. Every day, you show up and commit yourselves to distinguishing the ‘Wynn Experience’ from all others. You infuse your work with meticulous attention and deep care, elevating the guest experience to the highest level. But what makes each visit to our resorts truly special is the authenticity of your service – a truth and a trust that reveals itself in countless front-of-house moments as well as in the respect and dignity you extend to each other behind the scenes.</w:t>
      </w:r>
    </w:p>
    <w:p>
      <w:pPr>
        <w:spacing w:after="0" w:line="215" w:lineRule="exact"/>
        <w:rPr>
          <w:sz w:val="20"/>
          <w:szCs w:val="20"/>
          <w:color w:val="auto"/>
        </w:rPr>
      </w:pPr>
    </w:p>
    <w:p>
      <w:pPr>
        <w:ind w:right="20" w:firstLine="648"/>
        <w:spacing w:after="0" w:line="238" w:lineRule="auto"/>
        <w:rPr>
          <w:sz w:val="20"/>
          <w:szCs w:val="20"/>
          <w:color w:val="auto"/>
        </w:rPr>
      </w:pPr>
      <w:r>
        <w:rPr>
          <w:rFonts w:ascii="Arial" w:cs="Arial" w:eastAsia="Arial" w:hAnsi="Arial"/>
          <w:sz w:val="22"/>
          <w:szCs w:val="22"/>
          <w:color w:val="auto"/>
        </w:rPr>
        <w:t>As the co-founder, these are the cultural values and core beliefs I have tried to embody and promote since our Company’s inception. I remain as true to them today as I have ever been. And while the events of these last several months may have tested our resolve, they’ve also clarified what is most important – that each of us, in our own way, must carry forward the promise of Wynn Resorts.</w:t>
      </w:r>
    </w:p>
    <w:p>
      <w:pPr>
        <w:spacing w:after="0" w:line="212" w:lineRule="exact"/>
        <w:rPr>
          <w:sz w:val="20"/>
          <w:szCs w:val="20"/>
          <w:color w:val="auto"/>
        </w:rPr>
      </w:pPr>
    </w:p>
    <w:p>
      <w:pPr>
        <w:ind w:right="400" w:firstLine="648"/>
        <w:spacing w:after="0"/>
        <w:rPr>
          <w:sz w:val="20"/>
          <w:szCs w:val="20"/>
          <w:color w:val="auto"/>
        </w:rPr>
      </w:pPr>
      <w:r>
        <w:rPr>
          <w:rFonts w:ascii="Arial" w:cs="Arial" w:eastAsia="Arial" w:hAnsi="Arial"/>
          <w:sz w:val="22"/>
          <w:szCs w:val="22"/>
          <w:color w:val="auto"/>
        </w:rPr>
        <w:t>I believe deeply in our Company and in those of you who bring it to life each and every day. I am confident that we will move past this moment of profound change, letting go of what has not served us, repairing our leadership, and restoring the integrity of our brand.</w:t>
      </w:r>
    </w:p>
    <w:p>
      <w:pPr>
        <w:spacing w:after="0" w:line="213" w:lineRule="exact"/>
        <w:rPr>
          <w:sz w:val="20"/>
          <w:szCs w:val="20"/>
          <w:color w:val="auto"/>
        </w:rPr>
      </w:pPr>
    </w:p>
    <w:p>
      <w:pPr>
        <w:ind w:right="180" w:firstLine="648"/>
        <w:spacing w:after="0" w:line="251" w:lineRule="auto"/>
        <w:rPr>
          <w:sz w:val="20"/>
          <w:szCs w:val="20"/>
          <w:color w:val="auto"/>
        </w:rPr>
      </w:pPr>
      <w:r>
        <w:rPr>
          <w:rFonts w:ascii="Arial" w:cs="Arial" w:eastAsia="Arial" w:hAnsi="Arial"/>
          <w:sz w:val="22"/>
          <w:szCs w:val="22"/>
          <w:color w:val="auto"/>
        </w:rPr>
        <w:t>I am grateful for your professionalism, dedication and commitment. It is because of you that I look to the future with great optimism.</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You make me proud.</w:t>
      </w:r>
    </w:p>
    <w:p>
      <w:pPr>
        <w:spacing w:after="0" w:line="233"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161925</wp:posOffset>
            </wp:positionV>
            <wp:extent cx="1286510" cy="3860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651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Elaine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470535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2019-12-06T19:59:36Z</dcterms:created>
  <dcterms:modified xsi:type="dcterms:W3CDTF">2019-12-06T19:59:36Z</dcterms:modified>
</cp:coreProperties>
</file>