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230" w:right="319" w:bottom="1440" w:gutter="0" w:footer="0" w:header="0"/>
        </w:sectPr>
      </w:pPr>
    </w:p>
    <w:p>
      <w:pPr>
        <w:spacing w:after="0" w:line="41"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6000" w:space="580"/>
            <w:col w:w="4760"/>
          </w:cols>
          <w:pgMar w:left="240" w:top="230" w:right="31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Commission File No. 000-50028</w:t>
      </w:r>
    </w:p>
    <w:p>
      <w:pPr>
        <w:sectPr>
          <w:pgSz w:w="11900" w:h="16838" w:orient="portrait"/>
          <w:cols w:equalWidth="0" w:num="1">
            <w:col w:w="11340"/>
          </w:cols>
          <w:pgMar w:left="240" w:top="230" w:right="319" w:bottom="1440" w:gutter="0" w:footer="0" w:header="0"/>
          <w:type w:val="continuous"/>
        </w:sectPr>
      </w:pPr>
    </w:p>
    <w:p>
      <w:pPr>
        <w:spacing w:after="0" w:line="9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40"/>
          </w:cols>
          <w:pgMar w:left="240" w:top="230" w:right="319" w:bottom="1440" w:gutter="0" w:footer="0" w:header="0"/>
          <w:type w:val="continuous"/>
        </w:sectPr>
      </w:pPr>
    </w:p>
    <w:p>
      <w:pPr>
        <w:spacing w:after="0" w:line="54"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2">
            <w:col w:w="7540" w:space="720"/>
            <w:col w:w="3080"/>
          </w:cols>
          <w:pgMar w:left="240" w:top="230" w:right="319" w:bottom="1440"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2"/>
          <w:szCs w:val="12"/>
          <w:b w:val="1"/>
          <w:bCs w:val="1"/>
          <w:color w:val="auto"/>
        </w:rPr>
        <w:t>Identification Number)</w:t>
      </w:r>
    </w:p>
    <w:p>
      <w:pPr>
        <w:spacing w:after="0" w:line="90" w:lineRule="exact"/>
        <w:rPr>
          <w:sz w:val="24"/>
          <w:szCs w:val="24"/>
          <w:color w:val="auto"/>
        </w:rPr>
      </w:pPr>
    </w:p>
    <w:p>
      <w:pPr>
        <w:sectPr>
          <w:pgSz w:w="11900" w:h="16838" w:orient="portrait"/>
          <w:cols w:equalWidth="0" w:num="2">
            <w:col w:w="7300" w:space="720"/>
            <w:col w:w="3320"/>
          </w:cols>
          <w:pgMar w:left="240" w:top="230" w:right="31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3131 Las Vegas Boulevard South—Las Vegas, Nevada 89109</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40"/>
          </w:cols>
          <w:pgMar w:left="240" w:top="230" w:right="319" w:bottom="1440" w:gutter="0" w:footer="0" w:header="0"/>
          <w:type w:val="continuous"/>
        </w:sectPr>
      </w:pPr>
    </w:p>
    <w:p>
      <w:pPr>
        <w:spacing w:after="0" w:line="9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700" w:space="180"/>
            <w:col w:w="260" w:space="80"/>
            <w:col w:w="160" w:space="180"/>
            <w:col w:w="220" w:space="80"/>
            <w:col w:w="148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860" w:space="160"/>
            <w:col w:w="260" w:space="80"/>
            <w:col w:w="160" w:space="180"/>
            <w:col w:w="220" w:space="80"/>
            <w:col w:w="1340"/>
          </w:cols>
          <w:pgMar w:left="240" w:top="230" w:right="319" w:bottom="1440" w:gutter="0" w:footer="0" w:header="0"/>
          <w:type w:val="continuous"/>
        </w:sect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0" w:right="319" w:bottom="1440" w:gutter="0" w:footer="0" w:header="0"/>
          <w:type w:val="continuous"/>
        </w:sectPr>
      </w:pPr>
    </w:p>
    <w:p>
      <w:pPr>
        <w:spacing w:after="0" w:line="1" w:lineRule="exact"/>
        <w:rPr>
          <w:sz w:val="24"/>
          <w:szCs w:val="24"/>
          <w:color w:val="auto"/>
        </w:rPr>
      </w:pPr>
    </w:p>
    <w:p>
      <w:pPr>
        <w:ind w:left="5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81" w:lineRule="exact"/>
        <w:rPr>
          <w:sz w:val="24"/>
          <w:szCs w:val="24"/>
          <w:color w:val="auto"/>
        </w:rPr>
      </w:pPr>
    </w:p>
    <w:p>
      <w:pPr>
        <w:sectPr>
          <w:pgSz w:w="11900" w:h="16838" w:orient="portrait"/>
          <w:cols w:equalWidth="0" w:num="8">
            <w:col w:w="740" w:space="100"/>
            <w:col w:w="2200" w:space="720"/>
            <w:col w:w="160" w:space="80"/>
            <w:col w:w="1620" w:space="720"/>
            <w:col w:w="160" w:space="100"/>
            <w:col w:w="1580" w:space="720"/>
            <w:col w:w="160" w:space="100"/>
            <w:col w:w="218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440" w:space="220"/>
            <w:col w:w="240" w:space="100"/>
            <w:col w:w="160" w:space="180"/>
            <w:col w:w="200" w:space="100"/>
            <w:col w:w="1700"/>
          </w:cols>
          <w:pgMar w:left="240" w:top="230" w:right="31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Stock Market on June 29, 2007 was approximately $4.6 billion</w:t>
      </w:r>
    </w:p>
    <w:p>
      <w:pPr>
        <w:spacing w:after="0" w:line="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15, 2008, 112,958,183 shares of the registrant’s Common Stock, $.01 par value, were outstanding.</w:t>
      </w:r>
    </w:p>
    <w:p>
      <w:pPr>
        <w:spacing w:after="0" w:line="90"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2008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Resorts, Limited, a Nevada corporation, was formed in June 2002 and completed an initial public offering of its common stock on October 25, 2002. The Company, led by Chairman and Chief Executive Officer, Stephen A. Wynn, is a leading developer, owner and operator of destination casino resorts. We own and operate two destination casino resorts: “Wynn Las Vegas,” on the “Strip” in Las Vegas, Nevada, and “Wynn Macau,” located in the Macau Special Administrative Region of the People’s Republic of China (“Macau”). We are also currently constructing “Encore Suites at Wynn Las Vegas” or “Encore” and Wynn Diamond Suites at Wynn Macau. We review our results based on the following segments: Wynn Las Vegas, which includes Encore, and Wynn Macau. For more information on the financial results for our segments, see Item 8 “Financial Statements”, Note 19 “Segment Information”.</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http://www.sec.gov. Information related to the operation of the SEC’s public reference room may be obtained by calling the SEC at 1-800-SEC-0330. In addition, through our own internet address at www.wynnresorts.com, Wynn Resorts provides a hyperlink to a third-party SEC filing website which posts these filings as soon as reasonably practicable, where they can be reviewed without charge. Information found on our website is not a part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Wynn Las Vegas opened on April 28, 2005. The resort’s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to receive both the Mobil five star and AAA five diamond distinctions. In addition, Wynn Las Vegas was recognized in November 2007 by Michelin, the esteemed European restaurant rating system. Three of our restaurants were awarded Michelin stars. Two Michelin stars were awarded to </w:t>
      </w:r>
      <w:r>
        <w:rPr>
          <w:rFonts w:ascii="Arial" w:cs="Arial" w:eastAsia="Arial" w:hAnsi="Arial"/>
          <w:sz w:val="16"/>
          <w:szCs w:val="16"/>
          <w:i w:val="1"/>
          <w:iCs w:val="1"/>
          <w:color w:val="auto"/>
        </w:rPr>
        <w:t>Alex</w:t>
      </w:r>
      <w:r>
        <w:rPr>
          <w:rFonts w:ascii="Arial" w:cs="Arial" w:eastAsia="Arial" w:hAnsi="Arial"/>
          <w:sz w:val="16"/>
          <w:szCs w:val="16"/>
          <w:color w:val="auto"/>
        </w:rPr>
        <w:t xml:space="preserve"> and one Michelin star was awarded to each of Wing Lei and Daniel Boulud Brasserie. Additionally, our resort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occupancy was 96% and our average daily room rate was $300, which compares favorably to the overall 90.4% average occupancy and $132 average daily room rate of Las Vegas.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opened on September 6, 2006. Wynn Macau currently features approximately 600 hotel rooms and suites, approximately 380 table games and approximately 1,270 slot machines in approximately 205,000 square feet of casino gaming space, five restaurants, a spa and salon, lounges, meeting facilities and approximately 46,000 square feet of retail space featuring boutiques from Bvlgari, Chanel, Dior, Dunhill, Fendi, Ferrari, Giorgio Armani, Hermes, Hugo Boss, Louis Vuitton, Piaget, Prada, Rolex, Tiffany, Van Cleef &amp; Arpels, Versace, Vertu and Zegna. During the year ended December 31, 2007, we completed our expansion of Wynn Macau which added approximately 75,000 square feet of gaming space to the property that opened in late 2006, and 20,000 square feet of retail space including 11 new boutiques. In addition to the gaming and retail facilities that opened in the expansion noted above, in December 2007 Wynn Macau opened its rotunda area which features a gold “prosperity tree” in conjunction with a Chinese zodiac-inspired ceiling show incorporating a descending chandelier. During the year ended December 31, 2007, our hotel occupancy at Wynn Macau was 88.8% and our average daily room rate was $251.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in April 2005, we have remodeled the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Blush, </w:t>
      </w:r>
      <w:r>
        <w:rPr>
          <w:rFonts w:ascii="Arial" w:cs="Arial" w:eastAsia="Arial" w:hAnsi="Arial"/>
          <w:sz w:val="16"/>
          <w:szCs w:val="16"/>
          <w:color w:val="auto"/>
        </w:rPr>
        <w:t>our nightclubs, several areas of the retail promenade, a portion of the baccarat area to feature a casino bar and improved public baccarat space along with</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 at Wynn Las Vegas.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as well as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will be funded from our existing Wynn Las Vegas credit facilities, remaining proceeds from a debt issuance in November 2007 and operating cash flow from Wynn Las Vegas. To the extent additional funds are required, we will provide these amounts with additional debt and equity contributions by Wynn Resorts or additional indebtedness to be incurred by Wynn Las Vegas. As of December 31, 2007, we had incurred approximately $998.7 million project costs related to the development and construction of Encore and related capital improvements.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Macau opened on September 6, 2006. During the year ended December 31, 2007, we completed an expansion of Wynn Macau that includes approximately 75,000 square feet of additional gaming space, a dramatic front feature attraction as described above, and additional food, beverage and retail amenities. In addition, we have commenced construction of Wynn Diamond Suites, a further expansion of Wynn Macau. Wynn Diamond Suites will add a fully-integrated resort hotel to Wynn Macau with approximately 400 luxury suites and four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villas along with restaurants, additional retail space and additional VIP gaming space. While the completed project budget is still being finalized, we expect total costs to be approximately $600 million. We expect Wynn Diamond Suites to open in the first half of 2010. The project budget will be funded from our existing Wynn Macau credit facilities and cash flow from Wynn Macau. Wynn Macau and its recently opened expansion were completed at a cost of approximately $1.1 billion. As of December 31, 2007, we had incurred approximately $53 million related to the Wynn Diamond Suites.</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demands and customer preferences and in order to increase revenues, we have made and continue to make certain enhancements and refinements to Wynn Macau. We have incurred and will continue to incur capital expenditures related to these enhancements and refinements.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 Opportunities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submitted an application to the government of Macau for a concession of land in Cotai. We have reconfigured our site plan for 52 acres and are awaiting final approval. We are actively engaged in the design of our Cotai project. We continually seek out new opportunities for additional gaming or related businesses, in Las Vegas, other markets in the United States, and worldwide.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Capitalize on the “Wynn” Brand. </w:t>
      </w:r>
      <w:r>
        <w:rPr>
          <w:rFonts w:ascii="Arial" w:cs="Arial" w:eastAsia="Arial" w:hAnsi="Arial"/>
          <w:sz w:val="18"/>
          <w:szCs w:val="18"/>
          <w:color w:val="auto"/>
        </w:rPr>
        <w:t>We believe Steve Wynn is the preeminent designer, developer and operator of destination casino resorts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Wynn Macau translate to a high level of anticipation for Encore at Wynn Las Vegas and Wynn Diamond Suites. We intend to extend our “Wynn” brand to other domestic and international opportunities as they arise.</w:t>
      </w:r>
    </w:p>
    <w:p>
      <w:pPr>
        <w:spacing w:after="0" w:line="147"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i w:val="1"/>
          <w:iCs w:val="1"/>
          <w:color w:val="auto"/>
        </w:rPr>
        <w:t xml:space="preserve">Attract and Deliver High-quality Service and Amenities to High-end Gaming Customers. </w:t>
      </w:r>
      <w:r>
        <w:rPr>
          <w:rFonts w:ascii="Arial" w:cs="Arial" w:eastAsia="Arial" w:hAnsi="Arial"/>
          <w:sz w:val="16"/>
          <w:szCs w:val="16"/>
          <w:color w:val="auto"/>
        </w:rPr>
        <w:t>Wynn Las Vegas and Wynn Macau were designed and built to</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premium gaming customers. Wynn Las Vegas offers luxurious rooms and suites, high-limit tables, VIP gaming salons, exquisite fine dining</w:t>
      </w:r>
      <w:r>
        <w:rPr>
          <w:rFonts w:ascii="Arial" w:cs="Arial" w:eastAsia="Arial" w:hAnsi="Arial"/>
          <w:sz w:val="16"/>
          <w:szCs w:val="16"/>
          <w:i w:val="1"/>
          <w:iCs w:val="1"/>
          <w:color w:val="auto"/>
        </w:rPr>
        <w:t>,</w:t>
      </w:r>
      <w:r>
        <w:rPr>
          <w:rFonts w:ascii="Arial" w:cs="Arial" w:eastAsia="Arial" w:hAnsi="Arial"/>
          <w:sz w:val="16"/>
          <w:szCs w:val="16"/>
          <w:color w:val="auto"/>
        </w:rPr>
        <w:t xml:space="preserve"> premium retail shopping, distinctive entertainment and an 18-hole golf course. The Tower Suites at Wynn Las Vegas is the only casino resort in the world to have been awarded both the Mobil five star and AAA five diamond distinctions and four of Wynn Las Vegas’ restaurants have been recognized by AAA (including our</w:t>
      </w:r>
    </w:p>
    <w:p>
      <w:pPr>
        <w:spacing w:after="0" w:line="3" w:lineRule="exact"/>
        <w:rPr>
          <w:sz w:val="20"/>
          <w:szCs w:val="20"/>
          <w:color w:val="auto"/>
        </w:rPr>
      </w:pPr>
    </w:p>
    <w:p>
      <w:pPr>
        <w:ind w:right="140" w:firstLine="8"/>
        <w:spacing w:after="0" w:line="292"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rated, 5-Diamond French restaurant, </w:t>
      </w:r>
      <w:r>
        <w:rPr>
          <w:rFonts w:ascii="Arial" w:cs="Arial" w:eastAsia="Arial" w:hAnsi="Arial"/>
          <w:sz w:val="16"/>
          <w:szCs w:val="16"/>
          <w:i w:val="1"/>
          <w:iCs w:val="1"/>
          <w:color w:val="auto"/>
        </w:rPr>
        <w:t>Alex)</w:t>
      </w:r>
      <w:r>
        <w:rPr>
          <w:rFonts w:ascii="Arial" w:cs="Arial" w:eastAsia="Arial" w:hAnsi="Arial"/>
          <w:sz w:val="16"/>
          <w:szCs w:val="16"/>
          <w:color w:val="auto"/>
        </w:rPr>
        <w:t xml:space="preserve"> and Michelin, the esteemed European restaurant rating system. Three of our restaurants were awarded Michelin stars. Two Michelin stars were awarded to </w:t>
      </w:r>
      <w:r>
        <w:rPr>
          <w:rFonts w:ascii="Arial" w:cs="Arial" w:eastAsia="Arial" w:hAnsi="Arial"/>
          <w:sz w:val="16"/>
          <w:szCs w:val="16"/>
          <w:i w:val="1"/>
          <w:iCs w:val="1"/>
          <w:color w:val="auto"/>
        </w:rPr>
        <w:t>Alex</w:t>
      </w:r>
      <w:r>
        <w:rPr>
          <w:rFonts w:ascii="Arial" w:cs="Arial" w:eastAsia="Arial" w:hAnsi="Arial"/>
          <w:sz w:val="16"/>
          <w:szCs w:val="16"/>
          <w:color w:val="auto"/>
        </w:rPr>
        <w:t xml:space="preserve"> and one Michelin star was awarded to each of Wing Lei and Daniel Boulud Brasserie. Overall our resort and country club received five red pavilions, the highest Michelin accommodations rating. Our hotel and gaming offerings are designed to meet the expectations of high-budget, premium customers, including our Asian customers. We expect our Asian customer segment to become even more significant with Wynn Macau, and intend to capitalize on cross-marketing opportunities between Wynn Las Vegas and Wynn Macau.</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and Wynn Macau through various media channels, including television, radio, newspapers, magazines, the internet, direct mail and billboards.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Capitalize on our Opportunity in Macau. </w:t>
      </w:r>
      <w:r>
        <w:rPr>
          <w:rFonts w:ascii="Arial" w:cs="Arial" w:eastAsia="Arial" w:hAnsi="Arial"/>
          <w:sz w:val="18"/>
          <w:szCs w:val="18"/>
          <w:color w:val="auto"/>
        </w:rPr>
        <w:t>The government of Macau has made a major commitment to ensure that Macau becomes a tourist destination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choice in Asia by encouraging significant investment in new and expanded casino entertainment facilities to enhance its reputation as a casino resort destination and to attract additional tourists and lengthen stays. The Chinese government continues to gradually relax its travel and currency restrictions, allowing mainland Chinese from certain urban centers and economically developed areas to visit Macau without joining a tour group and increasing the amount of currency that Chinese citizens are permitted to bring into Macau. We expect tourism in Macau to continue to grow as the Chinese government continues to liberalize restrictions on travel and currency movements.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positions Macau as a popular gaming destination in Asia.</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utilized our brand and significant experience in Las Vegas in providing a Steve Wynn-designed property on our 16-acre site located in Macau’s inner harbor area across from the Hotel Lisboa, Macau’s best-known casino. Our concession provides us with the ability to develop an unlimited number of casino resorts with Macau government approval, which adds significant value to our Macau opportunity.</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Las Vegas Real Estate Assets.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Palazzo and Venetian Casino Resort and their approximately 1.8 million square foot Sands Expo Center; diagonally across from the Mirage and the Treasure Island Hotel and Casino; directly across from the Fashion Show Mall and Trump Towers; and across from Echelon and The Plaza, which are currently under development. Encore is being constructed on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Mr. Wynn and his team bring significant experience in designing, developing and operating casino resorts. Mr. Wynn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members of the current senior management team were responsible for the design, development and operation of The Mirage, Treasure Island at The Mirage, and Bellagio. The senior executive team has an average of approximately 25 years of experience in the hotel and gaming industries. We also have an approximately 100-person design, development and construction subsidiary, the senior management of which has significant experience in all major construction disciplines.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Opportunities for Future Growth. </w:t>
      </w:r>
      <w:r>
        <w:rPr>
          <w:rFonts w:ascii="Arial" w:cs="Arial" w:eastAsia="Arial" w:hAnsi="Arial"/>
          <w:sz w:val="18"/>
          <w:szCs w:val="18"/>
          <w:color w:val="auto"/>
        </w:rPr>
        <w:t>We are continually looking for new opportunities for gaming and related businesses in Las Vegas and Macau,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domestic and international markets through acquisition, investment or development.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2007, the Las Vegas gaming and hotel markets continued their upward trends with, among other things, a 0.7% increase in visitation to 39.2 million visitors, a 2.3% increase in Las Vegas Strip gaming revenue and a 10.3% increase in average daily room rates, all as compared to the year ended December 2006.</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Planet Hollywood Resort &amp; Casino (formerly known as the Aladdin), The Venetian and The Palazzo.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in and near Las Vegas.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The Palazzo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to the existing casinos with which Wynn Las Vegas currently competes, several new multi-billion dollar resorts are expected to open on or near the Las Vegas Strip before 2011. The major projects, which have either been announced or are currently under construction include, but are not limited to:</w:t>
      </w:r>
    </w:p>
    <w:p>
      <w:pPr>
        <w:spacing w:after="0" w:line="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 development by Boyd Gaming located north of Wynn Las Vegas on the Strip.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 development by the MGM Mirage Dubai World 50/50 joint venture located south of Wynn Las Vegas on the Strip.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Fontainebleau Las Vegas</w:t>
      </w:r>
      <w:r>
        <w:rPr>
          <w:rFonts w:ascii="Arial" w:cs="Arial" w:eastAsia="Arial" w:hAnsi="Arial"/>
          <w:sz w:val="18"/>
          <w:szCs w:val="18"/>
          <w:color w:val="auto"/>
        </w:rPr>
        <w:t>—A development by Fontainebleau Resorts located north of Wynn Las Vegas on the Strip.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Plaza, Las Vegas</w:t>
      </w:r>
      <w:r>
        <w:rPr>
          <w:rFonts w:ascii="Arial" w:cs="Arial" w:eastAsia="Arial" w:hAnsi="Arial"/>
          <w:sz w:val="18"/>
          <w:szCs w:val="18"/>
          <w:color w:val="auto"/>
        </w:rPr>
        <w:t>—A development by the Elad Group located across the street from Wynn Las Vegas on the Strip.</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Macau, which was a Portuguese colony for approximately 450 years, was transferred in December 1999 from Portuguese to Chinese political control. Macau is a special administrative region of China located approximately 37 miles southwest of, and less than one hour away via ferry from, Hong Kong and has been a casino destination for more than 40 years. Macau consists principally of a peninsula on mainland China, and two neighboring islands, Taipa and Coloane, connected by bridges. We believe that Macau is positioned in one of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world’s largest concentrations of potential gaming customers. According to Macau Statistical Information, casinos in Macau generated approximately $10.3 billion in gaming revenue in 2007, a 47% increase over the $6.98 billion generated in 2006, making Macau the largest gaming market in the world.</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Macau’s gaming market is primarily dependent on tourists. According to the Macau Statistics and Census Service Monthly Bulletin of Statistics, approximately 27 million people visited Macau in 2007, an increase of approximately 23% over the 22 million visitors of 2006. From 1999 through 2007, less than one-half of visitors traveling to Macau stayed overnight in hotels and guestrooms and, for those who stayed overnight in hotels and guestrooms, the average length of stay was only one to two nights. We expect the average length of stay to increase as a result of new, upscale hotel resort accommodations in Macau, including Wynn Macau.</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Gaming customers traveling to Macau typically come from nearby destinations in Asia including Hong Kong, mainland China, Taiwan, South Korea and Japan. According to the Macau Statistics and Census Service Monthly Bulletin of Statistics, approximately 91% of the tourists who visited Macau in 2007 came from mainland China, Hong Kong and Taiwan. Macau completed construction of an international airport in 1995, which accommodates large commercial aircraft and provides direct air service to major cities in Asia, including Beijing, Shanghai, Taipei, Manila, Singapore and Bangkok.</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2002, gaming in Macau was permitted as a government-sanctioned monopoly concession awarded to a single concessionaire. However, under the authority of the Chief Executive and the Casino Tender Commission of Macau, the government of Macau liberalized the gaming industry in 2002 by granting concessions to operate casinos to three concessionaires, who in turn were permitted, subject to the approval of the government of Macau, to each grant one sub-concession to other gaming operators.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Currently, there are 29 operating casinos in Macau. In addition, there are several large casino resorts currently under construction and development.</w:t>
      </w:r>
    </w:p>
    <w:p>
      <w:pPr>
        <w:spacing w:after="0" w:line="19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Sociedade de Jogos de Macau (“SJM”) operates 19 of the 29 casinos. SJM is controlled by Stanley Ho, who through another entity, controlled the monopoly concession to conduct gaming operations in Macau for more than 40 years. Most of SJM’s casinos are relatively small facilities, which are offered as amenities in hotels; however, a few are substantial operations. Two of the larger casinos in Macau are operated by SJM: the Hotel Lisboa and The Grand Lisboa. In addition, an affiliate of Mr. Ho owns most of the water ferry services and the helicopter shuttle service that link Macau to Hong Kong.</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joint venture of MGM MIRAGE and Pansy Ho Chiu-king (Stanley Ho’s daughter) opened the MGM Grand Macau, a resort on the Macau peninsula adjacent to Wynn Macau, in December 2007. At opening, the property included a 600 room hotel, several restaurants as well as other attractions, approximately 375 table games and approximately 900 slot machines.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Galaxy Casino Company Limited, referred to herein as Galaxy, also was awarded a casino concession in June 2002. Galaxy is a company controlled by Hong Kong businessman Lui Chi-woo and a group of Hong Kong investors. Galaxy opened the Waldo Hotel/Casino on the peninsula in 2004, the Grand Waldo Cotai in the summer of 2006, and Galaxy Star World hotel casino immediately adjacent to Wynn Macau in October 2006.</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Las Vegas Sands Corp., the owner and operator of The Venetian and The Palazzo resorts in Las Vegas and a former partner of Galaxy, has entered into a sub-concession agreement with Galaxy which allows it to independently develop and operate casinos in Macau.</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Sands Macao opened in 2004, and offers approximately 632 table games and approximately 1,457 slot machines. In August 2007, Las Vegas Sands Corp. opened the Venetian Macao Resort Hotel, a 3,000 suite hotel, casino and convention center complex, with retail, dining and entertainment, all with a Venetian-style theme similar to that of its Las Vegas property. At opening, the Venetian Macao offered approximately 870 table games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and more than 3,400 slot machines. In addition, Las Vegas Sands Corp. has proposed a masterplan for other large developments in Cotai that would include: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 hotel properties (including Four Seasons, Sheraton, Hilton and others) as well as serviced apartment units and additional retail and related space.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joint venture consisting of Melco, a Hong Kong stock exchange-listed company and Publishing &amp; Broadcasting Ltd. (PBL), an Australian company, is currently operating the Crown Macau (which opened in May 2007) and is constructing the City of Dreams, a large resort in Cotai, which is anticipated to open in 2009. This joint venture operates its properties under the subconcession purchased from us.</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Macao Studio City project, a joint venture consisting of Hong Kong-based eSun Holdings and New Cotai, LLC, is currently under construction and expected to open in mid 2009. The Macao Studio City is being developed in Cotai and is expected to feature a theater, television and film production facilities, retail, gaming, entertainment and world-class hotels. Macao Studio City’s casino is expected to be managed by PBL Melco.</w:t>
      </w:r>
    </w:p>
    <w:p>
      <w:pPr>
        <w:spacing w:after="0" w:line="10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Our casino concession agreement allows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Wynn Macau also faces competition from casinos located in other areas of Asia, such as Genting Highlands Resort, a major gaming and resort destination located outside of Kuala Lumpur, Malaysia, and casinos in the Philippines. Two large-scale casinos that are being developed currently in Singapore will add further competition to the region. Wynn Macau also encounters competition from other major gaming centers located around the world, including Australia and Las Vegas, cruise ships in Asia that offer gaming, and other casinos throughout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Nevada</w:t>
      </w:r>
    </w:p>
    <w:p>
      <w:pPr>
        <w:spacing w:after="0" w:line="90"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ownership and operation of casino gaming facilities in the State of Nevada are subject to the Nevada Gaming Control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5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Owner and Operator Licensing Requirements. </w:t>
      </w:r>
      <w:r>
        <w:rPr>
          <w:rFonts w:ascii="Arial" w:cs="Arial" w:eastAsia="Arial" w:hAnsi="Arial"/>
          <w:sz w:val="16"/>
          <w:szCs w:val="16"/>
          <w:color w:val="auto"/>
        </w:rPr>
        <w:t>Our subsidiary, Wynn Las Vegas, LLC, as the owner and operator of Wynn Las Vegas, has been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Nevada Gaming Authorities as a limited liability company licensee, referred to as a company licensee, which includes approval to conduct casino gaming operations, including a race book and sports pool and pari-mutuel wagering. These gaming licenses are not transferable. We cannot be certain that Wynn Las Vegas, LLC will be able to maintain all approvals and licenses from the Nevada Gaming Authorities.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Redemption of Securities Owned By an Unsuitable Person. </w:t>
      </w:r>
      <w:r>
        <w:rPr>
          <w:rFonts w:ascii="Arial" w:cs="Arial" w:eastAsia="Arial" w:hAnsi="Arial"/>
          <w:sz w:val="18"/>
          <w:szCs w:val="18"/>
          <w:color w:val="auto"/>
        </w:rPr>
        <w:t>Wynn Resorts’ articles of incorporation provide that, to the extent a gaming authority makes a</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unsuitability or to the extent deemed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Requirements for Voting Securities Holders. </w:t>
      </w:r>
      <w:r>
        <w:rPr>
          <w:rFonts w:ascii="Arial" w:cs="Arial" w:eastAsia="Arial" w:hAnsi="Arial"/>
          <w:sz w:val="16"/>
          <w:szCs w:val="16"/>
          <w:color w:val="auto"/>
        </w:rPr>
        <w:t>Regardless of the number of shares held, any beneficial owner of Wynn Resorts’ voting securities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file an application, be investigated and have that person’s suitability as a beneficial owner of voting securities determined if the Nevada Gaming Commission has reason to believe that the ownership would otherwise be inconsistent with the declared policies of the State of Nevada. If the beneficial owner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and Wynn Las Vegas, LLC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32"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 live entertainment tax also is imposed on admission charges and sales of food, beverages and merchandise where live entertainment is furnished. 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780" w:right="360" w:hanging="326"/>
        <w:spacing w:after="0" w:line="35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As a casino concessionaire, Wynn Macau, S.A. is subject to the regulatory control of the Government of Macau. The government has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Laws and Administrative Regulations governing the operation of casinos in Macau. Only concessionaires or subconcessionaires are permitted to operate casinos. Subconcessions may be awarded subject to the approval of the Macau government and, to date, each concessionaire has issued one subconcession. Each concessionaire was required to enter into a concession agreement with the Macau government which, together with the Law and Administrative Regulations, forms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to demonstrate and maintain adequate financial capacity to operate the concession and to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8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games promoter, also known as a junket representative, is a person who, for the purpose of promoting casino gaming activity, arranges customer transportation, accommodations, provides credit in their sole discretion, food and beverage services and entertainment in exchange for commissions or other compensation from a concessionaire. Macau law provides that games promoters representatives must be licensed by the Macau government in order to do business with and receive compensation from concessionaires. For a license to be obtained, direct and indirect owners of 5% or more of a games promoters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for the following year,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i w:val="1"/>
          <w:iCs w:val="1"/>
          <w:color w:val="auto"/>
        </w:rPr>
        <w:t xml:space="preserve">Concession Agreement. </w:t>
      </w:r>
      <w:r>
        <w:rPr>
          <w:rFonts w:ascii="Arial" w:cs="Arial" w:eastAsia="Arial" w:hAnsi="Arial"/>
          <w:sz w:val="18"/>
          <w:szCs w:val="18"/>
          <w:color w:val="auto"/>
        </w:rPr>
        <w:t>The concession agreement between Wynn Macau S.A. and the Macau government requires Wynn Macau, S.A. to construct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US$500 million) in Macau-related projects by June 2009. This obligation was satisfied upon the opening of Wynn Macau.</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w:t>
      </w:r>
    </w:p>
    <w:p>
      <w:pPr>
        <w:ind w:right="60"/>
        <w:spacing w:after="0" w:line="253" w:lineRule="auto"/>
        <w:rPr>
          <w:sz w:val="20"/>
          <w:szCs w:val="20"/>
          <w:color w:val="auto"/>
        </w:rPr>
      </w:pPr>
      <w:r>
        <w:rPr>
          <w:rFonts w:ascii="Arial" w:cs="Arial" w:eastAsia="Arial" w:hAnsi="Arial"/>
          <w:sz w:val="18"/>
          <w:szCs w:val="18"/>
          <w:color w:val="auto"/>
        </w:rPr>
        <w:t>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not to exceed 5.2 million patacas (approximately US$0.7 million).</w:t>
      </w:r>
    </w:p>
    <w:p>
      <w:pPr>
        <w:spacing w:after="0" w:line="14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consession.</w:t>
      </w:r>
    </w:p>
    <w:p>
      <w:pPr>
        <w:spacing w:after="0" w:line="140" w:lineRule="exact"/>
        <w:rPr>
          <w:sz w:val="20"/>
          <w:szCs w:val="20"/>
          <w:color w:val="auto"/>
        </w:rPr>
      </w:pPr>
    </w:p>
    <w:p>
      <w:pPr>
        <w:ind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we have a total of approximately 16,500 employees (including approximately 7,000 in Macau).</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employees at Wynn Las Vegas. In May 2007, the dealers at Wynn Las Vegas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elected the Transportation Workers Union to represent them. We are currently negotiating a contract. Certain other unions may seek to organize the workers at Wynn Las Vegas. Unionization, pressure to unionize or other forms of collective bargaining could increase our labor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Resorts has filed applications with the U.S. Patent and Trademark Office (“PTO”), to register a variety of the WYNN-related trademarks and service marks in connection with a variety of goods and services. These marks include “WYNN RESORTS”, “WYNN DESIGN AND DEVELOPMENT”, “WYNN LAS VEGAS”, “ENCORE”, “WYNN MACAU”, and “WYNN DIAMOND”. Some of the applications are based upon ongoing use and others are based upon a bona fide intent to use the marks in the future.</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Wynn Resorts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LAS VEGAS”, “ENCORE” and “WYNN DIAMOND”. Some of the applications are based upon ongoing use and others are based upon a bona fide intent to use the marks in the future.</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recognize that its intellectual property assets, especially the logo version of “WYNN”, are among its most valuable assets. As a result, and in connection with expansion of our resorts and gaming activities outside the United States, we have undertaken a program to register its trademarks and other intellectual property rights in all relevant jurisdictions, some of which may pose a risk of unauthorized use or counterfeiting. We have retained counsel and will take all steps necessary to not only acquire but protect its intellectual property rights against such unauthorized use throughout the world.</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granted us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5" w:lineRule="exact"/>
        <w:rPr>
          <w:sz w:val="20"/>
          <w:szCs w:val="20"/>
          <w:color w:val="auto"/>
        </w:rPr>
      </w:pPr>
    </w:p>
    <w:p>
      <w:pPr>
        <w:ind w:left="780" w:right="4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the Wynn Diamond Suites on time and within budget;</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 and Wynn Diamond Suites with cash flow generated at Wynn Macau;</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 and travel-related visa restrictions);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are highly leveraged and future cash flow may not be sufficient for us to meet our obligations, and we might have difficulty obtaining more financing.</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As of December 31, 2007, we had total outstanding debt of approximately $3.5 billion. In addition our Wynn Las Vegas credit agreement permits us to incur additional indebtedness in connection with potential expansion plans under certain circumstances in the future and both the Wynn Macau credit facilities and the Wynn Resorts term loan permit us to incur additional indebtedness if certain conditions are met. Our substantial indebtedness could have important consequences. For example:</w:t>
      </w:r>
    </w:p>
    <w:p>
      <w:pPr>
        <w:spacing w:after="0" w:line="32" w:lineRule="exact"/>
        <w:rPr>
          <w:sz w:val="20"/>
          <w:szCs w:val="20"/>
          <w:color w:val="auto"/>
        </w:rPr>
      </w:pPr>
    </w:p>
    <w:p>
      <w:pPr>
        <w:ind w:left="780" w:right="120" w:hanging="326"/>
        <w:spacing w:after="0" w:line="357"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260" w:hanging="455"/>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9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construction costs of Encore, which will reduce the available cash flow to fund working capital, other capital expenditures and other general corporate purposes;</w:t>
      </w:r>
    </w:p>
    <w:p>
      <w:pPr>
        <w:spacing w:after="0" w:line="59"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dependent on certain amounts of cash flow from Wynn Macau to service the indebtedness associated with the Wynn Resorts term loan and Wynn Macau’s indebtedness, which reduces the available cash flow to fund working capital, other capital expenditures and other general corporate purposes at Wynn Macau;</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construction costs of Encore and Wynn Diamond Suites,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w:t>
      </w:r>
    </w:p>
    <w:p>
      <w:pPr>
        <w:spacing w:after="0" w:line="5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impact the repayment of our secured debt.</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in certain circumstances we will be permitted to incur additional indebtedness, including secured senior and subordinated indebtedness. If we incur additional indebtedness, the risks described above will be exacerbated.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Wynn Macau were to cease to produce cash flow sufficient to service its indebtedness or otherwise become unable to make certain payments or dividends to us which we in turn use to service the Wynn Resorts term loan indebtedness, our ability to service the indebtedness of one or both of Wynn Macau or Wynn Resorts would be negatively impacted.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subsidiaries’ indebtedness is secured by a substantial portion of their assets.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applicable laws, including gaming laws, and certain agreed upon exceptions, our subsidiaries’ debt is secured by liens on substantially all of the assets of our subsidiaries. In the event of a default by any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downturn in general economic conditions may adversely affect our results of operations.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customers spending less at our properties, which would adversely affect our revenues.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i w:val="1"/>
          <w:iCs w:val="1"/>
          <w:color w:val="auto"/>
        </w:rPr>
        <w:t>We are entirely dependent on two properties for all of our cash flow, which subjects us to greater risks than a gaming company with more operating properties.</w:t>
      </w:r>
    </w:p>
    <w:p>
      <w:pPr>
        <w:spacing w:after="0" w:line="12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are entirely dependent upon Wynn Las Vegas and Wynn Macau for all of our cash flow. As a result, we are subject to a greater degree of risk than a gaming company with more operating properties. The risks to which we have a greater degree of exposure include the following:</w:t>
      </w:r>
    </w:p>
    <w:p>
      <w:pPr>
        <w:spacing w:after="0" w:line="4"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or Wynn Macau;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outbreak of an infectious disease such as the avian flu.</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Competition for Wynn Las Vegas. </w:t>
      </w:r>
      <w:r>
        <w:rPr>
          <w:rFonts w:ascii="Arial" w:cs="Arial" w:eastAsia="Arial" w:hAnsi="Arial"/>
          <w:sz w:val="16"/>
          <w:szCs w:val="16"/>
          <w:color w:val="auto"/>
        </w:rPr>
        <w:t>The casino/hotel industry is highly competitive and additional developments are currently underway. Resorts located on</w:t>
      </w:r>
      <w:r>
        <w:rPr>
          <w:rFonts w:ascii="Arial" w:cs="Arial" w:eastAsia="Arial" w:hAnsi="Arial"/>
          <w:sz w:val="16"/>
          <w:szCs w:val="16"/>
          <w:i w:val="1"/>
          <w:iCs w:val="1"/>
          <w:color w:val="auto"/>
        </w:rPr>
        <w:t xml:space="preserve"> </w:t>
      </w:r>
      <w:r>
        <w:rPr>
          <w:rFonts w:ascii="Arial" w:cs="Arial" w:eastAsia="Arial" w:hAnsi="Arial"/>
          <w:sz w:val="16"/>
          <w:szCs w:val="16"/>
          <w:color w:val="auto"/>
        </w:rPr>
        <w:t>or near the Las Vegas Strip compete with other Las Vegas Strip hotels and with other hotel casinos in Las Vegas on the basis of overall atmosphere, range of amenities, level of service, price, location, entertainment, theme and size, among other factors.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New Jersey, riverboat gaming facilities in other states, casino facilities on Native American lands and elsewhere in the world, state lotteries, and other forms of gaming. The proliferation of gaming activities in other areas could significantly harm our business as well.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Wynn Las Vegas.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Competition for Wynn Macau. </w:t>
      </w:r>
      <w:r>
        <w:rPr>
          <w:rFonts w:ascii="Arial" w:cs="Arial" w:eastAsia="Arial" w:hAnsi="Arial"/>
          <w:sz w:val="18"/>
          <w:szCs w:val="18"/>
          <w:color w:val="auto"/>
        </w:rPr>
        <w:t>Currently, there are 29 operating casinos in Macau. In addition, there are several large casino resorts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development.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SJM, controlled by Stanley Ho, who through another entity controlled the monopoly concession to conduct gaming operations in Macau for more than</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40 years, is one of the concessionaires and operates 19 of the 29 casinos that are currently operating in Macau. Las Vegas Sands Corp. opened the Sands Macao in May 2004 and the Venetian Macao Resort Hotel in August 2007. Venetian Macao is an all-suites hotel, casino and convention center complex, with a Venetian-style theme similar to that of their Las Vegas property. MGM MIRAGE, in partnership with Pansy Ho, opened the MGM Grand Macau, a resort on the Macau peninsula adjacent to Wynn Macau in December 2007. Also, a joint venture consisting of Melco, a Hong Kong stock exchange-listed company, and PBL, opened the Crown Macau in May 2007 and is constructing a large resort in Cotai, called City of Dreams which is anticipated to open in 2009.</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casino concession agreement permits the government to grant additional concessions for the operation of casinos after April 1, 2009. If the government of Macau awards additional concessions or permits additional sub-concessionaires, Wynn Macau will face increased competition from casino operators in Macau. Wynn Macau also faces competition from casinos located in other areas of Asia, such as Genting Highlands Resort, a major gaming and resort destination located outside of Kuala Lumpur, Malaysia, and casinos in the Philippines. Two large-scale casinos that are being developed currently in Singapore will add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Japan, or other Asian countries are successful, Wynn Macau will face additional regional competition.</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 revenue at Wynn Las Vegas and at Wynn Macau is attributable to the play of a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Wynn Las Vegas. </w:t>
      </w:r>
      <w:r>
        <w:rPr>
          <w:rFonts w:ascii="Arial" w:cs="Arial" w:eastAsia="Arial" w:hAnsi="Arial"/>
          <w:sz w:val="18"/>
          <w:szCs w:val="18"/>
          <w:color w:val="auto"/>
        </w:rPr>
        <w:t>While gaming debts evidenced by a credit instrument, including what is commonly referred to as a “marker,” and judgments on gaming</w:t>
      </w:r>
      <w:r>
        <w:rPr>
          <w:rFonts w:ascii="Arial" w:cs="Arial" w:eastAsia="Arial" w:hAnsi="Arial"/>
          <w:sz w:val="18"/>
          <w:szCs w:val="18"/>
          <w:i w:val="1"/>
          <w:iCs w:val="1"/>
          <w:color w:val="auto"/>
        </w:rPr>
        <w:t xml:space="preserve"> </w:t>
      </w:r>
      <w:r>
        <w:rPr>
          <w:rFonts w:ascii="Arial" w:cs="Arial" w:eastAsia="Arial" w:hAnsi="Arial"/>
          <w:sz w:val="18"/>
          <w:szCs w:val="18"/>
          <w:color w:val="auto"/>
        </w:rPr>
        <w:t>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Wynn Macau. </w:t>
      </w:r>
      <w:r>
        <w:rPr>
          <w:rFonts w:ascii="Arial" w:cs="Arial" w:eastAsia="Arial" w:hAnsi="Arial"/>
          <w:sz w:val="18"/>
          <w:szCs w:val="18"/>
          <w:color w:val="auto"/>
        </w:rPr>
        <w:t>Although the law in Macau was changed to permit casino operators to extend credit to gaming customers, Wynn Macau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expect that Wynn Macau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gaming bad debt. As a result, if we extend credit to our customers in Macau and are unable to collect on the related receivables from them, we would have to pay taxes on our winnings from these customers even though we were unable to collect on the related receivables from them. If the laws are not changed, our business in Macau may not be able to realize the full benefits of extending credit to our customers. Although there are proposals to revise the gaming tax regulations in Macau, there can be no assurance that the regulations will be changed.</w:t>
      </w:r>
    </w:p>
    <w:p>
      <w:pPr>
        <w:spacing w:after="0" w:line="197"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operations of Wynn Las Vegas and Wynn Macau are contingent upon our obtaining and maintaining all regulatory licenses,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and are subject to ongoing regulation to maintain its operation. We opened Wynn Macau on September 6, 2006, and are subject to ongoing regulation to maintain its operation.</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Wynn Las Vegas. </w:t>
      </w:r>
      <w:r>
        <w:rPr>
          <w:rFonts w:ascii="Arial" w:cs="Arial" w:eastAsia="Arial" w:hAnsi="Arial"/>
          <w:sz w:val="18"/>
          <w:szCs w:val="18"/>
          <w:color w:val="auto"/>
        </w:rPr>
        <w:t>The Nevada Gaming Commission may, in its discretion, require the holder of any securities we issue to file applications, be investigated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be found suitable to own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Wynn Macau. </w:t>
      </w:r>
      <w:r>
        <w:rPr>
          <w:rFonts w:ascii="Arial" w:cs="Arial" w:eastAsia="Arial" w:hAnsi="Arial"/>
          <w:sz w:val="16"/>
          <w:szCs w:val="16"/>
          <w:color w:val="auto"/>
        </w:rPr>
        <w:t>Wynn Macau’s operations are subject to unique risks, including risks related to Macau’s developing regulatory framework. Wynn Macau</w:t>
      </w:r>
      <w:r>
        <w:rPr>
          <w:rFonts w:ascii="Arial" w:cs="Arial" w:eastAsia="Arial" w:hAnsi="Arial"/>
          <w:sz w:val="16"/>
          <w:szCs w:val="16"/>
          <w:i w:val="1"/>
          <w:iCs w:val="1"/>
          <w:color w:val="auto"/>
        </w:rPr>
        <w:t xml:space="preserve"> </w:t>
      </w:r>
      <w:r>
        <w:rPr>
          <w:rFonts w:ascii="Arial" w:cs="Arial" w:eastAsia="Arial" w:hAnsi="Arial"/>
          <w:sz w:val="16"/>
          <w:szCs w:val="16"/>
          <w:color w:val="auto"/>
        </w:rPr>
        <w:t>may need to develop operating procedures which are different from those used in United States casinos. Failure to adapt to the regulatory and gaming environment in Macau could result in the revocation of Wynn Macau, S.A.’s concession or otherwise negatively affect its operations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Macau. Moreover, we would be subject to the risk that Macau’s gaming regulatory framework will not develop in a way that would permit us as a United States gaming operator, to conduct operations in Macau in a manner consistent with the way in which we intend, or the Nevada gaming authorities require us, to conduct our operations in the United States.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Terrorism and the uncertainty of military conflicts, as well as other factors affecting discretionary consumer spending, may harm our operating results.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strength and profitability of our business depends on consumer demand for hotel casino resorts in general and for the type of luxury amenities Wynn Las Vegas and Wynn Macau offer.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45" w:lineRule="exact"/>
        <w:rPr>
          <w:sz w:val="20"/>
          <w:szCs w:val="20"/>
          <w:color w:val="auto"/>
        </w:rPr>
      </w:pPr>
    </w:p>
    <w:p>
      <w:pPr>
        <w:jc w:val="both"/>
        <w:ind w:right="34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insurance coverage may not be adequate to cover all possible losses that we could suffer, and our insurance costs may increase.</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and Wynn Macau for up to $800 million at each location for losses that could result from these acts. However, these types of acts could expose us to losses that exceed our coverage and could have a significant negative impact on our operations.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 we currently have or otherwise be able to maintain adequate insurance protection.</w:t>
      </w:r>
    </w:p>
    <w:p>
      <w:pPr>
        <w:spacing w:after="0" w:line="19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If a third party successfully challenges our ownership of, or right to use, the Wynn-related service marks, our business or results of operations could be harmed.</w:t>
      </w:r>
    </w:p>
    <w:p>
      <w:pPr>
        <w:spacing w:after="0" w:line="5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have filed applications with the PTO, to register a variety of WYNN-related trademarks and service marks in connection with a variety of goods and services. These marks include “WYNN RESORTS”, “WYNN DESIGN AND DEVELOPMENT”, “WYNN LAS VEGAS” , “ENCORE”, “WYNN MACAU”, and “WYNN DIAMOND.” Some of the applications are based upon ongoing use and others are based upon a bona fide intent to use the marks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DIAMOND,” “ENCORE,” and “WYNN LAS VEGAS.” Some of the applications are based upon ongoing use and others are based upon a bona fide intent to use the marks in the future.</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recognizes that its intellectual property assets, especially the logo version of “Wynn”, are among its most valuable assets. As a result, and in connection with expansion of our resorts and gaming activities outside the United States, we have undertaken a program to register its trademarks and other intellectual property rights in all relevant jurisdictions, some of which may pose a risk of unauthorized use or counterfeiting. We have retained counsel and will take all steps necessary to not only acquire but protect its intellectual property rights against such unauthorized use throughout the world.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loss of Stephen A. Wynn could significantly harm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we extended the term of Mr. Wynn’s employment agreement until October 2017.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its credit facilities and Wynn Macau, S.A.’s credit facilities.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two largest stockholders are able to exert significant control over our operations and future direction.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Mr. Wynn and Aruze USA, Inc. each own approximately 21% of our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2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our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in November 2006 this agreement was amended to require the written consent of both Mr. Wynn and Aruze USA, Inc. prior to either party selling any shares of Wynn Resorts that it owns.</w:t>
      </w:r>
    </w:p>
    <w:p>
      <w:pPr>
        <w:spacing w:after="0" w:line="225"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i w:val="1"/>
          <w:iCs w:val="1"/>
          <w:color w:val="auto"/>
        </w:rPr>
        <w:t>Simultaneous construction of Encore and of Wynn Diamond Suites may stretch management time and resources and may impact Wynn Las Vegas and Wynn Macau.</w:t>
      </w:r>
    </w:p>
    <w:p>
      <w:pPr>
        <w:spacing w:after="0" w:line="5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Both the development and construction for Encore and Wynn Diamond Suites continue. Since there is some overlap of the development and construction of these projects, members of our senior management are simultaneously involved in planning and developing both of these projects which may divert management resources from the construction and/or opening of either project. Management’s inability to devote sufficient time and attention to any one project may delay the construction or opening of either or both of the projects. Any delay caused by such circumstances could have a negative effect on our business and operations.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addition, although we intend to construct Encore with minimal impact on Wynn Las Vegas, and Wynn Diamond Suites with minimal impact on Wynn Macau, we cannot assure you that the construction will not disrupt the operations of Wynn Las Vegas or Wynn Macau or that it will be implemented as planned. Therefore, the construction of Encore and Wynn Diamond may adversely impact the business, operations and revenues of Wynn Las Vegas and Wynn Macau.</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Wynn Macau</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 number of new casino resort developments underway or planned for the near future will require us to compete for limited labor resources in Macau.</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recruited a substantial number of new employees for the opening of Wynn Macau and must be able retain them in order to have a successful operation. Wynn Macau competes with the large number of new casino resort developments currently underway in Macau and expected in the near future for the limited qualified employees. We will have to seek employees from other countries to adequately staff Wynn Macau. We cannot be certain that we will be able to recruit and retain a sufficient number of qualified employees for our Wynn Macau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Wynn Diamond Suites are estimates only, and actual development costs may be higher than expected.</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expect the total development costs of Wynn Diamond Suites to be approximately $600 million. While we believe that the overall budget for the development costs of Wynn Diamond Suites is reasonable, these development costs are estimates and the actual development costs may be higher than expected. Although we have certain owners’ contingencies set aside to cover cost overruns, these contingencies may not be sufficient to cover the full amount of such overruns. If these contingencies are not sufficient to cover these costs, we may not have the funds required to pay the excess costs.</w:t>
      </w:r>
    </w:p>
    <w:p>
      <w:pPr>
        <w:spacing w:after="0" w:line="194"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i w:val="1"/>
          <w:iCs w:val="1"/>
          <w:color w:val="auto"/>
        </w:rPr>
        <w:t>Not all of the construction costs of Wynn Macau are covered by a guaranteed maximum price construction contract, and we will be responsible for any cost overruns of these excluded items.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a guaranteed maximum price construction contract for the design and construction of Wynn Diamond Suites with Leighton Contractors (Asia) Limited, China State Construction Engineering (Hong Kong) Limited and China Construction Engineering (Macau) Company Limited, acting together as general contractor (“Leighton/China State”). The contract covers approximately $347.8 million of the budgeted $600 million design and construction costs. We are responsible for cost overruns with respect to any budgeted components that are not part of the amended guaranteed maximum price contract.</w:t>
      </w:r>
    </w:p>
    <w:p>
      <w:pPr>
        <w:spacing w:after="0" w:line="194"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amended guaranteed maximum price contract.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and subject to the conditions and limitations of the guaranteed maximum price construction contract, Leighton/China State is responsible for all construction costs covered by the construction contract that exceed the approximately $347.8 million guaranteed maximum price contained in the contract. 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 neither is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Wynn Diamond Suites.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may be affected by adverse political and economic conditions.</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success of Wynn Macau will depend on political and economic conditions in Macau.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Macau’s operations are subject to significant political, economic and social risks inherent in doing business in an emerging market. For example, fiscal decline and civil, domestic or international unrest in Macau, China or the surrounding region could significantly harm Wynn Macau’s business, not only by reducing customer demand for casino resorts, but also by increasing the risk of imposition of taxes and exchange controls or other governmental restrictions that might impede its ability to repatriate funds.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Extreme weather conditions may have an adverse impact on Wynn Macau.</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Unfavorable weather conditions could negatively affect the profitability of Wynn Macau by disrupting our ability to timely construct the project and by preventing guests from traveling to Macau.</w:t>
      </w:r>
    </w:p>
    <w:p>
      <w:pPr>
        <w:spacing w:after="0" w:line="221"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i w:val="1"/>
          <w:iCs w:val="1"/>
          <w:color w:val="auto"/>
        </w:rPr>
        <w:t>An outbreak of the avian influenza (“avian flu” or “bird flu”), Severe Acute Respiratory Syndrome (“SARS”) or other contagious disease may have an adverse effect on the economies of certain Asian countries and may adversely affect our results of operations.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2004, large parts of Asia experienced unprecedented outbreaks of avian flu. In particular, Guangdong Province, PRC, which is located across the Zhuhai Bridge from Macau, has confirmed several cases of avian flu. Currently, no fully effective avian flu vaccines have been developed and there can be no assurance that an effective vaccine can be discovered in time to protect against a potential avian flu pandemic. In the first half of 2003, certain countries in Asia experienced an outbreak of SARS, a highly contagious form of atypical pneumonia, which seriously interrupted economic activities and caused the demand for goods to plummet in the affected regions. There can be no assurance that an outbreak of avian flu, SARS or other contagious disease or the measures taken by the governments of affected countries against such potential outbreaks, will not seriously interrupt our gaming operations or visitation to Macau, which may have a material adverse effect on our results of operations. The perception that an outbreak of avian flu, SARS or other contagious disease may occur again may also have an adverse effect on the economic conditions of countries in Asia.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investment in Macau may be subject to potential taxation.</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investment in Macau is owned through a number of wholly owned and partially owned domestic and 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exchange controls and currency export restrictions could negatively impact Wynn Macau.</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Any violation of the Foreign Corrupt Practices Act could have a negative impact on Wynn Macau.</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w:t>
      </w:r>
    </w:p>
    <w:p>
      <w:pPr>
        <w:spacing w:after="0" w:line="14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The Macau government can terminate our concession under certain circumstances without compensation to us, which would have a material adverse effect on our operations and financial condition.</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9"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the gaming operations of Wynn Macau will be transferred to the government without compensation. The loss of our concession would prohibit us from conducting gaming operations in Macau, which could have a material adverse effect on our operations and financial condition.</w:t>
      </w:r>
    </w:p>
    <w:p>
      <w:pPr>
        <w:spacing w:after="0" w:line="194"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i w:val="1"/>
          <w:iCs w:val="1"/>
          <w:color w:val="auto"/>
        </w:rPr>
        <w:t>We will stop generating any revenues from our Macau gaming operations if we cannot secure an extension of our concession in 2022 or if the Macau government exercises its redemption right in 2017.</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concession agreement expires in June 2022. Unless our concession is extended, on that date, all of our casino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or indemnity. The amount of such compensation or indemnity will be determined based on the amount of revenue generated during the tax year prior to the redemption.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8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The Macau government has the ability to grant additional rights to conduct gaming in the future, which could have a material adverse effect on our financial condition, results of operations and cash flows.</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hold a concession under one of only three gaming concessions and three sub-concessions authorized by the Macau government to operate casinos in Macau, and the Macau government is precluded from granting any additional gaming concessions until 2009. However, we cannot assure you that the laws will not be changed to permit the Macau government to grant additional gaming concessions before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Nevada gaming laws apply to Wynn Macau’s gaming activities and associations.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we develop Wynn Macau,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62"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Construction and Development of Encore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Encore are estimates only, and actual development costs may be higher than expected.</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While we believe that the estimated development and construction costs for Encore are reasonable, these development and construction costs are estimates and the actual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9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We intend to fund a substantial portion of the development costs of Encore and our substantial debt service and other obligations with cash flows generated at Wynn Las Vegas, which may not be sufficient to fund such development costs and debt service obligations.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fund a substantial portion of the development costs of Encore, and to make interest payments under the credit facilities, the first mortgage notes and any other indebtedness, is dependent on our ability to generate sufficient cash flow from our operations at Wynn Las Vegas. We cannot assure you that Wynn Las Vegas will continue to be able to generate sufficient cash flow to fund such development costs and make the interest payments under the credit facilities, the first mortgage notes and any other indebtedness. Our ability to generate cash flow depends on many factors, including:</w:t>
      </w:r>
    </w:p>
    <w:p>
      <w:pPr>
        <w:spacing w:after="0" w:line="3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our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There are significant risks associated with major construction projects that may prevent completion of Encore on schedule and within budget.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9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a subcontractor’s work and payment for all of that subcontractor’s labor and materials. These bonds may not be adequate to ensure completion of the work.</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Encore may not commence operations on schedule or construction costs for this project may exceed budgeted amounts. Failure to complete this project on schedule or within budget may have a significant negative effect on us and on our ability to make payments on our debt.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conditions precedent to the funding of the remaining components of the financing for Encore.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2007, we had approximately $883.3 million available under our credit facilities, which we intend to use to fund construction of Encore. We expect to use the availability under our credit facilities, the proceeds from a debt issuance in November 2007, and cash flow from operations to fund the remaining construction and development costs of Encore.</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entered into an amended and restated disbursement agreement with the agent under our credit facilities which establishes conditions for the disbursement of funds for Encore.</w:t>
      </w:r>
    </w:p>
    <w:p>
      <w:pPr>
        <w:spacing w:after="0" w:line="13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develop and construct Encore. We may not have access to alternative sources of funds necessary to develop and construct Encore on satisfactory terms or at all.</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own approximately 240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government of Macau owns most of the land in Macau and,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The term of the land concession contract is 25 years, and it may be renewed with government approval for successive periods. Wynn Macau, S.A. is obligated to pay, in 10 semi-annual installments, a total land concession premium of approximately 319.4 million patacas (approximately US $40 million) plus interest at 5%. Annual rents of approximately 2.2 million patacas (approximately US $275,000) for the first two years and 3.2 million patacas (approximately US $398,000) thereafter will also be paid in accordance with the land concession contract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we have submitted an application to the Macau government for a concession of land in Cotai for future development. We recently reconfigured our site plan for 52 acres and are awaiting final approval. We are actively engaged in the design of our Cotai project.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common stock trades on the NASDAQ exchange under the symbol “WYNN.” The following table sets forth the high and low sale prices for the indicated periods, as reported by the NASDAQ National Market Securities.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Low</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114.60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89.06</w:t>
            </w: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107.98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168.80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88.41</w:t>
            </w: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110.50</w:t>
            </w:r>
          </w:p>
        </w:tc>
      </w:tr>
      <w:tr>
        <w:trPr>
          <w:trHeight w:val="322"/>
        </w:trPr>
        <w:tc>
          <w:tcPr>
            <w:tcW w:w="5580" w:type="dxa"/>
            <w:vAlign w:val="bottom"/>
          </w:tcPr>
          <w:p>
            <w:pPr>
              <w:spacing w:after="0"/>
              <w:rPr>
                <w:sz w:val="20"/>
                <w:szCs w:val="20"/>
                <w:color w:val="auto"/>
              </w:rPr>
            </w:pPr>
            <w:r>
              <w:rPr>
                <w:rFonts w:ascii="Arial" w:cs="Arial" w:eastAsia="Arial" w:hAnsi="Arial"/>
                <w:sz w:val="18"/>
                <w:szCs w:val="18"/>
                <w:b w:val="1"/>
                <w:bCs w:val="1"/>
                <w:color w:val="auto"/>
              </w:rPr>
              <w:t>Year Ended December 31, 2006</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8"/>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80.19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64.87</w:t>
            </w: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98.45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66.52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205 record holders of our common stock as of February 15,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and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Further, proceeds received by Wynn Resorts as the result of certain dispositions and funds drawn from the Wynn Resorts term loan are not permitted to be paid as a dividend by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20, 2007 our Board of Directors declared a cash distribution of $6.00 per common share which was paid on December 10, 2007.</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13, 2006, our Board of Directors declared a cash distribution of $6.00 per common share which was paid on December 4, 2006.</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PERFORMANCE GRAPH</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graph below compares the cumulative total return on our common stock to the cumulative total return of the Standard &amp; Poor’s 500 Stock Index (“S&amp;P 500”) and the Dow Jones US Casino Index. The performance graph assumes that $100 was invested on December 31, 2002 in each of the Company’s common stock, the S&amp;P 500 and the Dow Jones US Casino Index, and that all dividends were reinvested. The stock price performance shown in this graph is neither necessarily indicative of, nor intended to suggest, future stock price performance.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Comparison of Cumulative Total Return (*) Among Wynn Resorts, Limited, The S&amp;P 500 And The Dow Jones US Casino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737225" cy="295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3722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2"/>
        <w:spacing w:after="0" w:line="268"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invested on December 31, 2002 in stock or index, including reinvestment of $6.00 per share cash distribution on December 4, 2006 and $6.00 per share cash distribution on December 10, 2007.</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performance graph should not be deemed filed or incorporated by reference into any of our filings under the Securities Act of 1933 or the Exchange Act of 1934, unless we specifically incorporate the performance graph by reference therein.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tables reflect the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62"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11, 2006 we completed the sale of our Macau sub-concession right and recognized a pre-tax gain of $899.4 million.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28, 2006, we commenced construction of Encore.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98"/>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60" w:type="dxa"/>
            <w:vAlign w:val="bottom"/>
            <w:gridSpan w:val="14"/>
          </w:tcPr>
          <w:p>
            <w:pPr>
              <w:jc w:val="right"/>
              <w:ind w:right="78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Revenues</w:t>
            </w: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$2,687,519</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$1,432,257</w:t>
            </w:r>
          </w:p>
        </w:tc>
        <w:tc>
          <w:tcPr>
            <w:tcW w:w="1420" w:type="dxa"/>
            <w:vAlign w:val="bottom"/>
            <w:gridSpan w:val="6"/>
          </w:tcPr>
          <w:p>
            <w:pPr>
              <w:jc w:val="right"/>
              <w:ind w:right="300"/>
              <w:spacing w:after="0"/>
              <w:rPr>
                <w:sz w:val="20"/>
                <w:szCs w:val="20"/>
                <w:color w:val="auto"/>
              </w:rPr>
            </w:pPr>
            <w:r>
              <w:rPr>
                <w:rFonts w:ascii="Arial" w:cs="Arial" w:eastAsia="Arial" w:hAnsi="Arial"/>
                <w:sz w:val="18"/>
                <w:szCs w:val="18"/>
                <w:color w:val="auto"/>
              </w:rPr>
              <w:t>$721,981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7,063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96,940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46,744</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income/(loss)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429,403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70,899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(24,556)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(89,798)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(53,335)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258,148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628,728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(90,836)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(204,171)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(40,099)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 income/(loss) per share</w:t>
            </w:r>
          </w:p>
        </w:tc>
        <w:tc>
          <w:tcPr>
            <w:tcW w:w="50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2.43</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income/(loss) per share</w:t>
            </w:r>
          </w:p>
        </w:tc>
        <w:tc>
          <w:tcPr>
            <w:tcW w:w="50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351"/>
        </w:trPr>
        <w:tc>
          <w:tcPr>
            <w:tcW w:w="5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42"/>
        </w:trPr>
        <w:tc>
          <w:tcPr>
            <w:tcW w:w="5460" w:type="dxa"/>
            <w:vAlign w:val="bottom"/>
          </w:tcPr>
          <w:p>
            <w:pPr>
              <w:spacing w:after="0"/>
              <w:rPr>
                <w:sz w:val="12"/>
                <w:szCs w:val="12"/>
                <w:color w:val="auto"/>
              </w:rPr>
            </w:pPr>
          </w:p>
        </w:tc>
        <w:tc>
          <w:tcPr>
            <w:tcW w:w="8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2003</w:t>
            </w:r>
          </w:p>
        </w:tc>
        <w:tc>
          <w:tcPr>
            <w:tcW w:w="6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71"/>
              </w:rPr>
              <w:t>thousands,</w:t>
            </w:r>
          </w:p>
        </w:tc>
        <w:tc>
          <w:tcPr>
            <w:tcW w:w="2560" w:type="dxa"/>
            <w:vAlign w:val="bottom"/>
            <w:gridSpan w:val="11"/>
          </w:tcPr>
          <w:p>
            <w:pPr>
              <w:jc w:val="right"/>
              <w:ind w:right="940"/>
              <w:spacing w:after="0" w:line="142" w:lineRule="exact"/>
              <w:rPr>
                <w:sz w:val="20"/>
                <w:szCs w:val="20"/>
                <w:color w:val="auto"/>
              </w:rPr>
            </w:pPr>
            <w:r>
              <w:rPr>
                <w:rFonts w:ascii="Arial" w:cs="Arial" w:eastAsia="Arial" w:hAnsi="Arial"/>
                <w:sz w:val="14"/>
                <w:szCs w:val="14"/>
                <w:b w:val="1"/>
                <w:bCs w:val="1"/>
                <w:color w:val="auto"/>
                <w:w w:val="89"/>
              </w:rPr>
              <w:t>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4"/>
          </w:tcPr>
          <w:p>
            <w:pPr>
              <w:jc w:val="right"/>
              <w:ind w:right="360"/>
              <w:spacing w:after="0"/>
              <w:rPr>
                <w:sz w:val="20"/>
                <w:szCs w:val="20"/>
                <w:color w:val="auto"/>
              </w:rPr>
            </w:pPr>
            <w:r>
              <w:rPr>
                <w:rFonts w:ascii="Arial" w:cs="Arial" w:eastAsia="Arial" w:hAnsi="Arial"/>
                <w:sz w:val="18"/>
                <w:szCs w:val="18"/>
                <w:color w:val="auto"/>
                <w:w w:val="84"/>
              </w:rPr>
              <w:t>$ 1,275,120</w:t>
            </w:r>
          </w:p>
        </w:tc>
        <w:tc>
          <w:tcPr>
            <w:tcW w:w="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789,407</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434,289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330,261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341,552</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11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531,120</w:t>
            </w: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237,386</w:t>
            </w: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442,602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942,367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400,432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gridSpan w:val="4"/>
          </w:tcPr>
          <w:p>
            <w:pPr>
              <w:jc w:val="right"/>
              <w:ind w:right="360"/>
              <w:spacing w:after="0"/>
              <w:rPr>
                <w:sz w:val="20"/>
                <w:szCs w:val="20"/>
                <w:color w:val="auto"/>
              </w:rPr>
            </w:pPr>
            <w:r>
              <w:rPr>
                <w:rFonts w:ascii="Arial" w:cs="Arial" w:eastAsia="Arial" w:hAnsi="Arial"/>
                <w:sz w:val="18"/>
                <w:szCs w:val="18"/>
                <w:color w:val="auto"/>
              </w:rPr>
              <w:t>921,747</w:t>
            </w:r>
          </w:p>
        </w:tc>
        <w:tc>
          <w:tcPr>
            <w:tcW w:w="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345,377</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286,570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1,499,284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570,988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9"/>
              </w:rPr>
              <w:t>6,299,282</w:t>
            </w: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4,660,180</w:t>
            </w: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3,945,283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3,464,413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1,733,323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118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3,621,998</w:t>
            </w:r>
          </w:p>
        </w:tc>
        <w:tc>
          <w:tcPr>
            <w:tcW w:w="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2,419,992</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2,137,082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1,660,169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659,319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9"/>
              </w:rPr>
              <w:t>1,948,159</w:t>
            </w: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1,645,585</w:t>
            </w:r>
          </w:p>
        </w:tc>
        <w:tc>
          <w:tcPr>
            <w:tcW w:w="3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1,562,895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1,644,492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1,001,815</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Cash distribution declared per common share</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6.00</w:t>
            </w:r>
          </w:p>
        </w:tc>
        <w:tc>
          <w:tcPr>
            <w:tcW w:w="40" w:type="dxa"/>
            <w:vAlign w:val="bottom"/>
          </w:tcPr>
          <w:p>
            <w:pPr>
              <w:spacing w:after="0"/>
              <w:rPr>
                <w:sz w:val="19"/>
                <w:szCs w:val="19"/>
                <w:color w:val="auto"/>
              </w:rPr>
            </w:pPr>
          </w:p>
        </w:tc>
        <w:tc>
          <w:tcPr>
            <w:tcW w:w="4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for 2006 includes a pre-tax gain on sale of subconcession right of $899.4 million.</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are restricted for the repurchase of our common stock and construction of Encore, and prior to December 31, 2005, for Wynn Las Vegas.</w:t>
      </w:r>
    </w:p>
    <w:p>
      <w:pPr>
        <w:spacing w:after="0" w:line="50"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the current portion of the required contract premium payments under our land concession contract relating to Wynn Macau.</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Suites at Wynn Las Vegas” or “Encore”, a hotel casino resort which, when completed, will be fully integrated with Wynn Las Vegas. We have also commenced construction of “Wynn Diamond Suites” an additional hotel tower for Wynn Macau. Until the opening of Wynn Las Vegas in 2005, we were solely a development stage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Approximate</w:t>
            </w:r>
          </w:p>
        </w:tc>
      </w:tr>
      <w:tr>
        <w:trPr>
          <w:trHeight w:val="149"/>
        </w:trPr>
        <w:tc>
          <w:tcPr>
            <w:tcW w:w="550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Hotel Rooms &amp;</w:t>
            </w: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78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Number of</w:t>
            </w:r>
          </w:p>
        </w:tc>
      </w:tr>
      <w:tr>
        <w:trPr>
          <w:trHeight w:val="161"/>
        </w:trPr>
        <w:tc>
          <w:tcPr>
            <w:tcW w:w="5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Suites</w:t>
            </w:r>
          </w:p>
        </w:tc>
        <w:tc>
          <w:tcPr>
            <w:tcW w:w="7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7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Table Games</w:t>
            </w:r>
          </w:p>
        </w:tc>
        <w:tc>
          <w:tcPr>
            <w:tcW w:w="76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Slots</w:t>
            </w:r>
          </w:p>
        </w:tc>
        <w:tc>
          <w:tcPr>
            <w:tcW w:w="2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2,716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Wynn Macau</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600</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205,000</w:t>
            </w: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utilized for employee parking.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 showrooms, two nightclubs and lounges.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Alex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and one Michelin star was awarded to each of Wing Lei and Daniel Boulud Brasserie. Additionally, Wynn Las Vegas received five red pavilions, the highest honor for Michelin rated accommodations.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the completed Wynn Las Vegas project and the reactions of our guests, we began to make enhancements and refinements to Wynn Las Vegas in the third quarter of 2005 which continued throughout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 plans include a 2,034 all-suite hotel tower fully integrated with Wynn Las Vegas, an approximately 72,000 square foot casino, additional convention and meeting space, as well as restaurants, a nightclub, swimming pools, a spa and salon and retail outlets. Encore is expected to open in December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currently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 approximately 380 table games and approximately 1,270 slot machines;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46,000 square feet of high-end, brand-name retail shopping, including stores and boutiques featuring Bvlgari, Chanel, Dior, Dunhill, Fendi, Ferrari, Giorgio Armani, Hermes, Hugo Boss, Louis Vuitton, Piaget, Prada, Rolex, Tiffany, Van Cleef &amp; Arpels, Versace, Vertu, Zegna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year ended December 31, 2007, we completed an expansion of our Wynn Macau property. This expansion included approximately 75,000 square feet of additional gaming space, additional food and beverage amenities and three new retail stores. Subsequent to December 31, 2007, six additional retail stores opened. In addition to the gaming and retail facilities that opened in the expansion noted above, Wynn Macau opened its rotunda area which features a gold “prosperity tree” in conjunction with a Chinese zodiac-inspired ceiling level show incorporating a descending chandelier.</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commenced construction on a further expansion of Wynn Macau, which was first announced in November 2006. This further expansion will add a fully-integrated resort hotel named “Wynn Diamond Suites,” with approximately 400 luxury suites and six villas, as well as additional VIP gaming areas, food and beverage and retail amenities. We expect Wynn Diamond Suites to open in the first half of 2010.</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response to our evaluation of the completed Wynn Macau and the reactions of our guests, we began to make enhancements and refinements to the property after its opening in 2006 and continued such enhancements during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concession of land in Cotai. We have reconfigured our site plan for 52 acres and are awaiting final approval. We are actively engaged in the design of our Cotai project.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for the periods presented are not comparable for the following reasons:</w:t>
      </w:r>
    </w:p>
    <w:p>
      <w:pPr>
        <w:spacing w:after="0" w:line="90"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September 11, 2006, Wynn Macau completed the sale of a Macau subconcession right and received a cash payment of $900 million;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September 6, 2006, we opened Wynn Macau and began generating operating cash flow;</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28, 2005, we opened Wynn Las Vegas and began generating operating cash flow. Prior to April 28, 2005, we were solely a development stage company.</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Accordingly, our results of operations for the year ended December 31, 2007 include full years of operations for both Wynn Las Vegas and Wynn Macau. In contrast, the year ended December 31, 2006 includes a full year of operations for Wynn Las Vegas and 117 days of operations for Wynn Macau. Wynn Las Vegas operated for 248 days in the year ended December 31, 2005. The table below displays our net revenues for the years ended December 31, 2007, 2006 and 2005 (amounts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For the Years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1,295,381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1,138,549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1,392,138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293,708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880"/>
              <w:spacing w:after="0"/>
              <w:rPr>
                <w:sz w:val="20"/>
                <w:szCs w:val="20"/>
                <w:color w:val="auto"/>
              </w:rPr>
            </w:pPr>
            <w:r>
              <w:rPr>
                <w:rFonts w:ascii="Arial" w:cs="Arial" w:eastAsia="Arial" w:hAnsi="Arial"/>
                <w:sz w:val="18"/>
                <w:szCs w:val="18"/>
                <w:color w:val="auto"/>
              </w:rPr>
              <w:t>Total Net revenues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2,687,519</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1,432,257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reliance on our operating cash flow from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our operational performance for the periods in which a Consolidated Statement of Operations is presented. Casinos generally record table games win as a percentage of either drop or turnover and slot win as a percentage of handle.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2007 compared to financial results for the year ended December 31,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2007 are comprised of $1,949.9 million in casino revenues (72.6% of total net revenues) and $737.6 million of net non-casino revenues (27.4% of total net revenues). Net revenues for the year ended December 31, 2006 were comprised of $800.6 million in casino revenues (55.9% of total net revenues) and $631.7 million of net non-casino revenues (44.1% of total net revenues). The quality of our resorts’ non-casino amenities, combined with providing guests an unparalleled total resort experience, has driven a premium in our properties’ ADR as well as increased the length of casino play.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for the year ended December 31, 2007 of approximately $1,949.9 million represents approximately a $1,149.3 million (or 143.6%) increase from casino revenues of $800.6 million for the year ended December 31, 2006. The year ended December 31, 2007 includes a full year of Wynn Macau’s operations, compared to only 117 days in 2006. At Wynn Las Vegas, we experienced a 14.6% increase in drop for the year ended December 31, 2007 and the average table games win percentage (before discounts) of 25.3% was above the expected range of 21% to 24%. Table games win percentage was 22.1% for the year ended December 31, 2006. Slot handle at Wynn Las Vegas increased less than 1% during the year ended December 31, 2007 as compared to 2006, and the slot win percentage was within the expected range of 4.5% to 5.5%. Wynn Macau’s win percentage for the VIP casino segment of 3.1% for the year ended December 31, 2007, was just above the expected range of 2.7% to 3.0%. The average table games win percentage at the general casino at Wynn Macau of 19% was at the top of the expected range of 17% to 19%. Wynn Macau’s slot win percentage was within the expected range of 4.5% to 5.5%.</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year ended December 31, 2007, room revenues were approximately $339.4 million, which represents a $56.3 million (or 19.9%) increase over the $283.1 million generated in the year ended December 31, 2006. Wynn Macau generated $38.8 million of this increase in room revenue during the year ended December 31, 2007, its first full year of operations. See the table below for key operating measures related to room revenue.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300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251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96.0%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88.8%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288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223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$354 million, retail revenues of approximately $124.4 million, entertainment revenues of approximately $64.5 million, and other revenues from outlets such as the spa and salon, of approximately $56.3 million. Other non-casino revenues for the year ended December 31, 2006 included food and beverage revenues of approximately $309.8 million, retail revenues of approximately $87.7 million, entertainment revenues of approximately $66.3 million, and other revenues from outlets, including the spa and salon, of approximately $51.2 million. The full year of operations at Wynn Macau during 2007 compared to only 117 days in 2006 was the primary contributor to the increase in the food and beverage, retail and other revenues. Entertainment revenues decreased slightly due to the closure of the Le Réve theater during March 2007 for renovations.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year ended December 31, 2007, departmental expenses included casino expenses of $1,168.1 million, rooms expenses of $83.2 million, food and beverage expenses of $212.6 million, and entertainment, retail and other expenses of $161.1 million. Also included are general and administrative expenses of approximately $310.8 million and approximately $36.1 million charged as a provision for doubtful accounts receivable. During the year ended December 31, 2006, departmental expenses included casino expenses of $439.9 million, room expenses of $73.9 million, food and beverage expenses of $194.4 million, and entertainment, retail and other expenses of $134.5 million. Also included are general and administrative expenses of approximately $231.5 million and approximately $21.2 million charged as a provision for doubtful accounts receivable. The increase in expenses is due primarily to the inclusion of a full year of operations of Wynn Macau, including the 39 percent gross win tax on casino revenue, and increases in Wynn Las Vegas expenses commensurate with the increase in revenues.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Pre-opening costs for the year ended December 31, 2007 of $7.1 million decreased by $55.7 million when compared to the year ended December 31, 2006, primarily due to the opening of Wynn Macau in 2006. Pre-opening costs incurred during the year ended December 31, 2007 related to advertising costs associated with the opening of “Monty Python’s Spamalot” at Wynn Las Vegas as well as costs related to Encore and the expansion of Wynn Macau. We expect that pre-opening costs will continue to be incurred in the months before opening as construction and development of Encore and the Wynn Diamond Suites progress.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2007 of $219.9 million increased by $44.5 million when compared to the year ended December 31, 2006, primarily due to a full year of depreciation expense associated with Wynn Macau as well as the placement into service of Wynn Macau’s expansion.</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Theater at the end of May 2006. To terminate the contract, we paid a termination fee of $5 million. This fee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response to our evaluation of the completed Wynn Las Vegas and Wynn Macau properties and the reactions of our guests, we have made and continue to make enhancements and refinements to our properties. Costs relating to assets retired or abandoned as a result of these enhancements and remodel efforts for the year ended December 31, 2007 of $70.2 million have been expensed as property charges. Property charges and other for the year ended December 31, 2007 include the following abandonment charges taken at Wynn Macau: (a)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$10.2 million charge for the abandonment of costs related to portions of the main kitchen, warehouse, and restaurants to enable the main casino to be connected with the expansion; (b) a $10 million charge related to the abandonment of a parking garage to make way for Wynn Diamond Suites; (c) a $22.1 million charge related to significant casino and retail reconfigurations in the expansion;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is a gain of $9.4 million on the sale of a company aircraft.</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2006, we remodeled the six North Fairway Villas, several areas of the retail promenade, a portion of the baccarat area to feature a casino bar, improved public baccarat space and private baccarat salons and converted the Keno lounge to a retail outlet for womens’ accessories at Wynn Las Vegas. In December 2006, Wynn Macau donated an early Ming dynasty vase to the Macau Museum. We purchased the vase in May 2006 for approximately $10.1 million. The vase had been on public display at Wynn Macau prior to its donation to the museum. The $10.1 million expense for the donation of the Ming Vase is included in Property charges and other for the year ended December 31, 2006.</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continue to make enhancements to both Wynn Las Vegas and Wynn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 and other income increased by $1 million to $47.8 million for the year ended December 31, 2007 compared to the year ended December 31, 2006.</w:t>
      </w:r>
    </w:p>
    <w:p>
      <w:pPr>
        <w:spacing w:after="0" w:line="20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Interest expense was $143.8 million, net of capitalized interest of $44.6 million, for the year ended December 31, 2007 compared to $148 million, net of capitalized interest of $29.5 million, for the year ended December 31, 2006. Total interest cost increased approximately $10.7 million due to our new $1 billion Term Loan, approximately $4.4 million related to the additional $400 million first mortgage notes issued in November 2007 and approximately $2.0 million related to borrowings under our existing credit facilities and other debt. These increases were offset by approximately $6.2 million less interest due to the conversion of the Debentures in July 2007, as well as an increase of $15.1 million in capitalized interest related to our construction activities.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$6 million for the year ended December 31, 2007 resulting from the decrease in the fair value of our interest rate swaps from December 31, 2006 to December 31, 2007. During the year ended December 31, 2006 we recorded a gain of $1.2 million resulting from the increase in the fair value of interest rate swaps between December 31, 2005 and December 31, 2006. For further information on our interest rate swaps, see Item 3—“Quantitative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Our effective tax rate of 21.1% is lower than the U.S. Federal rate of 35% primarily due to the portion of Macau earnings that we consider permanently invested abroad, the lower tax rates applicable to our foreign income, and the tax holiday applicable to the earnings of Wynn Macau S.A. as described below.</w:t>
      </w:r>
    </w:p>
    <w:p>
      <w:pPr>
        <w:spacing w:after="0" w:line="62"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Effective December 31, 2006, Wynn Macau, S.A. received a 5-year exemption from Macau’s 12% Complementary Tax on casino gaming profits. Accordingly, for the years ended December 31, 2007 and 2006, we were exempted from the payment of approximately $26.4 million and $4.7 million, respectively, in such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taxes. Our non-gaming profits remain subject to the Macau Complementary Tax and our casino winnings remain subject to the Macau Special Gaming tax and other levies in accordance with its concession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2006 compared to financial results for the year ended December 31, 2005.</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revenues for the year ended December 31, 2006 were comprised of $800.6 million in casino revenues (55.9% of total net revenues) and $631.7 million of net non-casino revenues (44.1% of total net revenues). Net revenues for the 248 days of operations for the year ended December 31, 2005 were comprised of $353.7 million in net casino revenues (49.0% of total net revenues) and $368.3 million of net non-gaming revenues (51.0% of total net revenues). The quality of our resorts’ non-gaming amenities, combined with providing guests an unparalleled total resort experience, has driven a premium in our properties’ ADR and other non-gaming revenues.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2006 were approximately $800.6 million, which represents approximately a $446.9 million (or 126.4%) increase from the casino revenues of $353.7 million for the year ended December 31, 2005. The increase in casino revenues was driven primarily by the opening of Wynn Macau in September 2006 and Wynn Las Vegas being open for all of 2006 as opposed to only 248 days in 2005. At Wynn Las Vegas, the average table games win percentage (before discounts) of 22.1% was within the expected range of 20% to 23% for the year ended December 31, 2006 compared to 21.5% in the prior year. Slot handle at Wynn Las Vegas for 2006 increased as compared to 2005, however the slot win percentage for 2006 was slightly below the expected range of 5% to 6%. Wynn Macau’s win percentage for the VIP casino segment of 2.4% of turnover was below the then expected range of 2.5% to 2.8%. However, turnover, the leading volume indicator in the VIP casino, met management’s expectations. The average table games win percentage at the general casino at Wynn Macau of 17.1% of drop was at the lower end of the expected range of 17% to 19%, and the volume of table game play was as expected. Wynn Macau’s slot win percentage was within the expected range of 4.5% to 5.5%.</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the year ended December 31, 2006, room revenues were approximately $283.1 million, which represented a $112.8 million (or 66.2%) increase over the $170.3 million generated in the 248 days of operations for the year ended December 31, 2005. The increase was primarily driven by Wynn Las Vegas being open for the full year as opposed to 248 days of operations in 2005, as well as Wynn Macau’s 117 days of operations in 2006. See the table below for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2006</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287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94.4%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80.6%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271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non-casino revenues for the year ended December 31, 2006 included food and beverage revenues of approximately $309.8 million, retail revenues of approximately $87.7 million, entertainment revenues of approximately $66.3 million, and other revenues from outlets, including the spa and salon, of approximately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$51.2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$32.2 million. The additional revenue earned in Wynn Macau’s 117 days of operations during 2006 contributed to the increase in the food and beverage and retail revenues. In addition, food and beverage revenues in 2006 benefited significantly from increased revenues from the nightclubs located in Wynn Las Vegas as compared to the 2005 food and beverage revenues.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year ended December 31, 2006, departmental expenses included casino expenses of $439.9 million, rooms expenses of $73.9 million, food and beverage expenses of $194.4 million, and entertainment, retail and other expenses of $134.5 million. Also included are general and administrative expenses of approximately $231.5 million and approximately $21.2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$80.2 million. Also included are general and administrative expenses of approximately $119 million and approximately $16.2 million charged as a provision for doubtful accounts receivable. The increase in expenses is due primarily to the inclusion of 117 days of the operations of Wynn Macau and increases in Wynn Las Vegas expenses commensurate with the increase in revenues.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on January 1, 2006, we adopted Statement of Accounting Standard (“SFAS”) No. 123R, “Share-Based Payments”, using the modified prospective method. For the year ended December 31, 2006, we recorded $15.4 million of share based compensation expense which is included in the department of the recipient of the stock based award. Prior to January 1, 2006, we did not recognize expense for employee stock options that were granted at the market price. See our Consolidated Financial Statements Note 15 “Benefit Plans” for more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Pre-opening costs for the year ended December 31, 2006 were $62.7 million compared to $96.9 million for the prior year. Wynn Macau, which opened on September 6, 2006, accounted for $60.5 million of the current year pre-opening costs while the balance relates primarily to Encore. Pre-opening costs during the year ended December 31, 2005 related primarily to Wynn Las Vegas which opened on April 28, 2005 and Wynn Macau. We expect that as Encore progresses, pre-opening expenses related to this project will increase as the opening approaches.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2006 of $175.5 million increased by $72.1 million compared to the year ended December 31, 2005 primarily due to including a full year for Wynn Las Vegas and an additional 117 days of operations of Wynn Macau. Wynn Las Vegas only recorded 248 days of depreciation in 2005.</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2029, respectively. Consequently, depreciation for long-lived assets related to Wynn Macau is charged generally over shorter useful lives when compared to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 ended December 31, 2006 of $25.1 million increased by $10.8 million compared to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Costs relating to assets retired as a result of these enhancements and remodel efforts for the year ended December 31, 2006 of $14.4 million have been expensed as property charges. During the year ended December 31, 2006, we remodeled the six North Fairway Villas, several areas of the retail promenade, a portion of the baccarat area to feature a casino bar, improved public baccarat space and private baccarat salons and converted the Keno lounge to a retail outlet for womens’ accessories at Wynn Las Vegas.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expect that enhancements and refinements to Wynn Macau will take place in response to reactions from our customers in that market. Accordingly, we expect that Company property charges may increase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Interest and other income of $46.8 million for the year ended December 31, 2006 increased by $18.5 million from the year ended December 31, 2005. This increase is primarily due to higher interest rates earned on cash balances compared to 2005, as well as interest earned on the PBL proceeds.</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expense, net of capitalized interest of $29.5 million was $148 million for the year ended December 31, 2006 compared to $102.7 million, net of capitalized interest of $50 million for the same period in 2005. This increase is due to the increase in our borrowings in Macau, slightly higher interest rates and the $20.5 million decrease in interest capitalized once Wynn Las Vegas and Wynn Macau opened.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rate swaps are accounted for in accordance with Statement of Financial Accounting Standards No. 133, Accounting for Derivative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Hedging Activities, as amended (“SFAS 133”). On August 15, 2006, concurrent with the refinancing of Wynn Las Vegas, LLC’s senior credit facilities (See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Resources—Financing Activities”), we terminated a $200 million notional amount interest rate swap relating to Wynn Las Vegas, LLC’s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credit facilities. The fair value of our interest rate swaps are recorded as either assets or liabilities. Changes in the fair value of our interest rate swaps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as non-operating income or expense in each period. We recorded approximately $1.2 million of interest rate swap income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resulting from the increase in the fair value of our interest rate swaps from December 31, 2005 to December 31, 2006 (December 31, 2005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August 15, 2006 in the case of the terminated swap). During the year ended December 31, 2005 we recorded a gain of $8.2 million resulting from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interest rate swaps between December 31, 2004 and December 31, 2005. For further information on our interest rate swaps, see Part II- Item 7A.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16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Loss from extinguishment of debt totaled $12.5 million for the year ended December 31, 2006. On August 15, 2006 we refinanced our Wynn Las Vegas senior credit facilities as discussed in further detail below (See “Liquidity and Capital Resources—Financing Activities”). As a result of the refinancing and resulting modification of the Term Loan, we recorded a loss from extinguishment of debt for the year ended December 31,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2006 of approximately $10.8 million to reflect the write-off of the previous Term Loan’s unamortized deferred financing costs. In addition, on November 1, 2006, we redeemed the remaining approximate $10.1 million of our Second Mortgage Notes and incurred a $1.7 million redemption premium which is also included as loss from extinguishment of debt.</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November 13, 2006, our Board of Directors declared a cash distribution of $6.00 per share on our outstanding common stock. This distribution was paid on December 4, 2006, to stockholders of record as of November 23, 2006. As part of this distribution, we made a payment to the holders of our Debentures so that they participated in the distribution as if they had converted their Debentures to common stock prior to the record date. We paid holders of the Debentures a cash amount equal to $260.87 per $1,000 principal amount, or $58.5 million in total. In accordance with the indenture governing the Debentures, as a result of the payment, no adjustment was made to the conversion price as a result of the cash distribution. The payment was recorded as a distribution to convertible debenture holders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subconcession right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March 4, 2006, we entered into an agreement with Publishing &amp; Broadcasting, Ltd. (PBL) pursuant to which we agreed to sell to PBL for $900 million, the right to negotiate with the government of Macau for a subconcession to allow PBL to operate casinos in Macau.</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8, 2006, the government of Macau approved the subconcession and on September 11, 2006, PBL paid $900 million in cash to Wynn Macau, S.A. for the subconcession right. As a result of the sale and the subconcession awarded to PBL by the government of Macau, we have no continuing rights or obligations with respect to the subconcession. All rights and obligations under the subconcession are between PBL and the government of Macau. The proceeds from this sale, net of related costs, are recorded as gain on sale of subconcession right, net in our Consolidated Statement of Operations for the year ended December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For the year ended December 31, 2006, our effective tax rate was approximately 21.3%. This rate was lower than the federal statutory rate due to the reduction of our valuation allowance in connection with the sale of the PBL subconcession right and a reduced effective tax rate on our foreign operations (see footnote 17 “Income Taxes”). There were no comparable items in 2005 as we had not yet reached a conclusion that it was more likely than not that our net deferred tax assets were realizable.</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Accordingly, we were exempted from the payment of approximately $4.7 million in such taxes. Wynn Macau’s non-gaming profits remain subject to the Macau Complementary Tax and Wynn Macau’s casino winnings remain subject to the Macau Special Gaming tax and other levies in accordance with its concession agreement.</w:t>
      </w:r>
    </w:p>
    <w:p>
      <w:pPr>
        <w:spacing w:after="0" w:line="182"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provided from operations for the year ended December 31, 2007 was $659.2 million compared to $240.8 million provided by operations for the year ended December 31, 2006. This increase is due to the full year of operations at Wynn Macau and improved results at Wynn Las Vegas, especially in the casino department.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Our cash balances at December 31, 2007 included approximately $500 million remaining from the $900 million cash received from the sale of our subconcession on September 11, 2006 and $350 million borrowed under the Wynn Resorts Term Loan Facility on December 31, 2007. At December 31, 2007, we had approximately $1.3 billion of cash and cash equivalents available for operations, new development activities, general corporate purposes, enhancements to Wynn Las Vegas and Wynn Macau, and to support the development and construction of Encore and Wynn Diamond Suites. Of this amount, approximately $402.3 million is held by Wynn Resorts, Limited, which is not a guarantor of the debt of its subsidiaries, including Wynn Las Vegas, LLC and Wynn Macau, S.A. In addition, we have availability under our Wynn Las Vegas and Wynn Macau credit facilities as noted below under Financing Activities.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At December 31, 2007, we had approximately $531.1 million in cash and investments from the proceeds of our debt and equity financings, which is restricted for the following:</w:t>
      </w:r>
    </w:p>
    <w:p>
      <w:pPr>
        <w:spacing w:after="0" w:line="5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$30 million restricted for the Encore completion guarantee;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$500 million restricted for repurchases of our common stock.</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April 28, 2006, we commenced construction on Encore. We expect to open Encore in December 2008. Design and construction is progressing as expected at Encore. Current construction activities in the various project sections include the following:</w:t>
      </w:r>
    </w:p>
    <w:p>
      <w:pPr>
        <w:spacing w:after="0" w:line="5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Exterior glass installation is 95%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furniture and equipment installation is complete up to the 6th floor.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are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Drywall is 80% complete in the convention area and 20% complete in the casino level, spa level, and back of house.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Taxi and valet tunnels are 60% complete and exterior enclosure of the entire low rise is 80% complete.</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is being funded from our Wynn Las Vegas Credit Facilities, operating cash flow from Wynn Las Vegas and proceeds from the $400 million addition to the Wynn Las Vegas First Mortgage Notes completed in November 2007. To the extent additional funds are required, we will provide these amounts with additional debt and equity contributions by Wynn Resorts or additional indebtedness to be incurred by Wynn Las Vegas.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June 2007, we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As of December 31, 2007, we incurred approximately $998.7 million of project costs related to the development and construction of Encore and related capital improvements.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right="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remaining proceeds from the $400 million addition to the First Mortgage Notes completed in November 2007;</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 Under the terms of the Wynn Las Vegas Credit Facilities, we were permitted to make up to $172.2 million of capital expenditures in 2007, of which we expended approximately $60.1 million. For 2008, the limit under the Wynn Las Vegas Credit Facilities is $272.1 million. The spending limit may be increased to the extent funds are contributed to Wynn Las Vegas by Wynn Resorts, Limited.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Macau was completed and the casino resort opened on September 6, 2006. During the year ended December 31, 2007 we completed an expansion of Wynn Macau which included additional gaming space, and additional food, beverage and retail amenities. In addition to the gaming and retail facilities that opened in the expansion referenced above, Wynn Macau opened its rotunda area which features a gold “prosperity tree” in conjunction with a Chinese zodiac-inspired ceiling level show incorporating a descending chandelier. In September 2007, we opened approximately 20,000 square feet of gaming space and one restaurant at Wynn Macau. The remaining portion of the expansion opened in December 2007. With the full completion of the expansion, Wynn Macau now has a total of approximately 380 table games and 1,270 slot machines in approximately 205,000 square feet of gaming space. Wynn Macau and its recently opened expansion were completed at a cost of $1.1 billion.</w:t>
      </w:r>
    </w:p>
    <w:p>
      <w:pPr>
        <w:spacing w:after="0" w:line="118"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As at Wynn Las Vegas, in response to our evaluation of Wynn Macau and the reactions of our guests, we continue to make certain enhancements and refinements to this property. As a result, we have incurred and will continue to incur capital expenditures relating to these enhancements and refinements.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Diamond Suites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June 2007, we commenced construction on Wynn Diamond Suites, a further expansion of Wynn Macau. We expect Wynn Diamond Suites to open in the first half of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include the following:</w:t>
      </w:r>
    </w:p>
    <w:p>
      <w:pPr>
        <w:spacing w:after="0" w:line="9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pylons and diaphragm walls for the foundation are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Pouring of the ground floor slab has commenced.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While the completed project budget is still being finalized, we expect total costs to be approximately $600 million. The project budget will be funded from our existing Wynn Macau Credit Facilities and cash flow from operations at Wynn Macau.</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Wynn Diamond Suites. As of December 31, 2007, we have incurred approximately $53 million of project cost related to the development and construction of Wynn Diamond Suites.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June 7, 2007, our Board of Directors authorized an equity repurchase program of up to $1.2 billion which may include purchases of both our common stock and our 6% Convertible Debentures due 2015. The repurchase program may include repurchases from time to time through open market purchases, in privately negotiated transactions, and under plans complying with Rules 10b5-1 and 10b-18 under the Exchange Act. These repurchases are included within the scope of our overall repurchase program discussed above. As of December 31, 2007, we had repurchased 1,889,321 shares of our common stock through open market purchases for a net cost of $179.3 million, at an average price of $94.89 per share.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June 15, 2007, we announced that we had called for redemption on July 20, 2007, all of the outstanding principal amount of our 6% Convertible Subordinated Debentures due 2015 (the “Debentures”). Prior to redemption, in July 2007 all of the holders converted their Debentures into shares of our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our common stock. Accordingly long-term debt was reduced by $224.1 million, equity was increased by $218.9 million, and deferred financing costs were reduced by approximately $5.2 million.</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21, 2007, we entered into a $1 billion term loan facility (the “Term Loan”). Borrowings under the Term Loan are available in the form of a delayed-draw term loan facility available through December 31, 2007, with the option to increase the facility to $1.25 billion if certain conditions are met. As of December 31, 2007, we borrowed $1 billion under the Term Loan Facility and no additional amounts are available. The Term Loan will mature and be payable on June 21, 2010. The Term Loan was available to fund (a) our equity repurchase program announced on June 7, 2007 and (b) up to $350 million for general corporate purposes. Of the $1 billion drawn, $500 million has been included as restricted cash in the accompanying Consolidated Balance Sheet as of December 31, 2007 as such amount may only be used to fund our equity repurchases.</w:t>
      </w:r>
    </w:p>
    <w:p>
      <w:pPr>
        <w:spacing w:after="0" w:line="120"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color w:val="auto"/>
        </w:rPr>
        <w:t>Loans under the Term Loan accrue interest at our election of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w:t>
      </w:r>
    </w:p>
    <w:p>
      <w:pPr>
        <w:spacing w:after="0" w:line="1" w:lineRule="exact"/>
        <w:rPr>
          <w:sz w:val="20"/>
          <w:szCs w:val="20"/>
          <w:color w:val="auto"/>
        </w:rPr>
      </w:pPr>
    </w:p>
    <w:p>
      <w:pPr>
        <w:ind w:right="120" w:firstLine="8"/>
        <w:spacing w:after="0" w:line="292"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Funds Rate plus 1/2 of 1% per annum; plus (b) a borrowing margin as described below. Interest on Base Rate loans are payable quarterly in arrears. The borrowing margin is 2.25% for LIBOR loans and 1% for Base Rate loans, if our net liquidity is equal to or greater than $400 million and 2.50% for LIBOR loans and 1.25% for Base Rate loans, if our net liquidity is less than $400 million. For borrowings under the Term Loan, we expect to elect interest at LIBOR plus a margin of 2.25% on the outstanding balance. We incurred a fee of 112.5 bps per annum of the actual daily amount by which the actual Term Loan commitment exceeded the outstanding amount of the Term Loan.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 2007, we completed a secondary common stock offering of 4,312,500 shares with net proceeds of $154 per share or $664.1 million.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2007, our Wynn Las Vegas credit facilities consist of a $900 million revolving credit facility (the “Wynn Las Vegas Revolver”) and $225 million term loan facility (the “Wynn Las Vegas Term Loan”) ( together the “Wynn Las Vegas Credit Facilities”). For borrowings under the Wynn Las Vegas Term Loan we have elected, and expect to continue to elect, Eurodollar loans which bear interest at the 1-month LIBOR and include a margin of 1.875% on that outstanding balance. We have a $200 million notional amount interest rate swap to essentially fix the interest on $200 million of the Wynn Las Vegas Term Loan at the rate of 5.7% per annum. (For further information, see Item 7A. “Quantitative and Qualitative Discussions about Market Risk”.)</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2007, there were no amounts outstanding under the Wynn Las Vegas Revolver. We do have $16.7 million of outstanding letters of credit that reduce our availability under the Wynn Las Vegas Revolver. Consequently, $883.3 million remains available under the Wynn Las Vegas Revolver for future borrowings for the construction of Encore or for other uses as necessary. For borrowings under the Wynn Las Vegas Revolver, we have elected, and expect to continue to elect, Eurodollar loans, which bear interest at the 1-month LIBOR and currently include a margin of 1.625% on the outstanding balance. After opening Encore, the margin will fluctuate between a range of 1 to 1.75%, depending on our leverage ratio. In addition to interest, we also pay quarterly in arrears, an annual rate of 0.375% on the daily average of unborrowed availability. After the opening of Encore, the annual fee that we will be required to pay for unborrowed availability based on our leverage ratio and will range from an annual rate of 0.25% to 0.50%.</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we amended the Wynn Las Vegas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2007, we further amended the Wynn Las Vegas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 Also in October, 2007, pursuant to the Wynn Las Vegas Credit Facilities, Wynn Las Vegas entered into a pre-agreed upon form of Amended and Restated Master Disbursement Agreement with Deutsche Bank Trust Company Americas as Bank Agent and Disbursement Agent.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6" w:lineRule="auto"/>
        <w:rPr>
          <w:sz w:val="20"/>
          <w:szCs w:val="20"/>
          <w:color w:val="auto"/>
        </w:rPr>
      </w:pPr>
      <w:r>
        <w:rPr>
          <w:rFonts w:ascii="Arial" w:cs="Arial" w:eastAsia="Arial" w:hAnsi="Arial"/>
          <w:sz w:val="16"/>
          <w:szCs w:val="16"/>
          <w:color w:val="auto"/>
        </w:rPr>
        <w:t xml:space="preserve">On November 6, 2007, Wynn Las Vegas, LLC and Wynn Las Vegas Capital Corp. (the “issuers”), each a direct or indirect wholly owned subsidiary of Wynn Resorts, Limited, issued, in a private offering, $400 million aggregate principal amount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at a price of 97.25% of the principal amount (the “Additional Notes”). The Additional Notes were issued under the same indenture as the previously issued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Additional Notes rank pari passu with, and will vote on any matter submitted to noteholders with, the previously issued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6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we may not offer or sell the Additional Notes within the United States to, or for the account or benefit of, any United States person unless the offer or sale would qualify for a registration exemption from the Securities Act and applicable state securities laws. We have agreed to make an offer to exchange the Additional Notes for registered, publicly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$32.5 Million Note Payable for Aircraft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May 10, 2007, World Travel G-IV, LLC., a subsidiary of Wynn Resorts, entered into a $32.5 million term loan credit facility to finance the purchase of an aircraft. The loan bears interest at LIBOR plus 1.15% and will mature on August 10, 2012. Principal and interest payments are made quarterly beginning July 1, 2007. Principal payments are approximately $542,000, with a balloon payment of $21.1 million due at maturity.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June 27, 2007, Wynn Resorts (Macau) S.A., amended its credit facilities,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$764 million to $1.550 billion, in a combination of Hong Kong and US dollars, including a $550 million equivalent fully funded senior term loan facility (“the “Wynn Macau Term Loan”), and a $1 billion senior revolving credit facility (the “Wynn Macau Revolver”) (together the “Wynn Macau Credit Facilities”). Wynn Macau, S.A. also has the ability to upsize the total facilities by an additional $50 million pursuant to the terms and provisions of the Amended Common Terms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Wynn Macau Credit Facilities will be used to complete the Wynn Diamond Suites, make investments in other projects in and around Macau and for general corporate purposes.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part of the amendment to the Wynn Macau Credit Facilities, Wynn Resorts Limited’s remaining support obligations to Wynn Macau and $30 million in contingent equity previously provided by us has been released.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Refinanced as $42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our aircraft. Principal and interest are due quarterly with a balloon payment of $28 million due at maturity. Interest is calculated at the 90-day LIBOR plus 125 basis points. In connection with this transaction, we incurred a loss from extinguishment of debt of $157,000 related to the write-off of unamortized debt issue costs associated with the original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Distributions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November 19, 2007, our Board of Directors declared a cash distribution of $6.00 per share on our outstanding Common Stock. This distribution was paid on December 10, 2007 to stockholders of record on November 30, 2007. For the year ended December 31, 2007, $686.1 million was recorded as a distribution in the accompanying Consolidated Statements of Stockholders’ Equity. Of this amount approximately $3.3 million was recorded as a liability which will be paid to the holders of nonvested stock upon the vesting of that stock.</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13, 2006, our Board of Directors declared a cash distribution of $6.00 per share on our outstanding common stock. This distribution was paid on December 4, 2006, to stockholders of record as of November 23, 2006. As part of this distribution, we made a payment to the holders of its Debentures so that they participated in the distribution to the same extent as if they had converted their Debentures to common stock. We paid holders of the Debentures a cash amount equal to $260.87 per $1,000 principal amount. In accordance with the indenture governing the Debentures, as a result of the payment, no adjustment was made to the conversion price as a result of the cash distribution. The total amount of the cash distribution was $669.8 million. This distribution was paid using a portion of the proceeds from the sale of our subconcession in Macau as discussed above and corporate cash.</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2007, we had outstanding letters of credit totaling $16.7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2007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Less Than</w:t>
            </w:r>
          </w:p>
        </w:tc>
        <w:tc>
          <w:tcPr>
            <w:tcW w:w="340" w:type="dxa"/>
            <w:vAlign w:val="bottom"/>
          </w:tcPr>
          <w:p>
            <w:pPr>
              <w:spacing w:after="0"/>
              <w:rPr>
                <w:sz w:val="11"/>
                <w:szCs w:val="11"/>
                <w:color w:val="auto"/>
              </w:rPr>
            </w:pPr>
          </w:p>
        </w:tc>
        <w:tc>
          <w:tcPr>
            <w:tcW w:w="66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1"/>
                <w:szCs w:val="11"/>
                <w:color w:val="auto"/>
              </w:rPr>
            </w:pPr>
          </w:p>
        </w:tc>
        <w:tc>
          <w:tcPr>
            <w:tcW w:w="8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4 to 5</w:t>
            </w:r>
          </w:p>
        </w:tc>
        <w:tc>
          <w:tcPr>
            <w:tcW w:w="6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1 Year</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$ 1,007.1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$ 359.6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$ 2,177.4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225.3</w:t>
            </w:r>
          </w:p>
        </w:tc>
        <w:tc>
          <w:tcPr>
            <w:tcW w:w="680" w:type="dxa"/>
            <w:vAlign w:val="bottom"/>
          </w:tcPr>
          <w:p>
            <w:pPr>
              <w:jc w:val="right"/>
              <w:spacing w:after="0"/>
              <w:rPr>
                <w:sz w:val="20"/>
                <w:szCs w:val="20"/>
                <w:color w:val="auto"/>
              </w:rPr>
            </w:pPr>
            <w:r>
              <w:rPr>
                <w:rFonts w:ascii="Arial" w:cs="Arial" w:eastAsia="Arial" w:hAnsi="Arial"/>
                <w:sz w:val="18"/>
                <w:szCs w:val="18"/>
                <w:color w:val="auto"/>
              </w:rPr>
              <w:t>215.9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3.6</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11.6</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1,219.8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$ 1,740.1</w:t>
            </w:r>
          </w:p>
        </w:tc>
        <w:tc>
          <w:tcPr>
            <w:tcW w:w="34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$ 704.9</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$ 2,545.0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6,209.8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or HIBOR rates at December 31,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includes open purchase orders, commitments for an aircraft purchase, land concession and fixed gaming tax payments in Macau and other contracts. As further discussed in Item 8 “Financial Statements”, Note 17 “Income Taxes”, of this report, we adopted the provisions of FIN 48, on January 1, 2007. We had $89.2 million of unrecognized tax benefits as of December 31, 2007. Due to the inherent uncertainty of the underlying tax positions, it is not practicable to assign the liability as of December 31, 2007, to any particular years in the table.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Wynn Resorts is a holding company and, as a result, our ability to pay dividends is dependent on our ability to obtain funds and our subsidiaries’ ability to provide funds to us. Restrictions imposed by our and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although the Wynn Macau, S.A. loan agreements permit distribution of the net proceeds of subconcession sales.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the Wynn Las Vegas Credit Facilities. We cannot be sure,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our Wynn Macau Credit Facility. However, we cannot be sure that operating cash flows and available borrowings will be sufficient to do so. We may refinance all or a portion of our indebtedness on or before maturity. We cannot be sure that we will be able to refinance any of the indebtedness on acceptable terms or at all.</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Wynn Las Vegas and Wynn Macau, significant start-up costs were incurred and charged to pre-opening costs through the second quarter of 2005 for Wynn Las Vegas and through the third quarter of 2006 for Wynn Macau, as anticipated. Once Wynn Las Vegas and Wynn Macau opened, expenses associated with the opening of the resorts were no longer charged as pre-opening costs. However, start-up costs relating to Encore and Wynn Diamond Suites will continue to be charged to pre-opening costs until such projects are completed and opened.</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Wynn Las Vegas and Wynn Macau,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Upon the opening of Wynn Las Vegas and Wynn Macau, we began recognizing depreciation expense on the resort’s fixed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reflect the initial term of the concession contract, which currently terminates in June 2029. Depreciation on the majority of the assets comprising Wynn Macau, however, commenced in September of 2006, when Wynn Macau opened. The maximum useful life of assets at Wynn Macau is the remaining life of the gaming concession, which currently expires in June 2022. Consequently, depreciation related to Wynn Macau will generally be charged over shorter periods when compared to Wynn Las Vegas.</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 substantial portion of our outstanding receivables relates to casino credit play. Credit play, through the issuance of markers, represents a significant portion of the table games volume at Wynn Las Vegas.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issuance of credit at Wynn Macau is less significant when compared to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9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particularly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December 31, 2007 and December 31, 2006, approximately 65% and 59%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216,166</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148,929</w:t>
            </w:r>
          </w:p>
        </w:tc>
        <w:tc>
          <w:tcPr>
            <w:tcW w:w="1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7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65,647</w:t>
            </w:r>
          </w:p>
        </w:tc>
        <w:tc>
          <w:tcPr>
            <w:tcW w:w="48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35,183</w:t>
            </w:r>
          </w:p>
        </w:tc>
        <w:tc>
          <w:tcPr>
            <w:tcW w:w="1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the allowance for doubtful accounts as a percentage of casino accounts receivable is due to a normal increase in casino accounts receivable outstanding over 180 days. While collection efforts remain active, it is our current policy to fully reserve all accounts over one year old. Our reserve methodology is applied similarly to credit extended at both Wynn Las Vegas and Wynn Macau. As of December 31, 2007 and December 31, 2006, approximately 25% and 10% respectively, of our outstanding casino account receivable balance originated at Wynn Macau.</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As of December 31, 2007, we had three interest rate swaps with changes in the swap fair values being recorded in our Consolidated Statements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 In applying the modified prospective method, financial statements of prior periods presented do not reflect any adjusted amounts (i.e. prior periods do not include compensation cost calculated under the fair value method).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our limited operating history, we had previously fully reserved these net deferred tax assets. On September 11, 2006, we recorded a gain of $899.4 million on the sale of the subconcession right. Accordingly we determined that a substantial portion of these net deferred tax assets have become more likely than not realizable as defined by SFAS No. 109.</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income tax returns are subject to examination by the Internal Revenue Service (“IRS”) and other tax authorities in the locations where it operates. We assess potentially unfavorable outcomes of such examinations based on the criteria of FASB Interpretation No. 48 (“FIN 48”) “Accounting for Uncertainty in Income Taxes” which we adopted on January 1, 2007. The Interpretation prescribes a minimum recognition threshold a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position is required to meet before being recognized in the financial statements. As a result, our income tax recognition policy related to uncertain income tax positions is no longer covered by SFAS No. 5.</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FIN 48 applies to all tax positions related to income taxes subject to SFAS No. 109. FIN 48 utilizes a two-step approach for evaluating tax positions. Recognition (Step I) occurs when we conclude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tax positions failing to qualify for initial recognition is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we will recognize accrued penalties and interest related to unrecognized tax benefits in the provision for income taxes. During the years ended December 31, 2007, 2006 and 2005, we recognized no amounts for interest or penalties.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Effective September 6, 2006, we received a 5-year exemption from Macau’s 12% Complementary Tax on casino gaming profits. Accordingly, during 2007 we were exempted from the payment of approximately $26.4 million in such taxes. Wynn Macau’s non-gaming profits remain subject to the Macau Complementary Tax and Wynn Macau’s casino winnings remain subject to the Macau Special Gaming tax and other levies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will not have an impact on the Company’s financial position, results of operations or cash flows.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23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2007 of our expected long-term indebtedness. However, we cannot predict the LIBOR or HIBOR rates that will be in effect in the future. Accordingly, the one-month LIBOR and HIBOR rates at December 31, 2007 of 4.60% and 3.25%, respectively are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89"/>
              </w:rPr>
              <w:t>As of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6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6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Fixed rate</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1,700.0</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$1,700.0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Variable rate</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$ 3.6</w:t>
            </w:r>
          </w:p>
        </w:tc>
        <w:tc>
          <w:tcPr>
            <w:tcW w:w="4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$1,003.6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$282.1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477.4</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$1,847.4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Information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December 31, 2007, we have one interest rate swap arrangement to hedge the underlying interest rate risk on a total of $200 million of borrowings under the Wynn Las Vegas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borrowings under the Wynn Las Vegas Term Loan at approximately 5.7%, changes in the fair value of our interest rate swaps for each reporting period are, and will continue to be, recorded as an increase/decrease in swap fair value in our Consolidated Statements of Operations, as the swap does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2007, we have two interest rate swaps to hedge a portion of the underlying interest rate risk on borrowings under the Wynn Macau Term Loan. Under the first swap agreement, we pay a fixed interest rate of 4.84% on borrowings estimated to be incurred under the Wynn Macau Term Loan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Wynn Macau Term Loan up to a maximum of approximately HK$1.1 billion (approximately US$140.3 million), in exchange for receipts on the same amounts at a variable interest rate based on the applicable HIBOR at the time of payment. Both swap agreements expire on November 28, 2008.</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100% of the US dollar and 35% of the Hong Kong dollar borrowings under the Wynn Macau Term Loan at approximately 6.59% and 6.52%, respectively. However, changes in the fair values of these interest rate swaps for each reporting period recorded are, and will continue to be, recognized as an increase/decrease in swap fair value in our Consolidated Statements of Operations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as of December 31, 2007 and 2006, of our interest rate swap arrangements (amounts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3"/>
              </w:rPr>
              <w:t>All Interest Rate</w:t>
            </w:r>
          </w:p>
        </w:tc>
      </w:tr>
      <w:tr>
        <w:trPr>
          <w:trHeight w:val="161"/>
        </w:trPr>
        <w:tc>
          <w:tcPr>
            <w:tcW w:w="50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9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Swaps</w:t>
            </w:r>
          </w:p>
        </w:tc>
      </w:tr>
      <w:tr>
        <w:trPr>
          <w:trHeight w:val="201"/>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Asset / (liability) fair value at:</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December 31, 2007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(3,095)</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(2,679)</w:t>
            </w: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 31, 2006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provides information about our interest rate swaps, by contractual maturity dates, as of December 31, 2007 and using estimated future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LIBOR and HIBOR rates based upon implied forward rates in the yield curve: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center"/>
              <w:ind w:left="152"/>
              <w:spacing w:after="0"/>
              <w:rPr>
                <w:sz w:val="20"/>
                <w:szCs w:val="20"/>
                <w:color w:val="auto"/>
              </w:rPr>
            </w:pPr>
            <w:r>
              <w:rPr>
                <w:rFonts w:ascii="Arial" w:cs="Arial" w:eastAsia="Arial" w:hAnsi="Arial"/>
                <w:sz w:val="14"/>
                <w:szCs w:val="14"/>
                <w:b w:val="1"/>
                <w:bCs w:val="1"/>
                <w:color w:val="auto"/>
                <w:w w:val="84"/>
              </w:rPr>
              <w:t>Expected Averages as of December 31,</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$538.5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Average pay rate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154" w:lineRule="exact"/>
        <w:rPr>
          <w:sz w:val="20"/>
          <w:szCs w:val="20"/>
          <w:color w:val="auto"/>
        </w:rPr>
      </w:pPr>
    </w:p>
    <w:p>
      <w:pPr>
        <w:jc w:val="center"/>
        <w:ind w:left="260" w:right="440"/>
        <w:spacing w:after="0" w:line="440" w:lineRule="auto"/>
        <w:rPr>
          <w:sz w:val="20"/>
          <w:szCs w:val="20"/>
          <w:color w:val="auto"/>
        </w:rPr>
      </w:pPr>
      <w:r>
        <w:rPr>
          <w:rFonts w:ascii="Arial" w:cs="Arial" w:eastAsia="Arial" w:hAnsi="Arial"/>
          <w:sz w:val="18"/>
          <w:szCs w:val="18"/>
          <w:color w:val="auto"/>
        </w:rPr>
        <w:t>We do not use derivative financial instruments, other financial instruments or derivative commodity instruments for trading or speculative purposes. 58</w:t>
      </w:r>
    </w:p>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2007, approximately 62% of our long-term debt was based on fixed rates, including the notional amounts related to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December 31, 2007, an assumed 1% change in variable rates would cause our annual interest cost to change by $13.5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We have not yet determined whether we will engage in hedging activities to protect against foreign currency risk.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8"/>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4"/>
          </w:tcPr>
          <w:p>
            <w:pPr>
              <w:jc w:val="center"/>
              <w:ind w:right="24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20" w:type="dxa"/>
            <w:vAlign w:val="bottom"/>
            <w:gridSpan w:val="9"/>
            <w:vMerge w:val="restart"/>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 on Internal Controls over Financial Reporting</w:t>
              </w:r>
            </w:hyperlink>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20" w:type="dxa"/>
            <w:vAlign w:val="bottom"/>
            <w:gridSpan w:val="9"/>
            <w:vMerge w:val="continue"/>
          </w:tcPr>
          <w:p>
            <w:pPr>
              <w:spacing w:after="0"/>
              <w:rPr>
                <w:sz w:val="14"/>
                <w:szCs w:val="14"/>
                <w:color w:val="auto"/>
              </w:rPr>
            </w:pPr>
          </w:p>
        </w:tc>
        <w:tc>
          <w:tcPr>
            <w:tcW w:w="6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Report of Independent Registered Public Accounting Firms on the Consolidated Financial Statements</w:t>
              </w:r>
            </w:hyperlink>
          </w:p>
        </w:tc>
        <w:tc>
          <w:tcPr>
            <w:tcW w:w="2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304"/>
        </w:trPr>
        <w:tc>
          <w:tcPr>
            <w:tcW w:w="1082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Consolidated Statements of Operations</w:t>
              </w:r>
            </w:hyperlink>
          </w:p>
        </w:tc>
        <w:tc>
          <w:tcPr>
            <w:tcW w:w="8060" w:type="dxa"/>
            <w:vAlign w:val="bottom"/>
            <w:gridSpan w:val="6"/>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34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Stockholders’ Equity</w:t>
              </w:r>
            </w:hyperlink>
          </w:p>
        </w:tc>
        <w:tc>
          <w:tcPr>
            <w:tcW w:w="7340" w:type="dxa"/>
            <w:vAlign w:val="bottom"/>
            <w:gridSpan w:val="3"/>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082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2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4080" w:type="dxa"/>
            <w:vAlign w:val="bottom"/>
            <w:gridSpan w:val="2"/>
          </w:tcPr>
          <w:p>
            <w:pPr>
              <w:jc w:val="right"/>
              <w:ind w:right="136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audited Wynn Resorts, Limited and subsidiaries’ (the “Company”) internal control over financial reporting as of December 31, 2007,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2007, based on the COSO criteria.</w:t>
      </w:r>
    </w:p>
    <w:p>
      <w:pPr>
        <w:spacing w:after="0" w:line="13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December 31, 2007 and 2006, and the related consolidated statements of operations, stockholders’ equity, and cash flows for each of the two years in the period ended December 31, 2007 and our report dated February 22, 2008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(the “Company”) as of December 31, 2007 and 2006, and the related consolidated statements of operations, stockholders’ equity, and cash flows for each of the two years in the period ended December 31, 2007.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2007 and 2006, and the consolidated results of their operations and their cash flows for each of the two years in the period ended December 31, 2007,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income taxes in accordance with FASB Interpretation No. 48 “Accounting for Uncertainty in Income Taxes – an interpretation of FASB Statement No. 109” on January 1, 2007 and changed its method of accounting for Share-Based Payments in accordance with Statement of Financial Accounting Standards No. 123 (revised 2004) on January 1, 2006.</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22, 2008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have audited the accompanying consolidated statement of operations, stockholders’ equity and cash flows of Wynn Resorts, Limited and subsidiaries (the “Company”) for the year ended December 31, 2005. Our audit also included the financial statement schedules of Condensed Financial Information of the Registrant and Valuation and Qualifying Accounts included in Item 15(a)(2). These financial statements and financial statement schedules are the responsibility of the Company’s management. Our responsibility is to express an opinion on the financial statements and financial statement schedules based on our audit.</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and cash flows of Wynn Resorts, Limited and subsidiaries for the year ended December 31, 2005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531,120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3,939,979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3,157,622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Intangibles,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6,299,282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3,533,339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2,380,537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4,351,123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3,014,595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par value $0.01; 400,000,000 shares authorized; 116,259,411 and 101,887,031 shares issued;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114,370,090 and 101,887,031 shares outstanding</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Treasury stock, at cost; 1,889,321 shares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(179,277)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2,273,078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2,022,408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(143,899)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1,948,159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1,645,585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6,299,282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1,949,870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800,591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283,084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353,983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309,771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205,213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2,888,445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1,598,659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822,908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(200,926)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(166,402)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2,687,519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1,432,257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1,168,119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439,902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83,237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73,878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212,622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194,403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134,530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310,820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231,515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62,726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175,464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25,060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2,259,837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1,363,641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747,868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70,899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47,765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46,752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(143,777)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(148,017)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(58,477)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899,409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(102,170)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728,330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(66,280)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799,229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(69,085)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(170,501)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628,728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99,998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112,685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111,627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3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Deferred</w:t>
            </w:r>
          </w:p>
        </w:tc>
        <w:tc>
          <w:tcPr>
            <w:tcW w:w="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Additional</w:t>
            </w:r>
          </w:p>
        </w:tc>
        <w:tc>
          <w:tcPr>
            <w:tcW w:w="1120" w:type="dxa"/>
            <w:vAlign w:val="bottom"/>
            <w:gridSpan w:val="3"/>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3"/>
                <w:szCs w:val="3"/>
                <w:color w:val="auto"/>
              </w:rPr>
            </w:pPr>
          </w:p>
        </w:tc>
        <w:tc>
          <w:tcPr>
            <w:tcW w:w="1000" w:type="dxa"/>
            <w:vAlign w:val="bottom"/>
            <w:gridSpan w:val="2"/>
            <w:vMerge w:val="restart"/>
          </w:tcPr>
          <w:p>
            <w:pPr>
              <w:jc w:val="right"/>
              <w:ind w:right="4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restart"/>
          </w:tcPr>
          <w:p>
            <w:pPr>
              <w:jc w:val="right"/>
              <w:ind w:right="3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3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paid-in</w:t>
            </w: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value</w:t>
            </w:r>
          </w:p>
        </w:tc>
        <w:tc>
          <w:tcPr>
            <w:tcW w:w="260" w:type="dxa"/>
            <w:vAlign w:val="bottom"/>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stock</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2005</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98,983,344</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990</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83"/>
              </w:rPr>
              <w:t>$ 1,951,906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(4,079)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(304,325)</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1,644,492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18,532</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(18,535)</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72,950</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497</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issued to consultant.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6,830</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(90,836)</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2005</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99,331,294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w w:val="76"/>
              </w:rPr>
              <w:t>993</w:t>
            </w:r>
          </w:p>
        </w:tc>
        <w:tc>
          <w:tcPr>
            <w:tcW w:w="260" w:type="dxa"/>
            <w:vAlign w:val="bottom"/>
          </w:tcPr>
          <w:p>
            <w:pPr>
              <w:spacing w:after="0"/>
              <w:rPr>
                <w:sz w:val="13"/>
                <w:szCs w:val="13"/>
                <w:color w:val="auto"/>
              </w:rPr>
            </w:pP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1,972,847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(15,784)</w:t>
            </w:r>
          </w:p>
        </w:tc>
        <w:tc>
          <w:tcPr>
            <w:tcW w:w="60" w:type="dxa"/>
            <w:vAlign w:val="bottom"/>
          </w:tcPr>
          <w:p>
            <w:pPr>
              <w:spacing w:after="0"/>
              <w:rPr>
                <w:sz w:val="13"/>
                <w:szCs w:val="13"/>
                <w:color w:val="auto"/>
              </w:rPr>
            </w:pPr>
          </w:p>
        </w:tc>
        <w:tc>
          <w:tcPr>
            <w:tcW w:w="10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(395,161)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1,562,895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628,728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Reclassification of deferred compensation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(15,784)</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15,784</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337,500</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1,093,375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21,779</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18,065</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Conversion of 6% subordinated convertible debentures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1,124,862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25,504</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distribution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(611,314)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(611,314)</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2006</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101,887,031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1,018</w:t>
            </w:r>
          </w:p>
        </w:tc>
        <w:tc>
          <w:tcPr>
            <w:tcW w:w="260" w:type="dxa"/>
            <w:vAlign w:val="bottom"/>
          </w:tcPr>
          <w:p>
            <w:pPr>
              <w:spacing w:after="0"/>
              <w:rPr>
                <w:sz w:val="13"/>
                <w:szCs w:val="13"/>
                <w:color w:val="auto"/>
              </w:rPr>
            </w:pP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2,022,408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(377,747)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1,645,585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258,148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270,700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9,177</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56,500</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(12,000)</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(1,889,321)</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(179,277)</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4,312,500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663,894</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Distribution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(663,894)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19,336</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6% convertible debentures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9,744,680</w:t>
            </w: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222,158</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222,255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Uncertain tax positons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2007</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4"/>
              </w:rPr>
              <w:t>114,370,090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1,162</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u w:val="single" w:color="auto"/>
                <w:color w:val="auto"/>
                <w:w w:val="70"/>
              </w:rPr>
              <w:t>$</w:t>
            </w: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(179,277)</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 xml:space="preserve"> 2,273,078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(2,905)</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(143,899)</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1,948,159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258,148</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$ 628,728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219,923</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68,152</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18,527</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60,857</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Decrease (increase) in swap fair value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6,001</w:t>
            </w:r>
          </w:p>
        </w:tc>
        <w:tc>
          <w:tcPr>
            <w:tcW w:w="5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subconcession right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(899,409)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(75,029)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28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(7,565)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(21,261)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54,093</w:t>
            </w:r>
          </w:p>
        </w:tc>
        <w:tc>
          <w:tcPr>
            <w:tcW w:w="5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164,287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659,172</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240,766</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w w:val="89"/>
              </w:rPr>
              <w:t>(1,007,370)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(643,360)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(877,074)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(293,734)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499,765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(43,216)</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 sale of subconcession right, net</w:t>
            </w:r>
          </w:p>
        </w:tc>
        <w:tc>
          <w:tcPr>
            <w:tcW w:w="80" w:type="dxa"/>
            <w:vAlign w:val="bottom"/>
          </w:tcPr>
          <w:p>
            <w:pPr>
              <w:spacing w:after="0"/>
              <w:rPr>
                <w:sz w:val="18"/>
                <w:szCs w:val="18"/>
                <w:color w:val="auto"/>
              </w:rPr>
            </w:pPr>
          </w:p>
        </w:tc>
        <w:tc>
          <w:tcPr>
            <w:tcW w:w="128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5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Pr>
          <w:p>
            <w:pPr>
              <w:spacing w:after="0"/>
              <w:rPr>
                <w:sz w:val="20"/>
                <w:szCs w:val="20"/>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w w:val="89"/>
              </w:rPr>
              <w:t>(1,322,739)</w:t>
            </w:r>
          </w:p>
        </w:tc>
        <w:tc>
          <w:tcPr>
            <w:tcW w:w="720" w:type="dxa"/>
            <w:vAlign w:val="bottom"/>
          </w:tcPr>
          <w:p>
            <w:pPr>
              <w:jc w:val="right"/>
              <w:spacing w:after="0"/>
              <w:rPr>
                <w:sz w:val="20"/>
                <w:szCs w:val="20"/>
                <w:color w:val="auto"/>
              </w:rPr>
            </w:pPr>
            <w:r>
              <w:rPr>
                <w:rFonts w:ascii="Arial" w:cs="Arial" w:eastAsia="Arial" w:hAnsi="Arial"/>
                <w:sz w:val="18"/>
                <w:szCs w:val="18"/>
                <w:color w:val="auto"/>
              </w:rPr>
              <w:t>401,809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(421,120)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664,125</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Cash distributions</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(683,299)</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(608,299)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1,672,987</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627,131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(297,321)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(440,929)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(179,277)</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(7,411)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80" w:type="dxa"/>
            <w:vAlign w:val="bottom"/>
          </w:tcPr>
          <w:p>
            <w:pPr>
              <w:spacing w:after="0"/>
              <w:rPr>
                <w:sz w:val="18"/>
                <w:szCs w:val="18"/>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(27,045)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1,151,939</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(287,457)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476,673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8"/>
                <w:szCs w:val="18"/>
                <w:color w:val="auto"/>
              </w:rPr>
              <w:t>(2,659)</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485,713</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355,118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5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1,275,120</w:t>
            </w: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$ 789,407</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178,072</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$ 133,850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distributions to convertible debenture holders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79,168</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purchases financed by debt and accrued assets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Stock-based compensation capitalized into construction</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Suites at Wynn Las Vegas” or “Encore” and the Wynn Diamond Suites at Wynn Macau or “Wynn Diamond Suites”. Encore will be fully integrated with Wynn Las Vegas and is expected to open in December 2008. Wynn Diamond Suites will be fully integrated with Wynn Macau and is expected to open in the first half of 2010.</w:t>
      </w:r>
    </w:p>
    <w:p>
      <w:pPr>
        <w:spacing w:after="0" w:line="188" w:lineRule="exact"/>
        <w:rPr>
          <w:sz w:val="20"/>
          <w:szCs w:val="20"/>
          <w:color w:val="auto"/>
        </w:rPr>
      </w:pPr>
    </w:p>
    <w:p>
      <w:pPr>
        <w:ind w:left="240" w:right="7780" w:hanging="232"/>
        <w:spacing w:after="0" w:line="347" w:lineRule="auto"/>
        <w:tabs>
          <w:tab w:leader="none" w:pos="31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Restricted cash and investments consist primarily of certain proceeds of the Company’s financing activities invested in approved money market funds. The majority of these funds are restricted by agreements governing debt instruments for the purchase of the Company’s common stock and the payment of certain construction and development costs relating to Wynn Las Vegas, Encore or Wynn Macau. Amounts classified as current are equal to current construction payables.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customers following investigations of creditworthiness. At December 31, 2007 and 2006, approximately 65% and 59%,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Leasehold interest in 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Airplanes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 to 20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to 20 years</w:t>
      </w:r>
    </w:p>
    <w:p>
      <w:pPr>
        <w:spacing w:after="0" w:line="188" w:lineRule="exact"/>
        <w:rPr>
          <w:sz w:val="20"/>
          <w:szCs w:val="20"/>
          <w:color w:val="auto"/>
        </w:rPr>
      </w:pPr>
    </w:p>
    <w:p>
      <w:pPr>
        <w:sectPr>
          <w:pgSz w:w="11900" w:h="16838" w:orient="portrait"/>
          <w:cols w:equalWidth="0" w:num="2">
            <w:col w:w="8340" w:space="720"/>
            <w:col w:w="2340"/>
          </w:cols>
          <w:pgMar w:left="240" w:top="459" w:right="259" w:bottom="1440" w:gutter="0" w:footer="0" w:header="0"/>
          <w:type w:val="continuous"/>
        </w:sect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$44.6 million, $29.5 million and $50 million was capitalized for the years ended December 31, 2007, 2006 and 2005,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Desert Inn, and trademarks. Indefinite-lived intangible assets are not amortized, but are periodically reviewed for impairment. The Company’s finite-lived intangible assets consist of a Macau gaming concession and show production rights. Finite-lived intangible assets are amortized over the shorter of their contractual terms or estimated useful lives.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$13.2 million, $14.4 million and $14 million was amortized to interest expense during the years ended December 31, 2007, 2006 and 2005, respectively. Debt discounts incurred in connection with the issuance of debt have been capitalized and is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swap fair value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commissions and points earned in customer loyalty programs, such as the player’s club loyalty program.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$ 26,712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$ 17,470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70,827</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61,200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38,629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4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w:t>
            </w:r>
          </w:p>
        </w:tc>
      </w:tr>
      <w:tr>
        <w:trPr>
          <w:trHeight w:val="222"/>
        </w:trPr>
        <w:tc>
          <w:tcPr>
            <w:tcW w:w="6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112,172</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$ 99,458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$ 65,035</w:t>
            </w: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$25.8 million, $19.9 million and $18.3 million, respectively, for the years ended December 31, 2007, 2006 and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consisting primarily of direct salaries and wages, legal and consulting fees, insurance, and utilities and travel, are expensed as incurred. The Company incurred pre-opening costs in connection with Wynn Las Vegas, prior to its opening on April 28, 2005 and Wynn Macau, prior to its opening on September 6, 2006 and continues to incur such costs related to Encore and Wynn Diamond Suites.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The Company accounts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SFAS No. 109 requires recognition of a future tax benefit to the extent that realization of such benefit is more likely than not. Otherwise, a valuation allowance is applied. During the Company’s development stage, it accumulated significant net operating losses, which generated significant deferred tax assets. Because of the Company’s limited operating history, it had previously fully reserved these net deferred tax assets. On September 11, 2006, the Company recorded a gain of $899.4 million on the sale of the subconcession right. Accordingly the Company determined that a substantial portion of these net deferred tax assets have become more likely than not realizable as defined by SFAS No. 109.</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FASB Interpretation No. 48 (“FIN 48”) “Accounting for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 48 applies to all tax positions related to income taxes subject to SFAS No. 109. FIN 48 utilizes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tax positions failing to qualify for initial recognition are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years ended December 31, 2007, 2006 and 2005, the Company recognized no amounts for interest or penalties.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accounts for currency translation in accordance with SFAS No. 52, “Foreign Currency Translation.” Gains or losses from foreign currency remeasurements are included currently in net income (loss) and have not been material to date.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Earnings (loss) per share are calculated in accordance with SFAS No. 128, “Earnings Per Share.” SFAS No. 128 provides for the reporting of “basic”, or undiluted earnings per share (“EPS”), and “diluted” EPS. Basic EPS is computed by dividing net income (loss) by the weighted average number of shares outstanding during the year. Diluted EPS reflects the addition of potentially dilutive securities which for the Company includes: stock options, nonvested stock, and the 6% Convertible Subordinated Debentures due 2015 (the “Debentures”) which were all converted into common stock in July 2007 (see Note 7 “Long Term Debt”).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2006 and 2005 consisted of the following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(loss) per 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99,998</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98,308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6,655</w:t>
            </w:r>
          </w:p>
        </w:tc>
        <w:tc>
          <w:tcPr>
            <w:tcW w:w="780" w:type="dxa"/>
            <w:vAlign w:val="bottom"/>
          </w:tcPr>
          <w:p>
            <w:pPr>
              <w:jc w:val="right"/>
              <w:spacing w:after="0"/>
              <w:rPr>
                <w:sz w:val="20"/>
                <w:szCs w:val="20"/>
                <w:color w:val="auto"/>
              </w:rPr>
            </w:pPr>
            <w:r>
              <w:rPr>
                <w:rFonts w:ascii="Arial" w:cs="Arial" w:eastAsia="Arial" w:hAnsi="Arial"/>
                <w:sz w:val="18"/>
                <w:szCs w:val="18"/>
                <w:color w:val="auto"/>
              </w:rPr>
              <w:t>11,629</w:t>
            </w: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and common equivalent shares outstanding (used in calculation of diluted earnings (loss) per</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111,627</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3"/>
              </w:rPr>
              <w:t>98,308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calculation of diluted EPS for the year ended December 31, 2007 includes an addition to net income to reflect the interest expense, net of related tax effects, of $5.1 million that would not have been incurred on the Debentures had they been converted as of the beginning of the year up to the conversion date.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calculation of diluted EPS for the year ended December 31, 2006 includes an addition to net income to reflect the interest expense, net of related tax effects, of $9.5 million and the distribution to convertible debenture holders of $58.5 million that would not have been incurred on the Debentures had they been converted as of the beginning of the year.</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year ended December 31, 2005, the Company recorded a net loss. Accordingly, the assumed exercise of stock options and the potential conversion of the Debentures were anti-dilutive. As a result, basic EPS is equal to diluted EPS for the year. Potentially dilutive securities that were excluded from the calculation of diluted EPS at December 31, 2005 because including them would have been anti-dilutive, included 3,459,800 shares under stock options, 789,169 shares under nonvested stock grants and 10,869,550 shares under the assumed conversion of the Debentures.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In December 2004, the Financial Accounting Standards Board (“FASB”) issued SFAS No. 123(R), “Share Based Payment”. This statement is a revision of SFAS No. 123, “Accounting for Stock-Based Compensation” and supersedes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 the Black-Scholes valuation model to determine the estimated fair value for each option grant issued. The Black-Scholes determined fair value net of estimated forfeitures is amortized as compensation cost on a straight line basis over the service period. In applying the modified prospective method, financial statements of prior periods presented do not reflect any adjusted amounts (i.e. prior periods do not include compensation cost calculated under the fair value method).</w:t>
      </w:r>
    </w:p>
    <w:p>
      <w:pPr>
        <w:spacing w:after="0" w:line="108"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Further information on the Company’s share-based compensation arrangements is included in Note 15 “Benefit Plans—Share-Based Compensation”. 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(“FIN 48”) “Accounting for Uncertainty in Income Taxes”. This interpretation clarifies the accounting for uncertainty in income taxes recognized in a company’s financial statements in accordance with SFAS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was effective January 1, 2007. The Company recorded a $2 million cumulative effect adjustment to accumulated deficit in the first quarter of 2007 as a result of the adoption of FIN 48. See Note 17 “Income Taxes” for additional information.</w:t>
      </w:r>
    </w:p>
    <w:p>
      <w:pPr>
        <w:spacing w:after="0" w:line="14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will not have a material impact the Company’s consolidated financial statements after it is adopted on January 1, 2008.</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was effective on January 1, 2007. The Company has historically and will continue to record taxes collected from customers on a net basis. Accordingly, the adoption of EITF Issue No. 06-03 did not have an effect on the Company’s results of operation or financial position.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2006 have been reclassified to be consistent with the current year presentation. These reclassifications had no effect on the previously reported net income.</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$216,166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Hotel</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19,464</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245,205</w:t>
            </w: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(66,146)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179,059</w:t>
            </w:r>
          </w:p>
        </w:tc>
        <w:tc>
          <w:tcPr>
            <w:tcW w:w="4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1"/>
              </w:rPr>
              <w:t>$  615,894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1,799,321</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1,553,447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77,326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896,060</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66,983</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67,187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921,747</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345,377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4,377,331</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3,415,258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(437,352)</w:t>
            </w:r>
          </w:p>
        </w:tc>
        <w:tc>
          <w:tcPr>
            <w:tcW w:w="4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(257,636)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3,939,979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3,157,622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2007 and 2006, construction in progress includes interest and other costs capitalized in conjunction with Encore, the expansion at Wynn Macau which was completed during 2007 and Wynn Diamond Suites.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Macau</w:t>
            </w:r>
          </w:p>
        </w:tc>
        <w:tc>
          <w:tcPr>
            <w:tcW w:w="120" w:type="dxa"/>
            <w:vAlign w:val="bottom"/>
          </w:tcPr>
          <w:p>
            <w:pPr>
              <w:spacing w:after="0"/>
              <w:rPr>
                <w:sz w:val="14"/>
                <w:szCs w:val="14"/>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Show</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49"/>
        </w:trPr>
        <w:tc>
          <w:tcPr>
            <w:tcW w:w="2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Gaming</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Intangibles,</w:t>
            </w:r>
          </w:p>
        </w:tc>
      </w:tr>
      <w:tr>
        <w:trPr>
          <w:trHeight w:val="161"/>
        </w:trPr>
        <w:tc>
          <w:tcPr>
            <w:tcW w:w="2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Concession</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Rights</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$ 39,317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11,250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57,980</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Additions</w:t>
            </w:r>
          </w:p>
        </w:tc>
        <w:tc>
          <w:tcPr>
            <w:tcW w:w="13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14,497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6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December 31, 2006</w:t>
            </w:r>
          </w:p>
        </w:tc>
        <w:tc>
          <w:tcPr>
            <w:tcW w:w="1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36,933</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20,789</w:t>
            </w:r>
          </w:p>
        </w:tc>
        <w:tc>
          <w:tcPr>
            <w:tcW w:w="5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65,135</w:t>
            </w:r>
          </w:p>
        </w:tc>
        <w:tc>
          <w:tcPr>
            <w:tcW w:w="60" w:type="dxa"/>
            <w:vAlign w:val="bottom"/>
          </w:tcPr>
          <w:p>
            <w:pPr>
              <w:spacing w:after="0"/>
              <w:rPr>
                <w:sz w:val="19"/>
                <w:szCs w:val="19"/>
                <w:color w:val="auto"/>
              </w:rPr>
            </w:pPr>
          </w:p>
        </w:tc>
      </w:tr>
      <w:tr>
        <w:trPr>
          <w:trHeight w:val="217"/>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Amortization</w:t>
            </w:r>
          </w:p>
        </w:tc>
        <w:tc>
          <w:tcPr>
            <w:tcW w:w="13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(2,963)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(5,347)</w:t>
            </w:r>
          </w:p>
        </w:tc>
      </w:tr>
      <w:tr>
        <w:trPr>
          <w:trHeight w:val="27"/>
        </w:trPr>
        <w:tc>
          <w:tcPr>
            <w:tcW w:w="2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$ 34,549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17,826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60,074</w:t>
            </w:r>
          </w:p>
        </w:tc>
        <w:tc>
          <w:tcPr>
            <w:tcW w:w="60" w:type="dxa"/>
            <w:vAlign w:val="bottom"/>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Rêve” name. The water rights and trademarks are indefinite-lived assets and, accordingly, not amortized. Show production rights represent amounts paid to purchase the rights to “Monty Python’s Spamalot” and the “Le Rêve” production shows. On May 31, 2006, the Company entered into an agreement to acquire substantially all intellectual property rights related to “Le Rêve” which were previously only licensed to the Company. The Company paid $14.5 million to acquire substantially all of the rights in and to “Le Rêve”. The rights acquired enable the Company to produce, present, enhance, or alter the performance of “Le Rêve” after May 31, 2006. The Company expects that amortization of show production rights will be approximately $3.1 million for each of the years 2008 through 2012, approximately $1.9 million in 2013 and approximately $0.2 million in 2014.</w:t>
      </w:r>
    </w:p>
    <w:p>
      <w:pPr>
        <w:spacing w:after="0" w:line="11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gaming concession intangible is being amortized over the 20-year life of the concession. The Company expects that amortization of the gaming concession will be approximately $2.4 million each year from 2008 through 2021, and approximately $1.2 million in 2022.</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$38,986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$ 30,057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Base stock</w:t>
            </w:r>
          </w:p>
        </w:tc>
        <w:tc>
          <w:tcPr>
            <w:tcW w:w="5520" w:type="dxa"/>
            <w:vAlign w:val="bottom"/>
            <w:gridSpan w:val="3"/>
          </w:tcPr>
          <w:p>
            <w:pPr>
              <w:jc w:val="right"/>
              <w:ind w:right="560"/>
              <w:spacing w:after="0"/>
              <w:rPr>
                <w:sz w:val="20"/>
                <w:szCs w:val="20"/>
                <w:color w:val="auto"/>
              </w:rPr>
            </w:pPr>
            <w:r>
              <w:rPr>
                <w:rFonts w:ascii="Arial" w:cs="Arial" w:eastAsia="Arial" w:hAnsi="Arial"/>
                <w:sz w:val="18"/>
                <w:szCs w:val="18"/>
                <w:color w:val="auto"/>
              </w:rPr>
              <w:t>15,940</w:t>
            </w:r>
          </w:p>
        </w:tc>
        <w:tc>
          <w:tcPr>
            <w:tcW w:w="600" w:type="dxa"/>
            <w:vAlign w:val="bottom"/>
          </w:tcPr>
          <w:p>
            <w:pPr>
              <w:jc w:val="right"/>
              <w:spacing w:after="0"/>
              <w:rPr>
                <w:sz w:val="20"/>
                <w:szCs w:val="20"/>
                <w:color w:val="auto"/>
              </w:rPr>
            </w:pPr>
            <w:r>
              <w:rPr>
                <w:rFonts w:ascii="Arial" w:cs="Arial" w:eastAsia="Arial" w:hAnsi="Arial"/>
                <w:sz w:val="18"/>
                <w:szCs w:val="18"/>
                <w:color w:val="auto"/>
              </w:rPr>
              <w:t>21,155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38,855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rate swaps</w:t>
            </w:r>
          </w:p>
        </w:tc>
        <w:tc>
          <w:tcPr>
            <w:tcW w:w="438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Golf memberships</w:t>
            </w:r>
          </w:p>
        </w:tc>
        <w:tc>
          <w:tcPr>
            <w:tcW w:w="4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60" w:type="dxa"/>
            <w:vAlign w:val="bottom"/>
          </w:tcPr>
          <w:p>
            <w:pPr>
              <w:spacing w:after="0"/>
              <w:rPr>
                <w:sz w:val="19"/>
                <w:szCs w:val="19"/>
                <w:color w:val="auto"/>
              </w:rPr>
            </w:pPr>
          </w:p>
        </w:tc>
        <w:tc>
          <w:tcPr>
            <w:tcW w:w="5520" w:type="dxa"/>
            <w:vAlign w:val="bottom"/>
            <w:gridSpan w:val="3"/>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97,531</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$ 80,792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vMerge w:val="restart"/>
          </w:tcPr>
          <w:p>
            <w:pPr>
              <w:jc w:val="right"/>
              <w:ind w:right="2872"/>
              <w:spacing w:after="0"/>
              <w:rPr>
                <w:sz w:val="20"/>
                <w:szCs w:val="20"/>
                <w:color w:val="auto"/>
              </w:rPr>
            </w:pPr>
            <w:r>
              <w:rPr>
                <w:rFonts w:ascii="Arial" w:cs="Arial" w:eastAsia="Arial" w:hAnsi="Arial"/>
                <w:sz w:val="18"/>
                <w:szCs w:val="18"/>
                <w:color w:val="auto"/>
              </w:rPr>
              <w:t>76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3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w w:val="98"/>
              </w:rPr>
              <w:t xml:space="preserve">6 </w:t>
            </w:r>
            <w:r>
              <w:rPr>
                <w:rFonts w:ascii="Arial" w:cs="Arial" w:eastAsia="Arial" w:hAnsi="Arial"/>
                <w:sz w:val="22"/>
                <w:szCs w:val="22"/>
                <w:color w:val="auto"/>
                <w:w w:val="98"/>
                <w:vertAlign w:val="superscript"/>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First Mortgage Notes, due December 1, 2014, net of original issue discount of $10,816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$1,689,184</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$1,300,000</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w w:val="98"/>
              </w:rPr>
              <w:t>$1 billion Term Loan Facility, due June 21, 2010; interest at LIBOR plus 2.25% (approximately</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7.1%)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5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224,128</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rPr>
              <w:t>$900 million Wynn Las Vegas Revolving Credit Facility; due August 15, 2011; interest at</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LIBOR plus 1.625% (approximately 6.2% and 7.0% respectively)</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88,892</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7"/>
              </w:rPr>
              <w:t>$225 million Wynn Las Vegas Term Loan Facility; $112.5 million due September 30, 2012 with</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remaining $112.5 million due August 15, 2013; interest at LIBOR plus 1.875%</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6.9% and 7.2%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w w:val="98"/>
              </w:rPr>
              <w:t>$550 million Macau Senior Term Loan Facilities (as amended June 2007); due June 27, 2014;</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interest at LIBOR or HIBOR plus 1.75% (approximately 5.5% and 8.1%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549,995</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496,729</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7.7%)</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38,510</w:t>
            </w:r>
          </w:p>
        </w:tc>
      </w:tr>
      <w:tr>
        <w:trPr>
          <w:trHeight w:val="208"/>
        </w:trPr>
        <w:tc>
          <w:tcPr>
            <w:tcW w:w="736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 (approximately</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6.5% )</w:t>
            </w:r>
          </w:p>
        </w:tc>
        <w:tc>
          <w:tcPr>
            <w:tcW w:w="800" w:type="dxa"/>
            <w:vAlign w:val="bottom"/>
          </w:tcPr>
          <w:p>
            <w:pPr>
              <w:jc w:val="right"/>
              <w:spacing w:after="0"/>
              <w:rPr>
                <w:sz w:val="20"/>
                <w:szCs w:val="20"/>
                <w:color w:val="auto"/>
              </w:rPr>
            </w:pPr>
            <w:r>
              <w:rPr>
                <w:rFonts w:ascii="Arial" w:cs="Arial" w:eastAsia="Arial" w:hAnsi="Arial"/>
                <w:sz w:val="18"/>
                <w:szCs w:val="18"/>
                <w:color w:val="auto"/>
              </w:rPr>
              <w:t>40,950</w:t>
            </w:r>
          </w:p>
        </w:tc>
        <w:tc>
          <w:tcPr>
            <w:tcW w:w="5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w w:val="97"/>
              </w:rPr>
              <w:t>$32.5 million Note Payable; due August 10, 2012; interest at LIBOR plus 1.15% (approximately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31,417</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Note payable—Aircraft; interest at 5.67%</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13,274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0"/>
        </w:trPr>
        <w:tc>
          <w:tcPr>
            <w:tcW w:w="7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3,536,612</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2,386,652</w:t>
            </w: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r>
      <w:tr>
        <w:trPr>
          <w:trHeight w:val="20"/>
        </w:trPr>
        <w:tc>
          <w:tcPr>
            <w:tcW w:w="7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3,533,339</w:t>
            </w:r>
          </w:p>
        </w:tc>
        <w:tc>
          <w:tcPr>
            <w:tcW w:w="5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2,380,537</w:t>
            </w:r>
          </w:p>
        </w:tc>
      </w:tr>
      <w:tr>
        <w:trPr>
          <w:trHeight w:val="20"/>
        </w:trPr>
        <w:tc>
          <w:tcPr>
            <w:tcW w:w="7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85" w:lineRule="exact"/>
        <w:rPr>
          <w:sz w:val="20"/>
          <w:szCs w:val="20"/>
          <w:color w:val="auto"/>
        </w:rPr>
      </w:pPr>
    </w:p>
    <w:p>
      <w:pPr>
        <w:ind w:firstLine="456"/>
        <w:spacing w:after="0" w:line="252" w:lineRule="auto"/>
        <w:rPr>
          <w:sz w:val="20"/>
          <w:szCs w:val="20"/>
          <w:color w:val="auto"/>
        </w:rPr>
      </w:pPr>
      <w:r>
        <w:rPr>
          <w:rFonts w:ascii="Arial" w:cs="Arial" w:eastAsia="Arial" w:hAnsi="Arial"/>
          <w:sz w:val="17"/>
          <w:szCs w:val="17"/>
          <w:color w:val="auto"/>
        </w:rPr>
        <w:t xml:space="preserve">On December 14, 2004, Wynn Las Vegas, LLC and Wynn Las Vegas Capital Corp. (together, the “Issuers”) issued $1.3 billion aggregate principal amount of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(the “First Mortgage Notes”). The First Mortgage Notes mature on December 1, 2014 and bear interest at the rate of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year. The Company pays interest on the First Mortgage Notes on June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and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7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all amounts on deposit from time to time (currently $31.1 million) in a completion guarantee deposit account maintained by Wynn Completion Guarantor, LLC; (2) a first priority pledge of all of the member’s interests owned by Wynn Las Vegas, LLC in its subsidiaries (other than Wynn Completion Guarantor, LLC) and of Wynn Resorts Holdings, LLC’s 100% member’s interest in Wynn Las Vegas, LLC; (3) first mortgages on all real property constituting Wynn Las Vegas, its golf course and Encore; and (4)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67"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On November 6, 2007, the Issuers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“Additional Notes”). The Additional Notes were issued under the same indenture as the First Mortgage Notes issued on December 14, 2004.</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the Issuers may not offer or sell the Additional Notes within the United States to, or for the account or benefit of, any United States person unless the offer or sale would qualify for a registration exemption from the Securities Act and applicable state securities laws. The Issuers have agreed to make an offer to exchange the Additional Notes for registered, publicly traded notes that have substantially identical terms as the Additional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Billion Term Loan Facility</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On June 21, 2007, the Company entered into a $1 billion term loan facility (the “Term Loan Facility”). Borrowings under the Term Loan Facility are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Facility will mature and be payable on June 21, 2010. The Term Loan Facility was available to fund (a) the Company’s equity repurchase program announced on June 7, 2007 and (b) up to $350 million for general corporate purposes. Of the $1 billion drawn, $500 million has been included as restricted cash in the accompanying Consolidated Balance Sheet as of December 31, 2007 as such amount may only be used to fund the Company’s equity repurchases.</w:t>
      </w:r>
    </w:p>
    <w:p>
      <w:pPr>
        <w:spacing w:after="0" w:line="1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Loans under the Term Loan Facility accrue interest, at the election of the Company, at either the London Interbank Offer Rate (“LIBOR”) or a Base Rate, plus a borrowing margin as described below. Interest on LIBOR loans is payable at the end of the applicable interest period in the case of interest periods of one, two or three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Facility commitment exceeded the outstanding amount of the Term Loan Facility.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6% Convertible Subordinated Debentures due July 15, 2015</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July 2003, the Company sold $250 million aggregate principal amount of the Debentures. The Company paid interest on the Debentures on January 15 and July 15 of each year, beginning January 15, 2004. The Company contributed a total of approximately $44 million to a subsidiary, Wynn Resorts Funding, LLC, which purchased U.S. government securities to secure the payment of scheduled interest payments occurring in 2004, 2005 and 2006 as required by the indenture governing the Debentures.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$1,000 principal amount of the Debentures was convertible at each holder’s option into 43.4782 shares of the Company’s common stock (subject to adjustment as provided in the indenture governing the Debentures), a conversion rate equivalent to a conversion price of $23 per share. The Company had the ability to redeem some or all of the Debentures for cash on or after July 20, 2007, at prices specified in the indenture governing the Debentures. In addition, the holders could have required the Company to repurchase all or a portion of their Debentures, subject to certain exceptions, following a change of control of the Company.</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 ended December 31, 2006, approximately $25.9 million principal amount of the Debentures were converted into 1,124,862 shares of the common stock of the Company. Accordingly, long-term debt was reduced by approximately $25.9 million, equity was increased by approximately $25.5 million and deferred financing costs were reduced by approximately $0.4 million.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15, 2007, the Company announced that it had called for redemption on July 20, 2007, all of the outstanding principal amount of the Debentures. Prior to redemption, in July 2007, all of the holders converted their Debentures into shares of the Company’s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the Company’s common stock. Accordingly, long-term debt was reduced by $224.1 million, equity was increased by $218.9 million, and deferred financing costs were reduced by approximately $5.2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December 14, 2004, Wynn Las Vegas, LLC entered into a credit agreement and related ancillary agreements for secured revolving credit and term loan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facilities in the aggregate amount of $1 billion. The credit facilities consisted of a revolving credit facility (the “Wynn Las Vegas Revolver”)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 million and a term loan facility (the “Wynn Las Vegas Term Loan”) in the amount of $400 million. The Wynn Las Vegas Revolver was to terminate and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in full on December 14, 2009, and the Wynn Las Vegas Term Loan was to mature on December 14, 2011.</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Wynn Las Vegas Revolver from $600 million to $900 million and reducing the Wynn Las Vegas Term Loan from $400 million to $225 million.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$900 million Wynn Las Vegas Revolver and the $225 million Wynn Las Vegas Term Loan are herein referred to as the “Wynn Las Vegas Credit Facilities”. In August 2006, the maturity dates for the Wynn Las Vegas Revolver and the Wynn Las Vegas Term Loan were extended to August 15, 2011 and August 15, 2013, respectively. One half of the Wynn Las Vegas Term Loan is due on September 30, 2012 and the remaining half is due August 15, 2013.</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calculating interest, loans under the Wynn Las Vegas Credit Facilities will be designated, at the election of Wynn Las Vegas, LLC, as Eurodollar Loans or, in certain circumstances, Base Rate Loans. Eurodollar Loans under the Wynn Las Vegas Revolver and Wynn Las Vegas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Wynn Las Vegas Revolver and Wynn Las Vegas Term Loans, respectively. Interest on Base Rate Loans will be payable quarterly in arrears.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After the opening of Encore, the applicable borrowing margins for the Wynn Las Vegas Revolver will be based on Wynn Las Vegas, LLC’s leverage ratio, ranging from 1% to 1.75% per annum for Eurodollar Loans and 0% to 0.75% per annum for Base Rate Loans. Until then, Wynn Las Vegas, LLC will pay, quarterly in arrears, 0.375% per annum on the daily average of unborrowed availability under the Wynn Las Vegas Revolver. After opening Encore, the annual fee Wynn Las Vegas, LLC will be required to pay for unborrowed availability under the Wynn Las Vegas Revolver will be based on Wynn Las Vegas, LLC’s leverage ratio, ranging from 0.25% to 0.50% per annum.</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all amounts on deposit from time to time (currently $31.1 million) in a completion guarantee deposit account maintained by Wynn Completion Guarantor, LLC; (2) all amounts on deposit from time to time in a secured account holding the proceeds of the Wynn Las Vegas Credit Facilities; (3) a first priority pledge of all member’s interests owned by Wynn Las Vegas, LLC in its subsidiaries (other than Wynn Completion Guarantor, LLC) and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an aircraft beneficially owned by World Travel, LLC.</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equal in right of payment with their existing and future senior indebtedness, including indebtedness with respect to the First Mortgage Notes and ranks senior in right of payment to all of their existing and future subordinated indebtedness.</w:t>
      </w:r>
    </w:p>
    <w:p>
      <w:pPr>
        <w:spacing w:after="0" w:line="14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After opening Encore, Wynn Las Vegas, LLC will also be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Wynn Las Vegas Credit Facilities.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April 2007, the Company amended the Wynn Las Vegas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October 2007, the Company further amended the Wynn Las Vegas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September 14, 2004, Wynn Macau, S.A. executed a definitive credit agreement and related ancillary agreements for a senior secured bank facility of $397 million (the “Wynn Macau Credit Facility”). The Wynn Macau Credit Facility consisted of term loan facilities in the amount of $382 million (in a combination of Hong Kong and US dollars) and a revolving working capital facility of HK$117 million (approximately US$15 million).</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September 2005, to accommodate Wynn Macau’s expansion, the Wynn Macau Credit Facility was amended to expand availability under the facility from $397 million to $764 million, including $729 million of senior term loan facilities, a HK$117 million revolving credit facility (approximately US$15 million), and an additional term loan facility of HK$156 million (approximately US$20 million).</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June 27, 2007, the Company amended the Wynn Macau Credit Facility dated September 2005 and entered into related amendments and agreements with a syndicate of lenders. The amended agreements took effect on June 29, 2007 and expand availability under the Wynn Macau Credit Facility from $764 million to $1.550 billion, in a combination of Hong Kong and US dollars, including a $550 million equivalent in fully-funded senior term loan facilities (the “Wynn Macau Term Loan”), and a $1 billion senior revolving credit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facility (the “Wynn Macau Revolver”). Wynn Macau also has the ability to upsize the total facilities by an additional $50 million pursuant to the terms and provisions of the agreements. The senior credit facilities described in this paragraph are collectively referred to herein as the “Wynn Macau Credit Facilities”.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Wynn Macau Term Loan is required to be repaid in quarterly installments, commencing in September 2011. Borrowings under the Wynn Macau Credit Facilities currently bear interest at LIBOR or the Hong Kong Interbank Offer Rate (“HIBOR”) plus a margin of 1.75%.</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part of the amendment to the Wynn Macau Credit Facilities, Wynn Resorts, Limited’s remaining support obligations to Wynn Macau and the $30 million in contingent equity previously provided by the Company have been released.</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September 2004, in connection with the initial financing of the Wynn Macau project, Wynn Macau, S.A. entered into a Bank Guarantee Reimbursement Agreement with BNU to secure a guarantee in the amount of 700 million Patacas (approximately US$87.1 million) that was effective until March 31, 2007. The amount of this guarantee was reduced to $300 million Patacas (approximately 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under the terms of the concession agreement.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Prior to April 1, 2007, BNU was paid an annual fee for the guarantee not to exceed approximately 12.3 million Macau Patacas (approximately US$1.5 million), and after April 1, 2007, $5.2 million Macau Patacas (approximately US$0.7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and $42 Million Note Payable for Aircraft</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terminates and is payable in full on March 31, 2010. The term loans are guaranteed by Wynn Las Vegas, LLC and secured by a first priority security interest in one of the Company’s aircraft. Principal and interest is payable quarterly, and interest is calculated at LIBOR plus a margin of 2.375%. In addition to scheduled amortization payments, the borrower is required to prepay the loans if certain events of loss with respect to the aircraft occur.</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aircraft. Principal and interest payments are made quarterly and began on July 1, 2007. Principal payments are $350,000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$32.5 Million Note Payable for Aircraft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May 10, 2007, World Travel G-IV, LLC., a subsidiary of Wynn Resorts, entered into a $32.5 million term loan credit facility to finance the purchase of an aircraft. The loan bears interest at LIBOR plus 1.15% and will mature on August 10, 2012. Principal and interest payments are made quarterly beginning July 1, 2007. Principal payments are approximately $542,000 with a balloon payment of $21.1 million due at maturity.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Payable—Aircraft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November 2007, the Company redeemed this note using proceeds from the sale of the aircraft securing this note.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book value of the First Mortgage Notes at December 31, 2007 was approximately $1.7 billion. The net book value of the First Mortgage Notes and the Debentures at December 31, 2006 was approximately $1.3 billion and $224.1 million, respectively. The estimated fair value of the First Mortgage Notes based upon most recent trades at December 31, 2007 was approximately $1.67 billion. The estimated fair value of the First Mortgage Notes and the Debentures based upon most recent trades at December 31, 2006 was approximately $1.3 billion and $916 million, respectively. The net book value of the Company’s other debt instruments approximates fair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1,003,567</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77,524</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282,065</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6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2,177,422</w:t>
            </w:r>
          </w:p>
        </w:tc>
      </w:tr>
      <w:tr>
        <w:trPr>
          <w:trHeight w:val="216"/>
        </w:trPr>
        <w:tc>
          <w:tcPr>
            <w:tcW w:w="17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3,547,428</w:t>
            </w:r>
          </w:p>
        </w:tc>
      </w:tr>
      <w:tr>
        <w:trPr>
          <w:trHeight w:val="20"/>
        </w:trPr>
        <w:tc>
          <w:tcPr>
            <w:tcW w:w="17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Interest Rate Swaps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two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 (or decrease) in swap fair value as a component of other income (expense), because the interest rate swaps do not qualify for hedge accounting.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as of December 31, 2007 and 2006. The fair value approximates the amount the Company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Net Total</w:t>
            </w: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Rate Swap</w:t>
            </w:r>
          </w:p>
        </w:tc>
      </w:t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89"/>
              </w:rPr>
              <w:t>Wynn</w:t>
            </w:r>
          </w:p>
        </w:tc>
        <w:tc>
          <w:tcPr>
            <w:tcW w:w="64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Wynn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Asset</w:t>
            </w:r>
          </w:p>
        </w:tc>
      </w:tr>
      <w:tr>
        <w:trPr>
          <w:trHeight w:val="161"/>
        </w:trPr>
        <w:tc>
          <w:tcPr>
            <w:tcW w:w="65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0"/>
              </w:rPr>
              <w:t>Las Vegas</w:t>
            </w:r>
          </w:p>
        </w:tc>
        <w:tc>
          <w:tcPr>
            <w:tcW w:w="6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Macau</w:t>
            </w:r>
          </w:p>
        </w:tc>
        <w:tc>
          <w:tcPr>
            <w:tcW w:w="28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(Liability)</w:t>
            </w:r>
          </w:p>
        </w:tc>
      </w:tr>
      <w:tr>
        <w:trPr>
          <w:trHeight w:val="201"/>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Asset (liability) fair value:</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At December 31, 2007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(2,679)</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 December 31, 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6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Wynn Las Vegas Term Loan borrowings. Pursuant to the terms of this interest 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two interest rate swaps to hedge a portion of the underlying interest rate risk on future borrowings under the Wynn Macau Credit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US$140.3 million), in exchange for receipts on the same amounts at a variable interest rate based on the applicable HIBOR at the time of payment. Both swap agreements terminate on November 28, 2008.</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interest rate swaps are expected to be highly effective in fixing the interest rate on approximately 100% of the US dollar and approximately 35% of the Hong Kong dollar borrowings under the senior bank facility at approximately 6.59% and 6.52%, respectively.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February 1, 2008, the Company entered into an interest rate swap to hedge the underlying interest rate risk on all of the borrowings under the $1 billion Term Loan Facility.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consisted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7620" w:type="dxa"/>
            <w:vAlign w:val="bottom"/>
          </w:tcPr>
          <w:p>
            <w:pPr>
              <w:spacing w:after="0"/>
              <w:rPr>
                <w:sz w:val="14"/>
                <w:szCs w:val="14"/>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$258,148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(2,811)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255,337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628,634</w:t>
            </w:r>
          </w:p>
        </w:tc>
        <w:tc>
          <w:tcPr>
            <w:tcW w:w="6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December 31, 2007 and 2006, accumulated other comprehensive income consists solely of currency translation adjustments. For the year ended December 31, 2005, the impact of the currency translation adjustment on the financial statements of the Company was not material.</w:t>
      </w:r>
    </w:p>
    <w:p>
      <w:pPr>
        <w:spacing w:after="0" w:line="160" w:lineRule="exact"/>
        <w:rPr>
          <w:sz w:val="20"/>
          <w:szCs w:val="20"/>
          <w:color w:val="auto"/>
        </w:rPr>
      </w:pPr>
    </w:p>
    <w:p>
      <w:pPr>
        <w:ind w:left="240" w:right="8940" w:hanging="232"/>
        <w:spacing w:after="0" w:line="417" w:lineRule="auto"/>
        <w:tabs>
          <w:tab w:leader="none" w:pos="407"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the personal use of household employees, construction work and other personal services. Mr. Wynn and other officers have deposits with the Company to prepay any such items, which are replenished on an ongoing basis as needed. At December 31, 2007 and 2006, Mr. Wynn and the other officers had a credit balance with the Company of $357,145 and $315,000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Subsequently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Contract Termination Fee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On May 28, 2006, the Company ended a production show that had performed at Wynn Las Vegas. To terminate the contract, the Company paid a termination fee of $5 million, which was recorded in the first quarter of 2006 in accordance with the liability recognition provisions of SFAS No. 146,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Costs Associated with Exit or Disposal Activities</w:t>
      </w:r>
      <w:r>
        <w:rPr>
          <w:rFonts w:ascii="Arial" w:cs="Arial" w:eastAsia="Arial" w:hAnsi="Arial"/>
          <w:sz w:val="18"/>
          <w:szCs w:val="18"/>
          <w:color w:val="auto"/>
        </w:rPr>
        <w: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abandoned/retired for remodels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$70,242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$14,100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10,144</w:t>
            </w:r>
          </w:p>
        </w:tc>
        <w:tc>
          <w:tcPr>
            <w:tcW w:w="5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charges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60,857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25,060</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14,297</w:t>
            </w:r>
          </w:p>
        </w:tc>
      </w:tr>
      <w:tr>
        <w:trPr>
          <w:trHeight w:val="20"/>
        </w:trPr>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year ended December 31, 2007 include the following charges at Wynn Macau: (a) a $10.2 million charge for the abandonment of costs related to portions of the main kitchen, warehouse, and restaurants to enable the main casino to be connected with the expansion; (b) a $10 million charge related to the abandonment of a parking garage to make way for the Wynn Diamond Suites; (c) a $22.1 million charge related to significant casino and retail reconfigurations in the expansion; and (d) a $15.5 million charge related to the abandonment of a theater. The remaining property charges were related to the renovations to portions of the Le Rêve Theater, abandonment of a marquee sign, two retail outlet conversions, a change to one of our nightclubs at Wynn Las Vegas, as well as the remodeling of certain areas at Wynn Macau. Offsetting these charges for the year ended December 31, 2007 is a gain of $9.4 million on the sale of a company aircraft.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Included in property charges and other for 2006 are approximately $14.9 million of costs relating to assets retired or abandoned. Also, in December 2006, Wynn Macau donated an early Ming dynasty vase to the Macau Museum. The Company purchased the vase in May 2006 for approximately $10.1 million. The vase had been on public display at Wynn Macau prior to its donation to the museum. This contribution is included in other in the table above. Included in property charges and other for 2005 are approximately $9.4 million of costs relating to assets retired, and approximately $3.1 million of expenses relating to the abandonment of improvements made to the temporary offices utilized during part of the construction and development of Wynn Las Vegas.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Company also wrote off approximately $1.6 million of costs incurred in 2005 in connection with the preliminary design and development of a third theater originally planned for a new show production for Wynn Las Vegas which was later abandoned.</w:t>
      </w:r>
    </w:p>
    <w:p>
      <w:pPr>
        <w:spacing w:after="0" w:line="207" w:lineRule="exact"/>
        <w:rPr>
          <w:sz w:val="20"/>
          <w:szCs w:val="20"/>
          <w:color w:val="auto"/>
        </w:rPr>
      </w:pPr>
    </w:p>
    <w:p>
      <w:pPr>
        <w:ind w:left="240" w:right="9400" w:hanging="232"/>
        <w:spacing w:after="0" w:line="391" w:lineRule="auto"/>
        <w:tabs>
          <w:tab w:leader="none" w:pos="407"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2007 and 2006, 114,370,090 shares and 101,887,031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18"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On June 7, 2007, the Board of Directors of Wynn Resorts authorized an equity repurchase program of up to $1.2 billion which may include purchases of both its Common Stock and its Debentures. The repurchase program may include repurchases from time to time through open market purchases or negotiated transactions, depending upon market conditions. As of December 31, 2007, the Company had repurchased 1,889,321 shares of the Company’s Common Stock through open market purchases for a net cost of $179.3 million, at an average cost of $94.89 per share.</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October 3, 2007, the Company completed a secondary common stock offering of 4,312,500 shares with net proceeds of $154 per share or $664.1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2007,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Cash Distributions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19, 2007, the Company’s Board of Directors declared a cash distribution of $6 per share on its outstanding Common Stock. This distribution was paid on December 10, 2007 to stockholders of record on November 30, 2007. For the year ended December 31, 2007, $686.1 million was recorded as a distribution in the accompanying Consolidated Statements of Stockholders’ Equity. Of this amount approximately $3.3 million was recorded as a liability which will be paid to the holders of nonvested stock upon the vesting of that stock.</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November 13, 2006, the Company’s Board of Directors declared a cash distribution of $6 per share on its outstanding Common Stock. This distribution was paid on December 4, 2006, to stockholders of record as of November 23, 2006. As part of this distribution, the Company made a payment to the holders of its Debentures so that they participated in the distribution to the same extent as if they had converted their Debentures to common stock. The Company paid holders of the Debentures a cash amount equal to $260.87 per $1,000 principal amount which equates to $58.5 million. In accordance with the indenture governing the Debentures, as a result of the payment, no adjustment was made to the conversion price. The payment was recorded as a Distribution to Convertible Debenture Holders in the accompanying Consolidated Statement of Operations for the year ended December 31, 2006. The remaining $611.3 million was recorded as a distribution in the accompanying Consolidated Statement of Stockholders’ Equity for the year ended December 31, 2006. Of this amount approximately $3 million was recorded as a liability which will be paid to the holders of nonvested stock upon the vesting of that stock.</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an expense for matching contributions of approximately $4.9 million, $3.4 million and $804,000 for the years ended December 31, 2007, 2006 and 2005, respectively.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$4.5 million, $4.6 million and $1.3 million under such plans for the years ended December 31, 2007, 2006 and 2005,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Stock Plan. However, only employees of the Company are eligible to receive incentive stock options.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December 31, 2007, 4,430,712 shares remain available for the grant of stock options or nonvested shares of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2007, and the changes during the year then ended is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Contractual Term</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2,342,625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46.01</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138.43</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(270,700)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33.91</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(57,500)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47.49</w:t>
            </w: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1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2,024,425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48.04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130,003,488</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Exercisable at December 31, 2007</w:t>
            </w:r>
          </w:p>
        </w:tc>
        <w:tc>
          <w:tcPr>
            <w:tcW w:w="1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30.98</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55,354,483</w:t>
            </w:r>
          </w:p>
        </w:tc>
        <w:tc>
          <w:tcPr>
            <w:tcW w:w="0" w:type="dxa"/>
            <w:vAlign w:val="bottom"/>
          </w:tcPr>
          <w:p>
            <w:pPr>
              <w:spacing w:after="0" w:line="20" w:lineRule="exact"/>
              <w:rPr>
                <w:sz w:val="1"/>
                <w:szCs w:val="1"/>
                <w:color w:val="auto"/>
              </w:rPr>
            </w:pPr>
          </w:p>
        </w:tc>
      </w:tr>
      <w:tr>
        <w:trPr>
          <w:trHeight w:val="209"/>
        </w:trPr>
        <w:tc>
          <w:tcPr>
            <w:tcW w:w="366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678,925</w:t>
            </w:r>
          </w:p>
        </w:tc>
        <w:tc>
          <w:tcPr>
            <w:tcW w:w="3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2007, 2006 and 2005 was $52.40, $31.01 and $22.81, respectively. The total intrinsic value of the options exercised for the years ended December 31, 2007, 2006 and 2005 was $21.4 million, $72.5 million and $2.9 million, respectively. Net cash proceeds from the exercise of stock options were $9.2 million, $21.8 million and $1.4 million for the years ended December 31, 2007, 2006 and 2005, respectively. No tax benefits were recognized since these benefits did not reduce taxes payable.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2007 and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 Average Grant</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Date 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502,500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56,500</w:t>
            </w:r>
          </w:p>
        </w:tc>
        <w:tc>
          <w:tcPr>
            <w:tcW w:w="5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(57,500)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(12,000)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489,500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value. Expected volatility is based on implied and historical factors related to the Company’s Common Stock. Expected term represents the weighted average time between the option’s grant date and its exercise date. For option grants issued during 2006, the Company used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Years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7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6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37.1%</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32.5%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35.3%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7.0</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adoption of SFAS No. 123(R) and the related interpretations on January 1, 2006 resulted in the Company’s elimination of approximately $15.8 million of deferred compensation against additional paid-in capital. It also resulted in the recognition of approximately $10.9 million ($0.08 and $0.07, per basic and diluted share, respectively) and $11.6 million ($0.08 and $0.07, per basic and diluted share, respectively) of compensation expense related to stock options for the years ended December 31, 2007 and 2006, respectively.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compensation cost relating to stock options, during the year ended December 31, 2007, the Company recognized compensation expense related to nonvested shares of Common Stock of approximately $7.6 million ($0.05 per basic and diluted share). Approximately $26.3 million of unamortized compensation cost relating to nonvested shares of Common Stock at December 31, 2007 will be recognized as compensation over the vesting period of the related grants through November 2016. The total fair value of the shares vested during the years ended December 31, 2007, 2006, and 2005 was $3.9 million, $11.2 million and $5.3 million, respectively.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years ended December 31, 2006 and 2005, the Company recognized compensation expense related to the nonvested shares of Common Stock of approximately $5.1 million ($0.03 per basic and diluted share), and $4.7 million ($0.05 per share), respectively. In addition, approximately $1.3 million and $2.2 million was capitalized to construction in progress in the years ended December 31, 2006 and 2005, respectfully.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2007</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Rooms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12,023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Pre-opening</w:t>
            </w:r>
          </w:p>
        </w:tc>
        <w:tc>
          <w:tcPr>
            <w:tcW w:w="3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18,527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16,712</w:t>
            </w:r>
          </w:p>
        </w:tc>
        <w:tc>
          <w:tcPr>
            <w:tcW w:w="0" w:type="dxa"/>
            <w:vAlign w:val="bottom"/>
          </w:tcPr>
          <w:p>
            <w:pPr>
              <w:spacing w:after="0"/>
              <w:rPr>
                <w:sz w:val="1"/>
                <w:szCs w:val="1"/>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costs</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19,336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18,065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40" w:type="dxa"/>
            <w:vAlign w:val="bottom"/>
            <w:vMerge w:val="restart"/>
          </w:tcPr>
          <w:p>
            <w:pPr>
              <w:jc w:val="right"/>
              <w:ind w:right="287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permitted by SFAS No. 148, “Accounting for Stock-Based Compensation—Transition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year ended December 31, 2005. Accordingly, compensation expense was recognized only to the extent that the market value at the date of grant exceeded the exercise price. The following table illustrates the effect on the net loss if the Company had applied the fair value recognition provisions of SFAS No. 123 to stock-based employee compensation (amounts in thousands):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84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Add: stock-based compensation recorded for acceleration of employee options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total stock-based employee compensation expenses determined under the fair-value based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method for all awards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Proforma net loss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(98,698)</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Sale of Macau Subconcession Right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4, 2006, Wynn Macau, S.A. entered into an agreement with Publishing &amp; Broadcasting, Ltd. (“PBL”) pursuant to which Wynn Macau, S.A.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agreed to sell to PBL for $900 million, the right to negotiate with the government of Macau for a subconcession to allow PBL to operate casinos in Macau.</w:t>
      </w:r>
    </w:p>
    <w:p>
      <w:pPr>
        <w:spacing w:after="0" w:line="18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September 8, 2006, the government of Macau approved the sale of the subconcession right. On September 11, 2006, Wynn Macau, S.A. completed the sale to PBL and received a cash payment of $900 million. As a result of the sale and the subconcession awarded to PBL by the government of Macau, Wynn Macau, S.A. has no continuing rights or obligations with respect to the subconcession. The proceeds from this sale, net of related costs, are recorded as gain on sale of subconcession right in the accompanying Consolidated Statements of Operations for the year ended December 31, 2006.</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income (loss) before taxes for domestic and foreign operations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$151,390</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(28,893)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(38,641)</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Foreign</w:t>
            </w:r>
          </w:p>
        </w:tc>
        <w:tc>
          <w:tcPr>
            <w:tcW w:w="37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175,843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828,122</w:t>
            </w:r>
          </w:p>
        </w:tc>
        <w:tc>
          <w:tcPr>
            <w:tcW w:w="4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(52,195)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327,233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799,229</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(90,836)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700" w:type="dxa"/>
            <w:vAlign w:val="bottom"/>
            <w:vMerge w:val="restart"/>
          </w:tcPr>
          <w:p>
            <w:pPr>
              <w:jc w:val="right"/>
              <w:ind w:right="1432"/>
              <w:spacing w:after="0"/>
              <w:rPr>
                <w:sz w:val="20"/>
                <w:szCs w:val="20"/>
                <w:color w:val="auto"/>
              </w:rPr>
            </w:pPr>
            <w:r>
              <w:rPr>
                <w:rFonts w:ascii="Arial" w:cs="Arial" w:eastAsia="Arial" w:hAnsi="Arial"/>
                <w:sz w:val="18"/>
                <w:szCs w:val="18"/>
                <w:color w:val="auto"/>
              </w:rPr>
              <w:t>91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7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provision for income taxes consisted of the following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Federal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87,164</w:t>
            </w:r>
          </w:p>
        </w:tc>
      </w:tr>
      <w:tr>
        <w:trPr>
          <w:trHeight w:val="230"/>
        </w:trPr>
        <w:tc>
          <w:tcPr>
            <w:tcW w:w="4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87,164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Federal</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70,286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82,931</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(2,134)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4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68,152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83,337</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69,085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170,501</w:t>
            </w:r>
          </w:p>
        </w:tc>
      </w:tr>
      <w:tr>
        <w:trPr>
          <w:trHeight w:val="20"/>
        </w:trPr>
        <w:tc>
          <w:tcPr>
            <w:tcW w:w="43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tax effects of significant temporary differences representing net deferred tax assets and liabilities consisted of the following (amounts in thousands):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Receivables, inventories, accrued liabilities and other</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operating loss carryforwards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Pre-opening costs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41,015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Intangibles and related other</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Syndication costs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compensation</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186,133</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181,470</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Deferred tax liabilities—U.S.: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Prepaid insurance, Maintenance and taxes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Property and equipment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(162,387)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(179,462)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Undistributed earnings of foreign subsidiaries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(146,000)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(141,098)</w:t>
            </w: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Interest rate swap valuation adjustment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(313,744)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(330,059)</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Deferred tax assets—Foreign:</w:t>
            </w:r>
          </w:p>
        </w:tc>
        <w:tc>
          <w:tcPr>
            <w:tcW w:w="2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Pre-opening costs and other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Pre-opening costs and other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operating loss carryforwards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Deferred tax liabilities—Foreign:</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Property equipment and other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(128,207)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(83,337)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780" w:type="dxa"/>
            <w:vAlign w:val="bottom"/>
            <w:vMerge w:val="restart"/>
          </w:tcPr>
          <w:p>
            <w:pPr>
              <w:jc w:val="right"/>
              <w:ind w:right="2472"/>
              <w:spacing w:after="0"/>
              <w:rPr>
                <w:sz w:val="20"/>
                <w:szCs w:val="20"/>
                <w:color w:val="auto"/>
              </w:rPr>
            </w:pPr>
            <w:r>
              <w:rPr>
                <w:rFonts w:ascii="Arial" w:cs="Arial" w:eastAsia="Arial" w:hAnsi="Arial"/>
                <w:sz w:val="18"/>
                <w:szCs w:val="18"/>
                <w:color w:val="auto"/>
                <w:w w:val="99"/>
              </w:rPr>
              <w:t>92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78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7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7"/>
              </w:rPr>
              <w:t>35.0%</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(35.0)%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160" w:type="dxa"/>
            <w:vAlign w:val="bottom"/>
            <w:gridSpan w:val="2"/>
          </w:tcPr>
          <w:p>
            <w:pPr>
              <w:jc w:val="right"/>
              <w:ind w:right="512"/>
              <w:spacing w:after="0"/>
              <w:rPr>
                <w:sz w:val="20"/>
                <w:szCs w:val="20"/>
                <w:color w:val="auto"/>
              </w:rPr>
            </w:pPr>
            <w:r>
              <w:rPr>
                <w:rFonts w:ascii="Arial" w:cs="Arial" w:eastAsia="Arial" w:hAnsi="Arial"/>
                <w:sz w:val="18"/>
                <w:szCs w:val="18"/>
                <w:color w:val="auto"/>
              </w:rPr>
              <w:t>(9.0)%</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net: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Distribution to Debenture Holders</w:t>
            </w:r>
          </w:p>
        </w:tc>
        <w:tc>
          <w:tcPr>
            <w:tcW w:w="11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 reconciliation</w:t>
            </w:r>
          </w:p>
        </w:tc>
        <w:tc>
          <w:tcPr>
            <w:tcW w:w="11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Non-taxable Foreign Income</w:t>
            </w:r>
          </w:p>
        </w:tc>
        <w:tc>
          <w:tcPr>
            <w:tcW w:w="1160" w:type="dxa"/>
            <w:vAlign w:val="bottom"/>
            <w:gridSpan w:val="2"/>
          </w:tcPr>
          <w:p>
            <w:pPr>
              <w:jc w:val="right"/>
              <w:ind w:right="512"/>
              <w:spacing w:after="0"/>
              <w:rPr>
                <w:sz w:val="20"/>
                <w:szCs w:val="20"/>
                <w:color w:val="auto"/>
              </w:rPr>
            </w:pPr>
            <w:r>
              <w:rPr>
                <w:rFonts w:ascii="Arial" w:cs="Arial" w:eastAsia="Arial" w:hAnsi="Arial"/>
                <w:sz w:val="18"/>
                <w:szCs w:val="18"/>
                <w:color w:val="auto"/>
                <w:w w:val="88"/>
              </w:rPr>
              <w:t>(10.0)%</w:t>
            </w:r>
          </w:p>
        </w:tc>
        <w:tc>
          <w:tcPr>
            <w:tcW w:w="114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Non-deductible foreign property charges</w:t>
            </w: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Increase in liability for uncertain tax positions</w:t>
            </w:r>
          </w:p>
        </w:tc>
        <w:tc>
          <w:tcPr>
            <w:tcW w:w="1160" w:type="dxa"/>
            <w:vAlign w:val="bottom"/>
            <w:gridSpan w:val="2"/>
          </w:tcPr>
          <w:p>
            <w:pPr>
              <w:jc w:val="right"/>
              <w:ind w:right="572"/>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Valuation allowance</w:t>
            </w:r>
          </w:p>
        </w:tc>
        <w:tc>
          <w:tcPr>
            <w:tcW w:w="1160" w:type="dxa"/>
            <w:vAlign w:val="bottom"/>
            <w:gridSpan w:val="2"/>
          </w:tcPr>
          <w:p>
            <w:pPr>
              <w:jc w:val="right"/>
              <w:ind w:right="572"/>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(11.9)%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r>
      <w:tr>
        <w:trPr>
          <w:trHeight w:val="27"/>
        </w:trPr>
        <w:tc>
          <w:tcPr>
            <w:tcW w:w="6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tax rate</w:t>
            </w:r>
          </w:p>
        </w:tc>
        <w:tc>
          <w:tcPr>
            <w:tcW w:w="11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97"/>
              </w:rPr>
              <w:t>21.1%</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21.3%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0"/>
        </w:trPr>
        <w:tc>
          <w:tcPr>
            <w:tcW w:w="6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its development stage, the Company accumulated significant net operating losses. Accordingly, at December 31, 2007, the Company has estimated available tax loss carryforwards of approximately $510 million for U.S. income tax purposes, which expire between 2022 and 2027. The Company has foreign tax loss carryforwards of approximately $94 million as of December 31, 2007, which are partially reserved and expire in 2010. The Company’s tax loss carryforwards include a tax deduction of $9.2 million associated with the conversion of the Debentures into common stock; the tax benefit of $3.2 million is credited directly to shareholders’ equity as of December 31, 2007. The Company’s tax loss carryforwards also include income tax deductions associated with tax benefits resulting from the exercise of nonqualified stock options and the value of vested restricted stock of $120.6 million, $90 million and $24.4 million as of December 31, 2007, 2006 and 2005, respectively, in excess of the amounts reported for such items as compensation costs under SFAS No. 123(R) that have not yet reduced income taxes payable. The company uses a with-and-without approach to determine if the excess tax deductions associated with compensation costs under SFAS No. 123(R) have reduced income taxes payable. The deferred tax asset for net operating loss carryforwards in the above table of temporary differences excludes amounts relating to items that have not yet reduced taxes payable. Accordingly, no deferred tax asset has been recorded for these amounts. Subsequent recognition of income tax benefits associated with these items will be allocated to additional paid-in capital.</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SFAS No. 109 requires recognition of a future tax benefit to the extent that realization of such benefit is more likely than not. Otherwise, a valuation allowance is applied. During its development stage, the Company accumulated significant net operating losses, which generated significant deferred tax assets. Because of the Company’s limited operating history, the Company had previously fully reserved these net deferred tax assets. On September 11, 2006, the Company recorded a gain on the sale of the subconcession right in Macau (See Note 16 “Sale of Macau Subconcession Right”). Accordingly the Company determined that a substantial portion of these net deferred tax assets have become more likely than not realizable as defined by SFAS No. 109. During 2007, the aggregate valuation allowance for deferred tax assets increased by $3.4 million and during 2006 it decreased by $107.6 million. The 2007 increase is primarily due to foreign tax loss carryforwards that are not more likely than not realizable. The 2006 decrease was primarily due to the recognition of net U.S. deferred tax assets, the write off of foreign deferred tax assets considered no longer realizable and the write off of tax loss carryforwards attributable to tax deductions in excess of the amounts reported as stock compensation costs under SFAS 123(R) that have not yet reduced income taxes payable under this statement. The Company maintains valuation allowances for deferred tax assets that it determines are not yet more likely than not realizable.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December 31, 2007, 2006 and 2005 U.S. valuation allowances, approximately $3.8 million for each year is attributable to syndication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recognition of income tax benefit associated with this item will be allocated to additional paid-in capital.</w:t>
      </w:r>
    </w:p>
    <w:p>
      <w:pPr>
        <w:spacing w:after="0" w:line="165"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Company has not provided deferred U.S. income taxes or foreign withholding taxes on temporary differences of approximately $494 million and $297.1 million for the years ended December 31, 2007 and 2006, respectively, resulting from earnings of certain non-U.S. subsidiaries which are permanently reinvested outside the United States. The amount of the unrecognized deferred tax liability without regard to potential foreign tax credits associated with these temporary differences is approximately $172.9 million and $103.9 million for the years ended December 31, 2007 and 2006, respectively.</w:t>
      </w:r>
    </w:p>
    <w:p>
      <w:pPr>
        <w:spacing w:after="0" w:line="9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$26.4 million ($0.25 and $0.23 per basic and diluted share, respectively) and $4.7 million ($0.05 and $0.04 per basic and diluted share, respectively) in such taxes for the years ended December 31, 2007 and 2006, respectively. The Company’s non-gaming profits remain subject to the Macau Complementary Tax and its casino winnings remain subject to the Macau Special Gaming tax and other levies in accordance with its concession agreement.</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income tax returns in the U.S. federal jurisdiction, and various states and foreign jurisdictions. The Company’s income tax returns are subject to examination by the Internal Revenue Service (“IRS”) and other tax authorities in the locations where it operates. As of December 31, 2007, the Company has filed domestic income tax returns for the years 2002 to 2006 and foreign income tax returns for 2002 to 2006. The Company’s 2002 to 2006 domestic income tax returns remain subject to examination by the IRS and the Company’s 2002 to 2006 Macau income tax returns remain subject to examination by the Macau Finance Bureau. During the third quarter of 2007, the IRS commenced an examination of the Company’s U.S income tax returns for the 2004 and 2005 tax years.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adoption of FIN 48 on January 1, 2007, the Company assessed potentially unfavorable outcomes of such examinations based on the criteria of SFAS No. 5, “Accounting for Contingencies”. Quarterly, the Company reviews any potentially unfavorable tax outcome and when an unfavorable outcome was identified as probable and could be reasonably estimated, the Company then established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January 1, 2007, the Company adopted the provisions of FIN 48 which effectively amended SFAS No. 5 with respect to income taxes. Accordingly, the Company’s income tax recognition policy related to uncertain income tax positions in no longer covered by SFAS No. 5. As a result of the implementation of FIN 48, the Company has recognized a total liability for unrecognized tax benefits of approximately $45.4 million, $2 million of which was accounted for as an increase to the January 1, 2007 balance of accumulated deficit as a cumulative effect adjustment. Approximately $10 million of such unrecognized tax benefit would, if recognized, impact the effective tax rate. A reconciliation of the beginning and ending amount of unrecognized tax benefits is as follows (amounts in thousands):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$45,471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580" w:type="dxa"/>
            <w:vAlign w:val="bottom"/>
          </w:tcPr>
          <w:p>
            <w:pPr>
              <w:jc w:val="right"/>
              <w:spacing w:after="0"/>
              <w:rPr>
                <w:sz w:val="20"/>
                <w:szCs w:val="20"/>
                <w:color w:val="auto"/>
              </w:rPr>
            </w:pPr>
            <w:r>
              <w:rPr>
                <w:rFonts w:ascii="Arial" w:cs="Arial" w:eastAsia="Arial" w:hAnsi="Arial"/>
                <w:sz w:val="18"/>
                <w:szCs w:val="18"/>
                <w:color w:val="auto"/>
              </w:rPr>
              <w:t>17,962</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(4,573)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89,216</w:t>
            </w:r>
          </w:p>
        </w:tc>
        <w:tc>
          <w:tcPr>
            <w:tcW w:w="60" w:type="dxa"/>
            <w:vAlign w:val="bottom"/>
            <w:shd w:val="clear" w:color="auto" w:fill="CCEEFF"/>
          </w:tcPr>
          <w:p>
            <w:pPr>
              <w:spacing w:after="0"/>
              <w:rPr>
                <w:sz w:val="18"/>
                <w:szCs w:val="18"/>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During the third quarter of 2007, the IRS initiated an examination of the Company’s 2004 and 2005 tax returns. The Company does not anticipate resolution of the federal examinations during the next 12 months thus no significant increase or decrease is anticipated.</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incurred, the Company would recognize penalties and interest related to unrecognized tax benefits in the provision for income taxes. During the years ended December 31, 2007, 2006 and 2005, the Company recognized no interest or penalties.</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Approximately $58.4 million of FIN 48 liabilities related to U.S. and foreign uncertain tax positions that increase the NOL deferred tax asset are classified as a reduction of the NOL deferred tax asset in the net deferred tax asset and liability table above. Other uncertain tax positions not increasing the NOL deferred tax asset have increased the liability for uncertain tax positions.</w:t>
      </w:r>
    </w:p>
    <w:p>
      <w:pPr>
        <w:spacing w:after="0" w:line="215" w:lineRule="exact"/>
        <w:rPr>
          <w:sz w:val="20"/>
          <w:szCs w:val="20"/>
          <w:color w:val="auto"/>
        </w:rPr>
      </w:pPr>
    </w:p>
    <w:p>
      <w:pPr>
        <w:ind w:left="240" w:right="8500" w:hanging="232"/>
        <w:spacing w:after="0" w:line="347" w:lineRule="auto"/>
        <w:tabs>
          <w:tab w:leader="none" w:pos="407"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u w:val="single" w:color="auto"/>
          <w:color w:val="auto"/>
        </w:rPr>
        <w:t>Construction and Enhancements.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made and continues to make certain enhancements and refinements to Wynn Las Vegas.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incurred and will continue to incur capital expenditures related to these enhancements and refinements. Under the terms of the Wynn Las Vegas Credit Facilities, the Company is permitted up to $172.2 million of capital expenditures in 2007, of which $60.1 million was spent. For 2008, the limit under the Wynn Las Vegas Credit Facilities is $272.1 million including $112.1 million which is carried forward from 2007. These spending limits do not apply to any funds that may be contributed to Wynn Las Vegas, LLC by Wynn Resorts.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u w:val="single" w:color="auto"/>
          <w:color w:val="auto"/>
        </w:rPr>
        <w:t>Encore Construction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Encore’s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in December 2008.</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project budget is currently estimated at approximately $2.2 billion, consisting of approximately $2.1 billion for Encore and approximately $100 million for an employee parking garage on our Koval property,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associated pedestrian bridge and costs incurred in connection with the theater remodeling and production of “Monty Python’s Spamalot” at Wynn Las Vegas. The project budget is being funded from the Wynn Las Vegas Credit Facilities, remaining proceeds from the Additional Notes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for work under the Contact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Through December 31, 2007, the Company incurred approximately $998.7 million of project costs related to the development and construction of Encore and related capital improvements.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u w:val="single" w:color="auto"/>
          <w:color w:val="auto"/>
        </w:rPr>
        <w:t>Construction and Enhancements.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made and continues to make certain enhancements and refinements to Wynn Macau. As a result,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incurred and will continue to incur capital expenditures related to these enhancements and refinements.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u w:val="single" w:color="auto"/>
          <w:color w:val="auto"/>
        </w:rPr>
        <w:t>Wynn Diamond Suites Construction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has commenced on a further expansion of Wynn Macau, the Wynn Diamond Suites. The</w:t>
      </w:r>
      <w:r>
        <w:rPr>
          <w:rFonts w:ascii="Arial" w:cs="Arial" w:eastAsia="Arial" w:hAnsi="Arial"/>
          <w:sz w:val="16"/>
          <w:szCs w:val="16"/>
          <w:i w:val="1"/>
          <w:iCs w:val="1"/>
          <w:color w:val="auto"/>
        </w:rPr>
        <w:t xml:space="preserve"> </w:t>
      </w:r>
      <w:r>
        <w:rPr>
          <w:rFonts w:ascii="Arial" w:cs="Arial" w:eastAsia="Arial" w:hAnsi="Arial"/>
          <w:sz w:val="16"/>
          <w:szCs w:val="16"/>
          <w:color w:val="auto"/>
        </w:rPr>
        <w:t>Wynn Diamond Suites is expected to open in the first half of 2010, will add a fully-integrated resort hotel to Wynn Macau with approximately 400 luxury suites and four villas along with restaurants, additional retail space and additional VIP gaming space. 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Wynn Diamond Suites. While the project budget is still being finalized, the company expects total costs to be approximately $600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31, 2007, the Company had incurred approximately $53 million of costs related to the Wynn Diamond Suites project.</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u w:val="single" w:color="auto"/>
          <w:color w:val="auto"/>
        </w:rPr>
        <w:t>Land Concession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Wynn Macau, S.A. has entered into a land concession contract for the Wynn Macau project site. Under the land concession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approximately $30.1 million and is required to make four additional semi-annual payments (including interest) totaling approximately $12.6 million for total payments of approximately $42.7 million. Wynn Macau, S.A. also paid approximately $18.4 million to an unrelated third party for its relinquishment of rights to a portion of the land. During the term of the land concession contract, Wynn Macau, S.A. is required to make annual lease payments of up to $400,000.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 has submitted an application with the government of Macau for a concession of land in Cotai for future development. The Company has reconfigured its site plans for 52 acres and is awaiting final approval. The Company is actively engaged in the design of the Cotai project.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other retail outlet and the Ferrari and Maserati automobile dealership at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7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$ 13,185</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7860" w:type="dxa"/>
            <w:vAlign w:val="bottom"/>
            <w:gridSpan w:val="2"/>
          </w:tcPr>
          <w:p>
            <w:pPr>
              <w:jc w:val="right"/>
              <w:spacing w:after="0"/>
              <w:rPr>
                <w:sz w:val="20"/>
                <w:szCs w:val="20"/>
                <w:color w:val="auto"/>
              </w:rPr>
            </w:pPr>
            <w:r>
              <w:rPr>
                <w:rFonts w:ascii="Arial" w:cs="Arial" w:eastAsia="Arial" w:hAnsi="Arial"/>
                <w:sz w:val="18"/>
                <w:szCs w:val="18"/>
                <w:color w:val="auto"/>
              </w:rPr>
              <w:t>14,825</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7860" w:type="dxa"/>
            <w:vAlign w:val="bottom"/>
            <w:gridSpan w:val="2"/>
          </w:tcPr>
          <w:p>
            <w:pPr>
              <w:jc w:val="right"/>
              <w:spacing w:after="0"/>
              <w:rPr>
                <w:sz w:val="20"/>
                <w:szCs w:val="20"/>
                <w:color w:val="auto"/>
              </w:rPr>
            </w:pPr>
            <w:r>
              <w:rPr>
                <w:rFonts w:ascii="Arial" w:cs="Arial" w:eastAsia="Arial" w:hAnsi="Arial"/>
                <w:sz w:val="18"/>
                <w:szCs w:val="18"/>
                <w:color w:val="auto"/>
              </w:rPr>
              <w:t>12,427</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7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r>
      <w:tr>
        <w:trPr>
          <w:trHeight w:val="216"/>
        </w:trPr>
        <w:tc>
          <w:tcPr>
            <w:tcW w:w="17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$ 66,748</w:t>
            </w:r>
          </w:p>
        </w:tc>
      </w:tr>
      <w:tr>
        <w:trPr>
          <w:trHeight w:val="20"/>
        </w:trPr>
        <w:tc>
          <w:tcPr>
            <w:tcW w:w="1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2007,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7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$ 16,905</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7860" w:type="dxa"/>
            <w:vAlign w:val="bottom"/>
            <w:gridSpan w:val="2"/>
          </w:tcPr>
          <w:p>
            <w:pPr>
              <w:jc w:val="right"/>
              <w:spacing w:after="0"/>
              <w:rPr>
                <w:sz w:val="20"/>
                <w:szCs w:val="20"/>
                <w:color w:val="auto"/>
              </w:rPr>
            </w:pPr>
            <w:r>
              <w:rPr>
                <w:rFonts w:ascii="Arial" w:cs="Arial" w:eastAsia="Arial" w:hAnsi="Arial"/>
                <w:sz w:val="18"/>
                <w:szCs w:val="18"/>
                <w:color w:val="auto"/>
              </w:rPr>
              <w:t>11,169</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5,526</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7860" w:type="dxa"/>
            <w:vAlign w:val="bottom"/>
            <w:gridSpan w:val="2"/>
          </w:tcPr>
          <w:p>
            <w:pPr>
              <w:jc w:val="right"/>
              <w:spacing w:after="0"/>
              <w:rPr>
                <w:sz w:val="20"/>
                <w:szCs w:val="20"/>
                <w:color w:val="auto"/>
              </w:rPr>
            </w:pPr>
            <w:r>
              <w:rPr>
                <w:rFonts w:ascii="Arial" w:cs="Arial" w:eastAsia="Arial" w:hAnsi="Arial"/>
                <w:sz w:val="18"/>
                <w:szCs w:val="18"/>
                <w:color w:val="auto"/>
              </w:rPr>
              <w:t>2,295</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7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16"/>
        </w:trPr>
        <w:tc>
          <w:tcPr>
            <w:tcW w:w="17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$ 40,051</w:t>
            </w:r>
          </w:p>
        </w:tc>
      </w:tr>
      <w:tr>
        <w:trPr>
          <w:trHeight w:val="20"/>
        </w:trPr>
        <w:tc>
          <w:tcPr>
            <w:tcW w:w="1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2007.</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and the first phase of Wynn Macau opened on September 6,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total assets by segment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5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3,558,877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3,037,509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1,724,039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1,016,366</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5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6,299,282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4,660,180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940" w:type="dxa"/>
            <w:vAlign w:val="bottom"/>
            <w:vMerge w:val="restart"/>
          </w:tcPr>
          <w:p>
            <w:pPr>
              <w:jc w:val="right"/>
              <w:ind w:right="3352"/>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results of operations by segment for the years ended December 31, 2007, 2006 and 2005 consisted of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0"/>
              </w:rPr>
              <w:t>Years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Wynn Las Vegas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1,295,381</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1,138,549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Macau</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1,392,138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2,687,519</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1,432,257</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721,981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EBITDA(1, 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Wynn Las Vegas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417,028</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332,753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Macau</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364,113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adjusted EBITDA</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781,141</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393,590</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Pre-opening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Property charges and other</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60,857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termination fee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Corporate expenses and other</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operating costs and expenses</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322,691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236,563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429,403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(24,556)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47,765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46,752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(143,777)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(148,017)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(102,699)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Distribution to convertible debenture holders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(58,477)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swap fair Value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Gain on sale of subconcession right,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vMerge w:val="restart"/>
          </w:tcPr>
          <w:p>
            <w:pPr>
              <w:ind w:left="200"/>
              <w:spacing w:after="0"/>
              <w:rPr>
                <w:sz w:val="20"/>
                <w:szCs w:val="20"/>
                <w:color w:val="auto"/>
              </w:rPr>
            </w:pPr>
            <w:r>
              <w:rPr>
                <w:rFonts w:ascii="Arial" w:cs="Arial" w:eastAsia="Arial" w:hAnsi="Arial"/>
                <w:sz w:val="18"/>
                <w:szCs w:val="18"/>
                <w:color w:val="auto"/>
              </w:rPr>
              <w:t>Total other non-operating costs and expenses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(102,170)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728,330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(66,280)</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799,229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(69,085)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(170,501)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and therefore had no revenues or EBITDA for 2005. Wynn Macau was open for a 117 days during the year ended December 31, 2006.</w:t>
      </w:r>
    </w:p>
    <w:p>
      <w:pPr>
        <w:spacing w:after="0" w:line="5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0"/>
        <w:spacing w:after="0" w:line="285" w:lineRule="auto"/>
        <w:rPr>
          <w:sz w:val="20"/>
          <w:szCs w:val="20"/>
          <w:color w:val="auto"/>
        </w:rPr>
      </w:pPr>
      <w:r>
        <w:rPr>
          <w:rFonts w:ascii="Arial" w:cs="Arial" w:eastAsia="Arial" w:hAnsi="Arial"/>
          <w:sz w:val="16"/>
          <w:szCs w:val="16"/>
          <w:color w:val="auto"/>
        </w:rPr>
        <w:t>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Quarterly Financial Information (Unaudited)</w:t>
      </w:r>
    </w:p>
    <w:p>
      <w:pPr>
        <w:spacing w:after="0" w:line="9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The following (amounts in thousands, except per share data) present selected quarterly financial information for 2007 and 2006, as previously reported. Because income (loss) per share amounts are calculated using the weighted average number of common and dilutive common equivalent shares outstanding during each quarter, the sum of the per share amounts for the four quarters may not equal the total income (loss) per share amounts for the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Year Ended December 31, 2007</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2"/>
              </w:rPr>
              <w:t>Second</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Fourth</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635,317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687,541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653,386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711,275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2,687,519</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108,179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126,153</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86,296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108,775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429,403</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65,453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258,148</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365"/>
        </w:trPr>
        <w:tc>
          <w:tcPr>
            <w:tcW w:w="3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b w:val="1"/>
                <w:bCs w:val="1"/>
                <w:color w:val="auto"/>
              </w:rPr>
              <w:t>Year Ended December 31, 2006</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2"/>
              </w:rPr>
              <w:t>Second</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4"/>
              </w:rPr>
              <w:t>Fourth</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277,225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273,370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318,092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563,570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1,432,257</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(18,709)</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78,193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70,899</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(20,070)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715,656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(55,424)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2400" w:type="dxa"/>
            <w:vAlign w:val="bottom"/>
          </w:tcPr>
          <w:p>
            <w:pPr>
              <w:jc w:val="right"/>
              <w:ind w:right="37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2007,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32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2007, the Company’s internal control over financial reporting was effective.</w:t>
      </w:r>
    </w:p>
    <w:p>
      <w:pPr>
        <w:spacing w:after="0" w:line="19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61.</w:t>
      </w:r>
    </w:p>
    <w:p>
      <w:pPr>
        <w:spacing w:after="0" w:line="85" w:lineRule="exact"/>
        <w:rPr>
          <w:sz w:val="20"/>
          <w:szCs w:val="20"/>
          <w:color w:val="auto"/>
        </w:rPr>
      </w:pPr>
    </w:p>
    <w:p>
      <w:pPr>
        <w:ind w:firstLine="464"/>
        <w:spacing w:after="0" w:line="306"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6, 2008, to be filed with the Securities and Exchange Commission within 120 days after December 31, 2007 (the “2008 Proxy Statement”) under the captions “Directors and Executive Officers, Further Information Concerning the Board of Directors-Corporate Governance,” “Company Charitable Contributions,” “Section 16(a) Beneficial Ownership Reporting Compliance,” and “Code of Ethics”,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2008 Proxy Statement under the caption “Directors and Executive Officer Compensation and Other Matters,” and is incorporated herein by reference.</w:t>
      </w:r>
    </w:p>
    <w:p>
      <w:pPr>
        <w:spacing w:after="0" w:line="248"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90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90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90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securities reflected</w:t>
            </w:r>
          </w:p>
        </w:tc>
        <w:tc>
          <w:tcPr>
            <w:tcW w:w="0" w:type="dxa"/>
            <w:vAlign w:val="bottom"/>
          </w:tcPr>
          <w:p>
            <w:pPr>
              <w:spacing w:after="0"/>
              <w:rPr>
                <w:sz w:val="1"/>
                <w:szCs w:val="1"/>
                <w:color w:val="auto"/>
              </w:rPr>
            </w:pPr>
          </w:p>
        </w:tc>
      </w:t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and Rights (a)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and Rights (b)</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in column (a)) (c)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48.04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48.04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2008 Proxy Statement under the caption “Security Ownership of Certain Beneficial Owners and Management,”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2008 Proxy Statement under the caption “Certain Relationships and Related Transactions, and Director Independence”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2008 Proxy Statement under the caption “Ratification of Appointment of Independent Public Accountants,”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1480" w:hanging="1019"/>
        <w:spacing w:after="0" w:line="268" w:lineRule="auto"/>
        <w:tabs>
          <w:tab w:leader="none" w:pos="14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of the Company are filed as part of this report under “Item. 8—Financial Statements and Supplemental Data.”</w:t>
      </w:r>
    </w:p>
    <w:p>
      <w:pPr>
        <w:spacing w:after="0" w:line="51" w:lineRule="exact"/>
        <w:rPr>
          <w:sz w:val="20"/>
          <w:szCs w:val="20"/>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Firms</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Balance Sheets as of December 31, 2007 and 2006</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2007, 2006 and 2005</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Stockholder Equity for the years ended December 31, 2007, 2006 and 2005</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2007, 2006 and 2005</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0"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filed in Part IV of this report are listed below;</w:t>
      </w:r>
    </w:p>
    <w:p>
      <w:pPr>
        <w:spacing w:after="0" w:line="90" w:lineRule="exact"/>
        <w:rPr>
          <w:sz w:val="20"/>
          <w:szCs w:val="20"/>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1800" w:hanging="32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90" w:lineRule="exact"/>
        <w:rPr>
          <w:sz w:val="20"/>
          <w:szCs w:val="20"/>
          <w:color w:val="auto"/>
        </w:rPr>
      </w:pPr>
    </w:p>
    <w:p>
      <w:pPr>
        <w:ind w:left="920" w:right="120" w:firstLine="42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240" w:top="459"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I—CONDENSED FINANCIAL INFORMATION OF THE REGISTRANT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900" w:type="dxa"/>
            <w:vAlign w:val="bottom"/>
            <w:tcBorders>
              <w:bottom w:val="single" w:sz="8" w:color="0000EE"/>
            </w:tcBorders>
          </w:tcPr>
          <w:p>
            <w:pPr>
              <w:spacing w:after="0"/>
              <w:rPr>
                <w:rFonts w:ascii="Arial" w:cs="Arial" w:eastAsia="Arial" w:hAnsi="Arial"/>
                <w:sz w:val="18"/>
                <w:szCs w:val="18"/>
                <w:color w:val="0000EE"/>
                <w:w w:val="84"/>
              </w:rPr>
            </w:pPr>
            <w:hyperlink w:anchor="page105">
              <w:r>
                <w:rPr>
                  <w:rFonts w:ascii="Arial" w:cs="Arial" w:eastAsia="Arial" w:hAnsi="Arial"/>
                  <w:sz w:val="18"/>
                  <w:szCs w:val="18"/>
                  <w:color w:val="0000EE"/>
                  <w:w w:val="84"/>
                </w:rPr>
                <w:t>Condensed Balance Sheets</w:t>
              </w:r>
            </w:hyperlink>
          </w:p>
        </w:tc>
        <w:tc>
          <w:tcPr>
            <w:tcW w:w="2360" w:type="dxa"/>
            <w:vAlign w:val="bottom"/>
            <w:gridSpan w:val="4"/>
          </w:tcPr>
          <w:p>
            <w:pPr>
              <w:spacing w:after="0"/>
              <w:rPr>
                <w:sz w:val="24"/>
                <w:szCs w:val="24"/>
                <w:color w:val="auto"/>
              </w:rPr>
            </w:pP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4260" w:type="dxa"/>
            <w:vAlign w:val="bottom"/>
            <w:gridSpan w:val="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Condensed Statements of Operations</w:t>
              </w:r>
            </w:hyperlink>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2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304"/>
        </w:trPr>
        <w:tc>
          <w:tcPr>
            <w:tcW w:w="4260" w:type="dxa"/>
            <w:vAlign w:val="bottom"/>
            <w:gridSpan w:val="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Condensed Statements of Cash Flows</w:t>
              </w:r>
            </w:hyperlink>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6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304"/>
        </w:trPr>
        <w:tc>
          <w:tcPr>
            <w:tcW w:w="4260" w:type="dxa"/>
            <w:vAlign w:val="bottom"/>
            <w:gridSpan w:val="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Notes to Condensed Financial Statements</w:t>
              </w:r>
            </w:hyperlink>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383"/>
        </w:trPr>
        <w:tc>
          <w:tcPr>
            <w:tcW w:w="19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6800" w:type="dxa"/>
            <w:vAlign w:val="bottom"/>
          </w:tcPr>
          <w:p>
            <w:pPr>
              <w:jc w:val="right"/>
              <w:ind w:right="5132"/>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2,337,575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2,021,156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3,272,710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2,110,911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 term debt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Wynn Las Vegas, LLC</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interest—due to subsidiaries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subsidiaries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1,324,551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5"/>
              </w:rPr>
              <w:t>Common stock, par value $0.01; 400,000,000 shares authorized; 116,259,411 and 101,887,031 shares issued;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114,370,090 and 101,887,031 shares outstanding</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1,889,321 and zero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(179,277)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2,273,078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(143,899)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1,948,159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1,645,585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3,272,710</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2,110,911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Wynn Las Vegas 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19,473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royalty fees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56,011</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19,772</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16,185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9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Equity in income (loss) of subsidiaries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308,827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744,529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(97,190)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344,477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753,022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(101,379)</w:t>
            </w: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37,629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(24,855)</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(20,515)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(58,477)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(16,043)</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(41,363)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328,434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711,659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(70,286)</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(82,931)</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628,728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106,030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112,685</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111,627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258,148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628,728</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(90,836)</w:t>
            </w: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income (loss) to net cash provided by (used in) operating activities: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70,286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82,931</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4,676</w:t>
            </w: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deferred financing costs and other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880"/>
              <w:spacing w:after="0"/>
              <w:rPr>
                <w:sz w:val="20"/>
                <w:szCs w:val="20"/>
                <w:color w:val="auto"/>
              </w:rPr>
            </w:pPr>
            <w:r>
              <w:rPr>
                <w:rFonts w:ascii="Arial" w:cs="Arial" w:eastAsia="Arial" w:hAnsi="Arial"/>
                <w:sz w:val="18"/>
                <w:szCs w:val="18"/>
                <w:color w:val="auto"/>
              </w:rPr>
              <w:t>Provision for doubtful accounts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7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Property charges and other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880"/>
              <w:spacing w:after="0"/>
              <w:rPr>
                <w:sz w:val="20"/>
                <w:szCs w:val="20"/>
                <w:color w:val="auto"/>
              </w:rPr>
            </w:pPr>
            <w:r>
              <w:rPr>
                <w:rFonts w:ascii="Arial" w:cs="Arial" w:eastAsia="Arial" w:hAnsi="Arial"/>
                <w:sz w:val="18"/>
                <w:szCs w:val="18"/>
                <w:color w:val="auto"/>
              </w:rPr>
              <w:t>Dividends received from subsidiary</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5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Equity in (income) loss of subsidiaries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5"/>
              </w:rPr>
              <w:t>(308,827)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(744,529)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880"/>
              <w:spacing w:after="0"/>
              <w:rPr>
                <w:sz w:val="20"/>
                <w:szCs w:val="20"/>
                <w:color w:val="auto"/>
              </w:rPr>
            </w:pPr>
            <w:r>
              <w:rPr>
                <w:rFonts w:ascii="Arial" w:cs="Arial" w:eastAsia="Arial" w:hAnsi="Arial"/>
                <w:sz w:val="18"/>
                <w:szCs w:val="18"/>
                <w:color w:val="auto"/>
              </w:rPr>
              <w:t>Increase (decrease) in cash from changes in: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Receivables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130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1300"/>
              <w:spacing w:after="0"/>
              <w:rPr>
                <w:sz w:val="20"/>
                <w:szCs w:val="20"/>
                <w:color w:val="auto"/>
              </w:rPr>
            </w:pPr>
            <w:r>
              <w:rPr>
                <w:rFonts w:ascii="Arial" w:cs="Arial" w:eastAsia="Arial" w:hAnsi="Arial"/>
                <w:sz w:val="18"/>
                <w:szCs w:val="18"/>
                <w:color w:val="auto"/>
              </w:rPr>
              <w:t>Due to (from) affiliates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(24,918)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(19,273)</w:t>
            </w:r>
          </w:p>
        </w:tc>
      </w:tr>
      <w:tr>
        <w:trPr>
          <w:trHeight w:val="27"/>
        </w:trPr>
        <w:tc>
          <w:tcPr>
            <w:tcW w:w="7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33,975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w w:val="95"/>
              </w:rPr>
              <w:t>(499,907)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926</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10,163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(10,459)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14,401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9,981</w:t>
            </w: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intercompany loans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347,313</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Pr>
          <w:p>
            <w:pPr>
              <w:ind w:left="440"/>
              <w:spacing w:after="0"/>
              <w:rPr>
                <w:sz w:val="20"/>
                <w:szCs w:val="20"/>
                <w:color w:val="auto"/>
              </w:rPr>
            </w:pPr>
            <w:r>
              <w:rPr>
                <w:rFonts w:ascii="Arial" w:cs="Arial" w:eastAsia="Arial" w:hAnsi="Arial"/>
                <w:sz w:val="18"/>
                <w:szCs w:val="18"/>
                <w:color w:val="auto"/>
              </w:rPr>
              <w:t>Proceeds from sale of equipment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r>
        <w:trPr>
          <w:trHeight w:val="216"/>
        </w:trPr>
        <w:tc>
          <w:tcPr>
            <w:tcW w:w="76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5"/>
              </w:rPr>
              <w:t>(486,584)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351,837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6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 term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4"/>
              </w:rPr>
              <w:t>1,000,000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664,125</w:t>
            </w: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distributions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5"/>
              </w:rPr>
              <w:t>(683,299)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(608,299)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21,790</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8"/>
                <w:szCs w:val="18"/>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treasury stock</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5"/>
              </w:rPr>
              <w:t>(179,277)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Payments for deferred financing costs and other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800,135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(586,509)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8"/>
                <w:szCs w:val="18"/>
                <w:color w:val="auto"/>
              </w:rPr>
            </w:pPr>
          </w:p>
        </w:tc>
      </w:tr>
      <w:tr>
        <w:trPr>
          <w:trHeight w:val="222"/>
        </w:trPr>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347,526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(253,271)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60" w:type="dxa"/>
            <w:vAlign w:val="bottom"/>
            <w:shd w:val="clear" w:color="auto" w:fill="CCEEFF"/>
          </w:tcPr>
          <w:p>
            <w:pPr>
              <w:spacing w:after="0"/>
              <w:rPr>
                <w:sz w:val="18"/>
                <w:szCs w:val="18"/>
                <w:color w:val="auto"/>
              </w:rPr>
            </w:pPr>
          </w:p>
        </w:tc>
      </w:tr>
      <w:tr>
        <w:trPr>
          <w:trHeight w:val="216"/>
        </w:trPr>
        <w:tc>
          <w:tcPr>
            <w:tcW w:w="76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32"/>
              <w:spacing w:after="0"/>
              <w:rPr>
                <w:sz w:val="20"/>
                <w:szCs w:val="20"/>
                <w:color w:val="auto"/>
              </w:rPr>
            </w:pPr>
            <w:r>
              <w:rPr>
                <w:rFonts w:ascii="Arial" w:cs="Arial" w:eastAsia="Arial" w:hAnsi="Arial"/>
                <w:sz w:val="18"/>
                <w:szCs w:val="18"/>
                <w:color w:val="auto"/>
              </w:rPr>
              <w:t>54,742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308,013</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302,262</w:t>
            </w:r>
          </w:p>
        </w:tc>
        <w:tc>
          <w:tcPr>
            <w:tcW w:w="60" w:type="dxa"/>
            <w:vAlign w:val="bottom"/>
          </w:tcPr>
          <w:p>
            <w:pPr>
              <w:spacing w:after="0"/>
              <w:rPr>
                <w:sz w:val="18"/>
                <w:szCs w:val="18"/>
                <w:color w:val="auto"/>
              </w:rPr>
            </w:pPr>
          </w:p>
        </w:tc>
      </w:tr>
      <w:tr>
        <w:trPr>
          <w:trHeight w:val="27"/>
        </w:trPr>
        <w:tc>
          <w:tcPr>
            <w:tcW w:w="7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year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402,268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308,013</w:t>
            </w:r>
          </w:p>
        </w:tc>
        <w:tc>
          <w:tcPr>
            <w:tcW w:w="60" w:type="dxa"/>
            <w:vAlign w:val="bottom"/>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ind w:left="240" w:right="7700" w:hanging="232"/>
        <w:spacing w:after="0" w:line="417" w:lineRule="auto"/>
        <w:tabs>
          <w:tab w:leader="none" w:pos="319"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Notes Receivable and Payable to Subsidiaries </w:t>
      </w:r>
      <w:r>
        <w:rPr>
          <w:rFonts w:ascii="Arial" w:cs="Arial" w:eastAsia="Arial" w:hAnsi="Arial"/>
          <w:sz w:val="15"/>
          <w:szCs w:val="15"/>
          <w:i w:val="1"/>
          <w:iCs w:val="1"/>
          <w:color w:val="auto"/>
        </w:rPr>
        <w:t>Note Receivable from Wynn Group Asia, Inc.</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23, 2005, the Company loaned $80 million to Wynn Group Asia, Inc., a wholly-owned subsidiary of the Company, to fund a portion of the construction costs for “Wynn Macau,” the casino resort facility owned and operated by Wynn Resorts (Macau), S.A., another wholly-owned indirect subsidiary of the Company, in the Macau Special Administrative Region of the People’s Republic of China (“Macau”).</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Interest on the note accrued at 7.5% per annum and was receivable semi-annually. During the year ended December 31, 2006 the Company recorded approximately $6 million in interest income related to this note. Unpaid principal and interest was scheduled for repayment on August 23, 2011. However, on November 1, 2006, the Company received approximately $81.1 million, representing Wynn Resorts (Macau), S.A.’s full repayment of principal and unpaid interest at that date.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to Wynn Las Vegas, LLC</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August 15, 2005, the Company borrowed $80 million from its wholly-owned subsidiary, Wynn Las Vegas, LLC, to fund a portion of the construction costs for Wynn Macau (see “Note Receivable from Wynn Group Asia, Inc.,” above). Interest is payable semi-annually at 7.5% per annum. Unpaid principal and interest is due at maturity on August 15,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approximately $6 million in interest expense related to this note during each of the years ended December 31, 2007 and 2006.</w:t>
      </w: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defined in the agreements governing Wynn Las Vegas, LLC’s debt instruments, unless certain financial and non-financial criteria have been satisfied. In addition, except for allowing the cash distribution of the proceeds of the sale of the subconcession right (see Note 14—Cash Distribution, in the Company’s consolidated financial statements included elsewhere in this Form 10-K), the terms of the loan agreements of Wynn Resorts (Macau), S.A. and the Wynn Resorts $1 billion term loan facility noted below contain similar restrictions. The Company received a cash dividend of $30 million from Wynn Group Asia in November 2006.</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Billion Term Loan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21, 2007, the Company entered into a $1 billion term loan facility (“Term Loan”). Borrowings under the Term Loan are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will mature and be payable on June 21, 2010. The Term Loan was available to fund (a) the Company’s equity repurchase program announced on June 7, 2007, and (b) up to $350 million for general corporate purposes. Of the $1 billion drawn, $500 million has been included as restricted cash in the accompanying Condensed Balance Sheet as of December 31, 2007 as such amount may only be used to fund the Company’s equity repurchases.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Loans under the Term Loan accrue interest, at the election of the Company, at either the London Interbank Offer Rate (“LIBOR”) or a Base Rate, plus a borrowing margin as described below. Interest on LIBOR loans are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commitment exceeded the outstanding amount of the Term Loan.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6% Convertible Subordinated Debentures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2003, the Company sold $250 million in aggregate principal amount of 6% Convertible Subordinated Debentures due 2015 (the “Debentures”).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June 15, 2007, the Company announced that it had called for redemption on July 20, 2007, all of the outstanding principal amount of the Debentures. Prior to redemption, all of the holders converted their Debentures into shares of the Company’s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the Company’s common stock. Accordingly, long-term debt was reduced by $224.1 million, equity was increased by $218.9 million, and deferred financing costs were reduced by approximately $5.2 million.</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Equity Repurchase Program</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June 7, 2007, the Board of Directors of Wynn Resorts authorized an equity repurchase program of up to $1.2 billion which may include purchases of both its common stock and its Debentures. The repurchase program may include repurchases from time to time through open market purchases or negotiated transactions, depending upon market conditions. As of December 31, 2007, the Company had repurchased 1,889,321 shares of the Company’s common stock through open market purchases for a net cost of $179.3 million, at an average cost of $94.89 per share.</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Common Stock Secondary Offering</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October 3, 2007, the Company completed a secondary common stock offering of 4,312,500 shares with net proceeds of $154 per share or $664.1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100" w:type="dxa"/>
            <w:vAlign w:val="bottom"/>
            <w:gridSpan w:val="4"/>
            <w:shd w:val="clear" w:color="auto" w:fill="CCEEFF"/>
          </w:tcPr>
          <w:p>
            <w:pPr>
              <w:jc w:val="center"/>
              <w:ind w:left="2292"/>
              <w:spacing w:after="0"/>
              <w:rPr>
                <w:sz w:val="20"/>
                <w:szCs w:val="20"/>
                <w:color w:val="auto"/>
              </w:rPr>
            </w:pPr>
            <w:r>
              <w:rPr>
                <w:rFonts w:ascii="Arial" w:cs="Arial" w:eastAsia="Arial" w:hAnsi="Arial"/>
                <w:sz w:val="18"/>
                <w:szCs w:val="18"/>
                <w:color w:val="auto"/>
                <w:w w:val="91"/>
              </w:rPr>
              <w:t>$ 35,527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100" w:type="dxa"/>
            <w:vAlign w:val="bottom"/>
            <w:gridSpan w:val="4"/>
            <w:shd w:val="clear" w:color="auto" w:fill="CCEEFF"/>
          </w:tcPr>
          <w:p>
            <w:pPr>
              <w:jc w:val="center"/>
              <w:ind w:left="2292"/>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4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20" w:type="dxa"/>
            <w:vAlign w:val="bottom"/>
          </w:tcPr>
          <w:p>
            <w:pPr>
              <w:jc w:val="right"/>
              <w:ind w:right="932"/>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hanging="36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  Exhibits</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5"/>
                <w:szCs w:val="15"/>
                <w:color w:val="auto"/>
              </w:rPr>
            </w:pPr>
          </w:p>
        </w:tc>
      </w:tr>
      <w:tr>
        <w:trPr>
          <w:trHeight w:val="209"/>
        </w:trPr>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w:t>
            </w:r>
          </w:p>
        </w:tc>
        <w:tc>
          <w:tcPr>
            <w:tcW w:w="6120" w:type="dxa"/>
            <w:vAlign w:val="bottom"/>
            <w:gridSpan w:val="2"/>
          </w:tcPr>
          <w:p>
            <w:pPr>
              <w:ind w:left="580"/>
              <w:spacing w:after="0"/>
              <w:rPr>
                <w:sz w:val="20"/>
                <w:szCs w:val="20"/>
                <w:color w:val="auto"/>
              </w:rPr>
            </w:pPr>
            <w:r>
              <w:rPr>
                <w:rFonts w:ascii="Arial" w:cs="Arial" w:eastAsia="Arial" w:hAnsi="Arial"/>
                <w:sz w:val="18"/>
                <w:szCs w:val="18"/>
                <w:color w:val="auto"/>
                <w:w w:val="89"/>
              </w:rPr>
              <w:t>Second Amended and Restated Articles of Incorporation of the Registrant.(1)</w:t>
            </w:r>
          </w:p>
        </w:tc>
        <w:tc>
          <w:tcPr>
            <w:tcW w:w="4820" w:type="dxa"/>
            <w:vAlign w:val="bottom"/>
          </w:tcPr>
          <w:p>
            <w:pPr>
              <w:spacing w:after="0"/>
              <w:rPr>
                <w:sz w:val="18"/>
                <w:szCs w:val="18"/>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Fourth Amended and Restated Bylaws of the Registrant, as amended.(32)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Indenture, dated as of July 7, 2003, governing the 6% Convertible Subordinated Debentures due 2015 by and among Wynn Resorts, Limited,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Subordinated Debenture due 2015 and Form of Notation of Guarantee).(3)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 U.S.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Bank National Association, as trustee.(4)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June 29, 2005, among Wynn Las Vegas, LLC, Wynn Las Vegas Capital Corp., the Guarantors set forth</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therein and U.S. Bank National Association, as trustee.(20)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Design-Build Agreement for Guaranteed Maximum Price Architectural, Engineering and Construction Services, dated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0"/>
              </w:rPr>
              <w:t>of September 14, 2005, between Wynn Resorts (Macau), S.A. as Owner and Leighton Contractors (Asia) -Limited, China State Construction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1"/>
              </w:rPr>
              <w:t>Engineering (Hong Kong) Limited, and China Construction Engineering (Macau) Company Limited, jointly and severally, the Contractor.(22)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Change Order No. 1 to Agreement for Guarantee Maximum Price Construction Services, dated as of May 25, 2006, by and between Leighton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5"/>
              </w:rPr>
              <w:t>Contractors (Asia) Limited, China State Construction Engineering (Hong Kong) Limited, and China Construction Engineering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Company Limited as Contractors and Wynn Resorts (Macau) S.A.(26)</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Change Order No. 2 to Agreement for Guarantee Maximum Price Construction Services, dated as of May 25, 2006, by and between Leighton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5"/>
              </w:rPr>
              <w:t>Contractors (Asia) Limited, China State Construction Engineering (Hong Kong) Limited, and China Construction Engineering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Company Limited as Contractors and Wynn Resorts (Macau) S.A.(26)</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Change Order No. 3 to Agreement for Guarantee Maximum Price Construction Services, dated as of May 25, 2006, by and between Leighton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w w:val="95"/>
              </w:rPr>
              <w:t>Contractors (Asia) Limited, China State Construction Engineering (Hong Kong) Limited, and China Construction Engineering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Company Limited as Contractors and Wynn Resorts (Macau) S.A.(26)</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800"/>
              <w:spacing w:after="0"/>
              <w:rPr>
                <w:sz w:val="20"/>
                <w:szCs w:val="20"/>
                <w:color w:val="auto"/>
              </w:rPr>
            </w:pPr>
            <w:r>
              <w:rPr>
                <w:rFonts w:ascii="Arial" w:cs="Arial" w:eastAsia="Arial" w:hAnsi="Arial"/>
                <w:sz w:val="18"/>
                <w:szCs w:val="18"/>
                <w:color w:val="auto"/>
              </w:rPr>
              <w:t>the Bank Agent, and U.S. Bank National Association, as Indenture Trustee.(17)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28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Employment Agreement, dated as of August 6, 2004, by and between Stephen A. Wynn and Wynn Resorts, Limited.(10)</w:t>
            </w:r>
          </w:p>
        </w:tc>
      </w:tr>
      <w:tr>
        <w:trPr>
          <w:trHeight w:val="28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8"/>
              </w:rPr>
              <w:t>Second Amendment to employment agreement between Wynn Resorts, Limited and Stephen A. Wynn dated January 31, 2007.(36)</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111</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90"/>
              </w:rPr>
              <w:t>*10.9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4, 2002, by and between Wynn Resorts, Limited and Marc D. Schorr.(13)</w:t>
            </w:r>
          </w:p>
        </w:tc>
      </w:tr>
      <w:tr>
        <w:trPr>
          <w:trHeight w:val="3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April 1, 2003, by and between Wynn Resorts, Limited and Ronald J. Kramer.(11)</w:t>
            </w:r>
          </w:p>
        </w:tc>
      </w:tr>
      <w:tr>
        <w:trPr>
          <w:trHeight w:val="324"/>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*10.11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July 18, 2003, by and between Wynn Resorts (Macau), S.A. and Grant Bowie.(18)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Resorts, Limited and John Strzemp.(23)</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10.13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w w:val="89"/>
              </w:rPr>
              <w:t>behalf of the Baron Asset Fund Series, Baron Asset Fund on behalf of the Baron Growth Fund Series, Kenneth R. Wynn Family Trust dated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February 20, 1985, Valvino Lamore, LLC and Wynn Resorts, Limited.(1)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Agreement.(14)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Grant Notice.(13)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Restricted Stock Agreement.(13)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Indemnity Agreement.(13)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9"/>
              </w:rPr>
              <w:t>Stockholders Agreement, dated as of April 11, 2002, by and among Stephen A. Wynn, Baron Asset Fund and Aruze USA, Inc.(7)</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Amendment to Stockholders Agreement as of November 8, 2006 (30)</w:t>
            </w:r>
          </w:p>
        </w:tc>
      </w:tr>
      <w:tr>
        <w:trPr>
          <w:trHeight w:val="277"/>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Shareholders Agreement, dated as of September 16, 2004 by and among Wynn Resorts (Macau), Ltd., Wong Chi Seng</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and Wynn Resorts (Macau), S.A.(10)</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 Special Administrative Region, dated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of Concession Agreement).(8)</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Concession Contract for Operating Casino Gaming or Other Forms of Gaming in the Macao Special Administrative Region, dated June 24, 2002,</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w w:val="91"/>
              </w:rPr>
              <w:t>between the Macau Special Administrative Region and Wynn Resorts (Macau) S.A. (English translation of Chinese version of Concession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Agreement).(12)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 S.A.</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June 13, 2002, by and between Stephen A. Wynn and Wynn Resorts, Limited.(8)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8"/>
              </w:rPr>
              <w:t>Surname Rights Agreement, dated as of August 6, 2004, by and between Stephen A. Wynn and Wynn Resorts Holdings, LLC.(10)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6"/>
              </w:rPr>
              <w:t>Rights of Publicity License, dated as of August 6, 2004, by and between Stephen A. Wynn and Wynn Resorts Holdings, LLC.(10)100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LLC.(10)</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Trademark Assignment, dated as of August 6, 2004, by and between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10.29</w:t>
            </w:r>
          </w:p>
        </w:tc>
        <w:tc>
          <w:tcPr>
            <w:tcW w:w="5420" w:type="dxa"/>
            <w:vAlign w:val="bottom"/>
            <w:vMerge w:val="continue"/>
          </w:tcPr>
          <w:p>
            <w:pPr>
              <w:spacing w:after="0"/>
              <w:rPr>
                <w:sz w:val="18"/>
                <w:szCs w:val="18"/>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Stephen A. Wynn and Wynn Resorts Holdings, LLC.(10)</w:t>
            </w:r>
          </w:p>
        </w:tc>
        <w:tc>
          <w:tcPr>
            <w:tcW w:w="0" w:type="dxa"/>
            <w:vAlign w:val="bottom"/>
          </w:tcPr>
          <w:p>
            <w:pPr>
              <w:spacing w:after="0"/>
              <w:rPr>
                <w:sz w:val="1"/>
                <w:szCs w:val="1"/>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Wynn.(2)</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Registration Rights Agreement, dated as of June 12, 2003, by and between Wynn Resorts, Limited and Societe des Bains de Mer et du Cercle des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Etrangers a Monaco.(5)</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Registration Rights Agreement, dated as of July 7, 2003, by and among Wynn Resorts, Limited, Wynn Resorts Funding,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Securities Inc. and SG Cowen Securities Corporation.(3)</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9"/>
              </w:rPr>
              <w:t>Registration Rights Agreement, dated as of August 28, 2004, by and between S.H.W. &amp; Co. Limited and Wynn Resorts, Limited.(6)</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6"/>
              </w:rPr>
              <w:t>Registration Rights Agreement, dated as of September 1, 2004, by and between Classic Wave Limited and Wynn Resorts, Limited.(6)</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September 1, 2004, by and between L’Arc de Triomphe Limited and Wynn Resorts, Limited.(6)</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Limited.(6)</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2"/>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Securities Inc. and SG Americas Securities, LLC.(17)</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guarantors party thereto, Deutsche Bank Securities Inc. and Banc of America Securities LLC.(34)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Pledge and Security Agreement, dated as of July 7, 2003, by and between Wynn Resorts, Limited, as pledgor, and U.S. Bank National Association,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as trustee and collateral agent.(3)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Collateral Pledge and Security Agreement, dated as of July 7, 2003, by and between Wynn Resorts Funding, LLC, as the pledgor, and U.S.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National Association, as collateral agent and trustee.(3)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Supplement No. 1, dated as of July 30, 2003, to the Collateral Pledge and Security Agreement dated as of July 7, 2003, by and between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lenders named therein.(15)</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Common Terms Agreement, dated as of September 14, 2004, among Wynn Resorts (Macau), S.A., certain financial institutions as Hotel Facility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c>
          <w:tcPr>
            <w:tcW w:w="0" w:type="dxa"/>
            <w:vAlign w:val="bottom"/>
          </w:tcPr>
          <w:p>
            <w:pPr>
              <w:spacing w:after="0"/>
              <w:rPr>
                <w:sz w:val="1"/>
                <w:szCs w:val="1"/>
                <w:color w:val="auto"/>
              </w:rPr>
            </w:pPr>
          </w:p>
        </w:tc>
      </w:tr>
    </w:tbl>
    <w:p>
      <w:pPr>
        <w:ind w:left="1260" w:right="880"/>
        <w:spacing w:after="0" w:line="261" w:lineRule="auto"/>
        <w:rPr>
          <w:sz w:val="20"/>
          <w:szCs w:val="20"/>
          <w:color w:val="auto"/>
        </w:rPr>
      </w:pPr>
      <w:r>
        <w:rPr>
          <w:rFonts w:ascii="Arial" w:cs="Arial" w:eastAsia="Arial" w:hAnsi="Arial"/>
          <w:sz w:val="18"/>
          <w:szCs w:val="18"/>
          <w:color w:val="auto"/>
        </w:rPr>
        <w:t>Limited as Global Coordinating Lead Arrangers and Societe Generale Asia Limited as Hotel Facility Agent, Project Facility Agent, Intercreditor Agent and Security Agent.(10)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0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10.44</w:t>
            </w:r>
          </w:p>
        </w:tc>
        <w:tc>
          <w:tcPr>
            <w:tcW w:w="1092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90"/>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Certain Financial Institutions as Hotel Facility Lenders, Project Facility Lenders, Revolving Credit Facility Lenders and Hedging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3"/>
              </w:rPr>
              <w:t>Counterparties, Bank of America Securities Asia Limited, Deutsche Bank AG, Hong Kong Branch and Societe Generale Asia Limited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Global Coordinating Lead Arrangers, Societe Generale Asia Limited as Hotel Facility Agent and Project Facility Agent,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Limited as Intercreditor Agent, and Societe Generale, Hong Kong Branch as Security Agent.(22)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5"/>
              </w:rPr>
              <w:t>institutions as Hotel Facility Lenders, Project Facility Lenders, and Revolving Credit Facility Lenders, Banc of America Securities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91"/>
              </w:rPr>
              <w:t>Limited, Deutsche Bank A.G. Hong Kong Branch, and Societe Generale Asia Limited as Global Lead Arrangers and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Limited as Hotel Facility Agent and Project Facility Agent and Societe Generale Hong Kong Branch as Intercreditor Agent.(32)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Hotel Facility Agreement, dated as of September 14, 2004, among Wynn Resorts (Macau), S.A., Societe Generale Asia Limited as Hotel Facility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Agent and the several Hotel Facility Lenders named therein.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Hotel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Second Amendment Agreement to the Hotel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Limited as Hotel Facility Agent, and certain financial institutions as Hotel Facility Lenders.(32)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Project Facility Agreement, dated as of September 14, 2004, among Wynn Resorts (Macau), S.A., Societe Generale Asia Limited as Project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Facility Agent and the several Project Facility Lenders named therein.(10)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Project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Agreement to the Project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Limited as Project Facility Agent, and certain financial institutions as Project Facility Lenders.(32)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Revolving Credit Facility Agreement, dated as of September 14, 2004, among Wynn Resorts (Macau), S.A. and the several Revolving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Facility Lenders named therein.(10)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Revolving Credit Facility Agreement Amendment Agreement, dated as of September 14, 2005, between Wynn Resorts (Macau), S.A. as Company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and Certain Financial Institutions as Revolving Credit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Revolving Credit Facility Second Amendment Agreement dated June 27, 2007 among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Deed of Appointment and Priority, dated as of September 14, 2004, among Wynn Resorts (Macau), S.A., certain financial institutions as Original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800"/>
              <w:spacing w:after="0"/>
              <w:rPr>
                <w:sz w:val="20"/>
                <w:szCs w:val="20"/>
                <w:color w:val="auto"/>
              </w:rPr>
            </w:pPr>
            <w:r>
              <w:rPr>
                <w:rFonts w:ascii="Arial" w:cs="Arial" w:eastAsia="Arial" w:hAnsi="Arial"/>
                <w:sz w:val="18"/>
                <w:szCs w:val="18"/>
                <w:color w:val="auto"/>
                <w:w w:val="89"/>
              </w:rPr>
              <w:t>First Ranking Lenders, Banco Nacional Ultramarino, S.A. as Second Ranking Finance Party, Wynn Group Asia, Inc. as Third Ranking Finance</w:t>
            </w:r>
          </w:p>
        </w:tc>
      </w:tr>
    </w:tbl>
    <w:p>
      <w:pPr>
        <w:ind w:left="1260" w:right="80"/>
        <w:spacing w:after="0" w:line="261" w:lineRule="auto"/>
        <w:rPr>
          <w:sz w:val="20"/>
          <w:szCs w:val="20"/>
          <w:color w:val="auto"/>
        </w:rPr>
      </w:pPr>
      <w:r>
        <w:rPr>
          <w:rFonts w:ascii="Arial" w:cs="Arial" w:eastAsia="Arial" w:hAnsi="Arial"/>
          <w:sz w:val="18"/>
          <w:szCs w:val="18"/>
          <w:color w:val="auto"/>
        </w:rPr>
        <w:t>Party, Societe Generale -Hong Kong Branch as Security Agent, Societe Generale Asia Limited as Intercreditor Agent and Hotel Facility Agent and Project Facility Agent and others.(10)</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10.56</w:t>
            </w:r>
          </w:p>
        </w:tc>
        <w:tc>
          <w:tcPr>
            <w:tcW w:w="1096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91"/>
              </w:rPr>
              <w:t>Floating Charge (unofficial English Translation), dated September 14, 2004 between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Kong Branch as the Security Agent.(10)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Debenture, dated September 14, 2004 between Wynn Resorts (Macau), S.A. and Societe Generale, 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Wynn Resorts Support Agreement, dated September 14, 2004 between Wynn Resorts, Limited, Wynn Resorts (Macau), S.A. and Societe Generale,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Wynn Pledgors’ Guarantee, dated September 14, 2004 between Wynn Group Asia, Inc., Wynn Resorts International, Ltd., Wynn Resorts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6"/>
              </w:rPr>
              <w:t>Holdings, Ltd. and Wynn Resorts (Macau), Ltd. as Guarantors; and Societe Generale, 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8"/>
              </w:rPr>
              <w:t>International, Ltd., Wynn Resorts (Macau) Holdings, Ltd. and Wynn Resorts (Macau), Ltd. as the Wynn Companies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Bank Guarantee Reimbursement Agreement, dated September 14, 2004, between Wynn Resorts (Macau), S.A. and Banco Nacional Ultramarino.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80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Support Agreement Deed of Amendment, dated as of September 14, 2005, between Wynn Resorts (Macau), S.A. and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Generale, Hong Kong Branch as Security Agent.(22)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3"/>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1"/>
              </w:rPr>
              <w:t>Limited as Security Agent, Societe Generale Asia Limited as Intercreditor Agent , Societe Generale Asia Limited as Hotel Facility Agent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Project Facility Agent, and Others.(22)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88"/>
              </w:rPr>
              <w:t>Vegas, LLC, as trustor, to Nevada Title Company, as trustee, for the benefit of Deutsche Bank Trust Company Americas, as collateral agent.(17)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Master Disbursement Agreement, dated as of December 14, 2004, among Wynn Las Vegas, LLC, Wynn Las Vegas Capital Corp.,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800"/>
              <w:spacing w:after="0"/>
              <w:rPr>
                <w:sz w:val="20"/>
                <w:szCs w:val="20"/>
                <w:color w:val="auto"/>
              </w:rPr>
            </w:pPr>
            <w:r>
              <w:rPr>
                <w:rFonts w:ascii="Arial" w:cs="Arial" w:eastAsia="Arial" w:hAnsi="Arial"/>
                <w:sz w:val="18"/>
                <w:szCs w:val="18"/>
                <w:color w:val="auto"/>
              </w:rPr>
              <w:t>Trust Company Americas and U.S. Bank National Association.(4)</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115</w:t>
            </w: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gridSpan w:val="2"/>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10.69</w:t>
            </w:r>
          </w:p>
        </w:tc>
        <w:tc>
          <w:tcPr>
            <w:tcW w:w="612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91"/>
              </w:rPr>
              <w:t>First Amendment to Master Disbursement Agreement, dated April 26, 2005,</w:t>
            </w:r>
          </w:p>
        </w:tc>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6"/>
              </w:rPr>
              <w:t>among Wynn Las Vegas, LLC, Deutsche Bank Trust Company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Americas, as bank agent and Deutsche Bank Trust Company Americas, as disbursement agent.(21)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10.70</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Company Americas.(20)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10.71</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1"/>
              </w:rPr>
              <w:t>Third Amendment to Master Disbursement Agreement, dated as of March 13, 2006,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Company Americas.(24)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10.72</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1"/>
              </w:rPr>
              <w:t>Fourth Amendment to Master Disbursement Agreement, dated as of August 15, 2006, among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Company Americas, as bank agent and disbursement agent. (28)</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10.73</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8"/>
              </w:rPr>
              <w:t>Fifth Amendment to Master Disbursement Agreement, dated as of April 9, 2007 among Wynn Las Vegas, LLC and Deutsche Bank Trust Company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Americas.(32)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10.74</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w w:val="93"/>
              </w:rPr>
              <w:t>Trust Company Americas, as the initial Bank Agent, and Deutsche Bank Trust Company America, as the initial Disbursement Agent.(35)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10.75</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w w:val="90"/>
              </w:rPr>
              <w:t>Deutsche Bank Trust Company Americas, as the initial Bank Agent, and Deutsche Bank Trust Company America, as the initial Disbursement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Agent.(33)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10.76</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80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10.77</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Company Americas, as collateral agent, and U.S. Bank National Association, as trustee.(4)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10.78</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10.79</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940" w:type="dxa"/>
            <w:vAlign w:val="bottom"/>
            <w:gridSpan w:val="5"/>
          </w:tcPr>
          <w:p>
            <w:pPr>
              <w:ind w:left="80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A hereto in favor of Deutsche Bank Trust Company Americas,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as administrative agent, and U.S. Bank National Association, as trustee.(17)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10.80</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10.81</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Fargo Bank, National Association, as Trustee.(17)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10.82</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&amp; Development, LLC.(17)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10.83</w:t>
            </w:r>
          </w:p>
        </w:tc>
        <w:tc>
          <w:tcPr>
            <w:tcW w:w="1094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5"/>
          </w:tcPr>
          <w:p>
            <w:pPr>
              <w:ind w:left="800"/>
              <w:spacing w:after="0"/>
              <w:rPr>
                <w:sz w:val="20"/>
                <w:szCs w:val="20"/>
                <w:color w:val="auto"/>
              </w:rPr>
            </w:pPr>
            <w:r>
              <w:rPr>
                <w:rFonts w:ascii="Arial" w:cs="Arial" w:eastAsia="Arial" w:hAnsi="Arial"/>
                <w:sz w:val="18"/>
                <w:szCs w:val="18"/>
                <w:color w:val="auto"/>
              </w:rPr>
              <w:t>Wynn Las Vegas, LLC.(17)</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216"/>
        </w:trPr>
        <w:tc>
          <w:tcPr>
            <w:tcW w:w="120" w:type="dxa"/>
            <w:vAlign w:val="bottom"/>
          </w:tcPr>
          <w:p>
            <w:pPr>
              <w:spacing w:after="0"/>
              <w:rPr>
                <w:sz w:val="18"/>
                <w:szCs w:val="18"/>
                <w:color w:val="auto"/>
              </w:rPr>
            </w:pPr>
          </w:p>
        </w:tc>
        <w:tc>
          <w:tcPr>
            <w:tcW w:w="460" w:type="dxa"/>
            <w:vAlign w:val="bottom"/>
          </w:tcPr>
          <w:p>
            <w:pPr>
              <w:jc w:val="right"/>
              <w:ind w:right="6"/>
              <w:spacing w:after="0"/>
              <w:rPr>
                <w:sz w:val="20"/>
                <w:szCs w:val="20"/>
                <w:color w:val="auto"/>
              </w:rPr>
            </w:pPr>
            <w:r>
              <w:rPr>
                <w:rFonts w:ascii="Arial" w:cs="Arial" w:eastAsia="Arial" w:hAnsi="Arial"/>
                <w:sz w:val="18"/>
                <w:szCs w:val="18"/>
                <w:color w:val="auto"/>
                <w:w w:val="79"/>
              </w:rPr>
              <w:t>10.84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of Lease, dated January 10, 2005, by and between Stephen A. Wynn and Wynn Las Vegas, LLC.(18)</w:t>
            </w:r>
          </w:p>
        </w:tc>
      </w:tr>
      <w:tr>
        <w:trPr>
          <w:trHeight w:val="316"/>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10.85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8"/>
              </w:rPr>
              <w:t>Amendment No. 1 to Agreement of Lease, dated April 21, 2005, by and between Stephen A. Wynn and Wynn Las Vegas, LLC.(18)</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10.86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LLC.(19)</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10.87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rPr>
              <w:t>Gallery, LLC, as lessee. (19)</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10.88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Commitment to Pay Project Costs, dated as of March 31, 2006, by and between Wynn Resorts, Limited in favor of Deutsche Bank Trust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rPr>
              <w:t>Company Americas, as administrative agent, and US Bank National Association, as Trustee.(25)</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*10.89</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8, 2006, by and between Wynn Resorts, Limited and Wesley Allison.(27)</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10.90</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rPr>
              <w:t>agents, and Deutsche Bank Trust Company Americas, as Administrative Agent.(28)</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91"/>
              </w:rPr>
              <w:t>Deutsche Bank Trust Company Americas, as Administrative Agent on behalf of the several banks and other financial institutions or entities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99"/>
              </w:rPr>
              <w:t>from time to time party to Wynn Las Vegas LLC’s Amended and Restated Credit Agreement, dated as of August 15, 2006.(32)</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93"/>
              </w:rPr>
              <w:t>Corp., Wynn Show Performers, LLC, Wynn Golf, LLC, Wynn Sunrise, LLC, World Travel, LLC, Kevyn, LLC, Las Vegas Jet,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w w:val="93"/>
              </w:rPr>
              <w:t>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800"/>
              <w:spacing w:after="0"/>
              <w:rPr>
                <w:sz w:val="20"/>
                <w:szCs w:val="20"/>
                <w:color w:val="auto"/>
              </w:rPr>
            </w:pPr>
            <w:r>
              <w:rPr>
                <w:rFonts w:ascii="Arial" w:cs="Arial" w:eastAsia="Arial" w:hAnsi="Arial"/>
                <w:sz w:val="18"/>
                <w:szCs w:val="18"/>
                <w:color w:val="auto"/>
              </w:rPr>
              <w:t>Credit Agreement, dated as of August 15, 2006.(33)</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*10.93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October 27, 2006, by and between World Wide Wynn, LLC and Linda C. Chen(29)</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Credit Agreement dated June 21, 2007 among Wynn Resorts, Limited and Deutsche Bank Securities, Inc and Bank of America Securities LLC.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14.1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2003)(16)</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16.1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Letter from Deloitte &amp; Touche LLP(31)</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Registrant(37)</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LLP(37)</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Consent of Deloitte &amp; Touche LLP(37)</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2002.(37)</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8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31.2</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7"/>
              </w:rPr>
              <w:t>Certification of Chief Financial Officer pursuant to Section 302 of the Sarbanes</w:t>
            </w:r>
          </w:p>
        </w:tc>
        <w:tc>
          <w:tcPr>
            <w:tcW w:w="1800" w:type="dxa"/>
            <w:vAlign w:val="bottom"/>
          </w:tcPr>
          <w:p>
            <w:pPr>
              <w:ind w:left="100"/>
              <w:spacing w:after="0"/>
              <w:rPr>
                <w:sz w:val="20"/>
                <w:szCs w:val="20"/>
                <w:color w:val="auto"/>
              </w:rPr>
            </w:pPr>
            <w:r>
              <w:rPr>
                <w:rFonts w:ascii="Arial" w:cs="Arial" w:eastAsia="Arial" w:hAnsi="Arial"/>
                <w:sz w:val="18"/>
                <w:szCs w:val="18"/>
                <w:color w:val="auto"/>
                <w:w w:val="90"/>
              </w:rPr>
              <w:t>-Oxley Act of 2002.(37)</w:t>
            </w:r>
          </w:p>
        </w:tc>
      </w:tr>
    </w:tbl>
    <w:p>
      <w:pPr>
        <w:spacing w:after="0" w:line="93" w:lineRule="exact"/>
        <w:rPr>
          <w:sz w:val="20"/>
          <w:szCs w:val="20"/>
          <w:color w:val="auto"/>
        </w:rPr>
      </w:pPr>
    </w:p>
    <w:p>
      <w:pPr>
        <w:ind w:left="1120" w:hanging="1112"/>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Certification of CEO and CFO Pursuant to 18 U.S.C. Section 1350, as Adopted Pursuant to Section 906 of the Sarbanes-Oxley Act of 2002.(37)</w:t>
      </w:r>
    </w:p>
    <w:p>
      <w:pPr>
        <w:spacing w:after="0" w:line="192"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32" w:lineRule="exact"/>
        <w:rPr>
          <w:rFonts w:ascii="Arial" w:cs="Arial" w:eastAsia="Arial" w:hAnsi="Arial"/>
          <w:sz w:val="16"/>
          <w:szCs w:val="16"/>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580" w:hanging="484"/>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Incorporated by reference from Amendment No. 3 to the Form S-1 filed by the Registrant on September 18, 2002 (File No. 333-90600).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Amendment No. 5 to the Form S-1 filed by the Registrant on October 21,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Form S-8 filed by the Registrant on October 31,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8,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27,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10, 2006.</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60"/>
          </w:cols>
          <w:pgMar w:left="240" w:top="459"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8, 2006.</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11,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14,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19,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219"/>
          </w:cols>
          <w:pgMar w:left="240" w:top="459" w:right="144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spacing w:after="0"/>
        <w:tabs>
          <w:tab w:leader="none" w:pos="5600" w:val="left"/>
          <w:tab w:leader="none" w:pos="7720" w:val="left"/>
        </w:tabs>
        <w:rPr>
          <w:sz w:val="20"/>
          <w:szCs w:val="20"/>
          <w:color w:val="auto"/>
        </w:rPr>
      </w:pPr>
      <w:r>
        <w:rPr>
          <w:rFonts w:ascii="Arial" w:cs="Arial" w:eastAsia="Arial" w:hAnsi="Arial"/>
          <w:sz w:val="18"/>
          <w:szCs w:val="18"/>
          <w:color w:val="auto"/>
        </w:rPr>
        <w:t>Dated: February 22,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TEPHEN</w:t>
      </w:r>
      <w:r>
        <w:rPr>
          <w:rFonts w:ascii="Arial" w:cs="Arial" w:eastAsia="Arial" w:hAnsi="Arial"/>
          <w:sz w:val="14"/>
          <w:szCs w:val="14"/>
          <w:b w:val="1"/>
          <w:bCs w:val="1"/>
          <w:color w:val="auto"/>
        </w:rPr>
        <w:t xml:space="preserve"> A. W</w:t>
      </w:r>
      <w:r>
        <w:rPr>
          <w:rFonts w:ascii="Arial" w:cs="Arial" w:eastAsia="Arial" w:hAnsi="Arial"/>
          <w:sz w:val="11"/>
          <w:szCs w:val="11"/>
          <w:b w:val="1"/>
          <w:bCs w:val="1"/>
          <w:color w:val="auto"/>
        </w:rPr>
        <w:t>YNN</w:t>
      </w:r>
    </w:p>
    <w:p>
      <w:pPr>
        <w:jc w:val="center"/>
        <w:ind w:left="5960"/>
        <w:spacing w:after="0" w:line="221" w:lineRule="auto"/>
        <w:rPr>
          <w:sz w:val="20"/>
          <w:szCs w:val="20"/>
          <w:color w:val="auto"/>
        </w:rPr>
      </w:pPr>
      <w:r>
        <w:rPr>
          <w:rFonts w:ascii="Arial" w:cs="Arial" w:eastAsia="Arial" w:hAnsi="Arial"/>
          <w:sz w:val="14"/>
          <w:szCs w:val="14"/>
          <w:b w:val="1"/>
          <w:bCs w:val="1"/>
          <w:color w:val="auto"/>
        </w:rPr>
        <w:t>Chairman of the Board and Chief Executive</w:t>
      </w:r>
    </w:p>
    <w:p>
      <w:pPr>
        <w:jc w:val="center"/>
        <w:ind w:left="5960"/>
        <w:spacing w:after="0"/>
        <w:rPr>
          <w:sz w:val="20"/>
          <w:szCs w:val="20"/>
          <w:color w:val="auto"/>
        </w:rPr>
      </w:pPr>
      <w:r>
        <w:rPr>
          <w:rFonts w:ascii="Arial" w:cs="Arial" w:eastAsia="Arial" w:hAnsi="Arial"/>
          <w:sz w:val="14"/>
          <w:szCs w:val="14"/>
          <w:b w:val="1"/>
          <w:bCs w:val="1"/>
          <w:color w:val="auto"/>
        </w:rPr>
        <w:t>Officer (Principal Executive Officer)</w:t>
      </w:r>
    </w:p>
    <w:p>
      <w:pPr>
        <w:spacing w:after="0" w:line="208" w:lineRule="exact"/>
        <w:rPr>
          <w:sz w:val="20"/>
          <w:szCs w:val="20"/>
          <w:color w:val="auto"/>
        </w:rPr>
      </w:pPr>
    </w:p>
    <w:p>
      <w:pPr>
        <w:spacing w:after="0"/>
        <w:tabs>
          <w:tab w:leader="none" w:pos="5600" w:val="left"/>
          <w:tab w:leader="none" w:pos="7880" w:val="left"/>
        </w:tabs>
        <w:rPr>
          <w:sz w:val="20"/>
          <w:szCs w:val="20"/>
          <w:color w:val="auto"/>
        </w:rPr>
      </w:pPr>
      <w:r>
        <w:rPr>
          <w:rFonts w:ascii="Arial" w:cs="Arial" w:eastAsia="Arial" w:hAnsi="Arial"/>
          <w:sz w:val="18"/>
          <w:szCs w:val="18"/>
          <w:color w:val="auto"/>
        </w:rPr>
        <w:t>Dated: February 22,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Strzemp</w:t>
      </w:r>
    </w:p>
    <w:p>
      <w:pPr>
        <w:jc w:val="center"/>
        <w:ind w:left="5960"/>
        <w:spacing w:after="0" w:line="221" w:lineRule="auto"/>
        <w:rPr>
          <w:sz w:val="20"/>
          <w:szCs w:val="20"/>
          <w:color w:val="auto"/>
        </w:rPr>
      </w:pPr>
      <w:r>
        <w:rPr>
          <w:rFonts w:ascii="Arial" w:cs="Arial" w:eastAsia="Arial" w:hAnsi="Arial"/>
          <w:sz w:val="14"/>
          <w:szCs w:val="14"/>
          <w:b w:val="1"/>
          <w:bCs w:val="1"/>
          <w:color w:val="auto"/>
        </w:rPr>
        <w:t>Executive Vice President and Chief Financial</w:t>
      </w:r>
    </w:p>
    <w:p>
      <w:pPr>
        <w:jc w:val="center"/>
        <w:ind w:left="5960"/>
        <w:spacing w:after="0"/>
        <w:rPr>
          <w:sz w:val="20"/>
          <w:szCs w:val="20"/>
          <w:color w:val="auto"/>
        </w:rPr>
      </w:pPr>
      <w:r>
        <w:rPr>
          <w:rFonts w:ascii="Arial" w:cs="Arial" w:eastAsia="Arial" w:hAnsi="Arial"/>
          <w:sz w:val="14"/>
          <w:szCs w:val="14"/>
          <w:b w:val="1"/>
          <w:bCs w:val="1"/>
          <w:color w:val="auto"/>
        </w:rPr>
        <w:t>Officer (Principal Financial and Accounting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50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98"/>
              </w:rPr>
              <w:t>/s/ 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Chairman of the Board and Chief Executive Officer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202"/>
        </w:trPr>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8"/>
              </w:rPr>
              <w:t>Stephen A. Wynn</w:t>
            </w:r>
          </w:p>
        </w:tc>
        <w:tc>
          <w:tcPr>
            <w:tcW w:w="45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27"/>
        </w:trPr>
        <w:tc>
          <w:tcPr>
            <w:tcW w:w="48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0"/>
              </w:rPr>
              <w:t>Kazuo Okada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J. K</w:t>
            </w:r>
            <w:r>
              <w:rPr>
                <w:rFonts w:ascii="Arial" w:cs="Arial" w:eastAsia="Arial" w:hAnsi="Arial"/>
                <w:sz w:val="14"/>
                <w:szCs w:val="14"/>
                <w:color w:val="auto"/>
                <w:w w:val="98"/>
              </w:rPr>
              <w:t>RAMER</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1"/>
              </w:rPr>
              <w:t>Ronald J. Kramer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89"/>
              </w:rPr>
              <w:t>Linda Chen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2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3"/>
              </w:rPr>
              <w:t>Dr. Ray R. Irani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2"/>
              </w:rPr>
              <w:t>Robert J. Miller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A. M</w:t>
            </w:r>
            <w:r>
              <w:rPr>
                <w:rFonts w:ascii="Arial" w:cs="Arial" w:eastAsia="Arial" w:hAnsi="Arial"/>
                <w:sz w:val="14"/>
                <w:szCs w:val="14"/>
                <w:color w:val="auto"/>
              </w:rPr>
              <w:t>ORAN</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w w:val="90"/>
              </w:rPr>
              <w:t>John A. Moran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314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87"/>
              </w:rPr>
              <w:t>Alvin V. Shoemaker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D. B</w:t>
            </w:r>
            <w:r>
              <w:rPr>
                <w:rFonts w:ascii="Arial" w:cs="Arial" w:eastAsia="Arial" w:hAnsi="Arial"/>
                <w:sz w:val="14"/>
                <w:szCs w:val="14"/>
                <w:color w:val="auto"/>
                <w:w w:val="99"/>
              </w:rPr>
              <w:t>OONE</w:t>
            </w:r>
            <w:r>
              <w:rPr>
                <w:rFonts w:ascii="Arial" w:cs="Arial" w:eastAsia="Arial" w:hAnsi="Arial"/>
                <w:sz w:val="18"/>
                <w:szCs w:val="18"/>
                <w:color w:val="auto"/>
                <w:w w:val="99"/>
              </w:rPr>
              <w:t xml:space="preserve"> W</w:t>
            </w:r>
            <w:r>
              <w:rPr>
                <w:rFonts w:ascii="Arial" w:cs="Arial" w:eastAsia="Arial" w:hAnsi="Arial"/>
                <w:sz w:val="14"/>
                <w:szCs w:val="14"/>
                <w:color w:val="auto"/>
                <w:w w:val="99"/>
              </w:rPr>
              <w:t>AYSON</w:t>
            </w: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5"/>
              </w:rPr>
              <w:t>D. Boone Wayson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60">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46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800" w:type="dxa"/>
            <w:vAlign w:val="bottom"/>
          </w:tcPr>
          <w:p>
            <w:pPr>
              <w:spacing w:after="0"/>
              <w:rPr>
                <w:sz w:val="14"/>
                <w:szCs w:val="14"/>
                <w:color w:val="auto"/>
              </w:rPr>
            </w:pPr>
          </w:p>
        </w:tc>
        <w:tc>
          <w:tcPr>
            <w:tcW w:w="300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Elaine P. Wynn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4"/>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2008</w:t>
            </w:r>
          </w:p>
        </w:tc>
      </w:tr>
      <w:tr>
        <w:trPr>
          <w:trHeight w:val="169"/>
        </w:trPr>
        <w:tc>
          <w:tcPr>
            <w:tcW w:w="1800" w:type="dxa"/>
            <w:vAlign w:val="bottom"/>
          </w:tcPr>
          <w:p>
            <w:pPr>
              <w:spacing w:after="0"/>
              <w:rPr>
                <w:sz w:val="14"/>
                <w:szCs w:val="14"/>
                <w:color w:val="auto"/>
              </w:rPr>
            </w:pPr>
          </w:p>
        </w:tc>
        <w:tc>
          <w:tcPr>
            <w:tcW w:w="300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Allan Zeman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18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4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2008</w:t>
            </w:r>
          </w:p>
        </w:tc>
      </w:tr>
      <w:tr>
        <w:trPr>
          <w:trHeight w:val="202"/>
        </w:trPr>
        <w:tc>
          <w:tcPr>
            <w:tcW w:w="1800" w:type="dxa"/>
            <w:vAlign w:val="bottom"/>
          </w:tcPr>
          <w:p>
            <w:pPr>
              <w:spacing w:after="0"/>
              <w:rPr>
                <w:sz w:val="17"/>
                <w:szCs w:val="17"/>
                <w:color w:val="auto"/>
              </w:rPr>
            </w:pPr>
          </w:p>
        </w:tc>
        <w:tc>
          <w:tcPr>
            <w:tcW w:w="300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John Strzemp</w:t>
            </w:r>
          </w:p>
        </w:tc>
        <w:tc>
          <w:tcPr>
            <w:tcW w:w="44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58"/>
        </w:trPr>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 (f.k.a. World Travel BBJ,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LRW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East Aviation,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China Air Limited (a Hong Kong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South China Heliport Management, Limited (a Hong Kong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 (f.k.a. WDD-Asia,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Cotai Partner,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Cotai Land Development Company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IOM Holdco II, Ltd. (as Isle of Man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333-100891 on Form S-8, Registration Statement No. 333-114022 on Form S-3 and Registration Statement No. 333-146360 on Form S-3 of our reports dated February 22, 2008 with respect to the consolidated financial statements and schedules of Wynn Resorts, Limited and the effectiveness of internal control over financial reporting of Wynn Resorts, Limited, included in this Annual Report on Form 10-K for the year ended December 31, 2007.</w:t>
      </w:r>
    </w:p>
    <w:p>
      <w:pPr>
        <w:spacing w:after="0" w:line="143"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Ernst &amp; Young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2008</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333-100891 on Form S-8, Registration Statement Nos. 333-114022 and 333-146360 on Form S-3 of our report dated March 15, 2006 relating to the consolidated financial statements and financial statement schedules of Wynn Resorts, Limited appearing in this Annual Report on Form 10-K for the year ended December 31, 2007.</w:t>
      </w:r>
    </w:p>
    <w:p>
      <w:pPr>
        <w:spacing w:after="0" w:line="14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Deloitte &amp; Touche LLP</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2008</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2008</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2008</w:t>
      </w:r>
    </w:p>
    <w:p>
      <w:pPr>
        <w:spacing w:after="0" w:line="212"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line="221" w:lineRule="auto"/>
        <w:rPr>
          <w:sz w:val="20"/>
          <w:szCs w:val="20"/>
          <w:color w:val="auto"/>
        </w:rPr>
      </w:pPr>
      <w:r>
        <w:rPr>
          <w:rFonts w:ascii="Arial" w:cs="Arial" w:eastAsia="Arial" w:hAnsi="Arial"/>
          <w:sz w:val="14"/>
          <w:szCs w:val="14"/>
          <w:b w:val="1"/>
          <w:bCs w:val="1"/>
          <w:color w:val="auto"/>
        </w:rPr>
        <w:t>(Principal Financial Officer</w:t>
      </w:r>
    </w:p>
    <w:p>
      <w:pPr>
        <w:jc w:val="center"/>
        <w:ind w:left="6860"/>
        <w:spacing w:after="0"/>
        <w:rPr>
          <w:sz w:val="20"/>
          <w:szCs w:val="20"/>
          <w:color w:val="auto"/>
        </w:rPr>
      </w:pPr>
      <w:r>
        <w:rPr>
          <w:rFonts w:ascii="Arial" w:cs="Arial" w:eastAsia="Arial" w:hAnsi="Arial"/>
          <w:sz w:val="14"/>
          <w:szCs w:val="14"/>
          <w:b w:val="1"/>
          <w:bCs w:val="1"/>
          <w:color w:val="auto"/>
        </w:rPr>
        <w:t>and Principal Accounting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2007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Stephen A. Wynn</w:t>
            </w:r>
          </w:p>
        </w:tc>
      </w:tr>
      <w:tr>
        <w:trPr>
          <w:trHeight w:val="202"/>
        </w:trPr>
        <w:tc>
          <w:tcPr>
            <w:tcW w:w="560" w:type="dxa"/>
            <w:vAlign w:val="bottom"/>
            <w:gridSpan w:val="2"/>
          </w:tcPr>
          <w:p>
            <w:pPr>
              <w:spacing w:after="0" w:line="202" w:lineRule="exact"/>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line="202" w:lineRule="exact"/>
              <w:rPr>
                <w:sz w:val="20"/>
                <w:szCs w:val="20"/>
                <w:color w:val="auto"/>
              </w:rPr>
            </w:pPr>
            <w:r>
              <w:rPr>
                <w:rFonts w:ascii="Arial" w:cs="Arial" w:eastAsia="Arial" w:hAnsi="Arial"/>
                <w:sz w:val="18"/>
                <w:szCs w:val="18"/>
                <w:color w:val="auto"/>
              </w:rPr>
              <w:t>Stephen A. Wynn</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February 22, 2008</w:t>
            </w:r>
          </w:p>
        </w:tc>
      </w:tr>
      <w:tr>
        <w:trPr>
          <w:trHeight w:val="223"/>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100"/>
              <w:spacing w:after="0"/>
              <w:rPr>
                <w:sz w:val="20"/>
                <w:szCs w:val="20"/>
                <w:color w:val="auto"/>
              </w:rPr>
            </w:pPr>
            <w:r>
              <w:rPr>
                <w:rFonts w:ascii="Arial" w:cs="Arial" w:eastAsia="Arial" w:hAnsi="Arial"/>
                <w:sz w:val="18"/>
                <w:szCs w:val="18"/>
                <w:color w:val="auto"/>
              </w:rPr>
              <w:t>John Strzemp</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4360" w:type="dxa"/>
            <w:vAlign w:val="bottom"/>
          </w:tcPr>
          <w:p>
            <w:pPr>
              <w:ind w:left="100"/>
              <w:spacing w:after="0"/>
              <w:rPr>
                <w:sz w:val="20"/>
                <w:szCs w:val="20"/>
                <w:color w:val="auto"/>
              </w:rPr>
            </w:pPr>
            <w:r>
              <w:rPr>
                <w:rFonts w:ascii="Arial" w:cs="Arial" w:eastAsia="Arial" w:hAnsi="Arial"/>
                <w:sz w:val="18"/>
                <w:szCs w:val="18"/>
                <w:color w:val="auto"/>
              </w:rPr>
              <w:t>February 22, 2008</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upperLetter"/>
      <w:start w:val="53"/>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lvl w:ilvl="1">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lowerRoman"/>
      <w:start w:val="2"/>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2"/>
    </w:lvl>
  </w:abstractNum>
  <w:abstractNum w:abstractNumId="38">
    <w:nsid w:val="6DE91B18"/>
    <w:multiLevelType w:val="hybridMultilevel"/>
    <w:lvl w:ilvl="0">
      <w:lvlJc w:val="left"/>
      <w:lvlText w:val="%1."/>
      <w:numFmt w:val="decimal"/>
      <w:start w:val="10"/>
    </w:lvl>
  </w:abstractNum>
  <w:abstractNum w:abstractNumId="39">
    <w:nsid w:val="38437FDB"/>
    <w:multiLevelType w:val="hybridMultilevel"/>
    <w:lvl w:ilvl="0">
      <w:lvlJc w:val="left"/>
      <w:lvlText w:val="%1."/>
      <w:numFmt w:val="decimal"/>
      <w:start w:val="11"/>
    </w:lvl>
  </w:abstractNum>
  <w:abstractNum w:abstractNumId="40">
    <w:nsid w:val="7644A45C"/>
    <w:multiLevelType w:val="hybridMultilevel"/>
    <w:lvl w:ilvl="0">
      <w:lvlJc w:val="left"/>
      <w:lvlText w:val="%1."/>
      <w:numFmt w:val="decimal"/>
      <w:start w:val="13"/>
    </w:lvl>
  </w:abstractNum>
  <w:abstractNum w:abstractNumId="41">
    <w:nsid w:val="32FFF902"/>
    <w:multiLevelType w:val="hybridMultilevel"/>
    <w:lvl w:ilvl="0">
      <w:lvlJc w:val="left"/>
      <w:lvlText w:val="%1."/>
      <w:numFmt w:val="decimal"/>
      <w:start w:val="18"/>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lowerLetter"/>
      <w:start w:val="3"/>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2"/>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32"/>
    </w:lvl>
    <w:lvl w:ilvl="1">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26"/>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2019-12-15T07:26:47Z</dcterms:created>
  <dcterms:modified xsi:type="dcterms:W3CDTF">2019-12-15T07:26:47Z</dcterms:modified>
</cp:coreProperties>
</file>