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August 16, 2011</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954" w:right="239" w:bottom="1440" w:gutter="0" w:footer="0" w:header="0"/>
        </w:sectPr>
      </w:pP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6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340"/>
          </w:cols>
          <w:pgMar w:left="240" w:top="954" w:right="239" w:bottom="1440" w:gutter="0" w:footer="0" w:header="0"/>
          <w:type w:val="continuous"/>
        </w:sectPr>
      </w:pPr>
    </w:p>
    <w:p>
      <w:pPr>
        <w:spacing w:after="0" w:line="44"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Las Vegas, Nevada</w:t>
      </w:r>
    </w:p>
    <w:p>
      <w:pPr>
        <w:jc w:val="center"/>
        <w:ind w:right="72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44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144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380" w:space="720"/>
            <w:col w:w="2320"/>
          </w:cols>
          <w:pgMar w:left="240" w:top="954"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954" w:right="239" w:bottom="1440" w:gutter="0" w:footer="0" w:header="0"/>
          <w:type w:val="continuous"/>
        </w:sect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240" w:hanging="232"/>
        <w:spacing w:after="0"/>
        <w:tabs>
          <w:tab w:leader="none" w:pos="2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240" w:hanging="232"/>
        <w:spacing w:after="0"/>
        <w:tabs>
          <w:tab w:leader="none" w:pos="2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240" w:hanging="232"/>
        <w:spacing w:after="0"/>
        <w:tabs>
          <w:tab w:leader="none" w:pos="2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type w:val="continuous"/>
        </w:sectPr>
      </w:pPr>
    </w:p>
    <w:bookmarkStart w:id="1" w:name="page2"/>
    <w:bookmarkEnd w:id="1"/>
    <w:p>
      <w:pPr>
        <w:ind w:right="78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8"/>
          <w:szCs w:val="18"/>
          <w:color w:val="auto"/>
        </w:rPr>
        <w:t>On August 16, 2011, Worldwide Wynn, LLC (“WWL”), a wholly-owned subsidiary of Wynn Resorts, Limited (the “Company”), entered into a Retention Agreement (the “Agreement”) with Linda Chen, a director of the Company, President of Wynn International Marketing, Limited, a wholly-owned indirect subsidiary of the Company, Chief Operating Officer of Wynn Resorts (Macau), S.A., an indirect wholly-owned subsidiary of the Company, and a director of Wynn Macau, Limited, an indirect wholly-owned subsidiary of the Company.</w:t>
      </w:r>
    </w:p>
    <w:p>
      <w:pPr>
        <w:spacing w:after="0" w:line="189" w:lineRule="exact"/>
        <w:rPr>
          <w:sz w:val="20"/>
          <w:szCs w:val="20"/>
          <w:color w:val="auto"/>
        </w:rPr>
      </w:pPr>
    </w:p>
    <w:p>
      <w:pPr>
        <w:ind w:right="180" w:firstLine="392"/>
        <w:spacing w:after="0" w:line="246" w:lineRule="auto"/>
        <w:rPr>
          <w:sz w:val="20"/>
          <w:szCs w:val="20"/>
          <w:color w:val="auto"/>
        </w:rPr>
      </w:pPr>
      <w:r>
        <w:rPr>
          <w:rFonts w:ascii="Arial" w:cs="Arial" w:eastAsia="Arial" w:hAnsi="Arial"/>
          <w:sz w:val="20"/>
          <w:szCs w:val="20"/>
          <w:color w:val="auto"/>
        </w:rPr>
        <w:t>The Agreement is effective as of July 27, 2011 (the “Grant Date”) and grants Ms. Chen an award in an amount equal to $10,000,000 (the “Award”), which will vest in full on July 27, 2021 (the “Vesting Date”) and be paid in a lump sum (less any required withholding) within 10 days following the Vesting Date. The Award is subject to all the terms and conditions contained in the Agreement, including Ms. Chen’s continuous employment with WWL and its affiliates.</w:t>
      </w:r>
    </w:p>
    <w:p>
      <w:pPr>
        <w:spacing w:after="0" w:line="219" w:lineRule="exact"/>
        <w:rPr>
          <w:sz w:val="20"/>
          <w:szCs w:val="20"/>
          <w:color w:val="auto"/>
        </w:rPr>
      </w:pPr>
    </w:p>
    <w:p>
      <w:pPr>
        <w:jc w:val="both"/>
        <w:ind w:firstLine="445"/>
        <w:spacing w:after="0" w:line="246" w:lineRule="auto"/>
        <w:rPr>
          <w:sz w:val="20"/>
          <w:szCs w:val="20"/>
          <w:color w:val="auto"/>
        </w:rPr>
      </w:pPr>
      <w:r>
        <w:rPr>
          <w:rFonts w:ascii="Arial" w:cs="Arial" w:eastAsia="Arial" w:hAnsi="Arial"/>
          <w:sz w:val="20"/>
          <w:szCs w:val="20"/>
          <w:color w:val="auto"/>
        </w:rPr>
        <w:t>If Ms. Chen’s employment is terminated without “Cause” (as such term is defined in the Agreement) prior to the Vesting Date by WWL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w:t>
      </w:r>
    </w:p>
    <w:p>
      <w:pPr>
        <w:spacing w:after="0" w:line="219" w:lineRule="exact"/>
        <w:rPr>
          <w:sz w:val="20"/>
          <w:szCs w:val="20"/>
          <w:color w:val="auto"/>
        </w:rPr>
      </w:pPr>
    </w:p>
    <w:p>
      <w:pPr>
        <w:jc w:val="both"/>
        <w:ind w:firstLine="436"/>
        <w:spacing w:after="0" w:line="260" w:lineRule="auto"/>
        <w:rPr>
          <w:sz w:val="20"/>
          <w:szCs w:val="20"/>
          <w:color w:val="auto"/>
        </w:rPr>
      </w:pPr>
      <w:r>
        <w:rPr>
          <w:rFonts w:ascii="Arial" w:cs="Arial" w:eastAsia="Arial" w:hAnsi="Arial"/>
          <w:sz w:val="20"/>
          <w:szCs w:val="20"/>
          <w:color w:val="auto"/>
        </w:rPr>
        <w:t>If Ms. Chen’s employment is terminated for any other reason (including termination for Cause or Ms. Chen’s voluntary resignation) prior to the Vesting Date, the Award shall be forfeited in full with no action required or compensation paid.</w:t>
      </w:r>
    </w:p>
    <w:p>
      <w:pPr>
        <w:spacing w:after="0" w:line="190" w:lineRule="exact"/>
        <w:rPr>
          <w:sz w:val="20"/>
          <w:szCs w:val="20"/>
          <w:color w:val="auto"/>
        </w:rPr>
      </w:pPr>
    </w:p>
    <w:p>
      <w:pPr>
        <w:ind w:right="40" w:firstLine="392"/>
        <w:spacing w:after="0" w:line="260" w:lineRule="auto"/>
        <w:rPr>
          <w:sz w:val="20"/>
          <w:szCs w:val="20"/>
          <w:color w:val="auto"/>
        </w:rPr>
      </w:pPr>
      <w:r>
        <w:rPr>
          <w:rFonts w:ascii="Arial" w:cs="Arial" w:eastAsia="Arial" w:hAnsi="Arial"/>
          <w:sz w:val="20"/>
          <w:szCs w:val="20"/>
          <w:color w:val="auto"/>
        </w:rPr>
        <w:t>The above description of the Agreement is qualified in its entirety by reference to the full text of the Agreement, which is filed herewith as Exhibit 10.1 and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10.1 Retention Agreement, dated as of August 16, 2011, by and between Worldwide Wynn, LLC and Linda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August 16, 2011</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 /s/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10160</wp:posOffset>
            </wp:positionV>
            <wp:extent cx="3319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0"/>
          <w:szCs w:val="20"/>
          <w:color w:val="auto"/>
        </w:rPr>
        <w:t>Marc D. Schorr</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Chief Operating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1007110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RETENTION AGREEMENT</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by and between -</w:t>
      </w:r>
    </w:p>
    <w:p>
      <w:pPr>
        <w:jc w:val="center"/>
        <w:ind w:right="1200"/>
        <w:spacing w:after="0" w:line="234" w:lineRule="auto"/>
        <w:rPr>
          <w:sz w:val="20"/>
          <w:szCs w:val="20"/>
          <w:color w:val="auto"/>
        </w:rPr>
      </w:pPr>
      <w:r>
        <w:rPr>
          <w:rFonts w:ascii="Arial" w:cs="Arial" w:eastAsia="Arial" w:hAnsi="Arial"/>
          <w:sz w:val="18"/>
          <w:szCs w:val="18"/>
          <w:b w:val="1"/>
          <w:bCs w:val="1"/>
          <w:color w:val="auto"/>
        </w:rPr>
        <w:t>WORLDWIDE WYNN, LLC</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(“Company” or “Employer”)</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2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LINDA CHEN</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DATED AS OF: </w:t>
      </w:r>
      <w:r>
        <w:rPr>
          <w:rFonts w:ascii="Arial" w:cs="Arial" w:eastAsia="Arial" w:hAnsi="Arial"/>
          <w:sz w:val="18"/>
          <w:szCs w:val="18"/>
          <w:color w:val="auto"/>
        </w:rPr>
        <w:t>JULY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953135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AGREEMENT</w:t>
      </w:r>
    </w:p>
    <w:p>
      <w:pPr>
        <w:spacing w:after="0" w:line="198"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27</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2011 (“</w:t>
      </w:r>
      <w:r>
        <w:rPr>
          <w:rFonts w:ascii="Arial" w:cs="Arial" w:eastAsia="Arial" w:hAnsi="Arial"/>
          <w:sz w:val="18"/>
          <w:szCs w:val="18"/>
          <w:b w:val="1"/>
          <w:bCs w:val="1"/>
          <w:color w:val="auto"/>
        </w:rPr>
        <w:t>Grant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WORLDWIDE WYNN, LLC </w:t>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 xml:space="preserve"> or “Employer”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LINDA CHEN </w:t>
      </w: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920" w:firstLine="494"/>
        <w:spacing w:after="0" w:line="271" w:lineRule="auto"/>
        <w:tabs>
          <w:tab w:leader="none" w:pos="886"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hereby grants to the Participant, as of the Grant Date, an award (“</w:t>
      </w:r>
      <w:r>
        <w:rPr>
          <w:rFonts w:ascii="Arial" w:cs="Arial" w:eastAsia="Arial" w:hAnsi="Arial"/>
          <w:sz w:val="18"/>
          <w:szCs w:val="18"/>
          <w:b w:val="1"/>
          <w:bCs w:val="1"/>
          <w:color w:val="auto"/>
        </w:rPr>
        <w:t>Award</w:t>
      </w:r>
      <w:r>
        <w:rPr>
          <w:rFonts w:ascii="Arial" w:cs="Arial" w:eastAsia="Arial" w:hAnsi="Arial"/>
          <w:sz w:val="18"/>
          <w:szCs w:val="18"/>
          <w:color w:val="auto"/>
        </w:rPr>
        <w:t>”) in an amount equal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$10,000,000, subject to all of the terms and conditions contained in this Agreement.</w:t>
      </w:r>
    </w:p>
    <w:p>
      <w:pPr>
        <w:spacing w:after="0" w:line="180" w:lineRule="exact"/>
        <w:rPr>
          <w:rFonts w:ascii="Arial" w:cs="Arial" w:eastAsia="Arial" w:hAnsi="Arial"/>
          <w:sz w:val="18"/>
          <w:szCs w:val="18"/>
          <w:i w:val="1"/>
          <w:iCs w:val="1"/>
          <w:color w:val="auto"/>
        </w:rPr>
      </w:pPr>
    </w:p>
    <w:p>
      <w:pPr>
        <w:ind w:right="700" w:firstLine="494"/>
        <w:spacing w:after="0" w:line="271" w:lineRule="auto"/>
        <w:tabs>
          <w:tab w:leader="none" w:pos="886"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VESTING</w:t>
      </w:r>
      <w:r>
        <w:rPr>
          <w:rFonts w:ascii="Arial" w:cs="Arial" w:eastAsia="Arial" w:hAnsi="Arial"/>
          <w:sz w:val="18"/>
          <w:szCs w:val="18"/>
          <w:color w:val="auto"/>
        </w:rPr>
        <w:t>. Subject to Section 4 below, and the Participant’s continuous employment, the Award shall vest in full on July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180" w:lineRule="exact"/>
        <w:rPr>
          <w:rFonts w:ascii="Arial" w:cs="Arial" w:eastAsia="Arial" w:hAnsi="Arial"/>
          <w:sz w:val="18"/>
          <w:szCs w:val="18"/>
          <w:i w:val="1"/>
          <w:iCs w:val="1"/>
          <w:color w:val="auto"/>
        </w:rPr>
      </w:pPr>
    </w:p>
    <w:p>
      <w:pPr>
        <w:ind w:right="40" w:firstLine="494"/>
        <w:spacing w:after="0" w:line="271" w:lineRule="auto"/>
        <w:tabs>
          <w:tab w:leader="none" w:pos="886"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SETTLEMENT</w:t>
      </w:r>
      <w:r>
        <w:rPr>
          <w:rFonts w:ascii="Arial" w:cs="Arial" w:eastAsia="Arial" w:hAnsi="Arial"/>
          <w:sz w:val="18"/>
          <w:szCs w:val="18"/>
          <w:color w:val="auto"/>
        </w:rPr>
        <w:t>. Within ten 10 days following the Vesting Date, the Participant shall be entitled to receive a lump sum cash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amount set forth in Section 1 above, less any applicable employment and income tax withholdings.</w:t>
      </w:r>
    </w:p>
    <w:p>
      <w:pPr>
        <w:spacing w:after="0" w:line="180" w:lineRule="exact"/>
        <w:rPr>
          <w:rFonts w:ascii="Arial" w:cs="Arial" w:eastAsia="Arial" w:hAnsi="Arial"/>
          <w:sz w:val="18"/>
          <w:szCs w:val="18"/>
          <w:i w:val="1"/>
          <w:iCs w:val="1"/>
          <w:color w:val="auto"/>
        </w:rPr>
      </w:pPr>
    </w:p>
    <w:p>
      <w:pPr>
        <w:ind w:right="20" w:firstLine="494"/>
        <w:spacing w:after="0" w:line="238" w:lineRule="auto"/>
        <w:tabs>
          <w:tab w:leader="none" w:pos="886"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TERMINATION OF EMPLOYMENT</w:t>
      </w:r>
      <w:r>
        <w:rPr>
          <w:rFonts w:ascii="Arial" w:cs="Arial" w:eastAsia="Arial" w:hAnsi="Arial"/>
          <w:sz w:val="18"/>
          <w:szCs w:val="18"/>
          <w:color w:val="auto"/>
        </w:rPr>
        <w:t>: In the event of termination of the Participant’s employment by the Company (or one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for any reason other than Cause prior to the Vesting Date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w:t>
      </w:r>
      <w:r>
        <w:rPr>
          <w:rFonts w:ascii="Arial" w:cs="Arial" w:eastAsia="Arial" w:hAnsi="Arial"/>
          <w:sz w:val="18"/>
          <w:szCs w:val="18"/>
          <w:b w:val="1"/>
          <w:bCs w:val="1"/>
          <w:color w:val="auto"/>
        </w:rPr>
        <w:t>Cause</w:t>
      </w:r>
      <w:r>
        <w:rPr>
          <w:rFonts w:ascii="Arial" w:cs="Arial" w:eastAsia="Arial" w:hAnsi="Arial"/>
          <w:sz w:val="18"/>
          <w:szCs w:val="18"/>
          <w:color w:val="auto"/>
        </w:rPr>
        <w:t xml:space="preserve">” shall have the meaning set forth in the Participant’s employment agreement with the Company (if any), or if there is no such definition, shall mean (i) acts or omissions by the Participant which constitute intentional material misconduct or a knowing violation of a material policy of the Company or any of its subsidiaries, (ii) the Participant personally receiving a benefit in money, property or services from the Company or any of its subsidiaries or from another person dealing with the Company or any of its subsidiaries, in material violation of applicable law or the Company policy, (iii) an act of fraud, conversion, misappropriation, or embezzlement by the Participant or the Participant’s conviction of, or entering a guilty plea or plea of no contest with respect to, a felony, or the equivalent thereof (other than DUI), or (iv) any material misuse or improper disclosure of confidential or proprietary information of the Company.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shall have the meaning set forth in the Participant’s employment agreement with the Company (if any), or if there is no such definition, shall mean total and permanent disability as defined in Section 22(e)(3) of the Internal Revenue Code of 1986, as amended.</w:t>
      </w:r>
    </w:p>
    <w:p>
      <w:pPr>
        <w:spacing w:after="0" w:line="230" w:lineRule="exact"/>
        <w:rPr>
          <w:sz w:val="20"/>
          <w:szCs w:val="20"/>
          <w:color w:val="auto"/>
        </w:rPr>
      </w:pPr>
    </w:p>
    <w:p>
      <w:pPr>
        <w:ind w:right="80" w:firstLine="486"/>
        <w:spacing w:after="0"/>
        <w:rPr>
          <w:sz w:val="20"/>
          <w:szCs w:val="20"/>
          <w:color w:val="auto"/>
        </w:rPr>
      </w:pPr>
      <w:r>
        <w:rPr>
          <w:rFonts w:ascii="Arial" w:cs="Arial" w:eastAsia="Arial" w:hAnsi="Arial"/>
          <w:sz w:val="18"/>
          <w:szCs w:val="18"/>
          <w:color w:val="auto"/>
        </w:rPr>
        <w:t>In the event that Participant’s employment by the Company (or one of its affiliates) terminates for any other reason (including termination for Cause or voluntary resignation by Participant) prior to the Vesting Date, the Award shall be forfeited in full with no action required or compensation paid.</w:t>
      </w:r>
    </w:p>
    <w:p>
      <w:pPr>
        <w:spacing w:after="0" w:line="230" w:lineRule="exact"/>
        <w:rPr>
          <w:sz w:val="20"/>
          <w:szCs w:val="20"/>
          <w:color w:val="auto"/>
        </w:rPr>
      </w:pPr>
    </w:p>
    <w:p>
      <w:pPr>
        <w:ind w:firstLine="486"/>
        <w:spacing w:after="0" w:line="236" w:lineRule="auto"/>
        <w:rPr>
          <w:sz w:val="20"/>
          <w:szCs w:val="20"/>
          <w:color w:val="auto"/>
        </w:rPr>
      </w:pPr>
      <w:r>
        <w:rPr>
          <w:rFonts w:ascii="Arial" w:cs="Arial" w:eastAsia="Arial" w:hAnsi="Arial"/>
          <w:sz w:val="18"/>
          <w:szCs w:val="18"/>
          <w:color w:val="auto"/>
        </w:rPr>
        <w:t>Notwithstanding any provision in this Agreement to the contrary, if, at the time of Participant’s termination of employment with Employer, he or she is a “specified employee” as defined in Section 409A of the Internal Revenue Code (the “Code”), and the Settlement of the Award received or to be received by Participant pursuant to the Agreement constitutes deferred compensation subject to Section 409A, no such Settlement of the Award will be provided under the Agreement until the earlier of : (a) the date that is six (6) months following Participant’s termination of employment with Employer or (b) the Participant’s death. The provisions of this section shall only apply to the extent required to avoid Participant’s incurrence of any penalty tax or interest under Section 409A of the Code or regulations or Treasury guidance promulgated thereunder. In addition, if any provision of the Agreement would cause Participant to incur any penalty tax or interest under Section 409A of the Code or regulations or Treasury guidance promulgated thereunder, Employer may reform such provision to maintain the maximum extent practicable the original intent of the applicable provision without violating the provisions of Section 409A of the Code.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4" w:right="239" w:bottom="1440" w:gutter="0" w:footer="0" w:header="0"/>
        </w:sectPr>
      </w:pPr>
    </w:p>
    <w:bookmarkStart w:id="5" w:name="page6"/>
    <w:bookmarkEnd w:id="5"/>
    <w:p>
      <w:pPr>
        <w:ind w:left="-494" w:right="200" w:firstLine="494"/>
        <w:spacing w:after="0" w:line="271" w:lineRule="auto"/>
        <w:tabs>
          <w:tab w:leader="none" w:pos="392"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NON-TRANSFERABILITY</w:t>
      </w:r>
      <w:r>
        <w:rPr>
          <w:rFonts w:ascii="Arial" w:cs="Arial" w:eastAsia="Arial" w:hAnsi="Arial"/>
          <w:sz w:val="18"/>
          <w:szCs w:val="18"/>
          <w:color w:val="auto"/>
        </w:rPr>
        <w:t>. The Award may not be sold, pledged, assigned or transferred in any manner other than by will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of descent and distribution.</w:t>
      </w:r>
    </w:p>
    <w:p>
      <w:pPr>
        <w:spacing w:after="0" w:line="180" w:lineRule="exact"/>
        <w:rPr>
          <w:rFonts w:ascii="Arial" w:cs="Arial" w:eastAsia="Arial" w:hAnsi="Arial"/>
          <w:sz w:val="18"/>
          <w:szCs w:val="18"/>
          <w:i w:val="1"/>
          <w:iCs w:val="1"/>
          <w:color w:val="auto"/>
        </w:rPr>
      </w:pPr>
    </w:p>
    <w:p>
      <w:pPr>
        <w:ind w:left="-494" w:right="40" w:firstLine="494"/>
        <w:spacing w:after="0" w:line="247" w:lineRule="auto"/>
        <w:tabs>
          <w:tab w:leader="none" w:pos="392"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NO RIGHTS TO CONTINUATION OF EMPLOYMENT</w:t>
      </w:r>
      <w:r>
        <w:rPr>
          <w:rFonts w:ascii="Arial" w:cs="Arial" w:eastAsia="Arial" w:hAnsi="Arial"/>
          <w:sz w:val="18"/>
          <w:szCs w:val="18"/>
          <w:color w:val="auto"/>
        </w:rPr>
        <w:t>. Nothing in this Agreement shall confer upon the Participant any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in the employ of the Company or any subsidiary thereof or shall interfere with or restrict the right of the Company or its stockholders (or of a subsidiary or its stockholders, as the case may be) to terminate the Participant’s employment any time for any reason whatsoever, with or without Cause.</w:t>
      </w:r>
    </w:p>
    <w:p>
      <w:pPr>
        <w:spacing w:after="0" w:line="201" w:lineRule="exact"/>
        <w:rPr>
          <w:rFonts w:ascii="Arial" w:cs="Arial" w:eastAsia="Arial" w:hAnsi="Arial"/>
          <w:sz w:val="18"/>
          <w:szCs w:val="18"/>
          <w:i w:val="1"/>
          <w:iCs w:val="1"/>
          <w:color w:val="auto"/>
        </w:rPr>
      </w:pPr>
    </w:p>
    <w:p>
      <w:pPr>
        <w:ind w:left="-494" w:right="140" w:firstLine="494"/>
        <w:spacing w:after="0" w:line="253" w:lineRule="auto"/>
        <w:tabs>
          <w:tab w:leader="none" w:pos="392"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SEVERABILITY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any one or more provisions of this Agreement is declared judicially void or otherwise unenforceable,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remainder of this Agreement shall survive and such provision(s) shall be deemed modified or amended so as to fulfill the intent of the parties hereto.</w:t>
      </w:r>
    </w:p>
    <w:p>
      <w:pPr>
        <w:spacing w:after="0" w:line="196" w:lineRule="exact"/>
        <w:rPr>
          <w:rFonts w:ascii="Arial" w:cs="Arial" w:eastAsia="Arial" w:hAnsi="Arial"/>
          <w:sz w:val="18"/>
          <w:szCs w:val="18"/>
          <w:i w:val="1"/>
          <w:iCs w:val="1"/>
          <w:color w:val="auto"/>
        </w:rPr>
      </w:pPr>
    </w:p>
    <w:p>
      <w:pPr>
        <w:ind w:left="-494" w:firstLine="494"/>
        <w:spacing w:after="0" w:line="271" w:lineRule="auto"/>
        <w:tabs>
          <w:tab w:leader="none" w:pos="392"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both the Company and the Participant.</w:t>
      </w:r>
    </w:p>
    <w:p>
      <w:pPr>
        <w:spacing w:after="0" w:line="180" w:lineRule="exact"/>
        <w:rPr>
          <w:rFonts w:ascii="Arial" w:cs="Arial" w:eastAsia="Arial" w:hAnsi="Arial"/>
          <w:sz w:val="18"/>
          <w:szCs w:val="18"/>
          <w:i w:val="1"/>
          <w:iCs w:val="1"/>
          <w:color w:val="auto"/>
        </w:rPr>
      </w:pPr>
    </w:p>
    <w:p>
      <w:pPr>
        <w:ind w:left="-494" w:right="600" w:firstLine="494"/>
        <w:spacing w:after="0" w:line="271" w:lineRule="auto"/>
        <w:tabs>
          <w:tab w:leader="none" w:pos="392"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SUCCESSION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binding upon and inure to the benefit of the Company and the Participant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w:t>
      </w:r>
    </w:p>
    <w:p>
      <w:pPr>
        <w:spacing w:after="0" w:line="180" w:lineRule="exact"/>
        <w:rPr>
          <w:rFonts w:ascii="Arial" w:cs="Arial" w:eastAsia="Arial" w:hAnsi="Arial"/>
          <w:sz w:val="18"/>
          <w:szCs w:val="18"/>
          <w:i w:val="1"/>
          <w:iCs w:val="1"/>
          <w:color w:val="auto"/>
        </w:rPr>
      </w:pPr>
    </w:p>
    <w:p>
      <w:pPr>
        <w:ind w:left="-494" w:right="540" w:firstLine="494"/>
        <w:spacing w:after="0" w:line="271" w:lineRule="auto"/>
        <w:tabs>
          <w:tab w:leader="none" w:pos="492"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Nevada law,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of law principles.</w:t>
      </w:r>
    </w:p>
    <w:p>
      <w:pPr>
        <w:spacing w:after="0" w:line="180" w:lineRule="exact"/>
        <w:rPr>
          <w:rFonts w:ascii="Arial" w:cs="Arial" w:eastAsia="Arial" w:hAnsi="Arial"/>
          <w:sz w:val="18"/>
          <w:szCs w:val="18"/>
          <w:i w:val="1"/>
          <w:iCs w:val="1"/>
          <w:color w:val="auto"/>
        </w:rPr>
      </w:pPr>
    </w:p>
    <w:p>
      <w:pPr>
        <w:ind w:left="-494" w:right="60" w:firstLine="494"/>
        <w:spacing w:after="0" w:line="253" w:lineRule="auto"/>
        <w:tabs>
          <w:tab w:leader="none" w:pos="492"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DISPUTE RESOLUTION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controversy or claim arising out of or relating to this Agreement, the breach hereof, or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by Employer, shall be submitted to binding arbitration in accordance with the employment arbitration rules then in effect of the American Arbitration (“AAA”), to the extent not inconsistent with this Section as set forth below.</w:t>
      </w:r>
    </w:p>
    <w:p>
      <w:pPr>
        <w:spacing w:after="0" w:line="218" w:lineRule="exact"/>
        <w:rPr>
          <w:sz w:val="20"/>
          <w:szCs w:val="20"/>
          <w:color w:val="auto"/>
        </w:rPr>
      </w:pPr>
    </w:p>
    <w:p>
      <w:pPr>
        <w:ind w:left="166" w:right="800" w:firstLine="645"/>
        <w:spacing w:after="0"/>
        <w:tabs>
          <w:tab w:leader="none" w:pos="128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Coverage of Arbitration Agreement: The promises by Employer and Participant to arbitrate differences, rather than litigate them before courts or other bodies, provide consideration for each other, in addition to other consideration provided under the Agreement.</w:t>
      </w:r>
    </w:p>
    <w:p>
      <w:pPr>
        <w:spacing w:after="0" w:line="229" w:lineRule="exact"/>
        <w:rPr>
          <w:rFonts w:ascii="Arial" w:cs="Arial" w:eastAsia="Arial" w:hAnsi="Arial"/>
          <w:sz w:val="18"/>
          <w:szCs w:val="18"/>
          <w:color w:val="auto"/>
        </w:rPr>
      </w:pPr>
    </w:p>
    <w:p>
      <w:pPr>
        <w:ind w:left="166" w:right="720" w:firstLine="645"/>
        <w:spacing w:after="0" w:line="239" w:lineRule="auto"/>
        <w:tabs>
          <w:tab w:leader="none" w:pos="1284" w:val="left"/>
        </w:tabs>
        <w:numPr>
          <w:ilvl w:val="0"/>
          <w:numId w:val="5"/>
        </w:numPr>
        <w:rPr>
          <w:rFonts w:ascii="Arial" w:cs="Arial" w:eastAsia="Arial" w:hAnsi="Arial"/>
          <w:sz w:val="18"/>
          <w:szCs w:val="18"/>
          <w:color w:val="auto"/>
        </w:rPr>
      </w:pPr>
      <w:r>
        <w:rPr>
          <w:rFonts w:ascii="Arial" w:cs="Arial" w:eastAsia="Arial" w:hAnsi="Arial"/>
          <w:sz w:val="18"/>
          <w:szCs w:val="18"/>
          <w:color w:val="auto"/>
        </w:rPr>
        <w:t>Waiver of Rights to Pursue Claims in Court and to Jury Trial: This Section 11 does not in any manner waive any rights or remedies available under applicable statutes or common law, but does waive Employer’s and Participant's rights to pursue those rights and remedies in a judicial forum and waive any right to trial by jury of any claims. By signing this Agreement, the parties voluntarily agree to arbitrate any covered claims against each other.</w:t>
      </w:r>
    </w:p>
    <w:p>
      <w:pPr>
        <w:spacing w:after="0" w:line="228" w:lineRule="exact"/>
        <w:rPr>
          <w:rFonts w:ascii="Arial" w:cs="Arial" w:eastAsia="Arial" w:hAnsi="Arial"/>
          <w:sz w:val="18"/>
          <w:szCs w:val="18"/>
          <w:color w:val="auto"/>
        </w:rPr>
      </w:pPr>
    </w:p>
    <w:p>
      <w:pPr>
        <w:ind w:left="166" w:right="620" w:firstLine="645"/>
        <w:spacing w:after="0" w:line="237" w:lineRule="auto"/>
        <w:tabs>
          <w:tab w:leader="none" w:pos="12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Initiation of Arbitration: To commence arbitration of a claim subject to this Section 11, the aggrieved party must, within the time frame provided in Section 11(d) below, make written demand for arbitration and provide written notice of that demand to the other party. If a claim is brought by Participant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11, the complaint, petition or other initial pleading commencing such court action shall be considered the demand for arbitration. In such event, the other party may move that court to compel arbitration.</w:t>
      </w:r>
    </w:p>
    <w:p>
      <w:pPr>
        <w:spacing w:after="0" w:line="230" w:lineRule="exact"/>
        <w:rPr>
          <w:rFonts w:ascii="Arial" w:cs="Arial" w:eastAsia="Arial" w:hAnsi="Arial"/>
          <w:sz w:val="18"/>
          <w:szCs w:val="18"/>
          <w:color w:val="auto"/>
        </w:rPr>
      </w:pPr>
    </w:p>
    <w:p>
      <w:pPr>
        <w:ind w:left="166" w:right="840" w:firstLine="645"/>
        <w:spacing w:after="0" w:line="237" w:lineRule="auto"/>
        <w:tabs>
          <w:tab w:leader="none" w:pos="1281"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 Limit to Initiate Arbitration: To ensure timely resolution of disputes, Participant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Participant are waiving any longer statutes of limitations that would otherwise apply, and any aggrieved party is encouraged to give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ind w:left="5166" w:hanging="106"/>
        <w:spacing w:after="0"/>
        <w:tabs>
          <w:tab w:leader="none" w:pos="5166" w:val="left"/>
        </w:tabs>
        <w:numPr>
          <w:ilvl w:val="1"/>
          <w:numId w:val="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321310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6"/>
          </w:cols>
          <w:pgMar w:left="734" w:top="805" w:right="299" w:bottom="1440" w:gutter="0" w:footer="0" w:header="0"/>
        </w:sectPr>
      </w:pPr>
    </w:p>
    <w:bookmarkStart w:id="6" w:name="page7"/>
    <w:bookmarkEnd w:id="6"/>
    <w:p>
      <w:pPr>
        <w:spacing w:after="0" w:line="246" w:lineRule="auto"/>
        <w:rPr>
          <w:sz w:val="20"/>
          <w:szCs w:val="20"/>
          <w:color w:val="auto"/>
        </w:rPr>
      </w:pPr>
      <w:r>
        <w:rPr>
          <w:rFonts w:ascii="Arial" w:cs="Arial" w:eastAsia="Arial" w:hAnsi="Arial"/>
          <w:sz w:val="18"/>
          <w:szCs w:val="18"/>
          <w:color w:val="auto"/>
        </w:rPr>
        <w:t>written notice of any claim as soon as possible after the event(s) in dispute so that arbitration of any differences may take place promptly.</w:t>
      </w:r>
    </w:p>
    <w:p>
      <w:pPr>
        <w:spacing w:after="0" w:line="224" w:lineRule="exact"/>
        <w:rPr>
          <w:sz w:val="20"/>
          <w:szCs w:val="20"/>
          <w:color w:val="auto"/>
        </w:rPr>
      </w:pPr>
    </w:p>
    <w:p>
      <w:pPr>
        <w:ind w:firstLine="645"/>
        <w:spacing w:after="0" w:line="237"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color w:val="auto"/>
        </w:rPr>
        <w:t>Arbitrator Selection: The parties contemplate that, except as specifically set forth in this Section 11, selection of one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230" w:lineRule="exact"/>
        <w:rPr>
          <w:rFonts w:ascii="Arial" w:cs="Arial" w:eastAsia="Arial" w:hAnsi="Arial"/>
          <w:sz w:val="18"/>
          <w:szCs w:val="18"/>
          <w:color w:val="auto"/>
        </w:rPr>
      </w:pPr>
    </w:p>
    <w:p>
      <w:pPr>
        <w:ind w:right="20" w:firstLine="645"/>
        <w:spacing w:after="0" w:line="235"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color w:val="auto"/>
        </w:rPr>
        <w:t>Arbitration Rights and Procedures: Participant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when applicable.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241" w:lineRule="exact"/>
        <w:rPr>
          <w:rFonts w:ascii="Arial" w:cs="Arial" w:eastAsia="Arial" w:hAnsi="Arial"/>
          <w:sz w:val="18"/>
          <w:szCs w:val="18"/>
          <w:color w:val="auto"/>
        </w:rPr>
      </w:pPr>
    </w:p>
    <w:p>
      <w:pPr>
        <w:ind w:right="20" w:firstLine="645"/>
        <w:spacing w:after="0" w:line="237"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color w:val="auto"/>
        </w:rPr>
        <w:t>Arbitrator’s Award: The arbitrator will issue a written decision containing the specific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232" w:lineRule="exact"/>
        <w:rPr>
          <w:rFonts w:ascii="Arial" w:cs="Arial" w:eastAsia="Arial" w:hAnsi="Arial"/>
          <w:sz w:val="18"/>
          <w:szCs w:val="18"/>
          <w:color w:val="auto"/>
        </w:rPr>
      </w:pPr>
    </w:p>
    <w:p>
      <w:pPr>
        <w:ind w:right="140" w:firstLine="645"/>
        <w:spacing w:after="0" w:line="237" w:lineRule="auto"/>
        <w:tabs>
          <w:tab w:leader="none" w:pos="1118"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Participant and Employer shall each pay his/her/its own expenses for presentation of their cases, including but not limited to attorney’s fees, costs, and fees for witnesses, photocopying and other preparation expenses. If any party prevails on a statutory claim that affords the prevailing party attorney’s fees and costs, the arbitrator may award reasonable attorney’s fees and/or</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5000" w:hanging="106"/>
        <w:spacing w:after="0"/>
        <w:tabs>
          <w:tab w:leader="none" w:pos="5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321310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900" w:top="827" w:right="89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costs to the prevailing party, applying the same standards a court would apply under the law applicable to the claim.</w:t>
      </w:r>
    </w:p>
    <w:p>
      <w:pPr>
        <w:spacing w:after="0" w:line="200" w:lineRule="exact"/>
        <w:rPr>
          <w:sz w:val="20"/>
          <w:szCs w:val="20"/>
          <w:color w:val="auto"/>
        </w:rPr>
      </w:pPr>
    </w:p>
    <w:p>
      <w:pPr>
        <w:spacing w:after="0" w:line="260" w:lineRule="exact"/>
        <w:rPr>
          <w:sz w:val="20"/>
          <w:szCs w:val="20"/>
          <w:color w:val="auto"/>
        </w:rPr>
      </w:pPr>
    </w:p>
    <w:p>
      <w:pPr>
        <w:ind w:right="540" w:firstLine="494"/>
        <w:spacing w:after="0" w:line="271" w:lineRule="auto"/>
        <w:tabs>
          <w:tab w:leader="none" w:pos="986"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HEADINGS</w:t>
      </w:r>
      <w:r>
        <w:rPr>
          <w:rFonts w:ascii="Arial" w:cs="Arial" w:eastAsia="Arial" w:hAnsi="Arial"/>
          <w:sz w:val="18"/>
          <w:szCs w:val="18"/>
          <w:color w:val="auto"/>
        </w:rPr>
        <w:t>. Headings are used solely for the convenience of the parties and shall not be deemed to be a limitation upon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descriptive of the contents of any such Section.</w:t>
      </w:r>
    </w:p>
    <w:p>
      <w:pPr>
        <w:spacing w:after="0" w:line="180" w:lineRule="exact"/>
        <w:rPr>
          <w:rFonts w:ascii="Arial" w:cs="Arial" w:eastAsia="Arial" w:hAnsi="Arial"/>
          <w:sz w:val="18"/>
          <w:szCs w:val="18"/>
          <w:i w:val="1"/>
          <w:iCs w:val="1"/>
          <w:color w:val="auto"/>
        </w:rPr>
      </w:pPr>
    </w:p>
    <w:p>
      <w:pPr>
        <w:ind w:right="160" w:firstLine="494"/>
        <w:spacing w:after="0" w:line="271" w:lineRule="auto"/>
        <w:tabs>
          <w:tab w:leader="none" w:pos="986"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anything to the contrary in this Agreement, neither this Agreement nor any rights granted herein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assignable by the Participant.</w:t>
      </w:r>
    </w:p>
    <w:p>
      <w:pPr>
        <w:spacing w:after="0" w:line="180" w:lineRule="exact"/>
        <w:rPr>
          <w:rFonts w:ascii="Arial" w:cs="Arial" w:eastAsia="Arial" w:hAnsi="Arial"/>
          <w:sz w:val="18"/>
          <w:szCs w:val="18"/>
          <w:i w:val="1"/>
          <w:iCs w:val="1"/>
          <w:color w:val="auto"/>
        </w:rPr>
      </w:pPr>
    </w:p>
    <w:p>
      <w:pPr>
        <w:ind w:right="20" w:firstLine="494"/>
        <w:spacing w:after="0" w:line="271" w:lineRule="auto"/>
        <w:tabs>
          <w:tab w:leader="none" w:pos="986"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ADDITIONAL DOCUMENTS</w:t>
      </w:r>
      <w:r>
        <w:rPr>
          <w:rFonts w:ascii="Arial" w:cs="Arial" w:eastAsia="Arial" w:hAnsi="Arial"/>
          <w:sz w:val="18"/>
          <w:szCs w:val="18"/>
          <w:color w:val="auto"/>
        </w:rPr>
        <w:t>. Each party agrees to execute any and all further documents and writings, and to perform such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actions, which may be or become reasonably necessary or expedient to be made effective and carry out this Agreement.</w:t>
      </w:r>
    </w:p>
    <w:p>
      <w:pPr>
        <w:spacing w:after="0" w:line="180" w:lineRule="exact"/>
        <w:rPr>
          <w:rFonts w:ascii="Arial" w:cs="Arial" w:eastAsia="Arial" w:hAnsi="Arial"/>
          <w:sz w:val="18"/>
          <w:szCs w:val="18"/>
          <w:i w:val="1"/>
          <w:iCs w:val="1"/>
          <w:color w:val="auto"/>
        </w:rPr>
      </w:pPr>
    </w:p>
    <w:p>
      <w:pPr>
        <w:ind w:right="460" w:firstLine="494"/>
        <w:spacing w:after="0" w:line="271" w:lineRule="auto"/>
        <w:tabs>
          <w:tab w:leader="none" w:pos="986"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mail, return receipt requested, addressed to:</w:t>
      </w: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TO THE COMPANY</w:t>
      </w:r>
      <w:r>
        <w:rPr>
          <w:rFonts w:ascii="Arial" w:cs="Arial" w:eastAsia="Arial" w:hAnsi="Arial"/>
          <w:sz w:val="18"/>
          <w:szCs w:val="18"/>
          <w:color w:val="auto"/>
        </w:rPr>
        <w:t>:</w:t>
      </w:r>
    </w:p>
    <w:p>
      <w:pPr>
        <w:ind w:left="3360"/>
        <w:spacing w:after="0" w:line="234" w:lineRule="auto"/>
        <w:rPr>
          <w:sz w:val="20"/>
          <w:szCs w:val="20"/>
          <w:color w:val="auto"/>
        </w:rPr>
      </w:pPr>
      <w:r>
        <w:rPr>
          <w:rFonts w:ascii="Arial" w:cs="Arial" w:eastAsia="Arial" w:hAnsi="Arial"/>
          <w:sz w:val="18"/>
          <w:szCs w:val="18"/>
          <w:color w:val="auto"/>
        </w:rPr>
        <w:t>c/o 3131 Las Vegas Boulevard South</w:t>
      </w:r>
    </w:p>
    <w:p>
      <w:pPr>
        <w:ind w:left="3360"/>
        <w:spacing w:after="0" w:line="235" w:lineRule="auto"/>
        <w:rPr>
          <w:sz w:val="20"/>
          <w:szCs w:val="20"/>
          <w:color w:val="auto"/>
        </w:rPr>
      </w:pPr>
      <w:r>
        <w:rPr>
          <w:rFonts w:ascii="Arial" w:cs="Arial" w:eastAsia="Arial" w:hAnsi="Arial"/>
          <w:sz w:val="18"/>
          <w:szCs w:val="18"/>
          <w:color w:val="auto"/>
        </w:rPr>
        <w:t>Las Vegas, Nevada 89109</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Attn: General Counsel</w:t>
      </w:r>
    </w:p>
    <w:p>
      <w:pPr>
        <w:spacing w:after="0" w:line="396"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TO THE PARTICIPANT</w:t>
      </w:r>
      <w:r>
        <w:rPr>
          <w:rFonts w:ascii="Arial" w:cs="Arial" w:eastAsia="Arial" w:hAnsi="Arial"/>
          <w:sz w:val="18"/>
          <w:szCs w:val="18"/>
          <w:color w:val="auto"/>
        </w:rPr>
        <w:t>: Linda Chen</w:t>
      </w:r>
    </w:p>
    <w:p>
      <w:pPr>
        <w:ind w:left="3360"/>
        <w:spacing w:after="0" w:line="234" w:lineRule="auto"/>
        <w:rPr>
          <w:sz w:val="20"/>
          <w:szCs w:val="20"/>
          <w:color w:val="auto"/>
        </w:rPr>
      </w:pPr>
      <w:r>
        <w:rPr>
          <w:rFonts w:ascii="Arial" w:cs="Arial" w:eastAsia="Arial" w:hAnsi="Arial"/>
          <w:sz w:val="18"/>
          <w:szCs w:val="18"/>
          <w:color w:val="auto"/>
        </w:rPr>
        <w:t>2309 Whispering Hills Circle.</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Las Vegas NV 89117</w:t>
      </w:r>
    </w:p>
    <w:p>
      <w:pPr>
        <w:spacing w:after="0" w:line="239" w:lineRule="exact"/>
        <w:rPr>
          <w:sz w:val="20"/>
          <w:szCs w:val="20"/>
          <w:color w:val="auto"/>
        </w:rPr>
      </w:pPr>
    </w:p>
    <w:p>
      <w:pPr>
        <w:ind w:right="20" w:firstLine="486"/>
        <w:spacing w:after="0"/>
        <w:rPr>
          <w:sz w:val="20"/>
          <w:szCs w:val="20"/>
          <w:color w:val="auto"/>
        </w:rPr>
      </w:pPr>
      <w:r>
        <w:rPr>
          <w:rFonts w:ascii="Arial" w:cs="Arial" w:eastAsia="Arial" w:hAnsi="Arial"/>
          <w:sz w:val="18"/>
          <w:szCs w:val="18"/>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15.</w:t>
      </w:r>
    </w:p>
    <w:p>
      <w:pPr>
        <w:spacing w:after="0" w:line="208" w:lineRule="exact"/>
        <w:rPr>
          <w:sz w:val="20"/>
          <w:szCs w:val="20"/>
          <w:color w:val="auto"/>
        </w:rPr>
      </w:pPr>
    </w:p>
    <w:p>
      <w:pPr>
        <w:ind w:right="320" w:firstLine="494"/>
        <w:spacing w:after="0" w:line="271" w:lineRule="auto"/>
        <w:tabs>
          <w:tab w:leader="none" w:pos="986"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ENTIRE AGREEMENT</w:t>
      </w:r>
      <w:r>
        <w:rPr>
          <w:rFonts w:ascii="Arial" w:cs="Arial" w:eastAsia="Arial" w:hAnsi="Arial"/>
          <w:sz w:val="18"/>
          <w:szCs w:val="18"/>
          <w:color w:val="auto"/>
        </w:rPr>
        <w:t>. This Agreement contains the entire agreement and understanding among the parties as to the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hereof.</w:t>
      </w:r>
    </w:p>
    <w:p>
      <w:pPr>
        <w:spacing w:after="0" w:line="180" w:lineRule="exact"/>
        <w:rPr>
          <w:rFonts w:ascii="Arial" w:cs="Arial" w:eastAsia="Arial" w:hAnsi="Arial"/>
          <w:sz w:val="18"/>
          <w:szCs w:val="18"/>
          <w:i w:val="1"/>
          <w:iCs w:val="1"/>
          <w:color w:val="auto"/>
        </w:rPr>
      </w:pPr>
    </w:p>
    <w:p>
      <w:pPr>
        <w:ind w:right="80" w:firstLine="494"/>
        <w:spacing w:after="0" w:line="271" w:lineRule="auto"/>
        <w:tabs>
          <w:tab w:leader="none" w:pos="986"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COUNTERPARTS</w:t>
      </w:r>
      <w:r>
        <w:rPr>
          <w:rFonts w:ascii="Arial" w:cs="Arial" w:eastAsia="Arial" w:hAnsi="Arial"/>
          <w:sz w:val="18"/>
          <w:szCs w:val="18"/>
          <w:color w:val="auto"/>
        </w:rPr>
        <w:t>. This Agreement may be executed in counterparts, each of which shall be deemed to be an original, and taken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shall constitute one and the same document.</w:t>
      </w:r>
    </w:p>
    <w:p>
      <w:pPr>
        <w:spacing w:after="0" w:line="181"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as of the year and date first above written.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7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PARTICIPANT</w:t>
            </w:r>
          </w:p>
        </w:tc>
      </w:tr>
      <w:tr>
        <w:trPr>
          <w:trHeight w:val="594"/>
        </w:trPr>
        <w:tc>
          <w:tcPr>
            <w:tcW w:w="554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740" w:type="dxa"/>
            <w:vAlign w:val="bottom"/>
          </w:tcPr>
          <w:p>
            <w:pPr>
              <w:spacing w:after="0"/>
              <w:rPr>
                <w:sz w:val="24"/>
                <w:szCs w:val="24"/>
                <w:color w:val="auto"/>
              </w:rPr>
            </w:pPr>
          </w:p>
        </w:tc>
        <w:tc>
          <w:tcPr>
            <w:tcW w:w="5140" w:type="dxa"/>
            <w:vAlign w:val="bottom"/>
            <w:gridSpan w:val="3"/>
          </w:tcPr>
          <w:p>
            <w:pPr>
              <w:ind w:left="60"/>
              <w:spacing w:after="0"/>
              <w:rPr>
                <w:sz w:val="20"/>
                <w:szCs w:val="20"/>
                <w:color w:val="auto"/>
              </w:rPr>
            </w:pPr>
            <w:r>
              <w:rPr>
                <w:rFonts w:ascii="Arial" w:cs="Arial" w:eastAsia="Arial" w:hAnsi="Arial"/>
                <w:sz w:val="18"/>
                <w:szCs w:val="18"/>
                <w:color w:val="auto"/>
              </w:rPr>
              <w:t>/s/ Linda Chen</w:t>
            </w:r>
          </w:p>
        </w:tc>
      </w:tr>
      <w:tr>
        <w:trPr>
          <w:trHeight w:val="195"/>
        </w:trPr>
        <w:tc>
          <w:tcPr>
            <w:tcW w:w="420" w:type="dxa"/>
            <w:vAlign w:val="bottom"/>
          </w:tcPr>
          <w:p>
            <w:pPr>
              <w:spacing w:after="0"/>
              <w:rPr>
                <w:sz w:val="16"/>
                <w:szCs w:val="16"/>
                <w:color w:val="auto"/>
              </w:rPr>
            </w:pPr>
          </w:p>
        </w:tc>
        <w:tc>
          <w:tcPr>
            <w:tcW w:w="5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Marc Schorr</w:t>
            </w:r>
          </w:p>
        </w:tc>
        <w:tc>
          <w:tcPr>
            <w:tcW w:w="740" w:type="dxa"/>
            <w:vAlign w:val="bottom"/>
          </w:tcPr>
          <w:p>
            <w:pPr>
              <w:spacing w:after="0"/>
              <w:rPr>
                <w:sz w:val="16"/>
                <w:szCs w:val="16"/>
                <w:color w:val="auto"/>
              </w:rPr>
            </w:pPr>
          </w:p>
        </w:tc>
        <w:tc>
          <w:tcPr>
            <w:tcW w:w="51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Linda Chen</w:t>
            </w:r>
          </w:p>
        </w:tc>
      </w:tr>
      <w:tr>
        <w:trPr>
          <w:trHeight w:val="203"/>
        </w:trPr>
        <w:tc>
          <w:tcPr>
            <w:tcW w:w="420" w:type="dxa"/>
            <w:vAlign w:val="bottom"/>
          </w:tcPr>
          <w:p>
            <w:pPr>
              <w:spacing w:after="0"/>
              <w:rPr>
                <w:sz w:val="17"/>
                <w:szCs w:val="17"/>
                <w:color w:val="auto"/>
              </w:rPr>
            </w:pP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Title:  President, Worldwide Wynn, LLC</w:t>
            </w: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76"/>
        </w:trPr>
        <w:tc>
          <w:tcPr>
            <w:tcW w:w="5540" w:type="dxa"/>
            <w:vAlign w:val="bottom"/>
            <w:gridSpan w:val="2"/>
          </w:tcPr>
          <w:p>
            <w:pPr>
              <w:jc w:val="right"/>
              <w:ind w:right="3870"/>
              <w:spacing w:after="0" w:line="176" w:lineRule="exact"/>
              <w:rPr>
                <w:sz w:val="20"/>
                <w:szCs w:val="20"/>
                <w:color w:val="auto"/>
              </w:rPr>
            </w:pPr>
            <w:r>
              <w:rPr>
                <w:rFonts w:ascii="Arial" w:cs="Arial" w:eastAsia="Arial" w:hAnsi="Arial"/>
                <w:sz w:val="18"/>
                <w:szCs w:val="18"/>
                <w:color w:val="auto"/>
              </w:rPr>
              <w:t>8/16/11</w:t>
            </w:r>
          </w:p>
        </w:tc>
        <w:tc>
          <w:tcPr>
            <w:tcW w:w="740" w:type="dxa"/>
            <w:vAlign w:val="bottom"/>
          </w:tcPr>
          <w:p>
            <w:pPr>
              <w:spacing w:after="0"/>
              <w:rPr>
                <w:sz w:val="15"/>
                <w:szCs w:val="15"/>
                <w:color w:val="auto"/>
              </w:rPr>
            </w:pPr>
          </w:p>
        </w:tc>
        <w:tc>
          <w:tcPr>
            <w:tcW w:w="5140" w:type="dxa"/>
            <w:vAlign w:val="bottom"/>
            <w:gridSpan w:val="3"/>
          </w:tcPr>
          <w:p>
            <w:pPr>
              <w:spacing w:after="0" w:line="176" w:lineRule="exact"/>
              <w:rPr>
                <w:sz w:val="20"/>
                <w:szCs w:val="20"/>
                <w:color w:val="auto"/>
              </w:rPr>
            </w:pPr>
            <w:r>
              <w:rPr>
                <w:rFonts w:ascii="Arial" w:cs="Arial" w:eastAsia="Arial" w:hAnsi="Arial"/>
                <w:sz w:val="18"/>
                <w:szCs w:val="18"/>
                <w:color w:val="auto"/>
              </w:rPr>
              <w:t>Execution Date: August 12, 2011</w:t>
            </w:r>
          </w:p>
        </w:tc>
      </w:tr>
      <w:tr>
        <w:trPr>
          <w:trHeight w:val="20"/>
        </w:trPr>
        <w:tc>
          <w:tcPr>
            <w:tcW w:w="4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8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lowerLetter"/>
      <w:start w:val="1"/>
    </w:lvl>
    <w:lvl w:ilvl="1">
      <w:lvlJc w:val="left"/>
      <w:lvlText w:val="-"/>
      <w:numFmt w:val="bullet"/>
      <w:start w:val="1"/>
    </w:lvl>
  </w:abstractNum>
  <w:abstractNum w:abstractNumId="5">
    <w:nsid w:val="41B71EFB"/>
    <w:multiLevelType w:val="hybridMultilevel"/>
    <w:lvl w:ilvl="0">
      <w:lvlJc w:val="left"/>
      <w:lvlText w:val="(%1)"/>
      <w:numFmt w:val="lowerLetter"/>
      <w:start w:val="5"/>
    </w:lvl>
    <w:lvl w:ilvl="1">
      <w:lvlJc w:val="left"/>
      <w:lvlText w:val="-"/>
      <w:numFmt w:val="bullet"/>
      <w:start w:val="1"/>
    </w:lvl>
  </w:abstractNum>
  <w:abstractNum w:abstractNumId="6">
    <w:nsid w:val="79E2A9E3"/>
    <w:multiLevelType w:val="hybridMultilevel"/>
    <w:lvl w:ilvl="0">
      <w:lvlJc w:val="left"/>
      <w:lvlText w:val="%1."/>
      <w:numFmt w:val="decimal"/>
      <w:start w:val="12"/>
    </w:lvl>
  </w:abstractNum>
  <w:abstractNum w:abstractNumId="7">
    <w:nsid w:val="7545E146"/>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2019-12-10T22:14:40Z</dcterms:created>
  <dcterms:modified xsi:type="dcterms:W3CDTF">2019-12-10T22:14:40Z</dcterms:modified>
</cp:coreProperties>
</file>