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1160" w:right="20" w:hanging="571"/>
        <w:spacing w:after="0" w:line="268"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21"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60" w:hanging="1152"/>
        <w:spacing w:after="0"/>
        <w:tabs>
          <w:tab w:leader="none" w:pos="11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160" w:hanging="1152"/>
        <w:spacing w:after="0" w:line="332" w:lineRule="auto"/>
        <w:tabs>
          <w:tab w:leader="none" w:pos="11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-3418840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-3058160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-2560955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-2200910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-1840865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-862965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-502920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-142875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225425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5831840" cy="7495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1840" cy="74955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-81280</wp:posOffset>
            </wp:positionV>
            <wp:extent cx="13722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ind w:right="4980"/>
        <w:spacing w:after="0" w:line="260" w:lineRule="auto"/>
        <w:rPr>
          <w:sz w:val="20"/>
          <w:szCs w:val="20"/>
          <w:color w:val="auto"/>
        </w:rPr>
      </w:pPr>
      <w:r>
        <w:rPr>
          <w:rFonts w:ascii="Arial" w:cs="Arial" w:eastAsia="Arial" w:hAnsi="Arial"/>
          <w:sz w:val="32"/>
          <w:szCs w:val="32"/>
          <w:b w:val="1"/>
          <w:bCs w:val="1"/>
          <w:color w:val="614A3D"/>
        </w:rPr>
        <w:t>Notice of Annual Meeting of Stockholders to be held on April 24,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Annual Meeting of Stockholders (the “Annual Meeting”) of Wynn Resorts, Limited, a Nevada corporation (the “Company”), will be held at the Encore Theater at Wynn Las Vegas, 3131 Las Vegas Boulevard South, Las Vegas, Nevada, on April 24, 2015, at 9:00 am (local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Purpose of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for the following purposes:</w:t>
      </w:r>
    </w:p>
    <w:p>
      <w:pPr>
        <w:spacing w:after="0" w:line="198" w:lineRule="exact"/>
        <w:rPr>
          <w:sz w:val="20"/>
          <w:szCs w:val="20"/>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Class I directors to serve until the 2018 Annual Meeting of Stockholders;</w:t>
      </w:r>
    </w:p>
    <w:p>
      <w:pPr>
        <w:spacing w:after="0" w:line="76"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2015;</w:t>
      </w:r>
    </w:p>
    <w:p>
      <w:pPr>
        <w:spacing w:after="0" w:line="73"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vote on a proposal to amend the Company’s Second Amended and Restated Articles of Incorporation to provide the Company with additional flexibility in making distributions to its stockholders;</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consider and vote on the stockholder proposal described in the Proxy Statement, if properly presented at the Annual Meeting; and</w:t>
      </w:r>
    </w:p>
    <w:p>
      <w:pPr>
        <w:spacing w:after="0" w:line="99" w:lineRule="exact"/>
        <w:rPr>
          <w:rFonts w:ascii="Arial" w:cs="Arial" w:eastAsia="Arial" w:hAnsi="Arial"/>
          <w:sz w:val="16"/>
          <w:szCs w:val="16"/>
          <w:color w:val="auto"/>
        </w:rPr>
      </w:pPr>
    </w:p>
    <w:p>
      <w:pPr>
        <w:ind w:left="1020" w:hanging="215"/>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at any adjournments or postponements thereof.</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Only the Company’s stockholders of record at the close of business on March 5, 2015, the record date fixed by the Board of Directors, are entitled to notice of, and to vote at, the Annual Meeting, and at any adjournments or postponements thereof. Only such stockholders, their proxy holders and our invited guests may attend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Regarding Availability of Proxy Materials</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Proxy Statement and our Annual Report for the fiscal year ended December 31, 2014,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on the Company Information page. We mailed to our stockholders a notice containing instructions on how to access our Annual Meeting materials, including the Proxy Statement and our Annual Report for the fiscal year ended December 31, 2014, either electronically (together with instructions as to how to vote online) or in paper format.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Your Vote is Important</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BOARD OF DIRECTORS RECOMMENDS THAT YOU VOTE FOR THE TWO DIRECTOR NOMINEES NAMED IN THIS PROXY STATEMENT AND ON THE OTHER MATTERS AS RECOMMENDED IN THIS PROXY STATEMENT. PLEASE VOTE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FOLLOW THE DIRECTIONS IN THIS PROXY STATEMENT TO VOTE YOUR SHARES. The Board of Directors strongly urges you not to sign or return any gold proxy card sent to you. If you previously have submitted a gold proxy card, you can revoke that proxy by using the enclosed </w:t>
      </w:r>
      <w:r>
        <w:rPr>
          <w:rFonts w:ascii="Arial" w:cs="Arial" w:eastAsia="Arial" w:hAnsi="Arial"/>
          <w:sz w:val="18"/>
          <w:szCs w:val="18"/>
          <w:b w:val="1"/>
          <w:bCs w:val="1"/>
          <w:color w:val="auto"/>
        </w:rPr>
        <w:t xml:space="preserve">WHITE </w:t>
      </w:r>
      <w:r>
        <w:rPr>
          <w:rFonts w:ascii="Arial" w:cs="Arial" w:eastAsia="Arial" w:hAnsi="Arial"/>
          <w:sz w:val="18"/>
          <w:szCs w:val="18"/>
          <w:color w:val="auto"/>
        </w:rPr>
        <w:t>proxy card to vote your shares today by telephone, by Internet or by signing, dating, marking and returning the enclosed</w:t>
      </w:r>
      <w:r>
        <w:rPr>
          <w:rFonts w:ascii="Arial" w:cs="Arial" w:eastAsia="Arial" w:hAnsi="Arial"/>
          <w:sz w:val="18"/>
          <w:szCs w:val="18"/>
          <w:b w:val="1"/>
          <w:bCs w:val="1"/>
          <w:color w:val="auto"/>
        </w:rPr>
        <w:t xml:space="preserve"> WHITE </w:t>
      </w:r>
      <w:r>
        <w:rPr>
          <w:rFonts w:ascii="Arial" w:cs="Arial" w:eastAsia="Arial" w:hAnsi="Arial"/>
          <w:sz w:val="18"/>
          <w:szCs w:val="18"/>
          <w:color w:val="auto"/>
        </w:rPr>
        <w:t>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Only your latest-dated proxy will count. Whether or not you plan to attend the Annual Meeting, you are encouraged to read the attached Proxy Statement and then cast your vote as promptly as possible by following the instructions in the notice you receive.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238"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-6985</wp:posOffset>
            </wp:positionV>
            <wp:extent cx="2126615"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Kim Sinatra</w:t>
      </w:r>
    </w:p>
    <w:p>
      <w:pPr>
        <w:ind w:left="6300"/>
        <w:spacing w:after="0"/>
        <w:rPr>
          <w:sz w:val="20"/>
          <w:szCs w:val="20"/>
          <w:color w:val="auto"/>
        </w:rPr>
      </w:pPr>
      <w:r>
        <w:rPr>
          <w:rFonts w:ascii="Arial" w:cs="Arial" w:eastAsia="Arial" w:hAnsi="Arial"/>
          <w:sz w:val="14"/>
          <w:szCs w:val="14"/>
          <w:i w:val="1"/>
          <w:iCs w:val="1"/>
          <w:color w:val="auto"/>
        </w:rPr>
        <w:t>Secretary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tabs>
          <w:tab w:leader="none" w:pos="720" w:val="left"/>
        </w:tabs>
        <w:rPr>
          <w:sz w:val="20"/>
          <w:szCs w:val="20"/>
          <w:color w:val="auto"/>
        </w:rPr>
      </w:pPr>
      <w:r>
        <w:rPr>
          <w:rFonts w:ascii="Arial" w:cs="Arial" w:eastAsia="Arial" w:hAnsi="Arial"/>
          <w:sz w:val="18"/>
          <w:szCs w:val="18"/>
          <w:color w:val="auto"/>
        </w:rPr>
        <w:t>March</w:t>
        <w:tab/>
        <w:t>, 2015</w:t>
      </w:r>
    </w:p>
    <w:p>
      <w:pPr>
        <w:spacing w:after="0" w:line="136" w:lineRule="exact"/>
        <w:rPr>
          <w:sz w:val="20"/>
          <w:szCs w:val="20"/>
          <w:color w:val="auto"/>
        </w:rPr>
      </w:pPr>
    </w:p>
    <w:p>
      <w:pPr>
        <w:jc w:val="center"/>
        <w:ind w:left="260" w:right="20"/>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APRIL 24, 2015</w:t>
      </w:r>
    </w:p>
    <w:p>
      <w:pPr>
        <w:spacing w:after="0" w:line="134" w:lineRule="exact"/>
        <w:rPr>
          <w:sz w:val="20"/>
          <w:szCs w:val="20"/>
          <w:color w:val="auto"/>
        </w:rPr>
      </w:pPr>
    </w:p>
    <w:p>
      <w:pPr>
        <w:jc w:val="center"/>
        <w:ind w:left="260" w:right="380"/>
        <w:spacing w:after="0" w:line="239" w:lineRule="auto"/>
        <w:rPr>
          <w:sz w:val="20"/>
          <w:szCs w:val="20"/>
          <w:color w:val="auto"/>
        </w:rPr>
      </w:pPr>
      <w:r>
        <w:rPr>
          <w:rFonts w:ascii="Arial" w:cs="Arial" w:eastAsia="Arial" w:hAnsi="Arial"/>
          <w:sz w:val="18"/>
          <w:szCs w:val="18"/>
          <w:color w:val="auto"/>
        </w:rPr>
        <w:t xml:space="preserve">This Proxy Statement and our 2014 Annual Report on Form 10-K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“Annual Meeting &amp; Related Materials” on the Company Information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-81280</wp:posOffset>
            </wp:positionV>
            <wp:extent cx="13722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60" w:type="dxa"/>
            <w:vAlign w:val="bottom"/>
            <w:gridSpan w:val="3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w:t>
              </w:r>
            </w:hyperlink>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4860" w:type="dxa"/>
            <w:vAlign w:val="bottom"/>
            <w:gridSpan w:val="33"/>
          </w:tcPr>
          <w:p>
            <w:pPr>
              <w:ind w:left="220"/>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Key Changes to Our Compensation Programs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Our 2015 Annual</w:t>
              </w:r>
            </w:hyperlink>
          </w:p>
        </w:tc>
        <w:tc>
          <w:tcPr>
            <w:tcW w:w="2040" w:type="dxa"/>
            <w:vAlign w:val="bottom"/>
            <w:tcBorders>
              <w:bottom w:val="single" w:sz="8" w:color="0000EE"/>
            </w:tcBorders>
            <w:gridSpan w:val="16"/>
          </w:tcPr>
          <w:p>
            <w:pPr>
              <w:spacing w:after="0" w:line="182" w:lineRule="exact"/>
              <w:rPr>
                <w:rFonts w:ascii="Arial" w:cs="Arial" w:eastAsia="Arial" w:hAnsi="Arial"/>
                <w:sz w:val="18"/>
                <w:szCs w:val="18"/>
                <w:b w:val="1"/>
                <w:bCs w:val="1"/>
                <w:color w:val="0000EE"/>
                <w:w w:val="96"/>
              </w:rPr>
            </w:pPr>
            <w:hyperlink w:anchor="page5">
              <w:r>
                <w:rPr>
                  <w:rFonts w:ascii="Arial" w:cs="Arial" w:eastAsia="Arial" w:hAnsi="Arial"/>
                  <w:sz w:val="18"/>
                  <w:szCs w:val="18"/>
                  <w:b w:val="1"/>
                  <w:bCs w:val="1"/>
                  <w:color w:val="0000EE"/>
                  <w:w w:val="96"/>
                </w:rPr>
                <w:t>Meeting of Stockholders</w:t>
              </w:r>
            </w:hyperlink>
          </w:p>
        </w:tc>
        <w:tc>
          <w:tcPr>
            <w:tcW w:w="1060" w:type="dxa"/>
            <w:vAlign w:val="bottom"/>
            <w:gridSpan w:val="8"/>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382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b w:val="1"/>
                <w:bCs w:val="1"/>
                <w:color w:val="0000EE"/>
                <w:w w:val="96"/>
              </w:rPr>
            </w:pPr>
            <w:hyperlink w:anchor="page24">
              <w:r>
                <w:rPr>
                  <w:rFonts w:ascii="Arial" w:cs="Arial" w:eastAsia="Arial" w:hAnsi="Arial"/>
                  <w:sz w:val="18"/>
                  <w:szCs w:val="18"/>
                  <w:b w:val="1"/>
                  <w:bCs w:val="1"/>
                  <w:color w:val="0000EE"/>
                  <w:w w:val="96"/>
                </w:rPr>
                <w:t>Executive Compensation Practices Highlights</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gridSpan w:val="30"/>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Notice of Internet Availability of Proxy Materials</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3840" w:type="dxa"/>
            <w:vAlign w:val="bottom"/>
            <w:gridSpan w:val="25"/>
          </w:tcPr>
          <w:p>
            <w:pPr>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Philosophy and Overview of Our Executive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4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w w:val="95"/>
              </w:rPr>
            </w:pPr>
            <w:hyperlink w:anchor="page5">
              <w:r>
                <w:rPr>
                  <w:rFonts w:ascii="Arial" w:cs="Arial" w:eastAsia="Arial" w:hAnsi="Arial"/>
                  <w:sz w:val="18"/>
                  <w:szCs w:val="18"/>
                  <w:b w:val="1"/>
                  <w:bCs w:val="1"/>
                  <w:color w:val="0000EE"/>
                  <w:w w:val="95"/>
                </w:rPr>
                <w:t>Revocability of Proxies</w:t>
              </w:r>
            </w:hyperlink>
          </w:p>
        </w:tc>
        <w:tc>
          <w:tcPr>
            <w:tcW w:w="2040" w:type="dxa"/>
            <w:vAlign w:val="bottom"/>
            <w:tcBorders>
              <w:top w:val="single" w:sz="8" w:color="0000EE"/>
            </w:tcBorders>
            <w:gridSpan w:val="14"/>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360" w:type="dxa"/>
            <w:vAlign w:val="bottom"/>
            <w:tcBorders>
              <w:top w:val="single" w:sz="8" w:color="0000EE"/>
            </w:tcBorders>
            <w:gridSpan w:val="19"/>
          </w:tcPr>
          <w:p>
            <w:pPr>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Compensation Program</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40" w:type="dxa"/>
            <w:vAlign w:val="bottom"/>
            <w:gridSpan w:val="21"/>
            <w:vMerge w:val="restart"/>
          </w:tcPr>
          <w:p>
            <w:pPr>
              <w:spacing w:after="0" w:line="202"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Compensation</w:t>
              </w:r>
            </w:hyperlink>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940" w:type="dxa"/>
            <w:vAlign w:val="bottom"/>
            <w:gridSpan w:val="13"/>
          </w:tcPr>
          <w:p>
            <w:pPr>
              <w:spacing w:after="0" w:line="182" w:lineRule="exact"/>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Voting and Solicitation</w:t>
              </w:r>
            </w:hyperlink>
          </w:p>
        </w:tc>
        <w:tc>
          <w:tcPr>
            <w:tcW w:w="2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2</w:t>
            </w:r>
          </w:p>
        </w:tc>
        <w:tc>
          <w:tcPr>
            <w:tcW w:w="2420" w:type="dxa"/>
            <w:vAlign w:val="bottom"/>
            <w:gridSpan w:val="12"/>
          </w:tcPr>
          <w:p>
            <w:pPr>
              <w:ind w:left="220"/>
              <w:spacing w:after="0" w:line="182"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Elements of Executive</w:t>
              </w:r>
            </w:hyperlink>
          </w:p>
        </w:tc>
        <w:tc>
          <w:tcPr>
            <w:tcW w:w="2440" w:type="dxa"/>
            <w:vAlign w:val="bottom"/>
            <w:gridSpan w:val="21"/>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00" w:type="dxa"/>
            <w:vAlign w:val="bottom"/>
            <w:tcBorders>
              <w:top w:val="single" w:sz="8" w:color="0000EE"/>
            </w:tcBorders>
            <w:gridSpan w:val="12"/>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Attending the Annual</w:t>
              </w:r>
            </w:hyperlink>
          </w:p>
        </w:tc>
        <w:tc>
          <w:tcPr>
            <w:tcW w:w="600" w:type="dxa"/>
            <w:vAlign w:val="bottom"/>
            <w:gridSpan w:val="5"/>
          </w:tcPr>
          <w:p>
            <w:pPr>
              <w:jc w:val="center"/>
              <w:spacing w:after="0" w:line="182"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Meeting</w:t>
              </w:r>
            </w:hyperlink>
          </w:p>
        </w:tc>
        <w:tc>
          <w:tcPr>
            <w:tcW w:w="2060" w:type="dxa"/>
            <w:vAlign w:val="bottom"/>
            <w:gridSpan w:val="13"/>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5"/>
                <w:szCs w:val="15"/>
                <w:color w:val="auto"/>
              </w:rPr>
            </w:pPr>
          </w:p>
        </w:tc>
        <w:tc>
          <w:tcPr>
            <w:tcW w:w="3140" w:type="dxa"/>
            <w:vAlign w:val="bottom"/>
            <w:tcBorders>
              <w:top w:val="single" w:sz="8" w:color="0000EE"/>
            </w:tcBorders>
            <w:gridSpan w:val="17"/>
          </w:tcPr>
          <w:p>
            <w:pPr>
              <w:spacing w:after="0" w:line="182"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How We Make Pay Decisions</w:t>
              </w:r>
            </w:hyperlink>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4"/>
          </w:tcPr>
          <w:p>
            <w:pPr>
              <w:spacing w:after="0" w:line="20" w:lineRule="exact"/>
              <w:rPr>
                <w:sz w:val="1"/>
                <w:szCs w:val="1"/>
                <w:color w:val="auto"/>
              </w:rPr>
            </w:pPr>
          </w:p>
        </w:tc>
        <w:tc>
          <w:tcPr>
            <w:tcW w:w="7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140" w:type="dxa"/>
            <w:vAlign w:val="bottom"/>
            <w:gridSpan w:val="3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gridSpan w:val="18"/>
          </w:tcPr>
          <w:p>
            <w:pPr>
              <w:spacing w:after="0" w:line="182" w:lineRule="exact"/>
              <w:rPr>
                <w:rFonts w:ascii="Arial" w:cs="Arial" w:eastAsia="Arial" w:hAnsi="Arial"/>
                <w:sz w:val="18"/>
                <w:szCs w:val="18"/>
                <w:b w:val="1"/>
                <w:bCs w:val="1"/>
                <w:color w:val="0000EE"/>
                <w:w w:val="96"/>
              </w:rPr>
            </w:pPr>
            <w:hyperlink w:anchor="page7">
              <w:r>
                <w:rPr>
                  <w:rFonts w:ascii="Arial" w:cs="Arial" w:eastAsia="Arial" w:hAnsi="Arial"/>
                  <w:sz w:val="18"/>
                  <w:szCs w:val="18"/>
                  <w:b w:val="1"/>
                  <w:bCs w:val="1"/>
                  <w:color w:val="0000EE"/>
                  <w:w w:val="96"/>
                </w:rPr>
                <w:t>Proposal 1: Election of Directors</w:t>
              </w:r>
            </w:hyperlink>
          </w:p>
        </w:tc>
        <w:tc>
          <w:tcPr>
            <w:tcW w:w="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220" w:type="dxa"/>
            <w:vAlign w:val="bottom"/>
            <w:vMerge w:val="continue"/>
          </w:tcPr>
          <w:p>
            <w:pPr>
              <w:spacing w:after="0"/>
              <w:rPr>
                <w:sz w:val="15"/>
                <w:szCs w:val="15"/>
                <w:color w:val="auto"/>
              </w:rPr>
            </w:pPr>
          </w:p>
        </w:tc>
        <w:tc>
          <w:tcPr>
            <w:tcW w:w="4640" w:type="dxa"/>
            <w:vAlign w:val="bottom"/>
            <w:gridSpan w:val="32"/>
          </w:tcPr>
          <w:p>
            <w:pPr>
              <w:spacing w:after="0" w:line="182"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Aspects of Our Executive Compensation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252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Director Nominees</w:t>
              </w:r>
            </w:hyperlink>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5"/>
                <w:szCs w:val="15"/>
                <w:color w:val="auto"/>
              </w:rPr>
            </w:pPr>
          </w:p>
        </w:tc>
        <w:tc>
          <w:tcPr>
            <w:tcW w:w="392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Compensation Committee Report</w:t>
              </w:r>
            </w:hyperlink>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580" w:type="dxa"/>
            <w:vAlign w:val="bottom"/>
            <w:gridSpan w:val="11"/>
            <w:vMerge w:val="restart"/>
          </w:tcPr>
          <w:p>
            <w:pPr>
              <w:ind w:left="60"/>
              <w:spacing w:after="0" w:line="202" w:lineRule="exact"/>
              <w:rPr>
                <w:rFonts w:ascii="Arial" w:cs="Arial" w:eastAsia="Arial" w:hAnsi="Arial"/>
                <w:sz w:val="18"/>
                <w:szCs w:val="18"/>
                <w:b w:val="1"/>
                <w:bCs w:val="1"/>
                <w:color w:val="0000EE"/>
                <w:w w:val="96"/>
              </w:rPr>
            </w:pPr>
            <w:hyperlink w:anchor="page7">
              <w:r>
                <w:rPr>
                  <w:rFonts w:ascii="Arial" w:cs="Arial" w:eastAsia="Arial" w:hAnsi="Arial"/>
                  <w:sz w:val="18"/>
                  <w:szCs w:val="18"/>
                  <w:b w:val="1"/>
                  <w:bCs w:val="1"/>
                  <w:color w:val="0000EE"/>
                  <w:w w:val="96"/>
                </w:rPr>
                <w:t>and Qualifications</w:t>
              </w:r>
            </w:hyperlink>
          </w:p>
        </w:tc>
        <w:tc>
          <w:tcPr>
            <w:tcW w:w="1240" w:type="dxa"/>
            <w:vAlign w:val="bottom"/>
            <w:gridSpan w:val="9"/>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560" w:type="dxa"/>
            <w:vAlign w:val="bottom"/>
            <w:gridSpan w:val="7"/>
          </w:tcPr>
          <w:p>
            <w:pPr>
              <w:spacing w:after="0" w:line="182" w:lineRule="exact"/>
              <w:rPr>
                <w:rFonts w:ascii="Arial" w:cs="Arial" w:eastAsia="Arial" w:hAnsi="Arial"/>
                <w:sz w:val="18"/>
                <w:szCs w:val="18"/>
                <w:b w:val="1"/>
                <w:bCs w:val="1"/>
                <w:color w:val="0000EE"/>
                <w:w w:val="86"/>
              </w:rPr>
            </w:pPr>
            <w:hyperlink w:anchor="page7">
              <w:r>
                <w:rPr>
                  <w:rFonts w:ascii="Arial" w:cs="Arial" w:eastAsia="Arial" w:hAnsi="Arial"/>
                  <w:sz w:val="18"/>
                  <w:szCs w:val="18"/>
                  <w:b w:val="1"/>
                  <w:bCs w:val="1"/>
                  <w:color w:val="0000EE"/>
                  <w:w w:val="86"/>
                </w:rPr>
                <w:t>Director Biographies</w:t>
              </w:r>
            </w:hyperlink>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580" w:type="dxa"/>
            <w:vAlign w:val="bottom"/>
            <w:gridSpan w:val="11"/>
            <w:vMerge w:val="continue"/>
          </w:tcPr>
          <w:p>
            <w:pPr>
              <w:spacing w:after="0"/>
              <w:rPr>
                <w:sz w:val="15"/>
                <w:szCs w:val="15"/>
                <w:color w:val="auto"/>
              </w:rPr>
            </w:pPr>
          </w:p>
        </w:tc>
        <w:tc>
          <w:tcPr>
            <w:tcW w:w="1240" w:type="dxa"/>
            <w:vAlign w:val="bottom"/>
            <w:gridSpan w:val="9"/>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3020" w:type="dxa"/>
            <w:vAlign w:val="bottom"/>
            <w:gridSpan w:val="17"/>
          </w:tcPr>
          <w:p>
            <w:pPr>
              <w:spacing w:after="0" w:line="182"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Executive Compensation Tables</w:t>
              </w:r>
            </w:hyperlink>
          </w:p>
        </w:tc>
        <w:tc>
          <w:tcPr>
            <w:tcW w:w="6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tcBorders>
              <w:bottom w:val="single" w:sz="8" w:color="0000EE"/>
            </w:tcBorders>
            <w:gridSpan w:val="10"/>
          </w:tcPr>
          <w:p>
            <w:pPr>
              <w:spacing w:after="0" w:line="182" w:lineRule="exact"/>
              <w:rPr>
                <w:rFonts w:ascii="Arial" w:cs="Arial" w:eastAsia="Arial" w:hAnsi="Arial"/>
                <w:sz w:val="18"/>
                <w:szCs w:val="18"/>
                <w:b w:val="1"/>
                <w:bCs w:val="1"/>
                <w:color w:val="0000EE"/>
                <w:w w:val="96"/>
              </w:rPr>
            </w:pPr>
            <w:hyperlink w:anchor="page11">
              <w:r>
                <w:rPr>
                  <w:rFonts w:ascii="Arial" w:cs="Arial" w:eastAsia="Arial" w:hAnsi="Arial"/>
                  <w:sz w:val="18"/>
                  <w:szCs w:val="18"/>
                  <w:b w:val="1"/>
                  <w:bCs w:val="1"/>
                  <w:color w:val="0000EE"/>
                  <w:w w:val="96"/>
                </w:rPr>
                <w:t>Corporate Governance</w:t>
              </w:r>
            </w:hyperlink>
          </w:p>
        </w:tc>
        <w:tc>
          <w:tcPr>
            <w:tcW w:w="1620" w:type="dxa"/>
            <w:vAlign w:val="bottom"/>
            <w:gridSpan w:val="12"/>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5"/>
                <w:szCs w:val="15"/>
                <w:color w:val="auto"/>
              </w:rPr>
            </w:pPr>
          </w:p>
        </w:tc>
        <w:tc>
          <w:tcPr>
            <w:tcW w:w="2460" w:type="dxa"/>
            <w:vAlign w:val="bottom"/>
            <w:tcBorders>
              <w:bottom w:val="single" w:sz="8" w:color="0000EE"/>
            </w:tcBorders>
            <w:gridSpan w:val="13"/>
          </w:tcPr>
          <w:p>
            <w:pPr>
              <w:spacing w:after="0" w:line="182" w:lineRule="exact"/>
              <w:rPr>
                <w:rFonts w:ascii="Arial" w:cs="Arial" w:eastAsia="Arial" w:hAnsi="Arial"/>
                <w:sz w:val="18"/>
                <w:szCs w:val="18"/>
                <w:b w:val="1"/>
                <w:bCs w:val="1"/>
                <w:color w:val="0000EE"/>
                <w:w w:val="92"/>
              </w:rPr>
            </w:pPr>
            <w:hyperlink w:anchor="page31">
              <w:r>
                <w:rPr>
                  <w:rFonts w:ascii="Arial" w:cs="Arial" w:eastAsia="Arial" w:hAnsi="Arial"/>
                  <w:sz w:val="18"/>
                  <w:szCs w:val="18"/>
                  <w:b w:val="1"/>
                  <w:bCs w:val="1"/>
                  <w:color w:val="0000EE"/>
                  <w:w w:val="92"/>
                </w:rPr>
                <w:t>Summary Compensation Table</w:t>
              </w:r>
            </w:hyperlink>
          </w:p>
        </w:tc>
        <w:tc>
          <w:tcPr>
            <w:tcW w:w="80" w:type="dxa"/>
            <w:vAlign w:val="bottom"/>
            <w:tcBorders>
              <w:bottom w:val="single" w:sz="8" w:color="0000EE"/>
            </w:tcBorders>
            <w:vMerge w:val="continue"/>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700" w:type="dxa"/>
            <w:vAlign w:val="bottom"/>
            <w:gridSpan w:val="9"/>
          </w:tcPr>
          <w:p>
            <w:pPr>
              <w:spacing w:after="0" w:line="18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Overview</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5"/>
                <w:szCs w:val="15"/>
                <w:color w:val="auto"/>
              </w:rPr>
            </w:pPr>
          </w:p>
        </w:tc>
        <w:tc>
          <w:tcPr>
            <w:tcW w:w="4640" w:type="dxa"/>
            <w:vAlign w:val="bottom"/>
            <w:gridSpan w:val="32"/>
          </w:tcPr>
          <w:p>
            <w:pPr>
              <w:spacing w:after="0" w:line="182"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Discussion of Summary Compensation Table</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Board</w:t>
              </w:r>
            </w:hyperlink>
          </w:p>
        </w:tc>
        <w:tc>
          <w:tcPr>
            <w:tcW w:w="3780" w:type="dxa"/>
            <w:vAlign w:val="bottom"/>
            <w:gridSpan w:val="28"/>
          </w:tcPr>
          <w:p>
            <w:pPr>
              <w:spacing w:after="0" w:line="18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Leadership Structure</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5"/>
                <w:szCs w:val="15"/>
                <w:color w:val="auto"/>
              </w:rPr>
            </w:pPr>
          </w:p>
        </w:tc>
        <w:tc>
          <w:tcPr>
            <w:tcW w:w="376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2014 Grants of Plan-Based Awards Table</w:t>
              </w:r>
            </w:hyperlink>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320" w:type="dxa"/>
            <w:vAlign w:val="bottom"/>
            <w:tcBorders>
              <w:top w:val="single" w:sz="8" w:color="0000EE"/>
            </w:tcBorders>
            <w:gridSpan w:val="15"/>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Director Independence</w:t>
              </w:r>
            </w:hyperlink>
          </w:p>
        </w:tc>
        <w:tc>
          <w:tcPr>
            <w:tcW w:w="80" w:type="dxa"/>
            <w:vAlign w:val="bottom"/>
          </w:tcPr>
          <w:p>
            <w:pPr>
              <w:spacing w:after="0"/>
              <w:rPr>
                <w:sz w:val="15"/>
                <w:szCs w:val="15"/>
                <w:color w:val="auto"/>
              </w:rPr>
            </w:pPr>
          </w:p>
        </w:tc>
        <w:tc>
          <w:tcPr>
            <w:tcW w:w="44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5"/>
                <w:szCs w:val="15"/>
                <w:color w:val="auto"/>
              </w:rPr>
            </w:pPr>
          </w:p>
        </w:tc>
        <w:tc>
          <w:tcPr>
            <w:tcW w:w="340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Outstanding Equity Awards at Fiscal Year</w:t>
              </w:r>
            </w:hyperlink>
          </w:p>
        </w:tc>
        <w:tc>
          <w:tcPr>
            <w:tcW w:w="1240" w:type="dxa"/>
            <w:vAlign w:val="bottom"/>
            <w:gridSpan w:val="14"/>
          </w:tcPr>
          <w:p>
            <w:pPr>
              <w:ind w:left="80"/>
              <w:spacing w:after="0" w:line="18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-End</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4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Meetings of the Board</w:t>
              </w:r>
            </w:hyperlink>
          </w:p>
        </w:tc>
        <w:tc>
          <w:tcPr>
            <w:tcW w:w="2620" w:type="dxa"/>
            <w:vAlign w:val="bottom"/>
            <w:gridSpan w:val="17"/>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of Directors and Stockholders</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5"/>
                <w:szCs w:val="15"/>
                <w:color w:val="auto"/>
              </w:rPr>
            </w:pPr>
          </w:p>
        </w:tc>
        <w:tc>
          <w:tcPr>
            <w:tcW w:w="3880" w:type="dxa"/>
            <w:vAlign w:val="bottom"/>
            <w:tcBorders>
              <w:top w:val="single" w:sz="8" w:color="0000EE"/>
            </w:tcBorders>
            <w:gridSpan w:val="27"/>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Option Exercises and Stock Vested in 2014</w:t>
              </w:r>
            </w:hyperlink>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0" w:type="dxa"/>
            <w:vAlign w:val="bottom"/>
            <w:tcBorders>
              <w:top w:val="single" w:sz="8" w:color="0000EE"/>
            </w:tcBorders>
            <w:gridSpan w:val="29"/>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Risk Oversight</w:t>
              </w:r>
            </w:hyperlink>
          </w:p>
        </w:tc>
        <w:tc>
          <w:tcPr>
            <w:tcW w:w="160" w:type="dxa"/>
            <w:vAlign w:val="bottom"/>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5"/>
                <w:szCs w:val="15"/>
                <w:color w:val="auto"/>
              </w:rPr>
            </w:pPr>
          </w:p>
        </w:tc>
        <w:tc>
          <w:tcPr>
            <w:tcW w:w="3600" w:type="dxa"/>
            <w:vAlign w:val="bottom"/>
            <w:tcBorders>
              <w:top w:val="single" w:sz="8" w:color="0000EE"/>
            </w:tcBorders>
            <w:gridSpan w:val="21"/>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Potential Payments Upon Termination or</w:t>
              </w:r>
            </w:hyperlink>
          </w:p>
        </w:tc>
        <w:tc>
          <w:tcPr>
            <w:tcW w:w="1040" w:type="dxa"/>
            <w:vAlign w:val="bottom"/>
            <w:gridSpan w:val="11"/>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Change in</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820" w:type="dxa"/>
            <w:vAlign w:val="bottom"/>
            <w:gridSpan w:val="11"/>
          </w:tcPr>
          <w:p>
            <w:pPr>
              <w:spacing w:after="0" w:line="182"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Standing Committees</w:t>
              </w:r>
            </w:hyperlink>
          </w:p>
        </w:tc>
        <w:tc>
          <w:tcPr>
            <w:tcW w:w="2740" w:type="dxa"/>
            <w:vAlign w:val="bottom"/>
            <w:gridSpan w:val="19"/>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9</w:t>
            </w:r>
          </w:p>
        </w:tc>
        <w:tc>
          <w:tcPr>
            <w:tcW w:w="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60" w:type="dxa"/>
            <w:vAlign w:val="bottom"/>
            <w:gridSpan w:val="28"/>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Control</w:t>
              </w:r>
            </w:hyperlink>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40" w:type="dxa"/>
            <w:vAlign w:val="bottom"/>
            <w:gridSpan w:val="19"/>
            <w:vMerge w:val="restart"/>
          </w:tcPr>
          <w:p>
            <w:pPr>
              <w:ind w:left="120"/>
              <w:spacing w:after="0" w:line="20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Committee</w:t>
              </w:r>
            </w:hyperlink>
          </w:p>
        </w:tc>
        <w:tc>
          <w:tcPr>
            <w:tcW w:w="1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820" w:type="dxa"/>
            <w:vAlign w:val="bottom"/>
            <w:gridSpan w:val="11"/>
          </w:tcPr>
          <w:p>
            <w:pPr>
              <w:spacing w:after="0" w:line="182" w:lineRule="exact"/>
              <w:rPr>
                <w:rFonts w:ascii="Arial" w:cs="Arial" w:eastAsia="Arial" w:hAnsi="Arial"/>
                <w:sz w:val="18"/>
                <w:szCs w:val="18"/>
                <w:b w:val="1"/>
                <w:bCs w:val="1"/>
                <w:color w:val="0000EE"/>
                <w:w w:val="93"/>
              </w:rPr>
            </w:pPr>
            <w:hyperlink w:anchor="page14">
              <w:r>
                <w:rPr>
                  <w:rFonts w:ascii="Arial" w:cs="Arial" w:eastAsia="Arial" w:hAnsi="Arial"/>
                  <w:sz w:val="18"/>
                  <w:szCs w:val="18"/>
                  <w:b w:val="1"/>
                  <w:bCs w:val="1"/>
                  <w:color w:val="0000EE"/>
                  <w:w w:val="93"/>
                </w:rPr>
                <w:t>Corporate Compliance</w:t>
              </w:r>
            </w:hyperlink>
          </w:p>
        </w:tc>
        <w:tc>
          <w:tcPr>
            <w:tcW w:w="2740" w:type="dxa"/>
            <w:vAlign w:val="bottom"/>
            <w:gridSpan w:val="19"/>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10</w:t>
            </w:r>
          </w:p>
        </w:tc>
        <w:tc>
          <w:tcPr>
            <w:tcW w:w="4860" w:type="dxa"/>
            <w:vAlign w:val="bottom"/>
            <w:gridSpan w:val="33"/>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Certain Relationships and Related Transactions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gridSpan w:val="30"/>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Director Nominating Procedures and Diversity</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10</w:t>
            </w:r>
          </w:p>
        </w:tc>
        <w:tc>
          <w:tcPr>
            <w:tcW w:w="4860" w:type="dxa"/>
            <w:vAlign w:val="bottom"/>
            <w:gridSpan w:val="33"/>
          </w:tcPr>
          <w:p>
            <w:pPr>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Proposal 2: Ratification of Appointment of Independent</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860" w:type="dxa"/>
            <w:vAlign w:val="bottom"/>
            <w:tcBorders>
              <w:top w:val="single" w:sz="8" w:color="0000EE"/>
            </w:tcBorders>
            <w:gridSpan w:val="25"/>
          </w:tcPr>
          <w:p>
            <w:pPr>
              <w:spacing w:after="0" w:line="182"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Compensation Committee</w:t>
              </w:r>
            </w:hyperlink>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520" w:type="dxa"/>
            <w:vAlign w:val="bottom"/>
            <w:gridSpan w:val="2"/>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11</w:t>
            </w:r>
          </w:p>
        </w:tc>
        <w:tc>
          <w:tcPr>
            <w:tcW w:w="4620" w:type="dxa"/>
            <w:vAlign w:val="bottom"/>
            <w:tcBorders>
              <w:top w:val="single" w:sz="8" w:color="0000EE"/>
            </w:tcBorders>
            <w:gridSpan w:val="32"/>
          </w:tcPr>
          <w:p>
            <w:pPr>
              <w:ind w:left="220"/>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Auditors</w:t>
              </w:r>
            </w:hyperlink>
          </w:p>
        </w:tc>
        <w:tc>
          <w:tcPr>
            <w:tcW w:w="2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gridSpan w:val="30"/>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Other Governance Measures</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12</w:t>
            </w:r>
          </w:p>
        </w:tc>
        <w:tc>
          <w:tcPr>
            <w:tcW w:w="220" w:type="dxa"/>
            <w:vAlign w:val="bottom"/>
            <w:vMerge w:val="continue"/>
          </w:tcPr>
          <w:p>
            <w:pPr>
              <w:spacing w:after="0"/>
              <w:rPr>
                <w:sz w:val="15"/>
                <w:szCs w:val="15"/>
                <w:color w:val="auto"/>
              </w:rPr>
            </w:pPr>
          </w:p>
        </w:tc>
        <w:tc>
          <w:tcPr>
            <w:tcW w:w="4640" w:type="dxa"/>
            <w:vAlign w:val="bottom"/>
            <w:gridSpan w:val="32"/>
          </w:tcPr>
          <w:p>
            <w:pPr>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Audit and Other Fees</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400" w:type="dxa"/>
            <w:vAlign w:val="bottom"/>
            <w:tcBorders>
              <w:top w:val="single" w:sz="8" w:color="0000EE"/>
            </w:tcBorders>
            <w:gridSpan w:val="16"/>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Compensation Committee</w:t>
              </w:r>
            </w:hyperlink>
          </w:p>
        </w:tc>
        <w:tc>
          <w:tcPr>
            <w:tcW w:w="2160" w:type="dxa"/>
            <w:vAlign w:val="bottom"/>
            <w:gridSpan w:val="14"/>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Interlocks and Insider</w:t>
              </w:r>
            </w:hyperlink>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Borders>
              <w:top w:val="single" w:sz="8" w:color="0000EE"/>
            </w:tcBorders>
            <w:gridSpan w:val="9"/>
          </w:tcPr>
          <w:p>
            <w:pPr>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Report of the Audit</w:t>
              </w:r>
            </w:hyperlink>
          </w:p>
        </w:tc>
        <w:tc>
          <w:tcPr>
            <w:tcW w:w="2860" w:type="dxa"/>
            <w:vAlign w:val="bottom"/>
            <w:gridSpan w:val="23"/>
          </w:tcPr>
          <w:p>
            <w:pPr>
              <w:spacing w:after="0" w:line="18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Committee</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960" w:type="dxa"/>
            <w:vAlign w:val="bottom"/>
            <w:tcBorders>
              <w:left w:val="single" w:sz="8" w:color="0000EE"/>
            </w:tcBorders>
            <w:gridSpan w:val="6"/>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2"/>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100" w:type="dxa"/>
            <w:vAlign w:val="bottom"/>
            <w:gridSpan w:val="18"/>
            <w:vMerge w:val="restart"/>
          </w:tcPr>
          <w:p>
            <w:pPr>
              <w:spacing w:after="0" w:line="20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Amendment</w:t>
              </w:r>
            </w:hyperlink>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gridSpan w:val="27"/>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Participation</w:t>
              </w:r>
            </w:hyperlink>
          </w:p>
        </w:tc>
        <w:tc>
          <w:tcPr>
            <w:tcW w:w="520" w:type="dxa"/>
            <w:vAlign w:val="bottom"/>
            <w:gridSpan w:val="2"/>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12</w:t>
            </w:r>
          </w:p>
        </w:tc>
        <w:tc>
          <w:tcPr>
            <w:tcW w:w="2760" w:type="dxa"/>
            <w:vAlign w:val="bottom"/>
            <w:gridSpan w:val="15"/>
          </w:tcPr>
          <w:p>
            <w:pPr>
              <w:spacing w:after="0" w:line="182" w:lineRule="exact"/>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Proposal 3: Approval of Articles</w:t>
              </w:r>
            </w:hyperlink>
          </w:p>
        </w:tc>
        <w:tc>
          <w:tcPr>
            <w:tcW w:w="2100" w:type="dxa"/>
            <w:vAlign w:val="bottom"/>
            <w:gridSpan w:val="18"/>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1120" w:type="dxa"/>
            <w:vAlign w:val="bottom"/>
            <w:gridSpan w:val="13"/>
            <w:vMerge w:val="restart"/>
          </w:tcPr>
          <w:p>
            <w:pPr>
              <w:ind w:left="60"/>
              <w:spacing w:after="0" w:line="20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a Political</w:t>
              </w:r>
            </w:hyperlink>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160" w:type="dxa"/>
            <w:vAlign w:val="bottom"/>
            <w:gridSpan w:val="14"/>
          </w:tcPr>
          <w:p>
            <w:pPr>
              <w:spacing w:after="0" w:line="182" w:lineRule="exact"/>
              <w:rPr>
                <w:rFonts w:ascii="Arial" w:cs="Arial" w:eastAsia="Arial" w:hAnsi="Arial"/>
                <w:sz w:val="18"/>
                <w:szCs w:val="18"/>
                <w:b w:val="1"/>
                <w:bCs w:val="1"/>
                <w:color w:val="0000EE"/>
                <w:w w:val="96"/>
              </w:rPr>
            </w:pPr>
            <w:hyperlink w:anchor="page16">
              <w:r>
                <w:rPr>
                  <w:rFonts w:ascii="Arial" w:cs="Arial" w:eastAsia="Arial" w:hAnsi="Arial"/>
                  <w:sz w:val="18"/>
                  <w:szCs w:val="18"/>
                  <w:b w:val="1"/>
                  <w:bCs w:val="1"/>
                  <w:color w:val="0000EE"/>
                  <w:w w:val="96"/>
                </w:rPr>
                <w:t>Director Communications</w:t>
              </w:r>
            </w:hyperlink>
          </w:p>
        </w:tc>
        <w:tc>
          <w:tcPr>
            <w:tcW w:w="2400" w:type="dxa"/>
            <w:vAlign w:val="bottom"/>
            <w:gridSpan w:val="16"/>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12</w:t>
            </w:r>
          </w:p>
        </w:tc>
        <w:tc>
          <w:tcPr>
            <w:tcW w:w="3740" w:type="dxa"/>
            <w:vAlign w:val="bottom"/>
            <w:gridSpan w:val="20"/>
          </w:tcPr>
          <w:p>
            <w:pPr>
              <w:spacing w:after="0" w:line="182" w:lineRule="exact"/>
              <w:rPr>
                <w:rFonts w:ascii="Arial" w:cs="Arial" w:eastAsia="Arial" w:hAnsi="Arial"/>
                <w:sz w:val="18"/>
                <w:szCs w:val="18"/>
                <w:b w:val="1"/>
                <w:bCs w:val="1"/>
                <w:color w:val="0000EE"/>
                <w:w w:val="97"/>
              </w:rPr>
            </w:pPr>
            <w:hyperlink w:anchor="page44">
              <w:r>
                <w:rPr>
                  <w:rFonts w:ascii="Arial" w:cs="Arial" w:eastAsia="Arial" w:hAnsi="Arial"/>
                  <w:sz w:val="18"/>
                  <w:szCs w:val="18"/>
                  <w:b w:val="1"/>
                  <w:bCs w:val="1"/>
                  <w:color w:val="0000EE"/>
                  <w:w w:val="97"/>
                </w:rPr>
                <w:t>Proposal 4: Stockholder Proposal Regarding</w:t>
              </w:r>
            </w:hyperlink>
          </w:p>
        </w:tc>
        <w:tc>
          <w:tcPr>
            <w:tcW w:w="1120" w:type="dxa"/>
            <w:vAlign w:val="bottom"/>
            <w:gridSpan w:val="13"/>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960" w:type="dxa"/>
            <w:vAlign w:val="bottom"/>
            <w:gridSpan w:val="6"/>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40" w:type="dxa"/>
            <w:vAlign w:val="bottom"/>
            <w:gridSpan w:val="4"/>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940" w:type="dxa"/>
            <w:vAlign w:val="bottom"/>
            <w:gridSpan w:val="16"/>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40" w:type="dxa"/>
            <w:vAlign w:val="bottom"/>
            <w:gridSpan w:val="11"/>
          </w:tcPr>
          <w:p>
            <w:pPr>
              <w:spacing w:after="0" w:line="182" w:lineRule="exact"/>
              <w:rPr>
                <w:rFonts w:ascii="Arial" w:cs="Arial" w:eastAsia="Arial" w:hAnsi="Arial"/>
                <w:sz w:val="18"/>
                <w:szCs w:val="18"/>
                <w:b w:val="1"/>
                <w:bCs w:val="1"/>
                <w:color w:val="0000EE"/>
                <w:w w:val="96"/>
              </w:rPr>
            </w:pPr>
            <w:hyperlink w:anchor="page17">
              <w:r>
                <w:rPr>
                  <w:rFonts w:ascii="Arial" w:cs="Arial" w:eastAsia="Arial" w:hAnsi="Arial"/>
                  <w:sz w:val="18"/>
                  <w:szCs w:val="18"/>
                  <w:b w:val="1"/>
                  <w:bCs w:val="1"/>
                  <w:color w:val="0000EE"/>
                  <w:w w:val="96"/>
                </w:rPr>
                <w:t>Director Compensation</w:t>
              </w:r>
            </w:hyperlink>
          </w:p>
        </w:tc>
        <w:tc>
          <w:tcPr>
            <w:tcW w:w="420" w:type="dxa"/>
            <w:vAlign w:val="bottom"/>
            <w:gridSpan w:val="4"/>
          </w:tcPr>
          <w:p>
            <w:pPr>
              <w:spacing w:after="0"/>
              <w:rPr>
                <w:sz w:val="15"/>
                <w:szCs w:val="15"/>
                <w:color w:val="auto"/>
              </w:rPr>
            </w:pPr>
          </w:p>
        </w:tc>
        <w:tc>
          <w:tcPr>
            <w:tcW w:w="960" w:type="dxa"/>
            <w:vAlign w:val="bottom"/>
            <w:gridSpan w:val="6"/>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5"/>
                <w:szCs w:val="15"/>
                <w:color w:val="auto"/>
              </w:rPr>
            </w:pPr>
          </w:p>
        </w:tc>
        <w:tc>
          <w:tcPr>
            <w:tcW w:w="4380" w:type="dxa"/>
            <w:vAlign w:val="bottom"/>
            <w:gridSpan w:val="30"/>
          </w:tcPr>
          <w:p>
            <w:pPr>
              <w:spacing w:after="0" w:line="18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Contributions Report</w:t>
              </w:r>
            </w:hyperlink>
          </w:p>
        </w:tc>
        <w:tc>
          <w:tcPr>
            <w:tcW w:w="260" w:type="dxa"/>
            <w:vAlign w:val="bottom"/>
            <w:gridSpan w:val="2"/>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940" w:type="dxa"/>
            <w:vAlign w:val="bottom"/>
            <w:gridSpan w:val="16"/>
            <w:vMerge w:val="restart"/>
          </w:tcPr>
          <w:p>
            <w:pPr>
              <w:spacing w:after="0" w:line="20" w:lineRule="exact"/>
              <w:rPr>
                <w:sz w:val="1"/>
                <w:szCs w:val="1"/>
                <w:color w:val="auto"/>
              </w:rPr>
            </w:pPr>
          </w:p>
        </w:tc>
        <w:tc>
          <w:tcPr>
            <w:tcW w:w="780" w:type="dxa"/>
            <w:vAlign w:val="bottom"/>
            <w:gridSpan w:val="6"/>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gridSpan w:val="30"/>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Non-Employee Director Compensation Table</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13</w:t>
            </w:r>
          </w:p>
        </w:tc>
        <w:tc>
          <w:tcPr>
            <w:tcW w:w="1980" w:type="dxa"/>
            <w:vAlign w:val="bottom"/>
            <w:gridSpan w:val="9"/>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Additional Information</w:t>
              </w:r>
            </w:hyperlink>
          </w:p>
        </w:tc>
        <w:tc>
          <w:tcPr>
            <w:tcW w:w="160" w:type="dxa"/>
            <w:vAlign w:val="bottom"/>
            <w:gridSpan w:val="2"/>
            <w:vMerge w:val="continue"/>
          </w:tcPr>
          <w:p>
            <w:pPr>
              <w:spacing w:after="0"/>
              <w:rPr>
                <w:sz w:val="15"/>
                <w:szCs w:val="15"/>
                <w:color w:val="auto"/>
              </w:rPr>
            </w:pPr>
          </w:p>
        </w:tc>
        <w:tc>
          <w:tcPr>
            <w:tcW w:w="1940" w:type="dxa"/>
            <w:vAlign w:val="bottom"/>
            <w:gridSpan w:val="16"/>
            <w:vMerge w:val="continue"/>
          </w:tcPr>
          <w:p>
            <w:pPr>
              <w:spacing w:after="0"/>
              <w:rPr>
                <w:sz w:val="15"/>
                <w:szCs w:val="15"/>
                <w:color w:val="auto"/>
              </w:rPr>
            </w:pPr>
          </w:p>
        </w:tc>
        <w:tc>
          <w:tcPr>
            <w:tcW w:w="780" w:type="dxa"/>
            <w:vAlign w:val="bottom"/>
            <w:gridSpan w:val="6"/>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40" w:type="dxa"/>
            <w:vAlign w:val="bottom"/>
            <w:gridSpan w:val="1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40" w:type="dxa"/>
            <w:vAlign w:val="bottom"/>
            <w:gridSpan w:val="4"/>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40" w:type="dxa"/>
            <w:vAlign w:val="bottom"/>
            <w:gridSpan w:val="16"/>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24"/>
          </w:tcPr>
          <w:p>
            <w:pPr>
              <w:spacing w:after="0" w:line="18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Executive Officers</w:t>
              </w:r>
            </w:hyperlink>
          </w:p>
        </w:tc>
        <w:tc>
          <w:tcPr>
            <w:tcW w:w="10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14</w:t>
            </w:r>
          </w:p>
        </w:tc>
        <w:tc>
          <w:tcPr>
            <w:tcW w:w="4860" w:type="dxa"/>
            <w:vAlign w:val="bottom"/>
            <w:gridSpan w:val="33"/>
          </w:tcPr>
          <w:p>
            <w:pPr>
              <w:ind w:left="220"/>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Proxy Procedure and Expenses of Solicitation</w:t>
              </w:r>
            </w:hyperlink>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52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88"/>
              </w:rPr>
            </w:pPr>
            <w:hyperlink w:anchor="page19">
              <w:r>
                <w:rPr>
                  <w:rFonts w:ascii="Arial" w:cs="Arial" w:eastAsia="Arial" w:hAnsi="Arial"/>
                  <w:sz w:val="18"/>
                  <w:szCs w:val="18"/>
                  <w:b w:val="1"/>
                  <w:bCs w:val="1"/>
                  <w:color w:val="0000EE"/>
                  <w:w w:val="88"/>
                </w:rPr>
                <w:t>Security Ownership</w:t>
              </w:r>
            </w:hyperlink>
          </w:p>
        </w:tc>
        <w:tc>
          <w:tcPr>
            <w:tcW w:w="1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1440" w:type="dxa"/>
            <w:vAlign w:val="bottom"/>
            <w:gridSpan w:val="12"/>
          </w:tcPr>
          <w:p>
            <w:pPr>
              <w:spacing w:after="0"/>
              <w:rPr>
                <w:sz w:val="15"/>
                <w:szCs w:val="15"/>
                <w:color w:val="auto"/>
              </w:rPr>
            </w:pPr>
          </w:p>
        </w:tc>
        <w:tc>
          <w:tcPr>
            <w:tcW w:w="70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640" w:type="dxa"/>
            <w:vAlign w:val="bottom"/>
            <w:gridSpan w:val="4"/>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5"/>
                <w:szCs w:val="15"/>
                <w:color w:val="auto"/>
              </w:rPr>
            </w:pPr>
          </w:p>
        </w:tc>
        <w:tc>
          <w:tcPr>
            <w:tcW w:w="3860" w:type="dxa"/>
            <w:vAlign w:val="bottom"/>
            <w:tcBorders>
              <w:top w:val="single" w:sz="8" w:color="0000EE"/>
            </w:tcBorders>
            <w:gridSpan w:val="26"/>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Stockholder Proposals</w:t>
              </w:r>
            </w:hyperlink>
          </w:p>
        </w:tc>
        <w:tc>
          <w:tcPr>
            <w:tcW w:w="780" w:type="dxa"/>
            <w:vAlign w:val="bottom"/>
            <w:gridSpan w:val="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93"/>
              </w:rPr>
            </w:pPr>
            <w:hyperlink w:anchor="page19">
              <w:r>
                <w:rPr>
                  <w:rFonts w:ascii="Arial" w:cs="Arial" w:eastAsia="Arial" w:hAnsi="Arial"/>
                  <w:sz w:val="18"/>
                  <w:szCs w:val="18"/>
                  <w:b w:val="1"/>
                  <w:bCs w:val="1"/>
                  <w:color w:val="0000EE"/>
                  <w:w w:val="93"/>
                </w:rPr>
                <w:t>Certain Beneficial</w:t>
              </w:r>
            </w:hyperlink>
          </w:p>
        </w:tc>
        <w:tc>
          <w:tcPr>
            <w:tcW w:w="3120" w:type="dxa"/>
            <w:vAlign w:val="bottom"/>
            <w:gridSpan w:val="25"/>
          </w:tcPr>
          <w:p>
            <w:pPr>
              <w:ind w:left="100"/>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Ownership and Management</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5"/>
                <w:szCs w:val="15"/>
                <w:color w:val="auto"/>
              </w:rPr>
            </w:pPr>
          </w:p>
        </w:tc>
        <w:tc>
          <w:tcPr>
            <w:tcW w:w="1920" w:type="dxa"/>
            <w:vAlign w:val="bottom"/>
            <w:tcBorders>
              <w:top w:val="single" w:sz="8" w:color="0000EE"/>
            </w:tcBorders>
            <w:gridSpan w:val="10"/>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Annual Report</w:t>
              </w:r>
            </w:hyperlink>
          </w:p>
        </w:tc>
        <w:tc>
          <w:tcPr>
            <w:tcW w:w="2720" w:type="dxa"/>
            <w:vAlign w:val="bottom"/>
            <w:gridSpan w:val="22"/>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920" w:type="dxa"/>
            <w:vAlign w:val="bottom"/>
            <w:tcBorders>
              <w:top w:val="single" w:sz="8" w:color="0000EE"/>
            </w:tcBorders>
            <w:gridSpan w:val="26"/>
          </w:tcPr>
          <w:p>
            <w:pPr>
              <w:spacing w:after="0" w:line="182" w:lineRule="exact"/>
              <w:rPr>
                <w:rFonts w:ascii="Arial" w:cs="Arial" w:eastAsia="Arial" w:hAnsi="Arial"/>
                <w:sz w:val="18"/>
                <w:szCs w:val="18"/>
                <w:b w:val="1"/>
                <w:bCs w:val="1"/>
                <w:color w:val="0000EE"/>
                <w:w w:val="99"/>
              </w:rPr>
            </w:pPr>
            <w:hyperlink w:anchor="page20">
              <w:r>
                <w:rPr>
                  <w:rFonts w:ascii="Arial" w:cs="Arial" w:eastAsia="Arial" w:hAnsi="Arial"/>
                  <w:sz w:val="18"/>
                  <w:szCs w:val="18"/>
                  <w:b w:val="1"/>
                  <w:bCs w:val="1"/>
                  <w:color w:val="0000EE"/>
                  <w:w w:val="99"/>
                </w:rPr>
                <w:t>Section 16(a) Beneficial Ownership Reporting</w:t>
              </w:r>
            </w:hyperlink>
          </w:p>
        </w:tc>
        <w:tc>
          <w:tcPr>
            <w:tcW w:w="640" w:type="dxa"/>
            <w:vAlign w:val="bottom"/>
            <w:gridSpan w:val="4"/>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99"/>
              </w:rPr>
            </w:pPr>
            <w:hyperlink w:anchor="page46">
              <w:r>
                <w:rPr>
                  <w:rFonts w:ascii="Arial" w:cs="Arial" w:eastAsia="Arial" w:hAnsi="Arial"/>
                  <w:sz w:val="18"/>
                  <w:szCs w:val="18"/>
                  <w:b w:val="1"/>
                  <w:bCs w:val="1"/>
                  <w:color w:val="0000EE"/>
                  <w:w w:val="99"/>
                </w:rPr>
                <w:t>Householding</w:t>
              </w:r>
            </w:hyperlink>
          </w:p>
        </w:tc>
        <w:tc>
          <w:tcPr>
            <w:tcW w:w="80" w:type="dxa"/>
            <w:vAlign w:val="bottom"/>
          </w:tcPr>
          <w:p>
            <w:pPr>
              <w:spacing w:after="0"/>
              <w:rPr>
                <w:sz w:val="15"/>
                <w:szCs w:val="15"/>
                <w:color w:val="auto"/>
              </w:rPr>
            </w:pPr>
          </w:p>
        </w:tc>
        <w:tc>
          <w:tcPr>
            <w:tcW w:w="3340" w:type="dxa"/>
            <w:vAlign w:val="bottom"/>
            <w:gridSpan w:val="2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b w:val="1"/>
                <w:bCs w:val="1"/>
                <w:color w:val="0000EE"/>
                <w:w w:val="96"/>
              </w:rPr>
            </w:pPr>
            <w:hyperlink w:anchor="page20">
              <w:r>
                <w:rPr>
                  <w:rFonts w:ascii="Arial" w:cs="Arial" w:eastAsia="Arial" w:hAnsi="Arial"/>
                  <w:sz w:val="18"/>
                  <w:szCs w:val="18"/>
                  <w:b w:val="1"/>
                  <w:bCs w:val="1"/>
                  <w:color w:val="0000EE"/>
                  <w:w w:val="96"/>
                </w:rPr>
                <w:t>Compliance</w:t>
              </w:r>
            </w:hyperlink>
          </w:p>
        </w:tc>
        <w:tc>
          <w:tcPr>
            <w:tcW w:w="2580" w:type="dxa"/>
            <w:vAlign w:val="bottom"/>
            <w:tcBorders>
              <w:top w:val="single" w:sz="8" w:color="0000EE"/>
            </w:tcBorders>
            <w:gridSpan w:val="21"/>
          </w:tcPr>
          <w:p>
            <w:pPr>
              <w:spacing w:after="0"/>
              <w:rPr>
                <w:sz w:val="15"/>
                <w:szCs w:val="15"/>
                <w:color w:val="auto"/>
              </w:rPr>
            </w:pPr>
          </w:p>
        </w:tc>
        <w:tc>
          <w:tcPr>
            <w:tcW w:w="740" w:type="dxa"/>
            <w:vAlign w:val="bottom"/>
            <w:gridSpan w:val="6"/>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b w:val="1"/>
                <w:bCs w:val="1"/>
                <w:color w:val="0000EE"/>
                <w:w w:val="87"/>
              </w:rPr>
            </w:pPr>
            <w:hyperlink w:anchor="page47">
              <w:r>
                <w:rPr>
                  <w:rFonts w:ascii="Arial" w:cs="Arial" w:eastAsia="Arial" w:hAnsi="Arial"/>
                  <w:sz w:val="18"/>
                  <w:szCs w:val="18"/>
                  <w:b w:val="1"/>
                  <w:bCs w:val="1"/>
                  <w:color w:val="0000EE"/>
                  <w:w w:val="87"/>
                </w:rPr>
                <w:t>Other Business</w:t>
              </w:r>
            </w:hyperlink>
          </w:p>
        </w:tc>
        <w:tc>
          <w:tcPr>
            <w:tcW w:w="120" w:type="dxa"/>
            <w:vAlign w:val="bottom"/>
            <w:tcBorders>
              <w:bottom w:val="single" w:sz="8" w:color="0000EE"/>
            </w:tcBorders>
            <w:gridSpan w:val="2"/>
          </w:tcPr>
          <w:p>
            <w:pPr>
              <w:spacing w:after="0"/>
              <w:rPr>
                <w:sz w:val="15"/>
                <w:szCs w:val="15"/>
                <w:color w:val="auto"/>
              </w:rPr>
            </w:pPr>
          </w:p>
        </w:tc>
        <w:tc>
          <w:tcPr>
            <w:tcW w:w="3340" w:type="dxa"/>
            <w:vAlign w:val="bottom"/>
            <w:gridSpan w:val="2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1440" w:type="dxa"/>
            <w:vAlign w:val="bottom"/>
            <w:gridSpan w:val="4"/>
          </w:tcPr>
          <w:p>
            <w:pPr>
              <w:spacing w:after="0" w:line="18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Compensation</w:t>
              </w:r>
            </w:hyperlink>
          </w:p>
        </w:tc>
        <w:tc>
          <w:tcPr>
            <w:tcW w:w="3320" w:type="dxa"/>
            <w:vAlign w:val="bottom"/>
            <w:gridSpan w:val="27"/>
          </w:tcPr>
          <w:p>
            <w:pPr>
              <w:jc w:val="center"/>
              <w:ind w:right="1440"/>
              <w:spacing w:after="0" w:line="182" w:lineRule="exact"/>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Discussion and Analysis</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17</w:t>
            </w:r>
          </w:p>
        </w:tc>
        <w:tc>
          <w:tcPr>
            <w:tcW w:w="1520" w:type="dxa"/>
            <w:vAlign w:val="bottom"/>
            <w:gridSpan w:val="7"/>
          </w:tcPr>
          <w:p>
            <w:pPr>
              <w:spacing w:after="0" w:line="182" w:lineRule="exact"/>
              <w:rPr>
                <w:sz w:val="20"/>
                <w:szCs w:val="20"/>
                <w:color w:val="auto"/>
              </w:rPr>
            </w:pPr>
            <w:r>
              <w:rPr>
                <w:rFonts w:ascii="Arial" w:cs="Arial" w:eastAsia="Arial" w:hAnsi="Arial"/>
                <w:sz w:val="18"/>
                <w:szCs w:val="18"/>
                <w:b w:val="1"/>
                <w:bCs w:val="1"/>
                <w:color w:val="auto"/>
              </w:rPr>
              <w:t>Appendix A</w:t>
            </w:r>
          </w:p>
        </w:tc>
        <w:tc>
          <w:tcPr>
            <w:tcW w:w="3340" w:type="dxa"/>
            <w:vAlign w:val="bottom"/>
            <w:gridSpan w:val="26"/>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6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b w:val="1"/>
                <w:bCs w:val="1"/>
                <w:color w:val="0000EE"/>
                <w:w w:val="97"/>
              </w:rPr>
            </w:pPr>
            <w:hyperlink w:anchor="page21">
              <w:r>
                <w:rPr>
                  <w:rFonts w:ascii="Arial" w:cs="Arial" w:eastAsia="Arial" w:hAnsi="Arial"/>
                  <w:sz w:val="18"/>
                  <w:szCs w:val="18"/>
                  <w:b w:val="1"/>
                  <w:bCs w:val="1"/>
                  <w:color w:val="0000EE"/>
                  <w:w w:val="97"/>
                </w:rPr>
                <w:t>Executive Summary</w:t>
              </w:r>
            </w:hyperlink>
          </w:p>
        </w:tc>
        <w:tc>
          <w:tcPr>
            <w:tcW w:w="1440" w:type="dxa"/>
            <w:vAlign w:val="bottom"/>
            <w:tcBorders>
              <w:top w:val="single" w:sz="8" w:color="0000EE"/>
            </w:tcBorders>
            <w:gridSpan w:val="12"/>
          </w:tcPr>
          <w:p>
            <w:pPr>
              <w:spacing w:after="0"/>
              <w:rPr>
                <w:sz w:val="15"/>
                <w:szCs w:val="15"/>
                <w:color w:val="auto"/>
              </w:rPr>
            </w:pPr>
          </w:p>
        </w:tc>
        <w:tc>
          <w:tcPr>
            <w:tcW w:w="1440" w:type="dxa"/>
            <w:vAlign w:val="bottom"/>
            <w:gridSpan w:val="10"/>
          </w:tcPr>
          <w:p>
            <w:pPr>
              <w:spacing w:after="0"/>
              <w:rPr>
                <w:sz w:val="15"/>
                <w:szCs w:val="15"/>
                <w:color w:val="auto"/>
              </w:rPr>
            </w:pPr>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560" w:type="dxa"/>
            <w:vAlign w:val="bottom"/>
            <w:tcBorders>
              <w:bottom w:val="single" w:sz="8" w:color="0000EE"/>
            </w:tcBorders>
            <w:gridSpan w:val="30"/>
          </w:tcPr>
          <w:p>
            <w:pPr>
              <w:spacing w:after="0" w:line="182" w:lineRule="exact"/>
              <w:rPr>
                <w:rFonts w:ascii="Arial" w:cs="Arial" w:eastAsia="Arial" w:hAnsi="Arial"/>
                <w:sz w:val="18"/>
                <w:szCs w:val="18"/>
                <w:b w:val="1"/>
                <w:bCs w:val="1"/>
                <w:color w:val="0000EE"/>
                <w:w w:val="96"/>
              </w:rPr>
            </w:pPr>
            <w:hyperlink w:anchor="page23">
              <w:r>
                <w:rPr>
                  <w:rFonts w:ascii="Arial" w:cs="Arial" w:eastAsia="Arial" w:hAnsi="Arial"/>
                  <w:sz w:val="18"/>
                  <w:szCs w:val="18"/>
                  <w:b w:val="1"/>
                  <w:bCs w:val="1"/>
                  <w:color w:val="0000EE"/>
                  <w:w w:val="96"/>
                </w:rPr>
                <w:t>Say-on-Pay Vote History and Stockholder Engagement</w:t>
              </w:r>
            </w:hyperlink>
          </w:p>
        </w:tc>
        <w:tc>
          <w:tcPr>
            <w:tcW w:w="104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2933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-81280</wp:posOffset>
            </wp:positionV>
            <wp:extent cx="13722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Our 2015 Annual Meeting of Stockholders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Proxy Statement is furnished to the stockholders of Wynn Resorts, Limited, a Nevada corporation (“Wynn Resorts,” “we” or the “Company”), in connection with the solicitation by its Board of Directors (the “Board”) of proxies for its 2015 Annual Meeting of Stockholders to be held on April 24, 2015 at the Encore Theater at Wynn Las Vegas, 3131 Las Vegas Boulevard South, Las Vegas, Nevada, at 9:00 am (local time) (the “Annual Meeting”), and at any adjournments or postponements thereof. Our principal executive offices are 3131 Las Vegas Boulevard South, Las Vegas, Nevada 89109. Matters to be considered and acted upon at the Annual Meeting are set forth in the Notice of Annual Meeting of Stockholders accompanying this Proxy Statement and are more fully described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Board recommends that you vote via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the other voting means described in this Proxy Statement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614A3D"/>
              </w:rPr>
              <w:t>Proposal</w:t>
            </w:r>
          </w:p>
        </w:tc>
        <w:tc>
          <w:tcPr>
            <w:tcW w:w="818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5"/>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Number</w:t>
            </w:r>
          </w:p>
        </w:tc>
        <w:tc>
          <w:tcPr>
            <w:tcW w:w="8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614A3D"/>
              </w:rPr>
              <w:t>Proposal</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614A3D"/>
                <w:w w:val="96"/>
              </w:rPr>
              <w:t>Board Recommendation</w:t>
            </w: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8180" w:type="dxa"/>
            <w:vAlign w:val="bottom"/>
          </w:tcPr>
          <w:p>
            <w:pPr>
              <w:ind w:left="100"/>
              <w:spacing w:after="0"/>
              <w:rPr>
                <w:sz w:val="20"/>
                <w:szCs w:val="20"/>
                <w:color w:val="auto"/>
              </w:rPr>
            </w:pPr>
            <w:r>
              <w:rPr>
                <w:rFonts w:ascii="Arial" w:cs="Arial" w:eastAsia="Arial" w:hAnsi="Arial"/>
                <w:sz w:val="18"/>
                <w:szCs w:val="18"/>
                <w:color w:val="auto"/>
              </w:rPr>
              <w:t>Election of the two Class I director nominees named in this Proxy Statement to serve until the 2018</w:t>
            </w:r>
          </w:p>
        </w:tc>
        <w:tc>
          <w:tcPr>
            <w:tcW w:w="2400" w:type="dxa"/>
            <w:vAlign w:val="bottom"/>
          </w:tcPr>
          <w:p>
            <w:pPr>
              <w:ind w:left="120"/>
              <w:spacing w:after="0"/>
              <w:rPr>
                <w:sz w:val="20"/>
                <w:szCs w:val="20"/>
                <w:color w:val="auto"/>
              </w:rPr>
            </w:pPr>
            <w:r>
              <w:rPr>
                <w:rFonts w:ascii="Arial" w:cs="Arial" w:eastAsia="Arial" w:hAnsi="Arial"/>
                <w:sz w:val="18"/>
                <w:szCs w:val="18"/>
                <w:color w:val="auto"/>
              </w:rPr>
              <w:t>FOR each nominee named</w:t>
            </w:r>
          </w:p>
        </w:tc>
      </w:tr>
      <w:tr>
        <w:trPr>
          <w:trHeight w:val="211"/>
        </w:trPr>
        <w:tc>
          <w:tcPr>
            <w:tcW w:w="84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Annual Meeting of Stockholders</w:t>
            </w:r>
          </w:p>
        </w:tc>
        <w:tc>
          <w:tcPr>
            <w:tcW w:w="2400" w:type="dxa"/>
            <w:vAlign w:val="bottom"/>
          </w:tcPr>
          <w:p>
            <w:pPr>
              <w:ind w:left="120"/>
              <w:spacing w:after="0"/>
              <w:rPr>
                <w:sz w:val="20"/>
                <w:szCs w:val="20"/>
                <w:color w:val="auto"/>
              </w:rPr>
            </w:pPr>
            <w:r>
              <w:rPr>
                <w:rFonts w:ascii="Arial" w:cs="Arial" w:eastAsia="Arial" w:hAnsi="Arial"/>
                <w:sz w:val="18"/>
                <w:szCs w:val="18"/>
                <w:color w:val="auto"/>
              </w:rPr>
              <w:t>in this Proxy Statement</w:t>
            </w: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8180" w:type="dxa"/>
            <w:vAlign w:val="bottom"/>
          </w:tcPr>
          <w:p>
            <w:pPr>
              <w:ind w:left="100"/>
              <w:spacing w:after="0"/>
              <w:rPr>
                <w:sz w:val="20"/>
                <w:szCs w:val="20"/>
                <w:color w:val="auto"/>
              </w:rPr>
            </w:pPr>
            <w:r>
              <w:rPr>
                <w:rFonts w:ascii="Arial" w:cs="Arial" w:eastAsia="Arial" w:hAnsi="Arial"/>
                <w:sz w:val="18"/>
                <w:szCs w:val="18"/>
                <w:color w:val="auto"/>
                <w:w w:val="99"/>
              </w:rPr>
              <w:t>Ratification of the appointment of Ernst &amp; Young LLP as our independent registered public accounting</w:t>
            </w:r>
          </w:p>
        </w:tc>
        <w:tc>
          <w:tcPr>
            <w:tcW w:w="2400" w:type="dxa"/>
            <w:vAlign w:val="bottom"/>
          </w:tcPr>
          <w:p>
            <w:pPr>
              <w:ind w:left="120"/>
              <w:spacing w:after="0"/>
              <w:rPr>
                <w:sz w:val="20"/>
                <w:szCs w:val="20"/>
                <w:color w:val="auto"/>
              </w:rPr>
            </w:pPr>
            <w:r>
              <w:rPr>
                <w:rFonts w:ascii="Arial" w:cs="Arial" w:eastAsia="Arial" w:hAnsi="Arial"/>
                <w:sz w:val="18"/>
                <w:szCs w:val="18"/>
                <w:color w:val="auto"/>
              </w:rPr>
              <w:t>FOR</w:t>
            </w:r>
          </w:p>
        </w:tc>
      </w:tr>
      <w:tr>
        <w:trPr>
          <w:trHeight w:val="211"/>
        </w:trPr>
        <w:tc>
          <w:tcPr>
            <w:tcW w:w="84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firm for the fiscal year ending December 31, 2015</w:t>
            </w:r>
          </w:p>
        </w:tc>
        <w:tc>
          <w:tcPr>
            <w:tcW w:w="2400" w:type="dxa"/>
            <w:vAlign w:val="bottom"/>
          </w:tcPr>
          <w:p>
            <w:pPr>
              <w:spacing w:after="0"/>
              <w:rPr>
                <w:sz w:val="18"/>
                <w:szCs w:val="18"/>
                <w:color w:val="auto"/>
              </w:rPr>
            </w:pP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3</w:t>
            </w:r>
          </w:p>
        </w:tc>
        <w:tc>
          <w:tcPr>
            <w:tcW w:w="8180" w:type="dxa"/>
            <w:vAlign w:val="bottom"/>
          </w:tcPr>
          <w:p>
            <w:pPr>
              <w:ind w:left="100"/>
              <w:spacing w:after="0"/>
              <w:rPr>
                <w:sz w:val="20"/>
                <w:szCs w:val="20"/>
                <w:color w:val="auto"/>
              </w:rPr>
            </w:pPr>
            <w:r>
              <w:rPr>
                <w:rFonts w:ascii="Arial" w:cs="Arial" w:eastAsia="Arial" w:hAnsi="Arial"/>
                <w:sz w:val="18"/>
                <w:szCs w:val="18"/>
                <w:color w:val="auto"/>
                <w:w w:val="98"/>
              </w:rPr>
              <w:t>Approval of an amendment to the Company’s Second Amended and Restated Articles of Incorporation</w:t>
            </w:r>
          </w:p>
        </w:tc>
        <w:tc>
          <w:tcPr>
            <w:tcW w:w="2400" w:type="dxa"/>
            <w:vAlign w:val="bottom"/>
          </w:tcPr>
          <w:p>
            <w:pPr>
              <w:ind w:left="120"/>
              <w:spacing w:after="0"/>
              <w:rPr>
                <w:sz w:val="20"/>
                <w:szCs w:val="20"/>
                <w:color w:val="auto"/>
              </w:rPr>
            </w:pPr>
            <w:r>
              <w:rPr>
                <w:rFonts w:ascii="Arial" w:cs="Arial" w:eastAsia="Arial" w:hAnsi="Arial"/>
                <w:sz w:val="18"/>
                <w:szCs w:val="18"/>
                <w:color w:val="auto"/>
              </w:rPr>
              <w:t>FOR</w:t>
            </w:r>
          </w:p>
        </w:tc>
      </w:tr>
      <w:tr>
        <w:trPr>
          <w:trHeight w:val="203"/>
        </w:trPr>
        <w:tc>
          <w:tcPr>
            <w:tcW w:w="84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(the “Articles”) to provide the Company with additional flexibility in making distributions to its</w:t>
            </w:r>
          </w:p>
        </w:tc>
        <w:tc>
          <w:tcPr>
            <w:tcW w:w="2400" w:type="dxa"/>
            <w:vAlign w:val="bottom"/>
          </w:tcPr>
          <w:p>
            <w:pPr>
              <w:spacing w:after="0"/>
              <w:rPr>
                <w:sz w:val="17"/>
                <w:szCs w:val="17"/>
                <w:color w:val="auto"/>
              </w:rPr>
            </w:pPr>
          </w:p>
        </w:tc>
      </w:tr>
      <w:tr>
        <w:trPr>
          <w:trHeight w:val="211"/>
        </w:trPr>
        <w:tc>
          <w:tcPr>
            <w:tcW w:w="840" w:type="dxa"/>
            <w:vAlign w:val="bottom"/>
          </w:tcPr>
          <w:p>
            <w:pPr>
              <w:spacing w:after="0"/>
              <w:rPr>
                <w:sz w:val="18"/>
                <w:szCs w:val="18"/>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stockholders</w:t>
            </w:r>
          </w:p>
        </w:tc>
        <w:tc>
          <w:tcPr>
            <w:tcW w:w="2400" w:type="dxa"/>
            <w:vAlign w:val="bottom"/>
          </w:tcPr>
          <w:p>
            <w:pPr>
              <w:spacing w:after="0"/>
              <w:rPr>
                <w:sz w:val="18"/>
                <w:szCs w:val="18"/>
                <w:color w:val="auto"/>
              </w:rPr>
            </w:pPr>
          </w:p>
        </w:tc>
      </w:tr>
      <w:tr>
        <w:trPr>
          <w:trHeight w:val="284"/>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8180" w:type="dxa"/>
            <w:vAlign w:val="bottom"/>
          </w:tcPr>
          <w:p>
            <w:pPr>
              <w:ind w:left="100"/>
              <w:spacing w:after="0"/>
              <w:rPr>
                <w:sz w:val="20"/>
                <w:szCs w:val="20"/>
                <w:color w:val="auto"/>
              </w:rPr>
            </w:pPr>
            <w:r>
              <w:rPr>
                <w:rFonts w:ascii="Arial" w:cs="Arial" w:eastAsia="Arial" w:hAnsi="Arial"/>
                <w:sz w:val="18"/>
                <w:szCs w:val="18"/>
                <w:color w:val="auto"/>
              </w:rPr>
              <w:t>Vote on a stockholder proposal described in this Proxy Statement, if properly presented</w:t>
            </w:r>
          </w:p>
        </w:tc>
        <w:tc>
          <w:tcPr>
            <w:tcW w:w="2400" w:type="dxa"/>
            <w:vAlign w:val="bottom"/>
          </w:tcPr>
          <w:p>
            <w:pPr>
              <w:ind w:left="120"/>
              <w:spacing w:after="0"/>
              <w:rPr>
                <w:sz w:val="20"/>
                <w:szCs w:val="20"/>
                <w:color w:val="auto"/>
              </w:rPr>
            </w:pPr>
            <w:r>
              <w:rPr>
                <w:rFonts w:ascii="Arial" w:cs="Arial" w:eastAsia="Arial" w:hAnsi="Arial"/>
                <w:sz w:val="18"/>
                <w:szCs w:val="18"/>
                <w:color w:val="auto"/>
              </w:rPr>
              <w:t>AGAINST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of Internet Availability of Proxy Materials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rules adopted by the U.S. Securities and Exchange Commission (the “SEC”), we are furnishing proxy materials to stockholders via the internet, instead of mailing printed copies of those materials to each stockholder. Accordingly, we mailed to stockholders a Notice of Internet Availability containing instructions on how to access our Annual Meeting materials, including this Proxy Statement and our Annual Report for the fiscal year ending December 31, 2014. The Notice of Internet Availability also explains how to vote through the internet or telephonically.</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electronic access process expedites stockholders’ receipt of our Annual Meeting materials, lowers the cost of our Annual Meeting and conserves natural resources. However, if you would prefer to receive a printed copy of our Annual Meeting materials, a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or voting instructions card,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Revocability of Proxies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you are a record holder of shares of the Company’s common stock, par value $0.01 (“Common Stock”), as of the close of business on March 5, 2015 and you deliver a proxy pursuant to this solicitation, you may revoke that proxy at any time before it is voted by (a) giving written notice to our Secretary at the address set forth below, (b) delivering to our Secretary a later dated proxy, (c) submitting another proxy by telephone or over the Internet (your latest telephone or Internet voting instructions are followed), or (d) voting in person at the Annual Meeting. Written notice of revocation or subsequent proxy should be sent to:</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Wynn Resorts, Limited</w:t>
      </w:r>
    </w:p>
    <w:p>
      <w:pPr>
        <w:ind w:left="680"/>
        <w:spacing w:after="0" w:line="234" w:lineRule="auto"/>
        <w:rPr>
          <w:sz w:val="20"/>
          <w:szCs w:val="20"/>
          <w:color w:val="auto"/>
        </w:rPr>
      </w:pPr>
      <w:r>
        <w:rPr>
          <w:rFonts w:ascii="Arial" w:cs="Arial" w:eastAsia="Arial" w:hAnsi="Arial"/>
          <w:sz w:val="18"/>
          <w:szCs w:val="18"/>
          <w:color w:val="auto"/>
        </w:rPr>
        <w:t>c/o Corporate Secretary</w:t>
      </w:r>
    </w:p>
    <w:p>
      <w:pPr>
        <w:ind w:left="680"/>
        <w:spacing w:after="0" w:line="235"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Las Vegas, Nevada 89109</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Please note, however, that if your shares are held through an intermediary such as a bank, broker or other nominee, you must contact that person if you wish to revoke previously given voting instructions. In this case, attendance at the Annual Meeting, in and of itself, does not revoke a prior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-62230</wp:posOffset>
            </wp:positionV>
            <wp:extent cx="915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Voting and Solicitation</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Only holders of record of shares of the Company’s Common Stock as of the close of business on March 5, 2015, the record date fixed by the Board (the “Record Date”), are entitled to notice of, and to vote at, the Annual Meeting and at any adjournments or postponements thereof. As of the Record Date, there were 101,524,590 shares of Common Stock outstanding. Each stockholder is entitled to one vote for each share of Common Stock held as of the Record Date on all matters presented at the Annual Meeting.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least a majority of the outstanding shares of Common Stock must be represented at the Annual Meeting, in person or by proxy, to constitute a quorum and to transact business at the Annual Meeting. Abstentions and “withhold” votes are counted for purposes determining whether there is a quorum.</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plurality of the votes cast in person or by proxy at the Annual Meeting is required for the election of the director nominees. Shares as to which a stockholder withholds voting authority in the election of directors and broker non-votes, which are described below, will not be counted as votes cast and, therefore, will not affect the outcome of the election.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Approval of Proposal No. 3 (approval of amendment to Articles) requires the affirmative vote of the holders of at least a majority of the voting power of the issued and outstanding Common Stock of the Company. Abstentions, broker non-votes, as well as shares not in attendance at the Annual Meeting and not voted by proxy, will have the same effect as a vote against the Articles Proposal.</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each other item to be acted upon at the Annual Meeting (Proposal No. 2 and 4), the item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stockholders indicated in their proxies. If no specification is made, shares represented by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For stockholders who hold shares through intermediaries, such as brokers, banks and other nominees, such intermediaries may not be permitted to vote on some of the matters being proposed at this meeting unless the stockholder votes his or her shares. </w:t>
      </w:r>
      <w:r>
        <w:rPr>
          <w:rFonts w:ascii="Arial" w:cs="Arial" w:eastAsia="Arial" w:hAnsi="Arial"/>
          <w:sz w:val="16"/>
          <w:szCs w:val="16"/>
          <w:b w:val="1"/>
          <w:bCs w:val="1"/>
          <w:color w:val="auto"/>
        </w:rPr>
        <w:t>Accordingly, we encourage you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vote your shares on all matters being considered at the Annual Meeting. </w:t>
      </w:r>
      <w:r>
        <w:rPr>
          <w:rFonts w:ascii="Arial" w:cs="Arial" w:eastAsia="Arial" w:hAnsi="Arial"/>
          <w:sz w:val="16"/>
          <w:szCs w:val="16"/>
          <w:color w:val="auto"/>
        </w:rPr>
        <w:t>When a bank, broker or other nominee does not have authority to</w:t>
      </w:r>
      <w:r>
        <w:rPr>
          <w:rFonts w:ascii="Arial" w:cs="Arial" w:eastAsia="Arial" w:hAnsi="Arial"/>
          <w:sz w:val="16"/>
          <w:szCs w:val="16"/>
          <w:b w:val="1"/>
          <w:bCs w:val="1"/>
          <w:color w:val="auto"/>
        </w:rPr>
        <w:t xml:space="preserve"> </w:t>
      </w:r>
      <w:r>
        <w:rPr>
          <w:rFonts w:ascii="Arial" w:cs="Arial" w:eastAsia="Arial" w:hAnsi="Arial"/>
          <w:sz w:val="16"/>
          <w:szCs w:val="16"/>
          <w:color w:val="auto"/>
        </w:rPr>
        <w:t>vote on a particular item without instructions from the beneficial owner and has not received instructions, a “broker non-vote” occurs.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Attending the Annual Meeting</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stockholders of record, a government-issued photo identification that matches the stockholder’s name on the Company’s stock ledger as of close of business on the Record Date must be presented to attend the Annual Meeting.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stockholders who own shares of the Company’s Common Stock through an intermediary, such as a broker, bank or other nominee, satisfactory proof of ownership of the Company’s Common Stock as of close of business on the Record Date must be presented to attend the Annual Meeting. Satisfactory proof of ownership consists of a government-issued photo identification and a document that includes the stockholder’s name and confirms ownership as of the Record Date, such as (a) the Notice of Internet Availability that was mailed to the stockholder, (b) a copy of a voting instruction form mailed to the stockholder or, (c) a valid proxy signed by the record holder.</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Persons who are not stockholders will be entitled to admission only if they have a valid legal proxy from a record holder and government-issued photo identification. Each stockholder may appoint only one proxyholder to attend on his or her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-81280</wp:posOffset>
            </wp:positionV>
            <wp:extent cx="4572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our Articles and our Seventh Amended and Restated Bylaws (the “Bylaws”), the number of directors on our Board is established from time to time by resolution of the Board and must not be less than one nor more than thirteen members. Our Board currently has eight directors, divided into three classes, designated as Class I, Class II and Class III. Members of each class serve for a three-year term. At each annual meeting, the terms of one class of directors expire. The term of office of the current Class I directors will expire at the 2015 Annual Meeting. The term of office of the current Class II directors will expire in 2016 and the term of office of the current Class III directors will expire in 2017. The Board has voted to reduce the size of Class I to two directors, effective upon expiration of the terms of the current Class I directors at the 2015 Annual Meeting, resulting in the size of the Board being reduced from eight directors to seven. The Board has nominated the two nominees listed below to serve as Class I directors for terms that commence upon election at the 2015 Annual Meeting. The persons designated as proxies will have discretion to cast votes for other persons in the event any nominee for director is unable to serve. At present, it is not anticipated that any nominee will be unable to serve.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Nominees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At the recommendation of the Nominating and Corporate Governance Committee, the Board is nominating the following directors for election 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w:t>
      </w:r>
    </w:p>
    <w:p>
      <w:pPr>
        <w:spacing w:after="0" w:line="72" w:lineRule="exact"/>
        <w:rPr>
          <w:sz w:val="20"/>
          <w:szCs w:val="20"/>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John J. Hagenbuch</w:t>
      </w: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J. Edward Virtue</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Biographical and other information concerning these and the other directors that serve on our Board is provided below. Also included are the key skills and qualifications of our directors supporting their service, in light of the Company’s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180340</wp:posOffset>
            </wp:positionV>
            <wp:extent cx="7276465" cy="338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 THE ELECTION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OF THE NOMINEES LISTED ABOVE.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Biographies and Qualifications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 Nominees for Election</w:t>
      </w:r>
    </w:p>
    <w:p>
      <w:pPr>
        <w:spacing w:after="0" w:line="140" w:lineRule="exact"/>
        <w:rPr>
          <w:sz w:val="20"/>
          <w:szCs w:val="20"/>
          <w:color w:val="auto"/>
        </w:rPr>
      </w:pPr>
    </w:p>
    <w:p>
      <w:pPr>
        <w:jc w:val="both"/>
        <w:ind w:left="2180"/>
        <w:spacing w:after="0"/>
        <w:rPr>
          <w:sz w:val="20"/>
          <w:szCs w:val="20"/>
          <w:color w:val="auto"/>
        </w:rPr>
      </w:pPr>
      <w:r>
        <w:rPr>
          <w:rFonts w:ascii="Arial" w:cs="Arial" w:eastAsia="Arial" w:hAnsi="Arial"/>
          <w:sz w:val="18"/>
          <w:szCs w:val="18"/>
          <w:b w:val="1"/>
          <w:bCs w:val="1"/>
          <w:color w:val="auto"/>
        </w:rPr>
        <w:t xml:space="preserve">John J. Hagenbuch. </w:t>
      </w:r>
      <w:r>
        <w:rPr>
          <w:rFonts w:ascii="Arial" w:cs="Arial" w:eastAsia="Arial" w:hAnsi="Arial"/>
          <w:sz w:val="18"/>
          <w:szCs w:val="18"/>
          <w:color w:val="auto"/>
        </w:rPr>
        <w:t>Mr. Hagenbuch, 63, has served as a director of the Company since December 2012. Mr.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Hagenbuch serves as a member of the Compensation Committee and as a member of the Audit Committee. Mr. Hagenbuch is Chairman of M&amp;H Realty Partners and WestLand Capital Partners, investment firms he co-founded in 1994 and 2010, respectively. Previously, Mr. Hagenbuch was a General Partner of Hellman &amp; Friedman, a private equity firm that he joined as its third partner in 1985. He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Princeton University and holds an MBA from Stanford University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823595" cy="986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Hagenbuch brings to our Board deep corporate strategy and financial expertise gained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thirty years as a private equity investor and as a director of a number of public and private companies. Additionally, Mr. Hagenbuch provides valuable insight and perspective to our Board as the Company continues to position itself to capture new development opportunities in today’s gaming environment.</w:t>
      </w:r>
    </w:p>
    <w:p>
      <w:pPr>
        <w:jc w:val="both"/>
        <w:ind w:left="2180"/>
        <w:spacing w:after="0" w:line="237" w:lineRule="auto"/>
        <w:rPr>
          <w:sz w:val="20"/>
          <w:szCs w:val="20"/>
          <w:color w:val="auto"/>
        </w:rPr>
      </w:pPr>
      <w:r>
        <w:rPr>
          <w:rFonts w:ascii="Arial" w:cs="Arial" w:eastAsia="Arial" w:hAnsi="Arial"/>
          <w:sz w:val="18"/>
          <w:szCs w:val="18"/>
          <w:b w:val="1"/>
          <w:bCs w:val="1"/>
          <w:color w:val="auto"/>
        </w:rPr>
        <w:t xml:space="preserve">J. Edward Virtue. </w:t>
      </w:r>
      <w:r>
        <w:rPr>
          <w:rFonts w:ascii="Arial" w:cs="Arial" w:eastAsia="Arial" w:hAnsi="Arial"/>
          <w:sz w:val="18"/>
          <w:szCs w:val="18"/>
          <w:color w:val="auto"/>
        </w:rPr>
        <w:t>Mr. Virtue, 54, has served as a director of the Company since November 2012. Mr. Virtue serves as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Compensation Committee and as a member of the Nominating and Corporate Governance Committee. Mr. Virtue is the Chief Executive Officer and Founder of MidOcean Partners, an alternative asset manager based in New York. MidOcean’s private equity and hedge funds are focused on investing in middle market companies. Prior to founding MidOcean in 2003, Mr. Virtue held senior positions at financial service firms Deutsche Bank, Bankers Trust and Drexel Burnham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823595" cy="986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Virtue has extensive financial experience as a fund manager and business investor,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experience in the gaming, hospitality and consumer products industries. The continuing challenges of the global economic environment require sophisticated and diverse experience in capital markets, which the Nominating and Governance Committee and the Board determined Mr. Virtue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29335"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Directors Continuing in Office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w:t>
      </w:r>
    </w:p>
    <w:p>
      <w:pPr>
        <w:spacing w:after="0" w:line="113" w:lineRule="exact"/>
        <w:rPr>
          <w:sz w:val="20"/>
          <w:szCs w:val="20"/>
          <w:color w:val="auto"/>
        </w:rPr>
      </w:pPr>
    </w:p>
    <w:p>
      <w:pPr>
        <w:jc w:val="both"/>
        <w:ind w:left="2180"/>
        <w:spacing w:after="0" w:line="277"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Irani, 80, has served as a director of the Company since October 2007. Dr. Irani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Compensation Committee and as a member of the Nominating and Corporate Governance Committee. Dr. Irani is the former Executive Chairman, Chairman and Chief Executive Officer of Occidental Petroleum Corporation, an international oil and gas exploration and production company with operations throughout the world. He is a member of The Conference Board and the Council on Foreign Relations. Dr. Irani is a Trustee of the University of Southern California. He is also a member of the Board of Directors of the Los Angeles World Affairs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823595" cy="986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After the opening of Wynn Macau in 2006, the Company sought additional representation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by executives with experience in managing international operations and keen insight into issues relevant to companies with global operations, which are of great importance to the Company. Dr. Irani was elected to the Board in 2007, and the Company continues to benefit from his extensive international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23595" cy="986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jc w:val="both"/>
        <w:ind w:left="2180"/>
        <w:spacing w:after="0" w:line="236" w:lineRule="auto"/>
        <w:rPr>
          <w:sz w:val="20"/>
          <w:szCs w:val="20"/>
          <w:color w:val="auto"/>
        </w:rPr>
      </w:pPr>
      <w:r>
        <w:rPr>
          <w:rFonts w:ascii="Arial" w:cs="Arial" w:eastAsia="Arial" w:hAnsi="Arial"/>
          <w:sz w:val="18"/>
          <w:szCs w:val="18"/>
          <w:b w:val="1"/>
          <w:bCs w:val="1"/>
          <w:color w:val="auto"/>
        </w:rPr>
        <w:t xml:space="preserve">Alvin V. Shoemaker. </w:t>
      </w:r>
      <w:r>
        <w:rPr>
          <w:rFonts w:ascii="Arial" w:cs="Arial" w:eastAsia="Arial" w:hAnsi="Arial"/>
          <w:sz w:val="18"/>
          <w:szCs w:val="18"/>
          <w:color w:val="auto"/>
        </w:rPr>
        <w:t>Mr. Shoemaker, 76, has served as a director of the Company since December 2002. Mr.</w:t>
      </w:r>
      <w:r>
        <w:rPr>
          <w:rFonts w:ascii="Arial" w:cs="Arial" w:eastAsia="Arial" w:hAnsi="Arial"/>
          <w:sz w:val="18"/>
          <w:szCs w:val="18"/>
          <w:b w:val="1"/>
          <w:bCs w:val="1"/>
          <w:color w:val="auto"/>
        </w:rPr>
        <w:t xml:space="preserve"> </w:t>
      </w:r>
      <w:r>
        <w:rPr>
          <w:rFonts w:ascii="Arial" w:cs="Arial" w:eastAsia="Arial" w:hAnsi="Arial"/>
          <w:sz w:val="18"/>
          <w:szCs w:val="18"/>
          <w:color w:val="auto"/>
        </w:rPr>
        <w:t>Shoemaker serves as a member of the Compensation Committee and as a member of the Audit Committee. Mr. Shoemaker was the Chairman of the Board of First Boston Inc. and First Boston Corp. from April 1983 until his retirement in January 1989, at the time of its sale to Credit Suisse Bank. Mr. Shoemaker currently serves as a member of the board of directors of Huntsman Corporation.</w:t>
      </w:r>
    </w:p>
    <w:p>
      <w:pPr>
        <w:spacing w:after="0" w:line="200" w:lineRule="exact"/>
        <w:rPr>
          <w:sz w:val="20"/>
          <w:szCs w:val="20"/>
          <w:color w:val="auto"/>
        </w:rPr>
      </w:pPr>
    </w:p>
    <w:p>
      <w:pPr>
        <w:spacing w:after="0" w:line="3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Shoemaker has served on the Board of the Company since its formation in 2002. With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extensive knowledge of the Company’s development, strategy, financing arrangements and operations since its formation and his deep experience as a financial executive serving as the Chairman of First Boston, Mr. Shoemaker contributes to the Board’s oversight of the Company’s financial matters. Mr. Shoemaker’s experience in this respect has been especially valuable to the Company during the recent financial crisis, and enables him to provide strong leadership.</w:t>
      </w:r>
    </w:p>
    <w:p>
      <w:pPr>
        <w:spacing w:after="0" w:line="2" w:lineRule="exact"/>
        <w:rPr>
          <w:sz w:val="20"/>
          <w:szCs w:val="20"/>
          <w:color w:val="auto"/>
        </w:rPr>
      </w:pPr>
    </w:p>
    <w:p>
      <w:pPr>
        <w:jc w:val="both"/>
        <w:ind w:left="2180"/>
        <w:spacing w:after="0" w:line="237"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73, has served as Chairman and Chief Executive Officer of the Company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2002. Mr. Wynn has been an Executive Director, the Chairman of the Board of Directors and Chief Executive Officer of Wynn Macau, Limited, a majority owned subsidiary of the Company, since September 2009 and President of Wynn Macau, Limited until January, 2014. Mr. Wynn has also served as Director, Chairman and Chief Executive Officer of Wynn Resorts (Macau) S.A. since October 2001. From April 2000 to September 2002, Mr. Wynn was the managing member of Valvino Lamore, LLC, the predecessor and a current wholly owned subsidiary of Wynn Resorts, Limited. Mr. Wynn also serves as an officer and/or director of several subsidiaries of Wynn Resorts,</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Limited. Mr. Wynn served as Chairman, President and Chief Executive Officer of Mirage Resorts, Inc. and its predecessor, Golden Nugget Inc., between 1973 and 2000. Mr. Wynn developed, opened and operated The Mirage, Treasure Island and Bellagio in 1989, 1993 and 1998, respectively. In October 2014, Harvard Business Review ranked Mr. Wynn No. 17 of the 100 best-performing CEO’s in the world.</w:t>
      </w:r>
    </w:p>
    <w:p>
      <w:pPr>
        <w:spacing w:after="0" w:line="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Wynn is the founder and creative and organizational force of Wynn Resorts. Mr. Wynn’s 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of experience in the industry have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29335"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w:t>
      </w:r>
    </w:p>
    <w:p>
      <w:pPr>
        <w:spacing w:after="0" w:line="122" w:lineRule="exact"/>
        <w:rPr>
          <w:sz w:val="20"/>
          <w:szCs w:val="20"/>
          <w:color w:val="auto"/>
        </w:rPr>
      </w:pPr>
    </w:p>
    <w:p>
      <w:pPr>
        <w:jc w:val="both"/>
        <w:ind w:left="2080"/>
        <w:spacing w:after="0" w:line="238"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Governor Miller, 69, has served as a director of the Company since October 2002. Governor Miller</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Company’s Independent Presiding Director, Chairman of the Nominating and Corporate Governance Committee and as a member of the Audit Committee. Governor Miller is also the Chairman of the Company’s Compliance Committee and serves as the Company’s Compliance Director. In those roles, he led the Board’s independent investigation of Aruze USA, Inc. On February 27, 2014, the Board acted to combine these roles under the Chairman of the Company’s Compliance Committee. In June 2010, Governor Miller founded Robert J. Miller Consulting, a company that provides assistance in establishing relationships with, and building partnerships between, private and government entities on the local, state, national and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-1029970</wp:posOffset>
            </wp:positionV>
            <wp:extent cx="823595" cy="986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level. Governor Miller also currently serves as a Senior Advisor to Grayling, a multidisciplinary governmental affairs strategy and management firm. Governor Miller was a partner of the Nevada law firm of Jones Vargas from 2000 to 2005. From January 1989 until January 1999, Governor Miller served as Governor of the State of Nevada, and, from 1987 to 1989, he served as Lieutenant Governor of the State of Nevada. From 1979 to 1987, Governor Miller was the Clark County District Attorney and from 1984 to 1985, the President of the National District Attorney’s Association. Governor Miller also serves as a director of International Game Technology (IGT).</w:t>
      </w:r>
    </w:p>
    <w:p>
      <w:pPr>
        <w:spacing w:after="0" w:line="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Governor Miller’s extensive experience in regulatory and legal compliance matters,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federal government and politics, brings unique expertise and insight into law enforcement and state regulatory and public policy issues that directly impact the Company’s operations. In addition, his legal background and knowledge of Nevada gaming regulation support his service as Chairman of the Company’s Compliance Committee, which role is important in maintaining our regulatory structure and probity. In addition to serving the longest period as a Governor of the State of Nevada, Governor Miller has long standing experience in law enforcement including terms as an elected judge, police attorney and elected district attorney, during which term he served as the President of the National District Attorneys Association.</w:t>
      </w:r>
    </w:p>
    <w:p>
      <w:pPr>
        <w:spacing w:after="0" w:line="4" w:lineRule="exact"/>
        <w:rPr>
          <w:sz w:val="20"/>
          <w:szCs w:val="20"/>
          <w:color w:val="auto"/>
        </w:rPr>
      </w:pPr>
    </w:p>
    <w:p>
      <w:pPr>
        <w:jc w:val="both"/>
        <w:ind w:left="2080"/>
        <w:spacing w:after="0" w:line="237"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62, has served as a director of the Company since August 2003. Mr. Wayson serves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Chairman of the Audit Committee and as a member of the Nominating and Corporate Governance Committee. Mr. Wayson has been a principal of Wayson’s Properties, Incorporated, a real estate development and holding company, since 1970. He also serves as an officer and/or director of other real estate and business ventures. From 2000 through May 2003, Mr. Wayson served as a member of the board of directors and audit committee of MGM Resorts International (formerly MGM Mirage).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823595" cy="986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Wayson’s experience in the real estate and gaming businesses contributes to the Board’s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assess and oversee these critical aspects of the Company’s business and to provide insights to the Company’s operations. Mr. Wayson has extensive operational experience in the casino finance and marketing areas beginning as casino controller and ultimately managing a resort casino property in Atlantic City, N.J. The Board benefits from Mr. Wayson’s first-hand experience in operations and utilizes his knowledge of the business, especially in the finance, gaming and marketing areas, to identify, manage and monitor risk.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Additional Information Regarding The Election of Directors</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stated above, the Board has voted to reduce the size of Class I to two directors, effective upon expiration of the terms of the current Class I directors at the 2015 Annual Meeting. In determining to reduce the size of Class I, the Board decided not to re-nominate Elaine P. Wynn to serve as a director, based on the recommendation of the Nominating and Corporate Governance Committee. Ms. Wynn has served as a director of the Company since October 2002, and the Board thanks her for her past service. Pursuant to its charter, the Nominating and Corporate Governance Committee recommends to the Board the Company’s director nominees for election by the stockholders. Under the Board Membership Criteria set forth in the Company’s Corporate Governance Guidelines, in determining whether to nominate or re-nominate a candidate for election as a director of the Company, the Nominating and Corporate Governance Committee considers a number of factors, including a candidate’s ability to make a meaningful contribution to the Board’s oversight of the business and affairs of the Company and a candidate’s other commitments, potential conflicts of interest, and independence from management and the Company. Following an extensive process which included multiple meetings and the participation of Ms. Wynn, the Nominating and Corporate Governance Committee determined not to recommend that Ms. Wynn be re-nominated because of (1) concerns over actual and potential conflicts of interest; in this regard the Nominating and Corporate Governance Committee believes that Ms. Wynn has placed her individual interests ahead of her duties as a director, including her cross-claim against the Company’s CEO in which a ruling in her favor could trigger indenture covenant violations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029335"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54" w:lineRule="exact"/>
        <w:rPr>
          <w:sz w:val="20"/>
          <w:szCs w:val="20"/>
          <w:color w:val="auto"/>
        </w:rPr>
      </w:pPr>
    </w:p>
    <w:p>
      <w:pPr>
        <w:ind w:left="9320"/>
        <w:spacing w:after="0"/>
        <w:rPr>
          <w:sz w:val="20"/>
          <w:szCs w:val="20"/>
          <w:color w:val="auto"/>
        </w:rPr>
      </w:pPr>
      <w:r>
        <w:rPr>
          <w:rFonts w:ascii="Arial" w:cs="Arial" w:eastAsia="Arial" w:hAnsi="Arial"/>
          <w:sz w:val="12"/>
          <w:szCs w:val="12"/>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as detailed below, (2) the impact of Ms. Wynn’s claim in that lawsuit and the underlying dispute on the atmosphere in and effectiveness of her participation on the Board, (3) the Committee’s view that Ms. Wynn is not meaningfully contributing to the Board’s discussion and work, and</w:t>
      </w:r>
    </w:p>
    <w:p>
      <w:pPr>
        <w:spacing w:after="0" w:line="2" w:lineRule="exact"/>
        <w:rPr>
          <w:sz w:val="20"/>
          <w:szCs w:val="20"/>
          <w:color w:val="auto"/>
        </w:rPr>
      </w:pPr>
    </w:p>
    <w:p>
      <w:pPr>
        <w:jc w:val="both"/>
        <w:ind w:firstLine="8"/>
        <w:spacing w:after="0" w:line="236" w:lineRule="auto"/>
        <w:tabs>
          <w:tab w:leader="none" w:pos="274"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Wynn’s lack of independence under NASDAQ listing standards and resulting inability to serve on any existing Board committees. Prior to the Board’s determination not to re-nominate Ms. Wynn, Ms. Wynn notified the Company in a letter dated February 13, 2015, that if she was not nominated to serve another three-year term as a director of the Company, she intends to nominate herself for election as a Class I director to the Company’s Board at the Annual Meeting. Ms. Wynn subsequently filed proxy materials with the U.S. Securities and Exchange Commission (the “SEC”) to solicit proxies in favor of her election to the Board.</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Over the coming year, the Nominating and Corporate Governance Committee intends to search for new independent director candidates and, upon identifying suitable director candidates, expects to increase the Board size accordingly. As discussed below under “Corporate Governance; Director Nominating Procedures and Diversity,” the Nominating and Corporate Governance Committee seeks to have the Board represent a diversity of backgrounds and experience. Consistent with the Company’s long-standing commitment to promoting diversity, as reflected by the number of women in senior leadership roles at the Company, the Nominating and Corporate Governance Committee intends to prioritize women and diverse candidates in its search to bring new perspectives to the Board.</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discussed under “Certain Relationships and Related Transactions” on page 35, Ms. Wynn, Aruze USA, Inc. (“Aruze”) (a company controlled by former director Mr. Okada) and Stephen A. Wynn are parties to an Amended and Restated Stockholders Agreement dated January 6, 2010 (the “Amended and Restated Stockholders Agreement”) which contains covenants and provisions relating to voting agreements, pre-emptive rights, rights of first refusal, tag-along rights and certain other restrictions. Pursuant to the Amended and Restated Stockholders Agreement, Ms. Wynn</w:t>
      </w:r>
    </w:p>
    <w:p>
      <w:pPr>
        <w:spacing w:after="0" w:line="1" w:lineRule="exact"/>
        <w:rPr>
          <w:sz w:val="20"/>
          <w:szCs w:val="20"/>
          <w:color w:val="auto"/>
        </w:rPr>
      </w:pPr>
    </w:p>
    <w:p>
      <w:pPr>
        <w:jc w:val="both"/>
        <w:ind w:firstLine="8"/>
        <w:spacing w:after="0" w:line="235"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became a party to the Amended and Restated Stockholders Agreement in connection with her ownership of 11,076,709 shares of the Company’s Common Stock that were transferred to her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of a prior stockholders agreement to provide that each of Mr. Wynn, Ms.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Elaine P. Wynn and, so long as such slate results in a majority of directors at all times being candidates endorsed by Mr. Wynn, nominees approved by Aruze. As a result of the redemption of Aruze’s shares, the shares previously held by Aruze are no longer issued and outstanding and neither Mr. Wynn nor Ms. Wynn has or shares the power to vote such shares.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February 18, 2012, the Company redeemed all of the shares previously owned by Aruze and on February 19, 2012, the Company filed a complaint in the Eighth Judicial District Court, Clark County, Nevada against Mr. Okada, Universal Entertainment Corporation and Aruze. On June 19, 2012, Elaine Wynn asserted a cross claim against Stephen A. Wynn and Aruze (see Item 3—“Legal Proceedings” and elsewhere in our Annual Report on Form 10-K for the year ended December 31, 2014) seeking a declaration that (1) any and all of Elaine Wynn’s duties under the Amended and Restated Stockholders Agreement shall be discharged; (2) the Amended and Restated Stockholders Agreement is subject to rescission and is rescinded; (3) the Amended and Restated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Stephen A. Wynn, together with certain related parties, in the aggregate beneficially owns a lesser percentage of the outstanding common stock of the Company than are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Elaine Wynn prevails in her cross claim, Stephen A. Wynn would not beneficially own or control Elaine Wynn’s shares, which could increase the likelihood that a change in control may occur under the Wynn Las Vegas debt documents. Under the 2023 Indenture and the 2025 Indenture, if a change of control occurs and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6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See Appendix A for additional information regarding participants in this solicitation for the Annual Meeting, which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-81280</wp:posOffset>
            </wp:positionV>
            <wp:extent cx="137223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Overview</w:t>
      </w:r>
    </w:p>
    <w:p>
      <w:pPr>
        <w:spacing w:after="0" w:line="13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Our Governance Program. </w:t>
      </w:r>
      <w:r>
        <w:rPr>
          <w:rFonts w:ascii="Arial" w:cs="Arial" w:eastAsia="Arial" w:hAnsi="Arial"/>
          <w:sz w:val="18"/>
          <w:szCs w:val="18"/>
          <w:color w:val="auto"/>
        </w:rPr>
        <w:t>Our Board and management are committed to sound and effective corporate governance. Consistent with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the Company has established a comprehensive corporate governance framework, with policies and programs designed not only to satisfy the extensive regulatory requirements applicable to our business but also to build value for the Company’s stockholders and promote the vitality of the Company for its customers, employees and the other individuals and organizations that depend upon it. The key components of our corporate governance framework are set forth in the following documents:</w:t>
      </w:r>
    </w:p>
    <w:p>
      <w:pPr>
        <w:spacing w:after="0" w:line="196" w:lineRule="exact"/>
        <w:rPr>
          <w:sz w:val="20"/>
          <w:szCs w:val="20"/>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Articles and Bylaws;</w:t>
      </w:r>
    </w:p>
    <w:p>
      <w:pPr>
        <w:spacing w:after="0" w:line="76"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Governance Guidelines that govern the structure and functioning of the Board and set out the Board’s position on a number of governance issues, including a requirement that all independent directors meet the heightened independence criteria applicable to audit committee members under the Securities Exchange Act of 1934, as amended (the “Exchange Act”) and the rules of the NASDAQ;</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Code of Business Conduct and Ethics applicable to all directors, officers, employees and certain independent contractors;</w:t>
      </w:r>
    </w:p>
    <w:p>
      <w:pPr>
        <w:spacing w:after="0" w:line="76" w:lineRule="exact"/>
        <w:rPr>
          <w:rFonts w:ascii="Arial" w:cs="Arial" w:eastAsia="Arial" w:hAnsi="Arial"/>
          <w:sz w:val="18"/>
          <w:szCs w:val="18"/>
          <w:color w:val="auto"/>
        </w:rPr>
      </w:pPr>
    </w:p>
    <w:p>
      <w:pPr>
        <w:ind w:left="1020" w:right="20" w:hanging="215"/>
        <w:spacing w:after="0" w:line="23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Written charters for each of our standing Committees of the Board, which are comprised solely of independent directors: the Audit Committee, Compensation Committee and Nominating and Corporate Governance Committee;</w:t>
      </w:r>
    </w:p>
    <w:p>
      <w:pPr>
        <w:spacing w:after="0" w:line="73" w:lineRule="exact"/>
        <w:rPr>
          <w:rFonts w:ascii="Arial" w:cs="Arial" w:eastAsia="Arial" w:hAnsi="Arial"/>
          <w:sz w:val="18"/>
          <w:szCs w:val="18"/>
          <w:color w:val="auto"/>
        </w:rPr>
      </w:pPr>
    </w:p>
    <w:p>
      <w:pPr>
        <w:jc w:val="both"/>
        <w:ind w:left="1020" w:hanging="215"/>
        <w:spacing w:after="0" w:line="281"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Corporate and property level compliance committees operating under the terms of written compliance programs to promote compliance with our various regulatory requirements including, among other things, gaming regulations in each jurisdiction in which we operate, and applicable federal laws and regulations related to anti-money laundering and the Foreign Corrupt Practices Act; and</w:t>
      </w:r>
    </w:p>
    <w:p>
      <w:pPr>
        <w:spacing w:after="0" w:line="42" w:lineRule="exact"/>
        <w:rPr>
          <w:rFonts w:ascii="Arial" w:cs="Arial" w:eastAsia="Arial" w:hAnsi="Arial"/>
          <w:sz w:val="16"/>
          <w:szCs w:val="16"/>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Ownership Guidelines.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Other than the compliance programs, each of the above documents is available on our investor relations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Corporate Social Responsibility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we are committed to operating our business in a manner that incorporates our core values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compassion and responsibility, including participating in wide ranging community service and philanthropic efforts that assist underserved communities in the markets in which we operate. We issued a corporate social responsibility and sustainability report on our website in 2014 and plan to issue additional reports periodically.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Board Leadership Structure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has given careful consideration to the leadership model that best serves the interests of our stockholders. The Board has determined that the interests of all stockholders are currently best served with a combined Chairman and Chief Executive Officer (“CEO”) position and an independent Presiding Director. The Board also believes that the issue of whether to combine or separate the offices of Chairman and CEO is part of the succession planning process and that it is in the best interests of the Company for the Board to periodically evaluate and make a determination whether to combine or separate the roles based upon current circumstances.</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Chairman and CEO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serves as the Chairman and CEO of the Company. Mr. Wynn has served in these roles since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inception in 2002 and during that period, has delivered exceptional value to our stockholders. Under Mr. Wynn’s leadership, from our initial public offering in 2002 through the end of 2014, we have paid approximately $5.9 billion, or $53.75 per share, in dividends to our stockholders, and our stockholders have seen a compounded annual total stockholder return (including reinvestment of dividends) of 27% over that same timeframe. Mr. Wynn is the founder, creator and name behind our brand. He brings extraordinary talent to our Company that is unrivaled by others in our industry. In addition, the Board believes that Mr. Wynn’s combined role as Chairman and CEO promotes unified leadership and direction for the Board and management, and provides focused leadership for the Company’s operational and strategic efforts.</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Independent Presiding Director. </w:t>
      </w:r>
      <w:r>
        <w:rPr>
          <w:rFonts w:ascii="Arial" w:cs="Arial" w:eastAsia="Arial" w:hAnsi="Arial"/>
          <w:sz w:val="18"/>
          <w:szCs w:val="18"/>
          <w:color w:val="auto"/>
        </w:rPr>
        <w:t>Governor Miller currently serves as the independent Presiding Director. The independent Presiding Director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annually by the independent members of the Board. In accordance with the specific duties prescribed in our Corporate Governance Guidelines, the independent Presiding Director: chairs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sessions of the independent directors which are held throughout the year; presides at all meetings of the Board at which the Chairman is not present; acts as the liaison between the Chairman and independent directors; and performs such additional functions as designated by the Board.</w:t>
      </w:r>
    </w:p>
    <w:p>
      <w:pPr>
        <w:spacing w:after="0" w:line="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Other Board Governance Measures. </w:t>
      </w:r>
      <w:r>
        <w:rPr>
          <w:rFonts w:ascii="Arial" w:cs="Arial" w:eastAsia="Arial" w:hAnsi="Arial"/>
          <w:sz w:val="18"/>
          <w:szCs w:val="18"/>
          <w:color w:val="auto"/>
        </w:rPr>
        <w:t>The combined role of Chairman and CEO is further balanced by the Board’s demonstrated commitment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provide independent oversight of management. Six of the eight members of our Board satisfy the most stringent requirements of independence promulgated by the Exchange Act and the NASDAQ for audit committee members, and the Audit, Compensation, and Nominating and Corporate Governance Committees are each comprised entirely of independent members of the Board. This structure encourages independent and effective oversight of the Company’s operations and prudent management of risk. In addition, the Company is subject to stringent regulatory requirements and oversight, combining our internal controls with third-party monitoring of the Company’s operations. The independent members of the Company’s Board meet separately in executive session at each regular meeting of the Board. The members of the Audit Committee also meet separately in executive session with each of the Company’s independent auditors, Vice President of Internal Audit, Chief Financial Officer, General Counsel and Compliance Officer. The independent Presiding Director is responsible for communicating to the CEO and management all concerns that arise during executive sessions. In addition, all Committee agendas and all agendas for meetings of the Board are provided in advance to all independent members of the Board. The members are encouraged to, and do, review the proposed agenda items and add additional items of concern or interest. Further, our CEO’s compensation is established and reviewed by the Compensation Committee, all of whose members are independent. The Compensation Committee engages an independent third party to evaluate the level of the compensation and benefits of employment provided to Mr. Wynn. This evaluation was last completed in 2014 by Pay Governance LLC. Please refer to the “Compensation Discussion and Analysis” beginning on page 17 for the details of this review.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Independence</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has determined that six of its eight current members are independent under standards set forth in our Corporate Governance Guidelines and the NASDAQ listing standards. The Board has further determined that each of those six directors also meet the additional, heightened independence criteria applicable to audit and compensation committee members under the Exchange Act and NASDAQ listing standards. The six independent directors are Messrs. Hagenbuch, Irani, Miller, Shoemaker, Virtue and Wayson. Based upon information requested from each director concerning his background, employment and affiliations, the Board has affirmatively determined that none of the independent directors has a direct or indirect material relationship with the Company. In assessing independence, the Board considered all relevant facts and circumstances, including that none of the independent directors or their immediate family members has any economic relationship with the Company other than the receipt of his director’s compensation and compensation provided to directors’ immediate family members, as defined under NASDAQ listing standards, which was less than $120,000 in the aggregate and was not for consulting or advisory services. None of the independent directors or their immediate family members is engaged in any related party transaction with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Mr. Wynn and Ms. Wynn have been determined not to be independent.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Meetings of the Board of Directors and Stockholders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met nine times during 2014. All of the members of our Board attended at least 75% of the meetings held by the Board and the Committees on which they served. In addition, the independent directors met in executive session, without management present, at each regular meeting of the Board.</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accordance with our Corporate Governance Guidelines, each of our directors is invited and encouraged to attend the Annual Meeting of Stockholders. All of our directors attended the 2014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Risk Oversight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has an active role in overseeing the Company’s areas of risk. The Board and its Committees regularly review information regarding the Company’s risk profile and have, in consultation with management and the Company’s independent auditors, identified specific areas of risk including: regulatory compliance, legislative and political conditions, capital availability, liquidity and general financial conditions, gaming credit extension and collection, construction, catastrophic events and succession planning. The Board (as a whole and through its Committees) has reviewed and approved management’s process for identifying, managing and mitigating these risks. While the full Board has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responsibility for risk oversight, the Board has assigned certain areas of risk oversight to its Committees as well as to the Company’s Compliance Committee. Throughout the year, the Board, its Committees and the Company’s Compliance Committee receive reports from management that include information regarding major risks and exposures facing the Company and the steps management has taken to monitor and control such risks and exposures. In addition, throughout the year, the Board, its Committees and the Company’s Compliance Committee dedicate a portion of their meetings to review and discuss specific risk topics in greater detail. The Audit Committee is primarily responsible for the oversight of credit, related party, construction and general financial risks. The Company’s Compliance Committee primarily oversees risks relating to regulatory, security and political compliance. For the 2014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Standing Committees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Board of Directors has three standing committees, each comprised solely of independent directors: the Audit Committee, the Compensation Committee and the Nominating and Corporate Governance Committee. The written charters for these Committees are available on our investor relations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614A3D"/>
                <w:w w:val="97"/>
              </w:rPr>
              <w:t>Meetings</w:t>
            </w:r>
          </w:p>
        </w:tc>
        <w:tc>
          <w:tcPr>
            <w:tcW w:w="0" w:type="dxa"/>
            <w:vAlign w:val="bottom"/>
          </w:tcPr>
          <w:p>
            <w:pPr>
              <w:spacing w:after="0"/>
              <w:rPr>
                <w:sz w:val="1"/>
                <w:szCs w:val="1"/>
                <w:color w:val="auto"/>
              </w:rPr>
            </w:pPr>
          </w:p>
        </w:tc>
      </w:tr>
      <w:tr>
        <w:trPr>
          <w:trHeight w:val="235"/>
        </w:trPr>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614A3D"/>
                <w:w w:val="96"/>
              </w:rPr>
              <w:t>Name and Members</w:t>
            </w:r>
          </w:p>
        </w:tc>
        <w:tc>
          <w:tcPr>
            <w:tcW w:w="1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614A3D"/>
              </w:rPr>
              <w:t>Responsibilities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614A3D"/>
                <w:w w:val="98"/>
              </w:rPr>
              <w:t>in 2014</w:t>
            </w:r>
          </w:p>
        </w:tc>
        <w:tc>
          <w:tcPr>
            <w:tcW w:w="0" w:type="dxa"/>
            <w:vAlign w:val="bottom"/>
          </w:tcPr>
          <w:p>
            <w:pPr>
              <w:spacing w:after="0"/>
              <w:rPr>
                <w:sz w:val="1"/>
                <w:szCs w:val="1"/>
                <w:color w:val="auto"/>
              </w:rPr>
            </w:pPr>
          </w:p>
        </w:tc>
      </w:tr>
      <w:tr>
        <w:trPr>
          <w:trHeight w:val="199"/>
        </w:trPr>
        <w:tc>
          <w:tcPr>
            <w:tcW w:w="1660" w:type="dxa"/>
            <w:vAlign w:val="bottom"/>
            <w:gridSpan w:val="3"/>
          </w:tcPr>
          <w:p>
            <w:pPr>
              <w:spacing w:after="0" w:line="200" w:lineRule="exact"/>
              <w:rPr>
                <w:sz w:val="20"/>
                <w:szCs w:val="20"/>
                <w:color w:val="auto"/>
              </w:rPr>
            </w:pPr>
            <w:r>
              <w:rPr>
                <w:rFonts w:ascii="Arial" w:cs="Arial" w:eastAsia="Arial" w:hAnsi="Arial"/>
                <w:sz w:val="18"/>
                <w:szCs w:val="18"/>
                <w:b w:val="1"/>
                <w:bCs w:val="1"/>
                <w:color w:val="auto"/>
              </w:rPr>
              <w:t>Audit Committee</w:t>
            </w:r>
          </w:p>
        </w:tc>
        <w:tc>
          <w:tcPr>
            <w:tcW w:w="1340" w:type="dxa"/>
            <w:vAlign w:val="bottom"/>
          </w:tcPr>
          <w:p>
            <w:pPr>
              <w:spacing w:after="0"/>
              <w:rPr>
                <w:sz w:val="17"/>
                <w:szCs w:val="17"/>
                <w:color w:val="auto"/>
              </w:rPr>
            </w:pPr>
          </w:p>
        </w:tc>
        <w:tc>
          <w:tcPr>
            <w:tcW w:w="20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7300" w:type="dxa"/>
            <w:vAlign w:val="bottom"/>
          </w:tcPr>
          <w:p>
            <w:pPr>
              <w:ind w:left="60"/>
              <w:spacing w:after="0" w:line="200" w:lineRule="exact"/>
              <w:rPr>
                <w:sz w:val="20"/>
                <w:szCs w:val="20"/>
                <w:color w:val="auto"/>
              </w:rPr>
            </w:pPr>
            <w:r>
              <w:rPr>
                <w:rFonts w:ascii="Arial" w:cs="Arial" w:eastAsia="Arial" w:hAnsi="Arial"/>
                <w:sz w:val="18"/>
                <w:szCs w:val="18"/>
                <w:color w:val="auto"/>
              </w:rPr>
              <w:t>appointing, approving the compensation and retention of, and overseeing the independent</w:t>
            </w:r>
          </w:p>
        </w:tc>
        <w:tc>
          <w:tcPr>
            <w:tcW w:w="92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John J. Hagenbuch</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Pr>
          <w:p>
            <w:pPr>
              <w:ind w:left="60"/>
              <w:spacing w:after="0" w:line="202" w:lineRule="exact"/>
              <w:rPr>
                <w:sz w:val="20"/>
                <w:szCs w:val="20"/>
                <w:color w:val="auto"/>
              </w:rPr>
            </w:pPr>
            <w:r>
              <w:rPr>
                <w:rFonts w:ascii="Arial" w:cs="Arial" w:eastAsia="Arial" w:hAnsi="Arial"/>
                <w:sz w:val="18"/>
                <w:szCs w:val="18"/>
                <w:color w:val="auto"/>
              </w:rPr>
              <w:t>auditors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Robert J. Miller</w:t>
            </w:r>
          </w:p>
        </w:tc>
        <w:tc>
          <w:tcPr>
            <w:tcW w:w="1340" w:type="dxa"/>
            <w:vAlign w:val="bottom"/>
          </w:tcPr>
          <w:p>
            <w:pPr>
              <w:spacing w:after="0"/>
              <w:rPr>
                <w:sz w:val="17"/>
                <w:szCs w:val="17"/>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reviewing and discussing with the independent auditors and management the Company’s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Alvin V. Shoemaker</w:t>
            </w:r>
          </w:p>
        </w:tc>
        <w:tc>
          <w:tcPr>
            <w:tcW w:w="13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3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6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earnings releases and quarterly and annual reports as filed with the SEC</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D. Boone Wayson</w:t>
            </w: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3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66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(Chairman)</w:t>
            </w:r>
          </w:p>
        </w:tc>
        <w:tc>
          <w:tcPr>
            <w:tcW w:w="134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reviewing the adequacy and effectiveness as well as the scope and results of the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gridSpan w:val="4"/>
            <w:vMerge w:val="restart"/>
          </w:tcPr>
          <w:p>
            <w:pPr>
              <w:spacing w:after="0"/>
              <w:rPr>
                <w:sz w:val="20"/>
                <w:szCs w:val="20"/>
                <w:color w:val="auto"/>
              </w:rPr>
            </w:pPr>
            <w:r>
              <w:rPr>
                <w:rFonts w:ascii="Arial" w:cs="Arial" w:eastAsia="Arial" w:hAnsi="Arial"/>
                <w:sz w:val="18"/>
                <w:szCs w:val="18"/>
                <w:color w:val="auto"/>
              </w:rPr>
              <w:t>The Audit Committee, after review of</w:t>
            </w:r>
          </w:p>
        </w:tc>
        <w:tc>
          <w:tcPr>
            <w:tcW w:w="20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Company’s internal auditing procedures and practices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300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7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80" w:type="dxa"/>
            <w:vAlign w:val="bottom"/>
            <w:gridSpan w:val="2"/>
          </w:tcPr>
          <w:p>
            <w:pPr>
              <w:spacing w:after="0"/>
              <w:rPr>
                <w:sz w:val="20"/>
                <w:szCs w:val="20"/>
                <w:color w:val="auto"/>
              </w:rPr>
            </w:pPr>
            <w:r>
              <w:rPr>
                <w:rFonts w:ascii="Arial" w:cs="Arial" w:eastAsia="Arial" w:hAnsi="Arial"/>
                <w:sz w:val="18"/>
                <w:szCs w:val="18"/>
                <w:color w:val="auto"/>
              </w:rPr>
              <w:t>each</w:t>
            </w:r>
          </w:p>
        </w:tc>
        <w:tc>
          <w:tcPr>
            <w:tcW w:w="1080" w:type="dxa"/>
            <w:vAlign w:val="bottom"/>
          </w:tcPr>
          <w:p>
            <w:pPr>
              <w:ind w:left="180"/>
              <w:spacing w:after="0"/>
              <w:rPr>
                <w:sz w:val="20"/>
                <w:szCs w:val="20"/>
                <w:color w:val="auto"/>
              </w:rPr>
            </w:pPr>
            <w:r>
              <w:rPr>
                <w:rFonts w:ascii="Arial" w:cs="Arial" w:eastAsia="Arial" w:hAnsi="Arial"/>
                <w:sz w:val="18"/>
                <w:szCs w:val="18"/>
                <w:color w:val="auto"/>
                <w:w w:val="99"/>
              </w:rPr>
              <w:t>individual’s</w:t>
            </w:r>
          </w:p>
        </w:tc>
        <w:tc>
          <w:tcPr>
            <w:tcW w:w="1340" w:type="dxa"/>
            <w:vAlign w:val="bottom"/>
          </w:tcPr>
          <w:p>
            <w:pPr>
              <w:jc w:val="right"/>
              <w:spacing w:after="0"/>
              <w:rPr>
                <w:sz w:val="20"/>
                <w:szCs w:val="20"/>
                <w:color w:val="auto"/>
              </w:rPr>
            </w:pPr>
            <w:r>
              <w:rPr>
                <w:rFonts w:ascii="Arial" w:cs="Arial" w:eastAsia="Arial" w:hAnsi="Arial"/>
                <w:sz w:val="18"/>
                <w:szCs w:val="18"/>
                <w:color w:val="auto"/>
              </w:rPr>
              <w:t>employment</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overseeing the Company’s compliance program with respect to legal and regulatory</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660" w:type="dxa"/>
            <w:vAlign w:val="bottom"/>
            <w:gridSpan w:val="3"/>
          </w:tcPr>
          <w:p>
            <w:pPr>
              <w:spacing w:after="0" w:line="192" w:lineRule="exact"/>
              <w:rPr>
                <w:sz w:val="20"/>
                <w:szCs w:val="20"/>
                <w:color w:val="auto"/>
              </w:rPr>
            </w:pPr>
            <w:r>
              <w:rPr>
                <w:rFonts w:ascii="Arial" w:cs="Arial" w:eastAsia="Arial" w:hAnsi="Arial"/>
                <w:sz w:val="18"/>
                <w:szCs w:val="18"/>
                <w:color w:val="auto"/>
              </w:rPr>
              <w:t>experience   and</w:t>
            </w:r>
          </w:p>
        </w:tc>
        <w:tc>
          <w:tcPr>
            <w:tcW w:w="1340" w:type="dxa"/>
            <w:vAlign w:val="bottom"/>
          </w:tcPr>
          <w:p>
            <w:pPr>
              <w:jc w:val="right"/>
              <w:spacing w:after="0" w:line="192" w:lineRule="exact"/>
              <w:rPr>
                <w:sz w:val="20"/>
                <w:szCs w:val="20"/>
                <w:color w:val="auto"/>
              </w:rPr>
            </w:pPr>
            <w:r>
              <w:rPr>
                <w:rFonts w:ascii="Arial" w:cs="Arial" w:eastAsia="Arial" w:hAnsi="Arial"/>
                <w:sz w:val="18"/>
                <w:szCs w:val="18"/>
                <w:color w:val="auto"/>
              </w:rPr>
              <w:t>other   relevant</w:t>
            </w:r>
          </w:p>
        </w:tc>
        <w:tc>
          <w:tcPr>
            <w:tcW w:w="200" w:type="dxa"/>
            <w:vAlign w:val="bottom"/>
          </w:tcPr>
          <w:p>
            <w:pPr>
              <w:spacing w:after="0"/>
              <w:rPr>
                <w:sz w:val="16"/>
                <w:szCs w:val="16"/>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compliance, and the Company’s policies and procedures for monitoring compliance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00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factors, has determined that Messrs.</w:t>
            </w:r>
          </w:p>
        </w:tc>
        <w:tc>
          <w:tcPr>
            <w:tcW w:w="200" w:type="dxa"/>
            <w:vAlign w:val="bottom"/>
          </w:tcPr>
          <w:p>
            <w:pPr>
              <w:spacing w:after="0"/>
              <w:rPr>
                <w:sz w:val="5"/>
                <w:szCs w:val="5"/>
                <w:color w:val="auto"/>
              </w:rPr>
            </w:pPr>
          </w:p>
        </w:tc>
        <w:tc>
          <w:tcPr>
            <w:tcW w:w="73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000" w:type="dxa"/>
            <w:vAlign w:val="bottom"/>
            <w:gridSpan w:val="4"/>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meeting periodically with management to review the Company’s major risk exposures and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gridSpan w:val="4"/>
          </w:tcPr>
          <w:p>
            <w:pPr>
              <w:spacing w:after="0" w:line="176" w:lineRule="exact"/>
              <w:rPr>
                <w:sz w:val="20"/>
                <w:szCs w:val="20"/>
                <w:color w:val="auto"/>
              </w:rPr>
            </w:pPr>
            <w:r>
              <w:rPr>
                <w:rFonts w:ascii="Arial" w:cs="Arial" w:eastAsia="Arial" w:hAnsi="Arial"/>
                <w:sz w:val="18"/>
                <w:szCs w:val="18"/>
                <w:color w:val="auto"/>
                <w:w w:val="99"/>
              </w:rPr>
              <w:t>Hagenbuch, Shoemaker and Wayson</w:t>
            </w:r>
          </w:p>
        </w:tc>
        <w:tc>
          <w:tcPr>
            <w:tcW w:w="200" w:type="dxa"/>
            <w:vAlign w:val="bottom"/>
            <w:vMerge w:val="continue"/>
          </w:tcPr>
          <w:p>
            <w:pPr>
              <w:spacing w:after="0"/>
              <w:rPr>
                <w:sz w:val="15"/>
                <w:szCs w:val="15"/>
                <w:color w:val="auto"/>
              </w:rPr>
            </w:pPr>
          </w:p>
        </w:tc>
        <w:tc>
          <w:tcPr>
            <w:tcW w:w="73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0" w:type="dxa"/>
            <w:vAlign w:val="bottom"/>
            <w:gridSpan w:val="4"/>
          </w:tcPr>
          <w:p>
            <w:pPr>
              <w:spacing w:after="0"/>
              <w:rPr>
                <w:sz w:val="20"/>
                <w:szCs w:val="20"/>
                <w:color w:val="auto"/>
              </w:rPr>
            </w:pPr>
            <w:r>
              <w:rPr>
                <w:rFonts w:ascii="Arial" w:cs="Arial" w:eastAsia="Arial" w:hAnsi="Arial"/>
                <w:sz w:val="18"/>
                <w:szCs w:val="18"/>
                <w:color w:val="auto"/>
              </w:rPr>
              <w:t>are  qualified  as  audit  committee</w:t>
            </w:r>
          </w:p>
        </w:tc>
        <w:tc>
          <w:tcPr>
            <w:tcW w:w="200" w:type="dxa"/>
            <w:vAlign w:val="bottom"/>
          </w:tcPr>
          <w:p>
            <w:pPr>
              <w:spacing w:after="0"/>
              <w:rPr>
                <w:sz w:val="19"/>
                <w:szCs w:val="19"/>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the steps management has taken to monitor and control such exposures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000" w:type="dxa"/>
            <w:vAlign w:val="bottom"/>
            <w:gridSpan w:val="4"/>
          </w:tcPr>
          <w:p>
            <w:pPr>
              <w:spacing w:after="0"/>
              <w:rPr>
                <w:sz w:val="20"/>
                <w:szCs w:val="20"/>
                <w:color w:val="auto"/>
              </w:rPr>
            </w:pPr>
            <w:r>
              <w:rPr>
                <w:rFonts w:ascii="Arial" w:cs="Arial" w:eastAsia="Arial" w:hAnsi="Arial"/>
                <w:sz w:val="18"/>
                <w:szCs w:val="18"/>
                <w:color w:val="auto"/>
              </w:rPr>
              <w:t>financial experts within the meaning</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reviewing and approving the Company’s decision to enter into certain swaps and other</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of SEC regulations.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derivative transactions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30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500" w:type="dxa"/>
            <w:vAlign w:val="bottom"/>
            <w:gridSpan w:val="2"/>
          </w:tcPr>
          <w:p>
            <w:pPr>
              <w:ind w:left="60"/>
              <w:spacing w:after="0"/>
              <w:rPr>
                <w:sz w:val="20"/>
                <w:szCs w:val="20"/>
                <w:color w:val="auto"/>
              </w:rPr>
            </w:pPr>
            <w:r>
              <w:rPr>
                <w:rFonts w:ascii="Arial" w:cs="Arial" w:eastAsia="Arial" w:hAnsi="Arial"/>
                <w:sz w:val="18"/>
                <w:szCs w:val="18"/>
                <w:color w:val="auto"/>
              </w:rPr>
              <w:t>At each of its regular meetings, the Audit Committee meets in executive session with the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Company’s independent auditors, Vice President of Internal Audit, Chief Financial Officer,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General Counsel and Compliance Officer to discuss accounting principles, financial and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accounting controls, the scope of the annual audit, internal controls, regulatory compliance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gridSpan w:val="2"/>
          </w:tcPr>
          <w:p>
            <w:pPr>
              <w:ind w:left="60"/>
              <w:spacing w:after="0"/>
              <w:rPr>
                <w:sz w:val="20"/>
                <w:szCs w:val="20"/>
                <w:color w:val="auto"/>
              </w:rPr>
            </w:pPr>
            <w:r>
              <w:rPr>
                <w:rFonts w:ascii="Arial" w:cs="Arial" w:eastAsia="Arial" w:hAnsi="Arial"/>
                <w:sz w:val="18"/>
                <w:szCs w:val="18"/>
                <w:color w:val="auto"/>
              </w:rPr>
              <w:t>and other matters.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500" w:type="dxa"/>
            <w:vAlign w:val="bottom"/>
            <w:gridSpan w:val="2"/>
          </w:tcPr>
          <w:p>
            <w:pPr>
              <w:ind w:left="60"/>
              <w:spacing w:after="0"/>
              <w:rPr>
                <w:sz w:val="20"/>
                <w:szCs w:val="20"/>
                <w:color w:val="auto"/>
              </w:rPr>
            </w:pPr>
            <w:r>
              <w:rPr>
                <w:rFonts w:ascii="Arial" w:cs="Arial" w:eastAsia="Arial" w:hAnsi="Arial"/>
                <w:sz w:val="18"/>
                <w:szCs w:val="18"/>
                <w:color w:val="auto"/>
                <w:w w:val="99"/>
              </w:rPr>
              <w:t>The independent auditors have complete access to the Audit Committee without management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present to discuss the results of their audits and their opinions on the adequacy of internal</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controls, quality of financial reporting and other accounting and auditing matters.</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8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Compensation Committee</w:t>
            </w:r>
          </w:p>
        </w:tc>
        <w:tc>
          <w:tcPr>
            <w:tcW w:w="7500" w:type="dxa"/>
            <w:vAlign w:val="bottom"/>
            <w:gridSpan w:val="2"/>
            <w:vMerge w:val="restart"/>
          </w:tcPr>
          <w:p>
            <w:pPr>
              <w:ind w:left="60"/>
              <w:spacing w:after="0"/>
              <w:rPr>
                <w:sz w:val="20"/>
                <w:szCs w:val="20"/>
                <w:color w:val="auto"/>
              </w:rPr>
            </w:pPr>
            <w:r>
              <w:rPr>
                <w:rFonts w:ascii="Arial" w:cs="Arial" w:eastAsia="Arial" w:hAnsi="Arial"/>
                <w:sz w:val="18"/>
                <w:szCs w:val="18"/>
                <w:color w:val="auto"/>
              </w:rPr>
              <w:t>•  reviewing the goals and objectives of the Company’s executive compensation plans</w:t>
            </w:r>
          </w:p>
        </w:tc>
        <w:tc>
          <w:tcPr>
            <w:tcW w:w="920" w:type="dxa"/>
            <w:vAlign w:val="bottom"/>
          </w:tcPr>
          <w:p>
            <w:pPr>
              <w:jc w:val="right"/>
              <w:ind w:right="312"/>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76"/>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John J. Hagenbuch</w:t>
            </w:r>
          </w:p>
        </w:tc>
        <w:tc>
          <w:tcPr>
            <w:tcW w:w="1340" w:type="dxa"/>
            <w:vAlign w:val="bottom"/>
          </w:tcPr>
          <w:p>
            <w:pPr>
              <w:spacing w:after="0"/>
              <w:rPr>
                <w:sz w:val="6"/>
                <w:szCs w:val="6"/>
                <w:color w:val="auto"/>
              </w:rPr>
            </w:pPr>
          </w:p>
        </w:tc>
        <w:tc>
          <w:tcPr>
            <w:tcW w:w="75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6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750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  reviewing the Company’s executive compensation plans in light of the Company’s goals and</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Dr. Ray Irani</w:t>
            </w:r>
          </w:p>
        </w:tc>
        <w:tc>
          <w:tcPr>
            <w:tcW w:w="1340" w:type="dxa"/>
            <w:vAlign w:val="bottom"/>
          </w:tcPr>
          <w:p>
            <w:pPr>
              <w:spacing w:after="0"/>
              <w:rPr>
                <w:sz w:val="12"/>
                <w:szCs w:val="12"/>
                <w:color w:val="auto"/>
              </w:rPr>
            </w:pPr>
          </w:p>
        </w:tc>
        <w:tc>
          <w:tcPr>
            <w:tcW w:w="75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66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30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objectives with respect to such plans and, as appropriate, recommending that the Board</w:t>
            </w: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6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Alvin V. Shoemaker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3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66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300" w:type="dxa"/>
            <w:vAlign w:val="bottom"/>
            <w:vMerge w:val="restart"/>
          </w:tcPr>
          <w:p>
            <w:pPr>
              <w:ind w:left="60"/>
              <w:spacing w:after="0"/>
              <w:rPr>
                <w:sz w:val="20"/>
                <w:szCs w:val="20"/>
                <w:color w:val="auto"/>
              </w:rPr>
            </w:pPr>
            <w:r>
              <w:rPr>
                <w:rFonts w:ascii="Arial" w:cs="Arial" w:eastAsia="Arial" w:hAnsi="Arial"/>
                <w:sz w:val="18"/>
                <w:szCs w:val="18"/>
                <w:color w:val="auto"/>
              </w:rPr>
              <w:t>adopt new plans or amend the existing plans</w:t>
            </w: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J. Edward Virtue</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(Chairman)</w:t>
            </w:r>
          </w:p>
        </w:tc>
        <w:tc>
          <w:tcPr>
            <w:tcW w:w="1340" w:type="dxa"/>
            <w:vAlign w:val="bottom"/>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300" w:type="dxa"/>
            <w:vAlign w:val="bottom"/>
          </w:tcPr>
          <w:p>
            <w:pPr>
              <w:ind w:left="60"/>
              <w:spacing w:after="0"/>
              <w:rPr>
                <w:sz w:val="20"/>
                <w:szCs w:val="20"/>
                <w:color w:val="auto"/>
              </w:rPr>
            </w:pPr>
            <w:r>
              <w:rPr>
                <w:rFonts w:ascii="Arial" w:cs="Arial" w:eastAsia="Arial" w:hAnsi="Arial"/>
                <w:sz w:val="18"/>
                <w:szCs w:val="18"/>
                <w:color w:val="auto"/>
              </w:rPr>
              <w:t>assessing  the  results  of  the  Company’s  most  recent  advisory  vote  on  executive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compensation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029335" cy="445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614A3D"/>
                <w:w w:val="97"/>
              </w:rPr>
              <w:t>Meetings</w:t>
            </w:r>
          </w:p>
        </w:tc>
        <w:tc>
          <w:tcPr>
            <w:tcW w:w="0" w:type="dxa"/>
            <w:vAlign w:val="bottom"/>
          </w:tcPr>
          <w:p>
            <w:pPr>
              <w:spacing w:after="0"/>
              <w:rPr>
                <w:sz w:val="1"/>
                <w:szCs w:val="1"/>
                <w:color w:val="auto"/>
              </w:rPr>
            </w:pPr>
          </w:p>
        </w:tc>
      </w:tr>
      <w:tr>
        <w:trPr>
          <w:trHeight w:val="235"/>
        </w:trPr>
        <w:tc>
          <w:tcPr>
            <w:tcW w:w="2640" w:type="dxa"/>
            <w:vAlign w:val="bottom"/>
            <w:gridSpan w:val="2"/>
          </w:tcPr>
          <w:p>
            <w:pPr>
              <w:spacing w:after="0"/>
              <w:rPr>
                <w:sz w:val="20"/>
                <w:szCs w:val="20"/>
                <w:color w:val="auto"/>
              </w:rPr>
            </w:pPr>
            <w:r>
              <w:rPr>
                <w:rFonts w:ascii="Arial" w:cs="Arial" w:eastAsia="Arial" w:hAnsi="Arial"/>
                <w:sz w:val="18"/>
                <w:szCs w:val="18"/>
                <w:b w:val="1"/>
                <w:bCs w:val="1"/>
                <w:color w:val="614A3D"/>
              </w:rPr>
              <w:t>Name and Members</w:t>
            </w:r>
          </w:p>
        </w:tc>
        <w:tc>
          <w:tcPr>
            <w:tcW w:w="540" w:type="dxa"/>
            <w:vAlign w:val="bottom"/>
          </w:tcPr>
          <w:p>
            <w:pPr>
              <w:spacing w:after="0"/>
              <w:rPr>
                <w:sz w:val="20"/>
                <w:szCs w:val="20"/>
                <w:color w:val="auto"/>
              </w:rPr>
            </w:pPr>
          </w:p>
        </w:tc>
        <w:tc>
          <w:tcPr>
            <w:tcW w:w="7320" w:type="dxa"/>
            <w:vAlign w:val="bottom"/>
          </w:tcPr>
          <w:p>
            <w:pPr>
              <w:ind w:left="60"/>
              <w:spacing w:after="0"/>
              <w:rPr>
                <w:sz w:val="20"/>
                <w:szCs w:val="20"/>
                <w:color w:val="auto"/>
              </w:rPr>
            </w:pPr>
            <w:r>
              <w:rPr>
                <w:rFonts w:ascii="Arial" w:cs="Arial" w:eastAsia="Arial" w:hAnsi="Arial"/>
                <w:sz w:val="18"/>
                <w:szCs w:val="18"/>
                <w:b w:val="1"/>
                <w:bCs w:val="1"/>
                <w:color w:val="614A3D"/>
              </w:rPr>
              <w:t>Responsibilities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614A3D"/>
                <w:w w:val="98"/>
              </w:rPr>
              <w:t>in 2014</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20" w:type="dxa"/>
            <w:vAlign w:val="bottom"/>
            <w:tcBorders>
              <w:top w:val="single" w:sz="8" w:color="auto"/>
            </w:tcBorders>
          </w:tcPr>
          <w:p>
            <w:pPr>
              <w:spacing w:after="0"/>
              <w:rPr>
                <w:sz w:val="23"/>
                <w:szCs w:val="23"/>
                <w:color w:val="auto"/>
              </w:rPr>
            </w:pPr>
          </w:p>
        </w:tc>
        <w:tc>
          <w:tcPr>
            <w:tcW w:w="7860" w:type="dxa"/>
            <w:vAlign w:val="bottom"/>
            <w:tcBorders>
              <w:top w:val="single" w:sz="8" w:color="auto"/>
            </w:tcBorders>
            <w:gridSpan w:val="2"/>
          </w:tcPr>
          <w:p>
            <w:pPr>
              <w:ind w:left="400"/>
              <w:spacing w:after="0"/>
              <w:rPr>
                <w:sz w:val="20"/>
                <w:szCs w:val="20"/>
                <w:color w:val="auto"/>
              </w:rPr>
            </w:pPr>
            <w:r>
              <w:rPr>
                <w:rFonts w:ascii="Arial" w:cs="Arial" w:eastAsia="Arial" w:hAnsi="Arial"/>
                <w:sz w:val="18"/>
                <w:szCs w:val="18"/>
                <w:color w:val="auto"/>
                <w:w w:val="99"/>
              </w:rPr>
              <w:t>•  appointing, approving the compensation and retention of, and overseeing any compensation</w:t>
            </w: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consultants or other advisors retained by the Compensation Committee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assessing whether the work of any compensation consultant has raised any conflict of</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interest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w w:val="99"/>
              </w:rPr>
              <w:t>•  annually evaluating the performance of the CEO of the Company, overseeing the evaluation</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of performance of the other officers of the Company and its operating subsidiaries, and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setting compensation for the CEO, other named executive officers, and other members of</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our most senior management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w w:val="99"/>
              </w:rPr>
              <w:t>•  reviewing and approving equity awards and supervising administrative functions pursuant to</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the Company’s equity plans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reviewing and approving any employment agreement between the Company (or any of its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subsidiaries) and any individual in which annual base salary is or exceeds $500,000,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regardless of position involved; all grants of equity compensation; bonuses for employees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with annual base salaries of $250,000 or greater; all bonuses in excess of 50% of base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Pr>
          <w:p>
            <w:pPr>
              <w:ind w:left="60"/>
              <w:spacing w:after="0" w:line="202" w:lineRule="exact"/>
              <w:rPr>
                <w:sz w:val="20"/>
                <w:szCs w:val="20"/>
                <w:color w:val="auto"/>
              </w:rPr>
            </w:pPr>
            <w:r>
              <w:rPr>
                <w:rFonts w:ascii="Arial" w:cs="Arial" w:eastAsia="Arial" w:hAnsi="Arial"/>
                <w:sz w:val="18"/>
                <w:szCs w:val="18"/>
                <w:color w:val="auto"/>
              </w:rPr>
              <w:t>salary (regardless of annual base salary amount) and the bonus pool for all bonuses to be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paid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reviewing and recommending to the full Board the type and amount of compensation for</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Board and Committee service by non-management members of the Board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w w:val="99"/>
              </w:rPr>
              <w:t>•  reviewing and discussing with management the Compensation Discussion and Analysis and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related disclosures in the Company’s proxy statement</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20" w:type="dxa"/>
            <w:vAlign w:val="bottom"/>
          </w:tcPr>
          <w:p>
            <w:pPr>
              <w:spacing w:after="0" w:line="179" w:lineRule="exact"/>
              <w:rPr>
                <w:sz w:val="20"/>
                <w:szCs w:val="20"/>
                <w:color w:val="auto"/>
              </w:rPr>
            </w:pPr>
            <w:r>
              <w:rPr>
                <w:rFonts w:ascii="Arial" w:cs="Arial" w:eastAsia="Arial" w:hAnsi="Arial"/>
                <w:sz w:val="18"/>
                <w:szCs w:val="18"/>
                <w:b w:val="1"/>
                <w:bCs w:val="1"/>
                <w:color w:val="auto"/>
              </w:rPr>
              <w:t>Nominating and Corporate</w:t>
            </w:r>
          </w:p>
        </w:tc>
        <w:tc>
          <w:tcPr>
            <w:tcW w:w="540" w:type="dxa"/>
            <w:vAlign w:val="bottom"/>
          </w:tcPr>
          <w:p>
            <w:pPr>
              <w:ind w:left="400"/>
              <w:spacing w:after="0" w:line="179" w:lineRule="exact"/>
              <w:rPr>
                <w:sz w:val="20"/>
                <w:szCs w:val="20"/>
                <w:color w:val="auto"/>
              </w:rPr>
            </w:pPr>
            <w:r>
              <w:rPr>
                <w:rFonts w:ascii="Arial" w:cs="Arial" w:eastAsia="Arial" w:hAnsi="Arial"/>
                <w:sz w:val="18"/>
                <w:szCs w:val="18"/>
                <w:color w:val="auto"/>
              </w:rPr>
              <w:t>•</w:t>
            </w:r>
          </w:p>
        </w:tc>
        <w:tc>
          <w:tcPr>
            <w:tcW w:w="7320" w:type="dxa"/>
            <w:vAlign w:val="bottom"/>
          </w:tcPr>
          <w:p>
            <w:pPr>
              <w:ind w:left="60"/>
              <w:spacing w:after="0" w:line="179" w:lineRule="exact"/>
              <w:rPr>
                <w:sz w:val="20"/>
                <w:szCs w:val="20"/>
                <w:color w:val="auto"/>
              </w:rPr>
            </w:pPr>
            <w:r>
              <w:rPr>
                <w:rFonts w:ascii="Arial" w:cs="Arial" w:eastAsia="Arial" w:hAnsi="Arial"/>
                <w:sz w:val="18"/>
                <w:szCs w:val="18"/>
                <w:color w:val="auto"/>
              </w:rPr>
              <w:t>identifying, evaluating and recommending candidates qualified to serve as directors of the</w:t>
            </w:r>
          </w:p>
        </w:tc>
        <w:tc>
          <w:tcPr>
            <w:tcW w:w="920" w:type="dxa"/>
            <w:vAlign w:val="bottom"/>
          </w:tcPr>
          <w:p>
            <w:pPr>
              <w:jc w:val="center"/>
              <w:spacing w:after="0" w:line="179"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5"/>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Governance Committee</w:t>
            </w:r>
          </w:p>
        </w:tc>
        <w:tc>
          <w:tcPr>
            <w:tcW w:w="540" w:type="dxa"/>
            <w:vAlign w:val="bottom"/>
          </w:tcPr>
          <w:p>
            <w:pPr>
              <w:spacing w:after="0"/>
              <w:rPr>
                <w:sz w:val="19"/>
                <w:szCs w:val="19"/>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Company</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rPr>
              <w:t>Dr. Ray Irani</w:t>
            </w:r>
          </w:p>
        </w:tc>
        <w:tc>
          <w:tcPr>
            <w:tcW w:w="7860" w:type="dxa"/>
            <w:vAlign w:val="bottom"/>
            <w:gridSpan w:val="2"/>
            <w:vMerge w:val="restart"/>
          </w:tcPr>
          <w:p>
            <w:pPr>
              <w:ind w:left="400"/>
              <w:spacing w:after="0"/>
              <w:rPr>
                <w:sz w:val="20"/>
                <w:szCs w:val="20"/>
                <w:color w:val="auto"/>
              </w:rPr>
            </w:pPr>
            <w:r>
              <w:rPr>
                <w:rFonts w:ascii="Arial" w:cs="Arial" w:eastAsia="Arial" w:hAnsi="Arial"/>
                <w:sz w:val="18"/>
                <w:szCs w:val="18"/>
                <w:color w:val="auto"/>
              </w:rPr>
              <w:t>•  assessing the qualifications and independence of Board members and making appropriate</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Robert J. Miller (Chairman)</w:t>
            </w:r>
          </w:p>
        </w:tc>
        <w:tc>
          <w:tcPr>
            <w:tcW w:w="78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7320" w:type="dxa"/>
            <w:vAlign w:val="bottom"/>
            <w:vMerge w:val="restart"/>
          </w:tcPr>
          <w:p>
            <w:pPr>
              <w:ind w:left="60"/>
              <w:spacing w:after="0"/>
              <w:rPr>
                <w:sz w:val="20"/>
                <w:szCs w:val="20"/>
                <w:color w:val="auto"/>
              </w:rPr>
            </w:pPr>
            <w:r>
              <w:rPr>
                <w:rFonts w:ascii="Arial" w:cs="Arial" w:eastAsia="Arial" w:hAnsi="Arial"/>
                <w:sz w:val="18"/>
                <w:szCs w:val="18"/>
                <w:color w:val="auto"/>
              </w:rPr>
              <w:t>recommendations to the Board</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J. Edward Virtue</w:t>
            </w:r>
          </w:p>
        </w:tc>
        <w:tc>
          <w:tcPr>
            <w:tcW w:w="540" w:type="dxa"/>
            <w:vAlign w:val="bottom"/>
          </w:tcPr>
          <w:p>
            <w:pPr>
              <w:spacing w:after="0"/>
              <w:rPr>
                <w:sz w:val="6"/>
                <w:szCs w:val="6"/>
                <w:color w:val="auto"/>
              </w:rPr>
            </w:pPr>
          </w:p>
        </w:tc>
        <w:tc>
          <w:tcPr>
            <w:tcW w:w="73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640" w:type="dxa"/>
            <w:vAlign w:val="bottom"/>
            <w:gridSpan w:val="2"/>
            <w:vMerge w:val="continue"/>
          </w:tcPr>
          <w:p>
            <w:pPr>
              <w:spacing w:after="0"/>
              <w:rPr>
                <w:sz w:val="11"/>
                <w:szCs w:val="11"/>
                <w:color w:val="auto"/>
              </w:rPr>
            </w:pPr>
          </w:p>
        </w:tc>
        <w:tc>
          <w:tcPr>
            <w:tcW w:w="54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7320" w:type="dxa"/>
            <w:vAlign w:val="bottom"/>
            <w:vMerge w:val="restart"/>
          </w:tcPr>
          <w:p>
            <w:pPr>
              <w:ind w:left="60"/>
              <w:spacing w:after="0"/>
              <w:rPr>
                <w:sz w:val="20"/>
                <w:szCs w:val="20"/>
                <w:color w:val="auto"/>
              </w:rPr>
            </w:pPr>
            <w:r>
              <w:rPr>
                <w:rFonts w:ascii="Arial" w:cs="Arial" w:eastAsia="Arial" w:hAnsi="Arial"/>
                <w:sz w:val="18"/>
                <w:szCs w:val="18"/>
                <w:color w:val="auto"/>
              </w:rPr>
              <w:t>evaluating the suitability of potential director nominees proposed by management or the</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D. Boone Wayson</w:t>
            </w:r>
          </w:p>
        </w:tc>
        <w:tc>
          <w:tcPr>
            <w:tcW w:w="540" w:type="dxa"/>
            <w:vAlign w:val="bottom"/>
            <w:vMerge w:val="continue"/>
          </w:tcPr>
          <w:p>
            <w:pPr>
              <w:spacing w:after="0"/>
              <w:rPr>
                <w:sz w:val="12"/>
                <w:szCs w:val="12"/>
                <w:color w:val="auto"/>
              </w:rPr>
            </w:pPr>
          </w:p>
        </w:tc>
        <w:tc>
          <w:tcPr>
            <w:tcW w:w="73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7320" w:type="dxa"/>
            <w:vAlign w:val="bottom"/>
            <w:vMerge w:val="restart"/>
          </w:tcPr>
          <w:p>
            <w:pPr>
              <w:ind w:left="60"/>
              <w:spacing w:after="0"/>
              <w:rPr>
                <w:sz w:val="20"/>
                <w:szCs w:val="20"/>
                <w:color w:val="auto"/>
              </w:rPr>
            </w:pPr>
            <w:r>
              <w:rPr>
                <w:rFonts w:ascii="Arial" w:cs="Arial" w:eastAsia="Arial" w:hAnsi="Arial"/>
                <w:sz w:val="18"/>
                <w:szCs w:val="18"/>
                <w:color w:val="auto"/>
              </w:rPr>
              <w:t>stockholders</w:t>
            </w: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3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reviewing and making recommendations regarding the composition of the Board and the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Board committees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860" w:type="dxa"/>
            <w:vAlign w:val="bottom"/>
            <w:gridSpan w:val="2"/>
          </w:tcPr>
          <w:p>
            <w:pPr>
              <w:ind w:left="400"/>
              <w:spacing w:after="0"/>
              <w:rPr>
                <w:sz w:val="20"/>
                <w:szCs w:val="20"/>
                <w:color w:val="auto"/>
              </w:rPr>
            </w:pPr>
            <w:r>
              <w:rPr>
                <w:rFonts w:ascii="Arial" w:cs="Arial" w:eastAsia="Arial" w:hAnsi="Arial"/>
                <w:sz w:val="18"/>
                <w:szCs w:val="18"/>
                <w:color w:val="auto"/>
              </w:rPr>
              <w:t>•  reviewing and making recommendations regarding the Board’s leadership structure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developing and recommending to the Board a set of corporate governance guidelines</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applicable to the Company and overseeing corporate governance matters generally</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40" w:type="dxa"/>
            <w:vAlign w:val="bottom"/>
          </w:tcPr>
          <w:p>
            <w:pPr>
              <w:ind w:left="400"/>
              <w:spacing w:after="0"/>
              <w:rPr>
                <w:sz w:val="20"/>
                <w:szCs w:val="20"/>
                <w:color w:val="auto"/>
              </w:rPr>
            </w:pPr>
            <w:r>
              <w:rPr>
                <w:rFonts w:ascii="Arial" w:cs="Arial" w:eastAsia="Arial" w:hAnsi="Arial"/>
                <w:sz w:val="18"/>
                <w:szCs w:val="18"/>
                <w:color w:val="auto"/>
              </w:rPr>
              <w:t>•</w:t>
            </w:r>
          </w:p>
        </w:tc>
        <w:tc>
          <w:tcPr>
            <w:tcW w:w="7320" w:type="dxa"/>
            <w:vAlign w:val="bottom"/>
          </w:tcPr>
          <w:p>
            <w:pPr>
              <w:ind w:left="60"/>
              <w:spacing w:after="0"/>
              <w:rPr>
                <w:sz w:val="20"/>
                <w:szCs w:val="20"/>
                <w:color w:val="auto"/>
              </w:rPr>
            </w:pPr>
            <w:r>
              <w:rPr>
                <w:rFonts w:ascii="Arial" w:cs="Arial" w:eastAsia="Arial" w:hAnsi="Arial"/>
                <w:sz w:val="18"/>
                <w:szCs w:val="18"/>
                <w:color w:val="auto"/>
              </w:rPr>
              <w:t>overseeing and, as it determines appropriate, designating directors to participate in the</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20" w:type="dxa"/>
            <w:vAlign w:val="bottom"/>
          </w:tcPr>
          <w:p>
            <w:pPr>
              <w:ind w:left="60"/>
              <w:spacing w:after="0"/>
              <w:rPr>
                <w:sz w:val="20"/>
                <w:szCs w:val="20"/>
                <w:color w:val="auto"/>
              </w:rPr>
            </w:pPr>
            <w:r>
              <w:rPr>
                <w:rFonts w:ascii="Arial" w:cs="Arial" w:eastAsia="Arial" w:hAnsi="Arial"/>
                <w:sz w:val="18"/>
                <w:szCs w:val="18"/>
                <w:color w:val="auto"/>
              </w:rPr>
              <w:t>Company’s engagement with stockholders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40" w:right="1020" w:hanging="199"/>
        <w:spacing w:after="0" w:line="239" w:lineRule="auto"/>
        <w:tabs>
          <w:tab w:leader="none" w:pos="3220" w:val="left"/>
        </w:tabs>
        <w:rPr>
          <w:sz w:val="20"/>
          <w:szCs w:val="20"/>
          <w:color w:val="auto"/>
        </w:rPr>
      </w:pPr>
      <w:r>
        <w:rPr>
          <w:rFonts w:ascii="Arial" w:cs="Arial" w:eastAsia="Arial" w:hAnsi="Arial"/>
          <w:sz w:val="18"/>
          <w:szCs w:val="18"/>
          <w:color w:val="auto"/>
        </w:rPr>
        <w:t>•</w:t>
        <w:tab/>
        <w:t>overseeing the annual evaluation of the Board as a whole and the standing committees of the Board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Corporate Compliance Committee</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accordance with Nevada gaming laws, the Company has a Compliance Committee. The purpose of this committee is to assist the Company in maintaining the highest level of regulatory compliance. In his role as a director, Governor Miller currently serves as the Chairman of this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Nominating Procedures and Diversity</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Nominating and Corporate Governance Committee (the “Nominating Committee”) seeks to have the Board represent a diversity of backgrounds and experience and assesses potential nominees in light of the Board’s current size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composition. The Nominating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 and ethical conduct in both his or her professional and personal activities. The Nominating Committee may, from time to time, develop and recommend additional criteria for identifying and evaluating director candidates. In addition, the Nominating Committee examines a candidate’s other commitments, potential conflicts of interest and independence from management and the Company.</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Nominating Committee implements its policy with regard to considering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Nominating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Nominating Committee identifies potential nominees by asking current directors and executive officers to notify the Nominating Committee if they become aware of persons meeting the criteria described above who might be available to serve on the Board. The Nominating Committee will also consider director candidates recommended by stockholders on the same basis as it considers all other candidates. In considering such candidates, the Nominating Committee will take into consideration the Board’s current size and composition, needs of the Board, including the skills and experience of existing directors and the qualifications of the candidate. To have a candidate considered by the Nominating Committee, a stockholder must comply with all applicable provisions of the Bylaws, must submit the recommendation in writing and must include the following information:</w:t>
      </w:r>
    </w:p>
    <w:p>
      <w:pPr>
        <w:spacing w:after="0" w:line="196" w:lineRule="exact"/>
        <w:rPr>
          <w:sz w:val="20"/>
          <w:szCs w:val="20"/>
          <w:color w:val="auto"/>
        </w:rPr>
      </w:pPr>
    </w:p>
    <w:p>
      <w:pPr>
        <w:ind w:left="880" w:hanging="426"/>
        <w:spacing w:after="0" w:line="239"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stockholder and evidence of the stockholder’s ownership of Company stock, including the number of shares owned and the length of time of ownership; and</w:t>
      </w:r>
    </w:p>
    <w:p>
      <w:pPr>
        <w:spacing w:after="0" w:line="73" w:lineRule="exact"/>
        <w:rPr>
          <w:rFonts w:ascii="Arial" w:cs="Arial" w:eastAsia="Arial" w:hAnsi="Arial"/>
          <w:sz w:val="18"/>
          <w:szCs w:val="18"/>
          <w:color w:val="auto"/>
        </w:rPr>
      </w:pPr>
    </w:p>
    <w:p>
      <w:pPr>
        <w:ind w:left="880" w:hanging="426"/>
        <w:spacing w:after="0" w:line="239"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candidate, the candidate’s resume or a listing of his or her qualifications to be a director of the Company, and the person’s consent to be named as a director if selected by the Nominating Committee and nominated by the Board.</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stockholder recommendation and information described above must be sent to Wynn Resorts, Limited, c/o Corporate Secretary at 3131 Las Vegas Boulevard South, Las Vegas, Nevada 89109 and must be received by the Corporate Secretary not later than the close of business on the 90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Company’s most recent Annual Meeting of Stockholders and not earlier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such anniversary.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the Nominating Committee determines to pursue consideration of a person who has been identified as a potential candidate, the Nominating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Nominating Committee’s evaluation process takes into account the person’s accomplishments and qualifications, including in comparison to any other candidates that the Nominating Committee might be considering and does not vary based on whether or not a candidate is recommended by a stockholder.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sets all elements of compensation for our named executive officers based upon consideration of their contributions to the development and operating performance of the Company, and is primarily responsible for monitoring risks relating to the Company’s compensation policies and practices to determine whether they create risks that may have a material adverse effect on the Company. The Compensation Committee considers the recommendations of the CEO in establishing compensation for all named executive officers, other than the CEO. The CEO is not present during the voting or deliberations regarding his compensation. In addition, the CEO performs annual reviews of all of our senior management and makes recommendations to the Compensation Committee. The Compensation Committee reviews the recommendations and makes final decisions regarding compensation for members of our most senior management. The Compensation Committee has the authority to retain compensation consulting firms exclusively to assist it in the evaluation of executive officer and employee compensation and benefit programs. Since 2011, the Compensation Committee has retained Pay Governance LLC, a nationally recognized independent compensation consulting firm, to assist in performing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duties. Pay Governance does not provide services to the Company other than through the advice on director and executive compensation that it provides the Compensation Committee. In 2014, Pay Governance advised the Compensation Committee with respect to compensation trends and best practices, competitive pay levels, equity grant practices and competitive levels, peer group benchmarking and proxy disclosure, which the Compensation Committee considered in implementing the changes discussed in the “Compensation Discussion and Analysis” beginning on page</w:t>
      </w:r>
    </w:p>
    <w:p>
      <w:pPr>
        <w:spacing w:after="0" w:line="1" w:lineRule="exact"/>
        <w:rPr>
          <w:sz w:val="20"/>
          <w:szCs w:val="20"/>
          <w:color w:val="auto"/>
        </w:rPr>
      </w:pPr>
    </w:p>
    <w:p>
      <w:pPr>
        <w:ind w:firstLine="8"/>
        <w:spacing w:after="0" w:line="239" w:lineRule="auto"/>
        <w:tabs>
          <w:tab w:leader="none" w:pos="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Compensation Committee retains sole responsibility for engaging any advisor and meets with its advisor, as needed, in the Compensation Committee’s sole discretion.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Governance Measures</w:t>
      </w:r>
    </w:p>
    <w:p>
      <w:pPr>
        <w:spacing w:after="0" w:line="1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 xml:space="preserve">Director Resignation Policy. </w:t>
      </w:r>
      <w:r>
        <w:rPr>
          <w:rFonts w:ascii="Arial" w:cs="Arial" w:eastAsia="Arial" w:hAnsi="Arial"/>
          <w:sz w:val="16"/>
          <w:szCs w:val="16"/>
          <w:color w:val="auto"/>
        </w:rPr>
        <w:t>In 2013, the Board implemented a Director Resignation Policy. Under this policy, if any director in an uncontested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 does not receive over 50% of the votes cast, meaning that the director receives more “withhold” votes than “for” votes, such director is required to tender his or her resignation to the Chairman of the Board within five days of the election. The members of the Board (other than the affected director) then have the discretion to accept the resignation or not and the affected director must abide by the Board’s decision.</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Stock Ownership Guidelines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rigorous Stock Ownership Guidelines which are applicable to members of the Board and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Company’s senior corporate officers. The Guidelines require that (i) members of the Board achieve ownership of an amount of Common Stock of the Company for which the fair market value equals or exceeds three times such director’s annual cash retainer, (ii) the Company’s Chief Executive Officer achieve ownership of an amount of Common Stock of the Company for which the fair market value of Common Stock owned equals or exceeds ten times his base salary, and (iii) each of the Company’s Chief Operating Officer, Chief Financial Officer and any Executive Vice President achieve ownership of an amount of Common Stock of the Company for which the fair market value of Common Stock owned equals or exceeds three times such officer’s base salary. 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Nominating Committee for consideration. Currently, all members of the Board and all senior corporate officers satisfy the guidelines.</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Policy Regarding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Company’s Trading Policy, our directors and executive officers are prohibited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in speculative transactions in Company securities, such as trading in puts and calls, or selling securities short, and from all hedging and prospectively pledging of Company securities as collateral for a loan, including by holding the securities in a margin account and obtaining a loan or other margin credit under such account, unless approved in advance by the Board.</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Director Education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our Corporate Governance Guidelines, all of our directors are expected to maintain the necessary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to perform their responsibilities as directors. The directors of Wynn Macau, Limited participate in the Company’s regular compliance training program with the most recent training session held in March 2014, and as of February 2015, directors of the Company participated in our annual compliance training conducted by the Company’s outside counsel.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 Interlocks and Insider Participation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members of the Compensation Committee are appointed by the Board each year. The members of the Compensation Committee that served in 2014 were Messrs. Hagenbuch, Irani, Shoemaker and Virtue.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Communications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Stockholders who wish to communicate with the Board or any particular director, including the independent Presiding Director, or with any committee of the Board, including the chair of any Committee, may do so by writing to the following address: Wynn Resorts, Limited, c/o Corporate Secretary, 3131 Las Vegas Boulevard South, Las Vegas, Nevada 89109.</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-81280</wp:posOffset>
            </wp:positionV>
            <wp:extent cx="13722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not employees of the Company currently receive fees for service on the Board and Committees as follows:</w:t>
      </w:r>
    </w:p>
    <w:p>
      <w:pPr>
        <w:spacing w:after="0" w:line="175" w:lineRule="exact"/>
        <w:rPr>
          <w:sz w:val="20"/>
          <w:szCs w:val="20"/>
          <w:color w:val="auto"/>
        </w:rPr>
      </w:pPr>
    </w:p>
    <w:tbl>
      <w:tblPr>
        <w:tblLayout w:type="fixed"/>
        <w:tblInd w:w="310" w:type="dxa"/>
        <w:tblCellMar>
          <w:top w:w="0" w:type="dxa"/>
          <w:left w:w="0" w:type="dxa"/>
          <w:bottom w:w="0" w:type="dxa"/>
          <w:right w:w="0" w:type="dxa"/>
        </w:tblCellMar>
      </w:tblPr>
      <w:tr>
        <w:trPr>
          <w:trHeight w:val="216"/>
        </w:trPr>
        <w:tc>
          <w:tcPr>
            <w:tcW w:w="53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Board Service</w:t>
            </w:r>
          </w:p>
        </w:tc>
        <w:tc>
          <w:tcPr>
            <w:tcW w:w="55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Monthly fee of $5,000</w:t>
            </w:r>
          </w:p>
        </w:tc>
      </w:tr>
      <w:tr>
        <w:trPr>
          <w:trHeight w:val="199"/>
        </w:trPr>
        <w:tc>
          <w:tcPr>
            <w:tcW w:w="5340" w:type="dxa"/>
            <w:vAlign w:val="bottom"/>
            <w:tcBorders>
              <w:left w:val="single" w:sz="8" w:color="auto"/>
              <w:right w:val="single" w:sz="8" w:color="auto"/>
            </w:tcBorders>
          </w:tcPr>
          <w:p>
            <w:pPr>
              <w:ind w:left="120"/>
              <w:spacing w:after="0" w:line="200" w:lineRule="exact"/>
              <w:rPr>
                <w:sz w:val="20"/>
                <w:szCs w:val="20"/>
                <w:color w:val="auto"/>
              </w:rPr>
            </w:pPr>
            <w:r>
              <w:rPr>
                <w:rFonts w:ascii="Arial" w:cs="Arial" w:eastAsia="Arial" w:hAnsi="Arial"/>
                <w:sz w:val="18"/>
                <w:szCs w:val="18"/>
                <w:color w:val="auto"/>
              </w:rPr>
              <w:t>Audit Committee Service</w:t>
            </w:r>
          </w:p>
        </w:tc>
        <w:tc>
          <w:tcPr>
            <w:tcW w:w="5520" w:type="dxa"/>
            <w:vAlign w:val="bottom"/>
            <w:tcBorders>
              <w:right w:val="single" w:sz="8" w:color="auto"/>
            </w:tcBorders>
          </w:tcPr>
          <w:p>
            <w:pPr>
              <w:ind w:left="420"/>
              <w:spacing w:after="0" w:line="200" w:lineRule="exact"/>
              <w:rPr>
                <w:sz w:val="20"/>
                <w:szCs w:val="20"/>
                <w:color w:val="auto"/>
              </w:rPr>
            </w:pPr>
            <w:r>
              <w:rPr>
                <w:rFonts w:ascii="Arial" w:cs="Arial" w:eastAsia="Arial" w:hAnsi="Arial"/>
                <w:sz w:val="18"/>
                <w:szCs w:val="18"/>
                <w:color w:val="auto"/>
              </w:rPr>
              <w:t>•  Member monthly fee of $1,250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Chairman monthly fee of $2,500</w:t>
            </w:r>
          </w:p>
        </w:tc>
      </w:tr>
      <w:tr>
        <w:trPr>
          <w:trHeight w:val="200"/>
        </w:trPr>
        <w:tc>
          <w:tcPr>
            <w:tcW w:w="53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Compensation Committee Service</w:t>
            </w:r>
          </w:p>
        </w:tc>
        <w:tc>
          <w:tcPr>
            <w:tcW w:w="5520" w:type="dxa"/>
            <w:vAlign w:val="bottom"/>
            <w:tcBorders>
              <w:right w:val="single" w:sz="8" w:color="auto"/>
            </w:tcBorders>
          </w:tcPr>
          <w:p>
            <w:pPr>
              <w:ind w:left="420"/>
              <w:spacing w:after="0" w:line="201" w:lineRule="exact"/>
              <w:rPr>
                <w:sz w:val="20"/>
                <w:szCs w:val="20"/>
                <w:color w:val="auto"/>
              </w:rPr>
            </w:pPr>
            <w:r>
              <w:rPr>
                <w:rFonts w:ascii="Arial" w:cs="Arial" w:eastAsia="Arial" w:hAnsi="Arial"/>
                <w:sz w:val="18"/>
                <w:szCs w:val="18"/>
                <w:color w:val="auto"/>
              </w:rPr>
              <w:t>•  Member monthly fee of $1,000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Chairman monthly fee of $2,000</w:t>
            </w:r>
          </w:p>
        </w:tc>
      </w:tr>
      <w:tr>
        <w:trPr>
          <w:trHeight w:val="200"/>
        </w:trPr>
        <w:tc>
          <w:tcPr>
            <w:tcW w:w="53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Nominating and Corporate Governance Committee Service</w:t>
            </w:r>
          </w:p>
        </w:tc>
        <w:tc>
          <w:tcPr>
            <w:tcW w:w="5520" w:type="dxa"/>
            <w:vAlign w:val="bottom"/>
            <w:tcBorders>
              <w:right w:val="single" w:sz="8" w:color="auto"/>
            </w:tcBorders>
          </w:tcPr>
          <w:p>
            <w:pPr>
              <w:ind w:left="420"/>
              <w:spacing w:after="0" w:line="201" w:lineRule="exact"/>
              <w:rPr>
                <w:sz w:val="20"/>
                <w:szCs w:val="20"/>
                <w:color w:val="auto"/>
              </w:rPr>
            </w:pPr>
            <w:r>
              <w:rPr>
                <w:rFonts w:ascii="Arial" w:cs="Arial" w:eastAsia="Arial" w:hAnsi="Arial"/>
                <w:sz w:val="18"/>
                <w:szCs w:val="18"/>
                <w:color w:val="auto"/>
              </w:rPr>
              <w:t>•  Member monthly fee of $1,000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55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Chairman monthly fee of $2,000</w:t>
            </w:r>
          </w:p>
        </w:tc>
      </w:tr>
    </w:tbl>
    <w:p>
      <w:pPr>
        <w:spacing w:after="0" w:line="16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non-employee director also receives a $1,500 meeting fee for each Board or Committee meeting he or she attends. Non-employee directors (other than Ms. Elaine P. Wynn) are also granted annual equity awards in the form of stock options or restricted stock determined annually at a meeting of the Board, which for 2014, consisted of a grant of 4,300 stock options that vest 25% per year, over four years, commencing May 15, 2015. The Chairman of the Company’s Corporate Compliance Committee receives an annual retainer of $70,000. Beginning in 2014, the independent Presiding Director also receives an annual retainer of $50,000. All directors are provided complimentary room, food and beverage privileges at our properties and are reimbursed for any other out of pocket expenses related to their attendance at Board or Committee meetings. Directors from time to time may receive other benefits, although the aggregate incremental cost of any such benefits and perquisites did not exceed $10,000 for any director in 2014. The Company does not provide non-equity incentive plan awards or deferred compensation or retirement plans for non-employee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Non-Employee Director Compensation Table</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jc w:val="right"/>
              <w:ind w:right="452"/>
              <w:spacing w:after="0"/>
              <w:rPr>
                <w:sz w:val="20"/>
                <w:szCs w:val="20"/>
                <w:color w:val="auto"/>
              </w:rPr>
            </w:pPr>
            <w:r>
              <w:rPr>
                <w:rFonts w:ascii="Arial" w:cs="Arial" w:eastAsia="Arial" w:hAnsi="Arial"/>
                <w:sz w:val="18"/>
                <w:szCs w:val="18"/>
                <w:b w:val="1"/>
                <w:bCs w:val="1"/>
                <w:color w:val="614A3D"/>
              </w:rPr>
              <w:t>Fees</w:t>
            </w:r>
          </w:p>
        </w:tc>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3300" w:type="dxa"/>
            <w:vAlign w:val="bottom"/>
          </w:tcPr>
          <w:p>
            <w:pPr>
              <w:spacing w:after="0"/>
              <w:rPr>
                <w:sz w:val="17"/>
                <w:szCs w:val="17"/>
                <w:color w:val="auto"/>
              </w:rPr>
            </w:pPr>
          </w:p>
        </w:tc>
        <w:tc>
          <w:tcPr>
            <w:tcW w:w="3360" w:type="dxa"/>
            <w:vAlign w:val="bottom"/>
            <w:gridSpan w:val="2"/>
          </w:tcPr>
          <w:p>
            <w:pPr>
              <w:jc w:val="right"/>
              <w:ind w:right="452"/>
              <w:spacing w:after="0" w:line="202" w:lineRule="exact"/>
              <w:rPr>
                <w:sz w:val="20"/>
                <w:szCs w:val="20"/>
                <w:color w:val="auto"/>
              </w:rPr>
            </w:pPr>
            <w:r>
              <w:rPr>
                <w:rFonts w:ascii="Arial" w:cs="Arial" w:eastAsia="Arial" w:hAnsi="Arial"/>
                <w:sz w:val="18"/>
                <w:szCs w:val="18"/>
                <w:b w:val="1"/>
                <w:bCs w:val="1"/>
                <w:color w:val="614A3D"/>
              </w:rPr>
              <w:t>Earned or</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Option</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All Other</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3360" w:type="dxa"/>
            <w:vAlign w:val="bottom"/>
            <w:gridSpan w:val="2"/>
          </w:tcPr>
          <w:p>
            <w:pPr>
              <w:jc w:val="right"/>
              <w:ind w:right="452"/>
              <w:spacing w:after="0" w:line="202" w:lineRule="exact"/>
              <w:rPr>
                <w:sz w:val="20"/>
                <w:szCs w:val="20"/>
                <w:color w:val="auto"/>
              </w:rPr>
            </w:pPr>
            <w:r>
              <w:rPr>
                <w:rFonts w:ascii="Arial" w:cs="Arial" w:eastAsia="Arial" w:hAnsi="Arial"/>
                <w:sz w:val="18"/>
                <w:szCs w:val="18"/>
                <w:b w:val="1"/>
                <w:bCs w:val="1"/>
                <w:color w:val="614A3D"/>
              </w:rPr>
              <w:t>Paid in Cash</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Awards</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Compensation</w:t>
            </w:r>
          </w:p>
        </w:tc>
        <w:tc>
          <w:tcPr>
            <w:tcW w:w="4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Total</w:t>
            </w:r>
          </w:p>
        </w:tc>
      </w:tr>
      <w:tr>
        <w:trPr>
          <w:trHeight w:val="23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2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614A3D"/>
              </w:rPr>
              <w:t>($)</w:t>
            </w:r>
          </w:p>
        </w:tc>
        <w:tc>
          <w:tcPr>
            <w:tcW w:w="1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(1)(2)</w:t>
            </w:r>
          </w:p>
        </w:tc>
        <w:tc>
          <w:tcPr>
            <w:tcW w:w="1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199"/>
        </w:trPr>
        <w:tc>
          <w:tcPr>
            <w:tcW w:w="3300" w:type="dxa"/>
            <w:vAlign w:val="bottom"/>
          </w:tcPr>
          <w:p>
            <w:pPr>
              <w:spacing w:after="0" w:line="200" w:lineRule="exact"/>
              <w:rPr>
                <w:sz w:val="20"/>
                <w:szCs w:val="20"/>
                <w:color w:val="auto"/>
              </w:rPr>
            </w:pPr>
            <w:r>
              <w:rPr>
                <w:rFonts w:ascii="Arial" w:cs="Arial" w:eastAsia="Arial" w:hAnsi="Arial"/>
                <w:sz w:val="18"/>
                <w:szCs w:val="18"/>
                <w:color w:val="auto"/>
              </w:rPr>
              <w:t>John J. Hagenbuch</w:t>
            </w:r>
          </w:p>
        </w:tc>
        <w:tc>
          <w:tcPr>
            <w:tcW w:w="2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0" w:lineRule="exact"/>
              <w:rPr>
                <w:sz w:val="20"/>
                <w:szCs w:val="20"/>
                <w:color w:val="auto"/>
              </w:rPr>
            </w:pPr>
            <w:r>
              <w:rPr>
                <w:rFonts w:ascii="Arial" w:cs="Arial" w:eastAsia="Arial" w:hAnsi="Arial"/>
                <w:sz w:val="18"/>
                <w:szCs w:val="18"/>
                <w:color w:val="auto"/>
                <w:w w:val="95"/>
              </w:rPr>
              <w:t>124,500</w:t>
            </w:r>
          </w:p>
        </w:tc>
        <w:tc>
          <w:tcPr>
            <w:tcW w:w="164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5"/>
              </w:rPr>
              <w:t>374,029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Dr. Ray R. Irani</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111,000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360,529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i w:val="1"/>
                <w:iCs w:val="1"/>
                <w:color w:val="auto"/>
              </w:rPr>
              <w:t>(3)</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256,500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506,029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Alvin V. Shoemaker</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123,000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372,529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J. Edward Virtue</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123,000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372,529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D. Boone Wayson</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5"/>
              </w:rPr>
              <w:t>139,500</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$249,529</w:t>
            </w:r>
          </w:p>
        </w:tc>
        <w:tc>
          <w:tcPr>
            <w:tcW w:w="1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389,029</w:t>
            </w:r>
          </w:p>
        </w:tc>
      </w:tr>
      <w:tr>
        <w:trPr>
          <w:trHeight w:val="211"/>
        </w:trPr>
        <w:tc>
          <w:tcPr>
            <w:tcW w:w="3300" w:type="dxa"/>
            <w:vAlign w:val="bottom"/>
          </w:tcPr>
          <w:p>
            <w:pPr>
              <w:spacing w:after="0"/>
              <w:rPr>
                <w:sz w:val="20"/>
                <w:szCs w:val="20"/>
                <w:color w:val="auto"/>
              </w:rPr>
            </w:pPr>
            <w:r>
              <w:rPr>
                <w:rFonts w:ascii="Arial" w:cs="Arial" w:eastAsia="Arial" w:hAnsi="Arial"/>
                <w:sz w:val="18"/>
                <w:szCs w:val="18"/>
                <w:color w:val="auto"/>
              </w:rPr>
              <w:t>Elaine P. Wynn</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52"/>
              <w:spacing w:after="0"/>
              <w:rPr>
                <w:sz w:val="20"/>
                <w:szCs w:val="20"/>
                <w:color w:val="auto"/>
              </w:rPr>
            </w:pPr>
            <w:r>
              <w:rPr>
                <w:rFonts w:ascii="Arial" w:cs="Arial" w:eastAsia="Arial" w:hAnsi="Arial"/>
                <w:sz w:val="18"/>
                <w:szCs w:val="18"/>
                <w:color w:val="auto"/>
              </w:rPr>
              <w:t>72,000</w:t>
            </w:r>
          </w:p>
        </w:tc>
        <w:tc>
          <w:tcPr>
            <w:tcW w:w="16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72,000</w:t>
            </w: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1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4,300 stock option awards granted to Messrs. Hagenbuch, Irani, Miller, Shoemaker, Virtue and Wayson, on May 15, 2014. Ms. Elaine P. Wynn did not receive any awards. See our Annual Report on Form 10-K for the year ended December 31, 2014, Item 8, Note 15—“Stock-Based Compensation”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ind w:left="340" w:right="2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The aggregate number of outstanding option awards held by each director at December 31, 2014, is as follows: Dr. Irani and Mr. Shoemaker 46,890 each, Governor Miller and Mr. Wayson 36,890 each, Mr. Hagenbuch and Mr. Virtue 20,600.</w:t>
      </w:r>
    </w:p>
    <w:p>
      <w:pPr>
        <w:ind w:left="340" w:hanging="332"/>
        <w:spacing w:after="0" w:line="180" w:lineRule="auto"/>
        <w:tabs>
          <w:tab w:leader="none" w:pos="340" w:val="left"/>
        </w:tabs>
        <w:numPr>
          <w:ilvl w:val="0"/>
          <w:numId w:val="1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Governor Miller, as a member of the Board, receives a $70,000 annual retainer for his service as the Chairman of the Company’s Compliance Committee and the Company’s Compliance Director. On February 27, 2014, the Board acted to combine these roles under one annual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-81280</wp:posOffset>
            </wp:positionV>
            <wp:extent cx="13722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February 28, 2015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614A3D"/>
              </w:rPr>
              <w:t>Age</w:t>
            </w:r>
          </w:p>
        </w:tc>
        <w:tc>
          <w:tcPr>
            <w:tcW w:w="7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614A3D"/>
              </w:rPr>
              <w:t>Position</w:t>
            </w:r>
          </w:p>
        </w:tc>
      </w:tr>
      <w:tr>
        <w:trPr>
          <w:trHeight w:val="199"/>
        </w:trPr>
        <w:tc>
          <w:tcPr>
            <w:tcW w:w="214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136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73</w:t>
            </w:r>
          </w:p>
        </w:tc>
        <w:tc>
          <w:tcPr>
            <w:tcW w:w="7920" w:type="dxa"/>
            <w:vAlign w:val="bottom"/>
          </w:tcPr>
          <w:p>
            <w:pPr>
              <w:ind w:left="280"/>
              <w:spacing w:after="0" w:line="200" w:lineRule="exact"/>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39</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President</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46</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Senior Vice President, Chief Financial Officer and Treasurer</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48</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President of Wynn International Marketing, Limited</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54</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Executive Vice President, General Counsel and Secretary</w:t>
            </w:r>
          </w:p>
        </w:tc>
      </w:tr>
      <w:tr>
        <w:trPr>
          <w:trHeight w:val="211"/>
        </w:trPr>
        <w:tc>
          <w:tcPr>
            <w:tcW w:w="2140" w:type="dxa"/>
            <w:vAlign w:val="bottom"/>
          </w:tcPr>
          <w:p>
            <w:pPr>
              <w:spacing w:after="0"/>
              <w:rPr>
                <w:sz w:val="20"/>
                <w:szCs w:val="20"/>
                <w:color w:val="auto"/>
              </w:rPr>
            </w:pPr>
            <w:r>
              <w:rPr>
                <w:rFonts w:ascii="Arial" w:cs="Arial" w:eastAsia="Arial" w:hAnsi="Arial"/>
                <w:sz w:val="18"/>
                <w:szCs w:val="18"/>
                <w:color w:val="auto"/>
              </w:rPr>
              <w:t>John Strzemp</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63</w:t>
            </w:r>
          </w:p>
        </w:tc>
        <w:tc>
          <w:tcPr>
            <w:tcW w:w="7920" w:type="dxa"/>
            <w:vAlign w:val="bottom"/>
          </w:tcPr>
          <w:p>
            <w:pPr>
              <w:ind w:left="280"/>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appointed by the Board and serve at the discretion of the Board, subject to applicable employment agreements.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Non-Director Executive Biographies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Matt Maddox</w:t>
      </w:r>
      <w:r>
        <w:rPr>
          <w:rFonts w:ascii="Arial" w:cs="Arial" w:eastAsia="Arial" w:hAnsi="Arial"/>
          <w:sz w:val="18"/>
          <w:szCs w:val="18"/>
          <w:color w:val="auto"/>
        </w:rPr>
        <w:t>. Mr. Maddox is the Company’s President, a position he has held since November 2013. Mr. Maddox has been a Non-Executive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Wynn Macau, Limited, a majority owned subsidiary of the Company, since March 2013. From March 2008 to May 2014, Mr. Maddox was the Company’s Chief Financial Officer. Since joining Wynn Resorts in 2002, Mr. Maddox has served as the Company’s Senior Vice President of Business Development and Treasurer, as the Senior Vice President of Business Development for Wynn Las Vegas, LLC, as the Chief Financial Officer of Wynn Resorts (Macau), S.A., and as the Company’s Treasurer and Vice President—Investor Relations. Mr. Maddox also serves as an officer of several of the Company’s subsidiaries. Prior to joining Wynn Resorts in 2002, Mr. Maddox worked in Corporate Finance for Caesars Entertainment, Inc. (formerly Park Place Entertainment, Inc.). Before joining Park Place Entertainment, Mr. Maddox worked as an investment banker for Bank of America Securities in the Mergers and Acquisitions Department.</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Stephen Cootey. </w:t>
      </w:r>
      <w:r>
        <w:rPr>
          <w:rFonts w:ascii="Arial" w:cs="Arial" w:eastAsia="Arial" w:hAnsi="Arial"/>
          <w:sz w:val="16"/>
          <w:szCs w:val="16"/>
          <w:color w:val="auto"/>
        </w:rPr>
        <w:t>Mr. Cootey is the Company’s Chief Financial Officer, Senior Vice President and Treasurer. Before Mr. Cootey was promoted to</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effective as of May 16, 2014, he had served as the Company’s Treasurer since February 2014, and was the Company’s Senior Vice President – Finance from January 2014 to May 2014. Prior to joining the Company, Mr. Cootey served as Senior Vice President – Corporate Finance for Las Vegas Sands Corporation from March 2012 to December 2013, and Vice President – Corporate Finance from October 2009 to March 2012. From June 2004 to October 2009, Mr. Cootey was Partner and Senior Research Analyst with Prides Capital, LLC.</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Linda Chen. </w:t>
      </w:r>
      <w:r>
        <w:rPr>
          <w:rFonts w:ascii="Arial" w:cs="Arial" w:eastAsia="Arial" w:hAnsi="Arial"/>
          <w:sz w:val="18"/>
          <w:szCs w:val="18"/>
          <w:color w:val="auto"/>
        </w:rPr>
        <w:t>Ms. Chen has been an Executive Director and Chief Operating Officer of Wynn Macau, Limited, a majority owned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September 2009. Ms. Chen serves as the President of Wynn International Marketing, Limited, a wholly owned indirect subsidiary of the Company,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 Ms. Chen served on the Board of Directors of the Company from October 2007 to December 2012.</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Kim Sinatra</w:t>
      </w:r>
      <w:r>
        <w:rPr>
          <w:rFonts w:ascii="Arial" w:cs="Arial" w:eastAsia="Arial" w:hAnsi="Arial"/>
          <w:sz w:val="16"/>
          <w:szCs w:val="16"/>
          <w:color w:val="auto"/>
        </w:rPr>
        <w:t>. Ms. Sinatra is the Executive Vice President, General Counsel and Secretary of the Company, a position she has held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2006. She joined the Company in January 2004 as Senior Vice President and General Counsel of its development activities. She also serves as an officer of several of the Company’s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is the Executive Vice President and Chief Administrative Officer of the Company. Prior to his promotion in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2008, Mr. Strzemp served as Executive Vice President and Chief Financial Officer of the Company, positions he held since September 2002. Mr. Strzemp served as the Company’s Treasurer from March 2003 to March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-81280</wp:posOffset>
            </wp:positionV>
            <wp:extent cx="13722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Certain Beneficial Ownership and Management</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table sets forth, as of February 13, 2015, (unless otherwise indicated),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 Each stockholder’s percentage is based on 101,525,639 shares of Common Stock outstanding as of February 13, 2015, and treating as outstanding all options held by that stockholder and exercisable within 60 days of February 13,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40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614A3D"/>
              </w:rPr>
              <w:t xml:space="preserve">Beneficial Ownership Of Shares </w:t>
            </w:r>
            <w:r>
              <w:rPr>
                <w:rFonts w:ascii="Arial" w:cs="Arial" w:eastAsia="Arial" w:hAnsi="Arial"/>
                <w:sz w:val="11"/>
                <w:szCs w:val="11"/>
                <w:b w:val="1"/>
                <w:bCs w:val="1"/>
                <w:color w:val="614A3D"/>
              </w:rPr>
              <w:t>(1)</w:t>
            </w:r>
          </w:p>
        </w:tc>
        <w:tc>
          <w:tcPr>
            <w:tcW w:w="0" w:type="dxa"/>
            <w:vAlign w:val="bottom"/>
          </w:tcPr>
          <w:p>
            <w:pPr>
              <w:spacing w:after="0"/>
              <w:rPr>
                <w:sz w:val="1"/>
                <w:szCs w:val="1"/>
                <w:color w:val="auto"/>
              </w:rPr>
            </w:pPr>
          </w:p>
        </w:tc>
      </w:tr>
      <w:tr>
        <w:trPr>
          <w:trHeight w:val="399"/>
        </w:trPr>
        <w:tc>
          <w:tcPr>
            <w:tcW w:w="7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614A3D"/>
              </w:rPr>
              <w:t xml:space="preserve">Name and Address of Beneficial Owner </w:t>
            </w:r>
            <w:r>
              <w:rPr>
                <w:rFonts w:ascii="Arial" w:cs="Arial" w:eastAsia="Arial" w:hAnsi="Arial"/>
                <w:sz w:val="11"/>
                <w:szCs w:val="11"/>
                <w:b w:val="1"/>
                <w:bCs w:val="1"/>
                <w:color w:val="614A3D"/>
              </w:rPr>
              <w:t>(2)</w:t>
            </w:r>
          </w:p>
        </w:tc>
        <w:tc>
          <w:tcPr>
            <w:tcW w:w="25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614A3D"/>
              </w:rPr>
              <w:t>Number</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Percentage</w:t>
            </w:r>
          </w:p>
        </w:tc>
        <w:tc>
          <w:tcPr>
            <w:tcW w:w="0" w:type="dxa"/>
            <w:vAlign w:val="bottom"/>
          </w:tcPr>
          <w:p>
            <w:pPr>
              <w:spacing w:after="0"/>
              <w:rPr>
                <w:sz w:val="1"/>
                <w:szCs w:val="1"/>
                <w:color w:val="auto"/>
              </w:rPr>
            </w:pPr>
          </w:p>
        </w:tc>
      </w:tr>
      <w:tr>
        <w:trPr>
          <w:trHeight w:val="253"/>
        </w:trPr>
        <w:tc>
          <w:tcPr>
            <w:tcW w:w="7360" w:type="dxa"/>
            <w:vAlign w:val="bottom"/>
            <w:gridSpan w:val="3"/>
          </w:tcPr>
          <w:p>
            <w:pPr>
              <w:spacing w:after="0"/>
              <w:rPr>
                <w:sz w:val="20"/>
                <w:szCs w:val="20"/>
                <w:color w:val="auto"/>
              </w:rPr>
            </w:pPr>
            <w:r>
              <w:rPr>
                <w:rFonts w:ascii="Arial" w:cs="Arial" w:eastAsia="Arial" w:hAnsi="Arial"/>
                <w:sz w:val="18"/>
                <w:szCs w:val="18"/>
                <w:color w:val="auto"/>
              </w:rPr>
              <w:t xml:space="preserve">T. Rowe Price </w:t>
            </w:r>
            <w:r>
              <w:rPr>
                <w:rFonts w:ascii="Arial" w:cs="Arial" w:eastAsia="Arial" w:hAnsi="Arial"/>
                <w:sz w:val="11"/>
                <w:szCs w:val="11"/>
                <w:color w:val="auto"/>
              </w:rPr>
              <w:t>(3)</w:t>
            </w:r>
          </w:p>
        </w:tc>
        <w:tc>
          <w:tcPr>
            <w:tcW w:w="2540" w:type="dxa"/>
            <w:vAlign w:val="bottom"/>
          </w:tcPr>
          <w:p>
            <w:pPr>
              <w:jc w:val="right"/>
              <w:ind w:right="372"/>
              <w:spacing w:after="0"/>
              <w:rPr>
                <w:sz w:val="20"/>
                <w:szCs w:val="20"/>
                <w:color w:val="auto"/>
              </w:rPr>
            </w:pPr>
            <w:r>
              <w:rPr>
                <w:rFonts w:ascii="Arial" w:cs="Arial" w:eastAsia="Arial" w:hAnsi="Arial"/>
                <w:sz w:val="18"/>
                <w:szCs w:val="18"/>
                <w:color w:val="auto"/>
              </w:rPr>
              <w:t>17,047,694</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7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100 E. Pratt Street</w:t>
            </w:r>
          </w:p>
        </w:tc>
        <w:tc>
          <w:tcPr>
            <w:tcW w:w="2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Baltimore, MD 21202</w:t>
            </w:r>
          </w:p>
        </w:tc>
        <w:tc>
          <w:tcPr>
            <w:tcW w:w="2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Stephen A. Wynn </w:t>
            </w:r>
            <w:r>
              <w:rPr>
                <w:rFonts w:ascii="Arial" w:cs="Arial" w:eastAsia="Arial" w:hAnsi="Arial"/>
                <w:sz w:val="11"/>
                <w:szCs w:val="11"/>
                <w:color w:val="auto"/>
              </w:rPr>
              <w:t>(4) (5)</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10,076,523</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Elaine P. Wynn </w:t>
            </w:r>
            <w:r>
              <w:rPr>
                <w:rFonts w:ascii="Arial" w:cs="Arial" w:eastAsia="Arial" w:hAnsi="Arial"/>
                <w:sz w:val="11"/>
                <w:szCs w:val="11"/>
                <w:color w:val="auto"/>
              </w:rPr>
              <w:t>(4)</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9,539,077</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J. Hagenbuch </w:t>
            </w:r>
            <w:r>
              <w:rPr>
                <w:rFonts w:ascii="Arial" w:cs="Arial" w:eastAsia="Arial" w:hAnsi="Arial"/>
                <w:sz w:val="11"/>
                <w:szCs w:val="11"/>
                <w:color w:val="auto"/>
              </w:rPr>
              <w:t>(6) (7)</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11,875</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Dr. Ray R. Irani </w:t>
            </w:r>
            <w:r>
              <w:rPr>
                <w:rFonts w:ascii="Arial" w:cs="Arial" w:eastAsia="Arial" w:hAnsi="Arial"/>
                <w:sz w:val="11"/>
                <w:szCs w:val="11"/>
                <w:color w:val="auto"/>
              </w:rPr>
              <w:t>(8)</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35,811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color w:val="auto"/>
              </w:rPr>
              <w:t>(9)</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23,311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Alvin V. Shoemaker </w:t>
            </w:r>
            <w:r>
              <w:rPr>
                <w:rFonts w:ascii="Arial" w:cs="Arial" w:eastAsia="Arial" w:hAnsi="Arial"/>
                <w:sz w:val="11"/>
                <w:szCs w:val="11"/>
                <w:color w:val="auto"/>
              </w:rPr>
              <w:t>(10)</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23,311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 Edward Virtue </w:t>
            </w:r>
            <w:r>
              <w:rPr>
                <w:rFonts w:ascii="Arial" w:cs="Arial" w:eastAsia="Arial" w:hAnsi="Arial"/>
                <w:sz w:val="11"/>
                <w:szCs w:val="11"/>
                <w:color w:val="auto"/>
              </w:rPr>
              <w:t>(11)</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11,575</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 Boone Wayson </w:t>
            </w:r>
            <w:r>
              <w:rPr>
                <w:rFonts w:ascii="Arial" w:cs="Arial" w:eastAsia="Arial" w:hAnsi="Arial"/>
                <w:sz w:val="11"/>
                <w:szCs w:val="11"/>
                <w:color w:val="auto"/>
              </w:rPr>
              <w:t>(12)</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108,311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color w:val="auto"/>
              </w:rPr>
              <w:t>(13)</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92,769</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Stephen Cootey </w:t>
            </w:r>
            <w:r>
              <w:rPr>
                <w:rFonts w:ascii="Arial" w:cs="Arial" w:eastAsia="Arial" w:hAnsi="Arial"/>
                <w:sz w:val="11"/>
                <w:szCs w:val="11"/>
                <w:color w:val="auto"/>
              </w:rPr>
              <w:t>(14)</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22,000</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Linda Chen </w:t>
            </w:r>
            <w:r>
              <w:rPr>
                <w:rFonts w:ascii="Arial" w:cs="Arial" w:eastAsia="Arial" w:hAnsi="Arial"/>
                <w:sz w:val="11"/>
                <w:szCs w:val="11"/>
                <w:color w:val="auto"/>
              </w:rPr>
              <w:t>(15)</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145,897</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color w:val="auto"/>
              </w:rPr>
              <w:t>(16)</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84,901</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Strzemp </w:t>
            </w:r>
            <w:r>
              <w:rPr>
                <w:rFonts w:ascii="Arial" w:cs="Arial" w:eastAsia="Arial" w:hAnsi="Arial"/>
                <w:sz w:val="11"/>
                <w:szCs w:val="11"/>
                <w:color w:val="auto"/>
              </w:rPr>
              <w:t>(17) (18)</w:t>
            </w:r>
          </w:p>
        </w:tc>
        <w:tc>
          <w:tcPr>
            <w:tcW w:w="254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245,579</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360" w:type="dxa"/>
            <w:vAlign w:val="bottom"/>
            <w:gridSpan w:val="3"/>
          </w:tcPr>
          <w:p>
            <w:pPr>
              <w:spacing w:after="0"/>
              <w:rPr>
                <w:sz w:val="20"/>
                <w:szCs w:val="20"/>
                <w:color w:val="auto"/>
              </w:rPr>
            </w:pPr>
            <w:r>
              <w:rPr>
                <w:rFonts w:ascii="Arial" w:cs="Arial" w:eastAsia="Arial" w:hAnsi="Arial"/>
                <w:sz w:val="18"/>
                <w:szCs w:val="18"/>
                <w:color w:val="auto"/>
              </w:rPr>
              <w:t xml:space="preserve">All Directors and Officers as a Group (13 persons) </w:t>
            </w:r>
            <w:r>
              <w:rPr>
                <w:rFonts w:ascii="Arial" w:cs="Arial" w:eastAsia="Arial" w:hAnsi="Arial"/>
                <w:sz w:val="11"/>
                <w:szCs w:val="11"/>
                <w:color w:val="auto"/>
              </w:rPr>
              <w:t>(19)</w:t>
            </w:r>
          </w:p>
        </w:tc>
        <w:tc>
          <w:tcPr>
            <w:tcW w:w="2540" w:type="dxa"/>
            <w:vAlign w:val="bottom"/>
          </w:tcPr>
          <w:p>
            <w:pPr>
              <w:jc w:val="right"/>
              <w:ind w:right="372"/>
              <w:spacing w:after="0"/>
              <w:rPr>
                <w:sz w:val="20"/>
                <w:szCs w:val="20"/>
                <w:color w:val="auto"/>
              </w:rPr>
            </w:pPr>
            <w:r>
              <w:rPr>
                <w:rFonts w:ascii="Arial" w:cs="Arial" w:eastAsia="Arial" w:hAnsi="Arial"/>
                <w:sz w:val="18"/>
                <w:szCs w:val="18"/>
                <w:color w:val="auto"/>
              </w:rPr>
              <w:t>20,420,940</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97"/>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line="142" w:lineRule="exact"/>
              <w:rPr>
                <w:sz w:val="20"/>
                <w:szCs w:val="20"/>
                <w:color w:val="auto"/>
              </w:rPr>
            </w:pPr>
            <w:r>
              <w:rPr>
                <w:rFonts w:ascii="Arial" w:cs="Arial" w:eastAsia="Arial" w:hAnsi="Arial"/>
                <w:sz w:val="14"/>
                <w:szCs w:val="14"/>
                <w:i w:val="1"/>
                <w:iCs w:val="1"/>
                <w:color w:val="auto"/>
              </w:rPr>
              <w:t>*</w:t>
            </w:r>
          </w:p>
        </w:tc>
        <w:tc>
          <w:tcPr>
            <w:tcW w:w="7080" w:type="dxa"/>
            <w:vAlign w:val="bottom"/>
            <w:gridSpan w:val="2"/>
          </w:tcPr>
          <w:p>
            <w:pPr>
              <w:ind w:left="60"/>
              <w:spacing w:after="0" w:line="142" w:lineRule="exact"/>
              <w:rPr>
                <w:sz w:val="20"/>
                <w:szCs w:val="20"/>
                <w:color w:val="auto"/>
              </w:rPr>
            </w:pPr>
            <w:r>
              <w:rPr>
                <w:rFonts w:ascii="Arial" w:cs="Arial" w:eastAsia="Arial" w:hAnsi="Arial"/>
                <w:sz w:val="14"/>
                <w:szCs w:val="14"/>
                <w:i w:val="1"/>
                <w:iCs w:val="1"/>
                <w:color w:val="auto"/>
              </w:rPr>
              <w:t>Less than one percent</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1"/>
                <w:szCs w:val="11"/>
                <w:i w:val="1"/>
                <w:iCs w:val="1"/>
                <w:color w:val="auto"/>
              </w:rPr>
              <w:t>(1)</w:t>
            </w:r>
          </w:p>
        </w:tc>
        <w:tc>
          <w:tcPr>
            <w:tcW w:w="11140" w:type="dxa"/>
            <w:vAlign w:val="bottom"/>
            <w:gridSpan w:val="4"/>
          </w:tcPr>
          <w:p>
            <w:pPr>
              <w:ind w:left="60"/>
              <w:spacing w:after="0"/>
              <w:rPr>
                <w:sz w:val="20"/>
                <w:szCs w:val="20"/>
                <w:color w:val="auto"/>
              </w:rPr>
            </w:pPr>
            <w:r>
              <w:rPr>
                <w:rFonts w:ascii="Arial" w:cs="Arial" w:eastAsia="Arial" w:hAnsi="Arial"/>
                <w:sz w:val="14"/>
                <w:szCs w:val="14"/>
                <w:i w:val="1"/>
                <w:iCs w:val="1"/>
                <w:color w:val="auto"/>
                <w:w w:val="96"/>
              </w:rPr>
              <w:t>This table is based upon information supplied by officers, directors, nominees for director, principal stockholders and the Company’s transfer agent, and contained in Schedules 13D and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13G filed with the SEC. Unless otherwise indicated in the footnotes to this table and subject to community property laws, where applicable, the Company believes each of the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w w:val="99"/>
              </w:rPr>
              <w:t>stockholders named in this table has sole voting and investment power with respect to the shares indicated as beneficially owned. Executives and directors have voting power over</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1"/>
                <w:szCs w:val="11"/>
                <w:i w:val="1"/>
                <w:iCs w:val="1"/>
                <w:color w:val="auto"/>
              </w:rPr>
              <w:t>(2)</w:t>
            </w:r>
          </w:p>
        </w:tc>
        <w:tc>
          <w:tcPr>
            <w:tcW w:w="7080" w:type="dxa"/>
            <w:vAlign w:val="bottom"/>
            <w:gridSpan w:val="2"/>
          </w:tcPr>
          <w:p>
            <w:pPr>
              <w:ind w:left="60"/>
              <w:spacing w:after="0" w:line="149" w:lineRule="exact"/>
              <w:rPr>
                <w:sz w:val="20"/>
                <w:szCs w:val="20"/>
                <w:color w:val="auto"/>
              </w:rPr>
            </w:pPr>
            <w:r>
              <w:rPr>
                <w:rFonts w:ascii="Arial" w:cs="Arial" w:eastAsia="Arial" w:hAnsi="Arial"/>
                <w:sz w:val="14"/>
                <w:szCs w:val="14"/>
                <w:i w:val="1"/>
                <w:iCs w:val="1"/>
                <w:color w:val="auto"/>
              </w:rPr>
              <w:t>shares of restricted stock, but cannot transfer such shares unless and until they vest.</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0" w:type="dxa"/>
            <w:vAlign w:val="bottom"/>
            <w:vMerge w:val="continue"/>
          </w:tcPr>
          <w:p>
            <w:pPr>
              <w:spacing w:after="0"/>
              <w:rPr>
                <w:sz w:val="11"/>
                <w:szCs w:val="11"/>
                <w:color w:val="auto"/>
              </w:rPr>
            </w:pPr>
          </w:p>
        </w:tc>
        <w:tc>
          <w:tcPr>
            <w:tcW w:w="11140" w:type="dxa"/>
            <w:vAlign w:val="bottom"/>
            <w:gridSpan w:val="4"/>
          </w:tcPr>
          <w:p>
            <w:pPr>
              <w:ind w:left="60"/>
              <w:spacing w:after="0" w:line="137" w:lineRule="exact"/>
              <w:rPr>
                <w:sz w:val="20"/>
                <w:szCs w:val="20"/>
                <w:color w:val="auto"/>
              </w:rPr>
            </w:pPr>
            <w:r>
              <w:rPr>
                <w:rFonts w:ascii="Arial" w:cs="Arial" w:eastAsia="Arial" w:hAnsi="Arial"/>
                <w:sz w:val="14"/>
                <w:szCs w:val="14"/>
                <w:i w:val="1"/>
                <w:iCs w:val="1"/>
                <w:color w:val="auto"/>
              </w:rPr>
              <w:t>Unless otherwise indicated, the address of each of the named parties in this table is: c/o Wynn Resorts, Limited, 3131 Las Vegas Boulevard South, Las Vegas, Nevada 89109.</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1"/>
                <w:szCs w:val="11"/>
                <w:i w:val="1"/>
                <w:iCs w:val="1"/>
                <w:color w:val="auto"/>
              </w:rPr>
              <w:t>(3)</w:t>
            </w:r>
          </w:p>
        </w:tc>
        <w:tc>
          <w:tcPr>
            <w:tcW w:w="11140" w:type="dxa"/>
            <w:vAlign w:val="bottom"/>
            <w:gridSpan w:val="4"/>
          </w:tcPr>
          <w:p>
            <w:pPr>
              <w:ind w:left="60"/>
              <w:spacing w:after="0"/>
              <w:rPr>
                <w:sz w:val="20"/>
                <w:szCs w:val="20"/>
                <w:color w:val="auto"/>
              </w:rPr>
            </w:pPr>
            <w:r>
              <w:rPr>
                <w:rFonts w:ascii="Arial" w:cs="Arial" w:eastAsia="Arial" w:hAnsi="Arial"/>
                <w:sz w:val="14"/>
                <w:szCs w:val="14"/>
                <w:i w:val="1"/>
                <w:iCs w:val="1"/>
                <w:color w:val="auto"/>
                <w:w w:val="97"/>
              </w:rPr>
              <w:t>T. Rowe Price Associates, Inc. (“T. Rowe Price”) has beneficial ownership of these shares as of December 31, 2014. T. Rowe Price has sole dispositive power as to 17,047,694 shares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and sole voting power as to 6,156,616 shares. The information provided is based upon a Schedule 13G, dated February 11, 2015, filed by T. Rowe Price. The number of Common</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1"/>
                <w:szCs w:val="11"/>
                <w:i w:val="1"/>
                <w:iCs w:val="1"/>
                <w:color w:val="auto"/>
              </w:rPr>
              <w:t>(4)</w:t>
            </w:r>
          </w:p>
        </w:tc>
        <w:tc>
          <w:tcPr>
            <w:tcW w:w="7080" w:type="dxa"/>
            <w:vAlign w:val="bottom"/>
            <w:gridSpan w:val="2"/>
          </w:tcPr>
          <w:p>
            <w:pPr>
              <w:ind w:left="60"/>
              <w:spacing w:after="0" w:line="149" w:lineRule="exact"/>
              <w:rPr>
                <w:sz w:val="20"/>
                <w:szCs w:val="20"/>
                <w:color w:val="auto"/>
              </w:rPr>
            </w:pPr>
            <w:r>
              <w:rPr>
                <w:rFonts w:ascii="Arial" w:cs="Arial" w:eastAsia="Arial" w:hAnsi="Arial"/>
                <w:sz w:val="14"/>
                <w:szCs w:val="14"/>
                <w:i w:val="1"/>
                <w:iCs w:val="1"/>
                <w:color w:val="auto"/>
              </w:rPr>
              <w:t>Shares beneficially owned by T. Rowe Price may have changed since the filing of the Schedule 13G.</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vMerge w:val="continue"/>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w w:val="97"/>
              </w:rPr>
              <w:t>Does not include shares that may be deemed to be beneficially owned by virtue of the Amended and Restated Stockholders Agreement, to which Mr. Wynn and Ms. Elaine P. Wynn are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w w:val="96"/>
              </w:rPr>
              <w:t>parties and pursuant to which they have shared voting and dispositive power with respect to shares subject thereto. Each disclaims beneficial ownership of shares held by the other. Ms.</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1"/>
                <w:szCs w:val="11"/>
                <w:i w:val="1"/>
                <w:iCs w:val="1"/>
                <w:color w:val="auto"/>
              </w:rPr>
              <w:t>(5)</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Wynn has filed a cross-claim seeking to void the Amended and Restated Stockholders Agreement. See “Additional Information Regarding The Election of Directors” on page 5.</w:t>
            </w:r>
          </w:p>
        </w:tc>
        <w:tc>
          <w:tcPr>
            <w:tcW w:w="0" w:type="dxa"/>
            <w:vAlign w:val="bottom"/>
          </w:tcPr>
          <w:p>
            <w:pPr>
              <w:spacing w:after="0"/>
              <w:rPr>
                <w:sz w:val="1"/>
                <w:szCs w:val="1"/>
                <w:color w:val="auto"/>
              </w:rPr>
            </w:pPr>
          </w:p>
        </w:tc>
      </w:tr>
      <w:tr>
        <w:trPr>
          <w:trHeight w:val="136"/>
        </w:trPr>
        <w:tc>
          <w:tcPr>
            <w:tcW w:w="280" w:type="dxa"/>
            <w:vAlign w:val="bottom"/>
            <w:vMerge w:val="continue"/>
          </w:tcPr>
          <w:p>
            <w:pPr>
              <w:spacing w:after="0"/>
              <w:rPr>
                <w:sz w:val="11"/>
                <w:szCs w:val="11"/>
                <w:color w:val="auto"/>
              </w:rPr>
            </w:pPr>
          </w:p>
        </w:tc>
        <w:tc>
          <w:tcPr>
            <w:tcW w:w="7080" w:type="dxa"/>
            <w:vAlign w:val="bottom"/>
            <w:gridSpan w:val="2"/>
          </w:tcPr>
          <w:p>
            <w:pPr>
              <w:ind w:left="60"/>
              <w:spacing w:after="0" w:line="137" w:lineRule="exact"/>
              <w:rPr>
                <w:sz w:val="20"/>
                <w:szCs w:val="20"/>
                <w:color w:val="auto"/>
              </w:rPr>
            </w:pPr>
            <w:r>
              <w:rPr>
                <w:rFonts w:ascii="Arial" w:cs="Arial" w:eastAsia="Arial" w:hAnsi="Arial"/>
                <w:sz w:val="14"/>
                <w:szCs w:val="14"/>
                <w:i w:val="1"/>
                <w:iCs w:val="1"/>
                <w:color w:val="auto"/>
              </w:rPr>
              <w:t>Includes 10,500 shares owned by his spouse in which he disclaims beneficial ownership.</w:t>
            </w:r>
          </w:p>
        </w:tc>
        <w:tc>
          <w:tcPr>
            <w:tcW w:w="2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(6)</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11,575 shares subject to immediately exercisable options to purchase the Company’s Common Stock granted pursuant to Wynn Resorts’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(7)</w:t>
            </w:r>
          </w:p>
        </w:tc>
        <w:tc>
          <w:tcPr>
            <w:tcW w:w="7080" w:type="dxa"/>
            <w:vAlign w:val="bottom"/>
            <w:gridSpan w:val="2"/>
          </w:tcPr>
          <w:p>
            <w:pPr>
              <w:ind w:left="60"/>
              <w:spacing w:after="0" w:line="149" w:lineRule="exact"/>
              <w:rPr>
                <w:sz w:val="20"/>
                <w:szCs w:val="20"/>
                <w:color w:val="auto"/>
              </w:rPr>
            </w:pPr>
            <w:r>
              <w:rPr>
                <w:rFonts w:ascii="Arial" w:cs="Arial" w:eastAsia="Arial" w:hAnsi="Arial"/>
                <w:sz w:val="14"/>
                <w:szCs w:val="14"/>
                <w:i w:val="1"/>
                <w:iCs w:val="1"/>
                <w:color w:val="auto"/>
              </w:rPr>
              <w:t>Includes 250 shares held by Mr. Hagenbuch’s wife and 50 shares held by Mr. Hagenbuch’s son.</w:t>
            </w:r>
          </w:p>
        </w:tc>
        <w:tc>
          <w:tcPr>
            <w:tcW w:w="2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(8)</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30,811 shares subject to an immediately exercisable option to purchase the Company’s Common Stock granted pursuant to Wynn Resorts’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(9)</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20,811 shares subject to immediately exercisable options to purchase Company’s Common Stock granted pursuant to the Company’s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(10)</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20,811 shares subject to immediately exercisable options to purchase the Company’s Common Stock granted pursuant to the Company’s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(11)</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11,575 shares subject to immediately exercisable options to purchase the Company’s Common Stock granted pursuant to the Company’s 2002 Stock Incentive 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20"/>
                <w:szCs w:val="20"/>
                <w:color w:val="auto"/>
              </w:rPr>
            </w:pPr>
            <w:r>
              <w:rPr>
                <w:rFonts w:ascii="Arial" w:cs="Arial" w:eastAsia="Arial" w:hAnsi="Arial"/>
                <w:sz w:val="11"/>
                <w:szCs w:val="11"/>
                <w:i w:val="1"/>
                <w:iCs w:val="1"/>
                <w:color w:val="auto"/>
              </w:rPr>
              <w:t>(12)</w:t>
            </w:r>
          </w:p>
        </w:tc>
        <w:tc>
          <w:tcPr>
            <w:tcW w:w="11140" w:type="dxa"/>
            <w:vAlign w:val="bottom"/>
            <w:gridSpan w:val="4"/>
          </w:tcPr>
          <w:p>
            <w:pPr>
              <w:ind w:left="60"/>
              <w:spacing w:after="0" w:line="149" w:lineRule="exact"/>
              <w:rPr>
                <w:sz w:val="20"/>
                <w:szCs w:val="20"/>
                <w:color w:val="auto"/>
              </w:rPr>
            </w:pPr>
            <w:r>
              <w:rPr>
                <w:rFonts w:ascii="Arial" w:cs="Arial" w:eastAsia="Arial" w:hAnsi="Arial"/>
                <w:sz w:val="14"/>
                <w:szCs w:val="14"/>
                <w:i w:val="1"/>
                <w:iCs w:val="1"/>
                <w:color w:val="auto"/>
              </w:rPr>
              <w:t>Includes 20,811 shares subject to immediately exercisable options to purchase the Company’s Common Stock granted pursuant to the Company’s 2002 Stock Incentive Plan.</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20"/>
                <w:szCs w:val="20"/>
                <w:color w:val="auto"/>
              </w:rPr>
            </w:pPr>
            <w:r>
              <w:rPr>
                <w:rFonts w:ascii="Arial" w:cs="Arial" w:eastAsia="Arial" w:hAnsi="Arial"/>
                <w:sz w:val="11"/>
                <w:szCs w:val="11"/>
                <w:i w:val="1"/>
                <w:iCs w:val="1"/>
                <w:color w:val="auto"/>
              </w:rPr>
              <w:t>(13)</w:t>
            </w:r>
          </w:p>
        </w:tc>
        <w:tc>
          <w:tcPr>
            <w:tcW w:w="11140" w:type="dxa"/>
            <w:vAlign w:val="bottom"/>
            <w:gridSpan w:val="4"/>
          </w:tcPr>
          <w:p>
            <w:pPr>
              <w:ind w:left="60"/>
              <w:spacing w:after="0"/>
              <w:rPr>
                <w:sz w:val="20"/>
                <w:szCs w:val="20"/>
                <w:color w:val="auto"/>
              </w:rPr>
            </w:pPr>
            <w:r>
              <w:rPr>
                <w:rFonts w:ascii="Arial" w:cs="Arial" w:eastAsia="Arial" w:hAnsi="Arial"/>
                <w:sz w:val="14"/>
                <w:szCs w:val="14"/>
                <w:i w:val="1"/>
                <w:iCs w:val="1"/>
                <w:color w:val="auto"/>
                <w:w w:val="96"/>
              </w:rPr>
              <w:t>Includes 50,000 shares of restricted stock granted pursuant to the Company’s 2002 Stock Incentive Plan and subject to a Restricted Stock Agreement which provides such grant will vest</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i w:val="1"/>
          <w:iCs w:val="1"/>
          <w:color w:val="auto"/>
        </w:rPr>
        <w:t>on December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-62230</wp:posOffset>
            </wp:positionV>
            <wp:extent cx="9150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ind w:left="340" w:hanging="332"/>
        <w:spacing w:after="0" w:line="187" w:lineRule="auto"/>
        <w:tabs>
          <w:tab w:leader="none" w:pos="340"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2"/>
          <w:szCs w:val="12"/>
          <w:i w:val="1"/>
          <w:iCs w:val="1"/>
          <w:color w:val="auto"/>
        </w:rPr>
        <w:t>Includes 20,000 shares of restricted stock granted pursuant to the Company’s 2002 Stock Incentive Plan and subject to a Restricted Stock Agreement.</w:t>
      </w:r>
    </w:p>
    <w:p>
      <w:pPr>
        <w:ind w:left="340" w:hanging="332"/>
        <w:spacing w:after="0" w:line="182" w:lineRule="auto"/>
        <w:tabs>
          <w:tab w:leader="none" w:pos="34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100,000 shares of restricted stock granted pursuant to the Company’s 2002 Stock Incentive Plan and subject to a Restricted Stock Agreement which provides such grant will vest on December 5, 2016; and (ii) 40,000 shares subject to immediately exercisable stock options.</w:t>
      </w:r>
    </w:p>
    <w:p>
      <w:pPr>
        <w:ind w:left="340" w:hanging="332"/>
        <w:spacing w:after="0" w:line="182" w:lineRule="auto"/>
        <w:tabs>
          <w:tab w:leader="none" w:pos="34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25,000 shares of restricted stock granted pursuant to the Company’s 2002 Stock Plan and subject to a Restricted Stock Agreement which provides such grant will vest on December 5, 2016.</w:t>
      </w:r>
    </w:p>
    <w:p>
      <w:pPr>
        <w:ind w:left="340" w:hanging="332"/>
        <w:spacing w:after="0" w:line="182" w:lineRule="auto"/>
        <w:tabs>
          <w:tab w:leader="none" w:pos="34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22,500 unvested shares of restricted stock of the Company’s Common Stock granted pursuant to the Company’s 2002 Stock Incentive Plan and subject to a Restricted Stock Agreement.</w:t>
      </w:r>
    </w:p>
    <w:p>
      <w:pPr>
        <w:ind w:left="340" w:hanging="332"/>
        <w:spacing w:after="0" w:line="182" w:lineRule="auto"/>
        <w:tabs>
          <w:tab w:leader="none" w:pos="340" w:val="left"/>
        </w:tabs>
        <w:numPr>
          <w:ilvl w:val="0"/>
          <w:numId w:val="1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500 shares held by Mr. Strzemp’s mother.</w:t>
      </w:r>
    </w:p>
    <w:p>
      <w:pPr>
        <w:ind w:left="340" w:hanging="332"/>
        <w:spacing w:after="0" w:line="188" w:lineRule="auto"/>
        <w:tabs>
          <w:tab w:leader="none" w:pos="34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Includes 156,394 shares subject to immediately exercisable stock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Section 16(a) Beneficial Ownership Reporting Compliance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ind w:left="10160"/>
        <w:spacing w:after="0"/>
        <w:rPr>
          <w:sz w:val="20"/>
          <w:szCs w:val="20"/>
          <w:color w:val="auto"/>
        </w:rPr>
      </w:pPr>
      <w:r>
        <w:rPr>
          <w:rFonts w:ascii="Arial" w:cs="Arial" w:eastAsia="Arial" w:hAnsi="Arial"/>
          <w:sz w:val="12"/>
          <w:szCs w:val="12"/>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-81280</wp:posOffset>
            </wp:positionV>
            <wp:extent cx="571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Summary</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2014 was a year of significant accomplishment for Wynn Resorts, as the Company generated strong operating results in an uncertain macroeconomic environment while continuing to make significant investments that will drive future growth. The Company continues to advance the development of its new property in the Cotai area of Macau, Wynn Palace, scheduled to open in the first half of 2016, and recently won the right to build the sole integrated casino resort in the Greater Boston, Massachusetts market area. In addition to securing the foundation for the Company’s future growth, Wynn Resorts returned $631 million, or $6.25 per share, of cash to our stockholders through the payment of dividends. Key highlights from 2014 include:</w:t>
      </w:r>
    </w:p>
    <w:p>
      <w:pPr>
        <w:spacing w:after="0" w:line="176" w:lineRule="exact"/>
        <w:rPr>
          <w:sz w:val="20"/>
          <w:szCs w:val="20"/>
          <w:color w:val="auto"/>
        </w:rPr>
      </w:pPr>
    </w:p>
    <w:p>
      <w:pPr>
        <w:jc w:val="both"/>
        <w:ind w:left="1020" w:hanging="215"/>
        <w:spacing w:after="0" w:line="280"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Record Adjusted Property EBITDA at Wynn Las Vegas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property EBITDA at Wynn Las Vegas reached an all-time record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$515 million, a 6% increase from 2013, the highest EBITDA result of any single property in the Las Vegas market in 2014 and, management believes, the highest EBITDA result generated by a single property in the history of Las Vegas. See our Annual Report on Form 10-K for the year ended December 31, 2014, Item 8, Note 18—“Segment Information” to our Consolidated Financial Statements for the definition of “adjusted property EBITDA” and a reconciliation of adjusted property EBITDA to net income.</w:t>
      </w:r>
    </w:p>
    <w:p>
      <w:pPr>
        <w:spacing w:after="0" w:line="22" w:lineRule="exact"/>
        <w:rPr>
          <w:rFonts w:ascii="Arial" w:cs="Arial" w:eastAsia="Arial" w:hAnsi="Arial"/>
          <w:sz w:val="16"/>
          <w:szCs w:val="16"/>
          <w:color w:val="auto"/>
        </w:rPr>
      </w:pPr>
    </w:p>
    <w:p>
      <w:pPr>
        <w:jc w:val="both"/>
        <w:ind w:left="1020" w:hanging="215"/>
        <w:spacing w:after="0" w:line="24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Wynn Macau Positioned for Long-Term Growth. </w:t>
      </w:r>
      <w:r>
        <w:rPr>
          <w:rFonts w:ascii="Arial" w:cs="Arial" w:eastAsia="Arial" w:hAnsi="Arial"/>
          <w:sz w:val="18"/>
          <w:szCs w:val="18"/>
          <w:color w:val="auto"/>
        </w:rPr>
        <w:t>Wynn Macau generated $1.26 billion of adjusted property EBITDA in 2014,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second-highest EBITDA result in the history of the property. While Wynn Macau’s operating results experienced revenue and adjusted property EBITDA declines in 2014 due primarily to market-wide declines in gaming revenues, the Company believes that recent investments into its existing property, Wynn Macau, and future property, Wynn Palace, position the company well to capitalize on the positive long-term economic trends in the Greater China market.</w:t>
      </w:r>
    </w:p>
    <w:p>
      <w:pPr>
        <w:spacing w:after="0" w:line="54" w:lineRule="exact"/>
        <w:rPr>
          <w:rFonts w:ascii="Arial" w:cs="Arial" w:eastAsia="Arial" w:hAnsi="Arial"/>
          <w:sz w:val="18"/>
          <w:szCs w:val="18"/>
          <w:color w:val="auto"/>
        </w:rPr>
      </w:pPr>
    </w:p>
    <w:p>
      <w:pPr>
        <w:jc w:val="both"/>
        <w:ind w:left="1020" w:hanging="215"/>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Alignment – Strong Long-Term Total Stockholder Returns</w:t>
      </w:r>
      <w:r>
        <w:rPr>
          <w:rFonts w:ascii="Arial" w:cs="Arial" w:eastAsia="Arial" w:hAnsi="Arial"/>
          <w:sz w:val="18"/>
          <w:szCs w:val="18"/>
          <w:color w:val="auto"/>
        </w:rPr>
        <w:t>. Over the most recent five-year period,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generated a total stockholder return (stock price appreciation plus dividends reinvested) (TSR) of approximately 244%, significantly outperforming the 105% return for the S&amp;P 500 over the same timeframe.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111115" cy="35331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11115"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20" w:hanging="215"/>
        <w:spacing w:after="0" w:line="23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of Significant Capital to our Stockholders. </w:t>
      </w:r>
      <w:r>
        <w:rPr>
          <w:rFonts w:ascii="Arial" w:cs="Arial" w:eastAsia="Arial" w:hAnsi="Arial"/>
          <w:sz w:val="18"/>
          <w:szCs w:val="18"/>
          <w:color w:val="auto"/>
        </w:rPr>
        <w:t>During fiscal 2014, we returned approximately $631 million, or $6.25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cash to our stockholders through the payment of dividends. Since our initial public offering in 2002 through the end of 2014, we have cumulatively returned approximately $5.9 billion, or approximately $53.75 per share, of cash to our stockholders through the payment of dividends.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2014 Growth Objectives and Strategic Achievements. We achieved our financial results while continuing to build a strong foundation for future growth for our company globally.</w:t>
      </w:r>
    </w:p>
    <w:p>
      <w:pPr>
        <w:spacing w:after="0" w:line="152" w:lineRule="exact"/>
        <w:rPr>
          <w:sz w:val="20"/>
          <w:szCs w:val="20"/>
          <w:color w:val="auto"/>
        </w:rPr>
      </w:pPr>
    </w:p>
    <w:p>
      <w:pPr>
        <w:jc w:val="both"/>
        <w:ind w:left="1020" w:hanging="215"/>
        <w:spacing w:after="0" w:line="24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Delivered on Key Milestones at Cotai</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to open Wynn Palace, our $4.1 billion casino resort currently under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Cotai area of Macau, in the first half of 2016. In 2014, we remained on pace with the project’s budget and construction schedule.</w:t>
      </w:r>
    </w:p>
    <w:p>
      <w:pPr>
        <w:spacing w:after="0" w:line="44" w:lineRule="exact"/>
        <w:rPr>
          <w:rFonts w:ascii="Arial" w:cs="Arial" w:eastAsia="Arial" w:hAnsi="Arial"/>
          <w:sz w:val="18"/>
          <w:szCs w:val="18"/>
          <w:color w:val="auto"/>
        </w:rPr>
      </w:pPr>
    </w:p>
    <w:p>
      <w:pPr>
        <w:jc w:val="both"/>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Won Gaming License in Massachusetts, Diversifying Future Revenue Streams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17, 2014, the Massachusetts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Commission officially designated Wynn Resorts as the award winner for the coveted Greater Boston (Region A) gaming license, concluding a nearly two-year competitive process. On November 4, 2014, a vote upheld the expanded gaming law in Massachusetts, and on November 7, 2014, the gaming license awarded to the Company became effective. The Company will develop and construct an integrated resort in Everett, Massachusetts containing a hotel, restaurants, casino, spa, premium retail offerings, meeting and convention space and a waterfront boardwalk.</w:t>
      </w:r>
    </w:p>
    <w:p>
      <w:pPr>
        <w:spacing w:after="0" w:line="54" w:lineRule="exact"/>
        <w:rPr>
          <w:rFonts w:ascii="Arial" w:cs="Arial" w:eastAsia="Arial" w:hAnsi="Arial"/>
          <w:sz w:val="18"/>
          <w:szCs w:val="18"/>
          <w:color w:val="auto"/>
        </w:rPr>
      </w:pPr>
    </w:p>
    <w:p>
      <w:pPr>
        <w:jc w:val="both"/>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Maintained Robust Re-investment Program at Existing Properties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continually enhance and refine our resort complexes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strategic capital investments. In 2014, we renovated certain areas of the casino in Wynn Macau, making several enhancements to the Wynn Macau VIP and mass gaming areas. At Wynn Las Vegas, we launched “Steve Wynn’s Showstoppers,” a brand new Broadway-style entertainment show at the Encore Theater, among other strategic investments. In addition, we made significant investments into the company’s global information-technology infrastructure. We are continuously evaluating additional changes to enhance the guest experiences in both Macau and Las Vegas.</w:t>
      </w:r>
    </w:p>
    <w:p>
      <w:pPr>
        <w:spacing w:after="0" w:line="54" w:lineRule="exact"/>
        <w:rPr>
          <w:rFonts w:ascii="Arial" w:cs="Arial" w:eastAsia="Arial" w:hAnsi="Arial"/>
          <w:sz w:val="18"/>
          <w:szCs w:val="18"/>
          <w:color w:val="auto"/>
        </w:rPr>
      </w:pPr>
    </w:p>
    <w:p>
      <w:pPr>
        <w:jc w:val="both"/>
        <w:ind w:left="1020" w:hanging="215"/>
        <w:spacing w:after="0" w:line="24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Earned More Forbes Five-Star Awards than Any Independent Hotel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Forbes Travel Guide awarded eleven Five-Star awards to Wynn Macau and Encore at Wynn Macau and to Wynn Las Vegas and Encore at Wynn Las Vegas in 2015. Collectively, with 99 Forbes Travel Guide Stars, an increase of 13 stars from 2014, Wynn Resorts has more Forbes Travel Guide Stars than any other independent hotel company in the world.</w:t>
      </w:r>
    </w:p>
    <w:p>
      <w:pPr>
        <w:spacing w:after="0" w:line="51" w:lineRule="exact"/>
        <w:rPr>
          <w:rFonts w:ascii="Arial" w:cs="Arial" w:eastAsia="Arial" w:hAnsi="Arial"/>
          <w:sz w:val="18"/>
          <w:szCs w:val="18"/>
          <w:color w:val="auto"/>
        </w:rPr>
      </w:pPr>
    </w:p>
    <w:p>
      <w:pPr>
        <w:jc w:val="both"/>
        <w:ind w:left="1020" w:hanging="215"/>
        <w:spacing w:after="0" w:line="24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Maintained Strong Liquidity</w:t>
      </w:r>
      <w:r>
        <w:rPr>
          <w:rFonts w:ascii="Arial" w:cs="Arial" w:eastAsia="Arial" w:hAnsi="Arial"/>
          <w:sz w:val="18"/>
          <w:szCs w:val="18"/>
          <w:color w:val="auto"/>
        </w:rPr>
        <w:t>. As of December 31, 2014, the Company had approximately $2.4 billion of cash and investments on-hand and approximately $2.7 billion of undrawn debt capacity to help fund its current development projects. In 2014, the Company completed a $1.25 billion financing to help fund the resort in Everett, Massachusetts and issued $750 million aggregate principal amount of 5.25% Senior Notes due 2021 at the Wynn Macau, Limited level for working capital requirements and general corporate purposes.</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We Pay for Performance. Our executive compensation programs have been effective at incentivizing strong results by appropriately aligning pay and performance.</w:t>
      </w:r>
    </w:p>
    <w:p>
      <w:pPr>
        <w:spacing w:after="0" w:line="152" w:lineRule="exact"/>
        <w:rPr>
          <w:sz w:val="20"/>
          <w:szCs w:val="20"/>
          <w:color w:val="auto"/>
        </w:rPr>
      </w:pPr>
    </w:p>
    <w:p>
      <w:pPr>
        <w:jc w:val="both"/>
        <w:ind w:left="1020" w:hanging="215"/>
        <w:spacing w:after="0" w:line="24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Over the Last Five Years our TSR Performance Exceeded Increases in CEO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have over time provided appropriate incentives that reflect the challenges of our industry and operations while motivating superior performance. This is reflected by the fact that our TSR has exceeded the increase in our CEO compensation by over 40% over the last five years.</w:t>
      </w:r>
    </w:p>
    <w:p>
      <w:pPr>
        <w:spacing w:after="0" w:line="49" w:lineRule="exact"/>
        <w:rPr>
          <w:rFonts w:ascii="Arial" w:cs="Arial" w:eastAsia="Arial" w:hAnsi="Arial"/>
          <w:sz w:val="18"/>
          <w:szCs w:val="18"/>
          <w:color w:val="auto"/>
        </w:rPr>
      </w:pPr>
    </w:p>
    <w:p>
      <w:pPr>
        <w:jc w:val="both"/>
        <w:ind w:left="1020" w:hanging="21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Annual Incentive Awards Reflected Strong 2014 Performance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2014, the company won a new license to build and operate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integrated casino resort in the Greater Boston area, advanced the development of its Wynn Palace project in the Cotai area of Macau, achieved adjusted property EBITDA of $1.77 billion, approximately 2% below the Company’s all-time record in 2013 despite difficult macroeconomic conditions in the U.S. and Macau, and maintained the Company’s reputation as one of pre-eminent developers and operators of integrated casino resorts globally. These achievements resulted in annual incentive award payouts as described in “Compensation Discussion and Analysis—Elements of Executive Compensation”.</w:t>
      </w:r>
    </w:p>
    <w:p>
      <w:pPr>
        <w:spacing w:after="0" w:line="54" w:lineRule="exact"/>
        <w:rPr>
          <w:rFonts w:ascii="Arial" w:cs="Arial" w:eastAsia="Arial" w:hAnsi="Arial"/>
          <w:sz w:val="18"/>
          <w:szCs w:val="18"/>
          <w:color w:val="auto"/>
        </w:rPr>
      </w:pPr>
    </w:p>
    <w:p>
      <w:pPr>
        <w:jc w:val="both"/>
        <w:ind w:left="1020" w:right="20" w:hanging="215"/>
        <w:spacing w:after="0" w:line="285"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Compensation Committee Retains Discretion to Reduce Annual Incentive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our May 16, 2014 Annual Meeting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our 2014 Omnibus Incentive Plan (the “2014 Plan”) was approved. The 2014 Plan expands the list of performance goals available to the Compensation Committee in designing performance-based awards. The Compensation Committee retains discretion to reduce payouts of annual incentive awards based on corporate and individual performance as it determines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029335" cy="4457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35"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20" w:hanging="215"/>
        <w:spacing w:after="0" w:line="268"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Overhaul of Executive Compensation, Including Increasing Equity Portion of Overall Compensation, Reducing CEO Base Salary and Eliminating Many CEO Perquisites. </w:t>
      </w:r>
      <w:r>
        <w:rPr>
          <w:rFonts w:ascii="Arial" w:cs="Arial" w:eastAsia="Arial" w:hAnsi="Arial"/>
          <w:sz w:val="16"/>
          <w:szCs w:val="16"/>
          <w:color w:val="auto"/>
        </w:rPr>
        <w:t>For the 2014 annual incentive awards, the Compensation Committee paid 50%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annual incentive awards for our NEO participants in shares of Common Stock, subject to a three year holding period (the “Holding Period”). The Holding Period did not apply to any executive officer that holds 5% or more of the outstanding shares of Common Stock, in recognition that Mr. Wynn’s existing stock ownership already adequately fulfills the goal of a stock retention policy. This approach replaces our prior practice of paying all annual incentive awards solely in cash and was adopted to even more closely align our senior executive officers with the interests of our stockholders. Also, Mr. Wynn’s employment agreement and other relevant agreements with the Company were modified, effective as of January 1, 2015, to, among other things, (i) reduce his annual base salary from $4 million to $2.5 million so that a higher proportion of his compensation is attributable to variable, at-risk components that drive stockholder value and (ii) provide that Mr. Wynn will reimburse the Company for certain expenses for his personal use of Company aircraft, subject to a $250,000 credit per calendar year as approved by the Compensation Committee.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Say-on-Pay Vote History and Stockholder Engagement</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and management are committed to maintaining sound and effective compensation and governance programs, with policies and programs designed not only to satisfy the extensive regulatory requirements applicable to the Company’s business but to build value for the Company’s stockholders and promote the vitality of the Company for its customers, employees and the other individuals and organizations that depend upon it. At our 2014 Annual Meeting of Stockholders, over 91% of the votes cast were in favor of the advisory vote to approve our executive compensation. Buttressed by this support in favor of our existing executive compensation practices, the Compensation Committee continues to refine our programs to maintain alignment with stockholders and their views on compensation.</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ongoing discussions with our largest investors and often solicit their feedback on a variety of corporate governance topics, including executive compensation practices. In 2014, we engaged in outreach to a significant percentage of our stockholder base. In addition to soliciting feedback from our stockholders, the Compensation Committee routinely assesses our compensation programs and seeks to maximize alignment between stockholder return and executive compensation while incentivizing and retaining a successful management team.</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the Compensation Committee’s review of our compensation practices in 2013 and 2014 and as addressed in the Company’s proxy statement for our 2014 Annual Meeting of Stockholders, the Compensation Committee approved a number of significant changes to our compensation program, including to the elements and operation of our CEO’s compensation. These changes are designed to enhance the transparency in our pay-for-performance processes. For our CEO, the Compensation Committee implemented a number of changes that have the effect of reducing significantly the percentage of his reported compensation that may be viewed as fixed or not performance-based, and increasing the percentage of his potential compensation that is variable and at-risk.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Key Changes to Our Compensation Programs</w:t>
      </w:r>
    </w:p>
    <w:p>
      <w:pPr>
        <w:spacing w:after="0" w:line="200" w:lineRule="exact"/>
        <w:rPr>
          <w:sz w:val="20"/>
          <w:szCs w:val="20"/>
          <w:color w:val="auto"/>
        </w:rPr>
      </w:pPr>
    </w:p>
    <w:p>
      <w:pPr>
        <w:jc w:val="both"/>
        <w:ind w:left="1020" w:hanging="215"/>
        <w:spacing w:after="0" w:line="24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Omnibus Incentive Plan. </w:t>
      </w:r>
      <w:r>
        <w:rPr>
          <w:rFonts w:ascii="Arial" w:cs="Arial" w:eastAsia="Arial" w:hAnsi="Arial"/>
          <w:sz w:val="18"/>
          <w:szCs w:val="18"/>
          <w:color w:val="auto"/>
        </w:rPr>
        <w:t>The 2014 Plan replaced the Company’s 2002 Stock Incentive Plan (subject to any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with a single omnibus incentive plan, pursuant to which the Compensation Committee has the flexibility to (i) grant a range of awards and (ii) choose from an expanded list of performance goals, in each case, through arrangements that may qualify as performance-based compensation under Section 162(m) of the Code.</w:t>
      </w:r>
    </w:p>
    <w:p>
      <w:pPr>
        <w:spacing w:after="0" w:line="47" w:lineRule="exact"/>
        <w:rPr>
          <w:rFonts w:ascii="Arial" w:cs="Arial" w:eastAsia="Arial" w:hAnsi="Arial"/>
          <w:sz w:val="18"/>
          <w:szCs w:val="18"/>
          <w:color w:val="auto"/>
        </w:rPr>
      </w:pPr>
    </w:p>
    <w:p>
      <w:pPr>
        <w:jc w:val="both"/>
        <w:ind w:left="1020" w:hanging="2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Complete Restructure of CEO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Wynn’s employment agreement and other relevant agreements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have been modified, effective as of January 1, 2015, to, among other things, (i) substantially reduce his annual base salary from $4 million to $2.5 million so that a higher proportion of his compensation is attributable to variable, at-risk components that drive stockholder value and (ii) provide that Mr. Wynn will reimburse the Company for certain expenses for his personal use of Company aircraft, subject to a $250,000 credit per calendar year as approved by the Compensation Committee. Additionally, 50% of Mr. Wynn’s 2014 annual incentive award was paid in equity.</w:t>
      </w:r>
    </w:p>
    <w:p>
      <w:pPr>
        <w:spacing w:after="0" w:line="56" w:lineRule="exact"/>
        <w:rPr>
          <w:rFonts w:ascii="Arial" w:cs="Arial" w:eastAsia="Arial" w:hAnsi="Arial"/>
          <w:sz w:val="18"/>
          <w:szCs w:val="18"/>
          <w:color w:val="auto"/>
        </w:rPr>
      </w:pPr>
    </w:p>
    <w:p>
      <w:pPr>
        <w:jc w:val="both"/>
        <w:ind w:left="1020" w:hanging="215"/>
        <w:spacing w:after="0" w:line="24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Multiple Performance Goals for Annual Incentive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2014 Plan expanded the list of performance goals available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in designing awards that may qualify as performance-based compensation under Section 162(m) of the Code. Under our prior incentive plan, the only performance goal which could qualify as performance-based compensation was adjusted property EBITDA, although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029335"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5"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40" w:right="20"/>
        <w:spacing w:after="0" w:line="235" w:lineRule="auto"/>
        <w:rPr>
          <w:sz w:val="20"/>
          <w:szCs w:val="20"/>
          <w:color w:val="auto"/>
        </w:rPr>
      </w:pPr>
      <w:r>
        <w:rPr>
          <w:rFonts w:ascii="Arial" w:cs="Arial" w:eastAsia="Arial" w:hAnsi="Arial"/>
          <w:sz w:val="18"/>
          <w:szCs w:val="18"/>
          <w:color w:val="auto"/>
        </w:rPr>
        <w:t>Committee could then exercise negative discretion to reduce the amount payable based on other corporate and individual performance considerations as it determines appropriate. Under the 2014 Plan, the Compensation Committee has the flexibility to choose from a range of qualifying operating and strategic goals that drive stockholder value, so that other corporate and individual performance criteria can be incorporated directly into the terms of their annual incentive arrangements. Under the 2014 Plan, the 2014 annual incentive awards performance goals approved for our executive officers consisted of three goals: (a) achievement of a pre-established 2014 adjusted property EBITDA goal, (b) retention of specified third party recognition of quality and performance as of December 1, 2014, and (c) achievement of a pre-established progress goal related to the development of Wynn Palace as of December 1, 2014. These goals reflect the Compensation Committee’s determination to align compensation with a carefully balanced combination of goals focused upon achieving strong operating financial performance, maintaining high standards at our existing properties and effectively managing progress on our largest development project.</w:t>
      </w:r>
    </w:p>
    <w:p>
      <w:pPr>
        <w:spacing w:after="0" w:line="60" w:lineRule="exact"/>
        <w:rPr>
          <w:sz w:val="20"/>
          <w:szCs w:val="20"/>
          <w:color w:val="auto"/>
        </w:rPr>
      </w:pPr>
    </w:p>
    <w:p>
      <w:pPr>
        <w:jc w:val="both"/>
        <w:ind w:left="1020" w:right="20" w:hanging="215"/>
        <w:spacing w:after="0" w:line="24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Annual Incentive 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2014 annual incentive awards, the Compensation Committee granted a significant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incentive awards in equity. This approach replaced our prior practice of paying all annual incentive awards solely in cash and was adopted to even more closely align our senior executive officers with the interests of our stockholders. For the 2014 annual incentive awards, the Compensation Committee awarded 50% of the annual incentive awards for our named executive officer (“NEO”) participants in shares of Common Stock, subject to the Holding Period, if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Compensation Practices Highlights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5620" w:type="dxa"/>
            <w:vAlign w:val="bottom"/>
            <w:tcBorders>
              <w:top w:val="single" w:sz="8" w:color="614A3D"/>
              <w:left w:val="single" w:sz="8" w:color="614A3D"/>
              <w:right w:val="single" w:sz="8" w:color="614A3D"/>
            </w:tcBorders>
          </w:tcPr>
          <w:p>
            <w:pPr>
              <w:ind w:left="120"/>
              <w:spacing w:after="0" w:line="201" w:lineRule="exact"/>
              <w:rPr>
                <w:sz w:val="20"/>
                <w:szCs w:val="20"/>
                <w:color w:val="auto"/>
              </w:rPr>
            </w:pPr>
            <w:r>
              <w:rPr>
                <w:rFonts w:ascii="Arial" w:cs="Arial" w:eastAsia="Arial" w:hAnsi="Arial"/>
                <w:sz w:val="18"/>
                <w:szCs w:val="18"/>
                <w:b w:val="1"/>
                <w:bCs w:val="1"/>
                <w:color w:val="614A3D"/>
              </w:rPr>
              <w:t>What We Do</w:t>
            </w:r>
          </w:p>
        </w:tc>
        <w:tc>
          <w:tcPr>
            <w:tcW w:w="5820" w:type="dxa"/>
            <w:vAlign w:val="bottom"/>
            <w:tcBorders>
              <w:top w:val="single" w:sz="8" w:color="614A3D"/>
              <w:right w:val="single" w:sz="8" w:color="614A3D"/>
            </w:tcBorders>
          </w:tcPr>
          <w:p>
            <w:pPr>
              <w:ind w:left="200"/>
              <w:spacing w:after="0" w:line="201" w:lineRule="exact"/>
              <w:rPr>
                <w:sz w:val="20"/>
                <w:szCs w:val="20"/>
                <w:color w:val="auto"/>
              </w:rPr>
            </w:pPr>
            <w:r>
              <w:rPr>
                <w:rFonts w:ascii="Arial" w:cs="Arial" w:eastAsia="Arial" w:hAnsi="Arial"/>
                <w:sz w:val="18"/>
                <w:szCs w:val="18"/>
                <w:b w:val="1"/>
                <w:bCs w:val="1"/>
                <w:color w:val="614A3D"/>
              </w:rPr>
              <w:t>What We Don’t Do</w:t>
            </w: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Compensation Committee comprised solely of independent</w:t>
            </w:r>
          </w:p>
        </w:tc>
        <w:tc>
          <w:tcPr>
            <w:tcW w:w="5820" w:type="dxa"/>
            <w:vAlign w:val="bottom"/>
            <w:tcBorders>
              <w:right w:val="single" w:sz="8" w:color="614A3D"/>
            </w:tcBorders>
          </w:tcPr>
          <w:p>
            <w:pPr>
              <w:ind w:left="200"/>
              <w:spacing w:after="0"/>
              <w:rPr>
                <w:sz w:val="20"/>
                <w:szCs w:val="20"/>
                <w:color w:val="auto"/>
              </w:rPr>
            </w:pPr>
            <w:r>
              <w:rPr>
                <w:rFonts w:ascii="Arial" w:cs="Arial" w:eastAsia="Arial" w:hAnsi="Arial"/>
                <w:sz w:val="18"/>
                <w:szCs w:val="18"/>
                <w:color w:val="auto"/>
              </w:rPr>
              <w:t>û   Dividends or dividend equivalents on option awards</w:t>
            </w:r>
          </w:p>
        </w:tc>
        <w:tc>
          <w:tcPr>
            <w:tcW w:w="0" w:type="dxa"/>
            <w:vAlign w:val="bottom"/>
          </w:tcPr>
          <w:p>
            <w:pPr>
              <w:spacing w:after="0"/>
              <w:rPr>
                <w:sz w:val="1"/>
                <w:szCs w:val="1"/>
                <w:color w:val="auto"/>
              </w:rPr>
            </w:pPr>
          </w:p>
        </w:tc>
      </w:tr>
      <w:tr>
        <w:trPr>
          <w:trHeight w:val="218"/>
        </w:trPr>
        <w:tc>
          <w:tcPr>
            <w:tcW w:w="5620" w:type="dxa"/>
            <w:vAlign w:val="bottom"/>
            <w:tcBorders>
              <w:left w:val="single" w:sz="8" w:color="614A3D"/>
              <w:right w:val="single" w:sz="8" w:color="614A3D"/>
            </w:tcBorders>
          </w:tcPr>
          <w:p>
            <w:pPr>
              <w:ind w:left="520"/>
              <w:spacing w:after="0"/>
              <w:rPr>
                <w:sz w:val="20"/>
                <w:szCs w:val="20"/>
                <w:color w:val="auto"/>
              </w:rPr>
            </w:pPr>
            <w:r>
              <w:rPr>
                <w:rFonts w:ascii="Arial" w:cs="Arial" w:eastAsia="Arial" w:hAnsi="Arial"/>
                <w:sz w:val="18"/>
                <w:szCs w:val="18"/>
                <w:color w:val="auto"/>
              </w:rPr>
              <w:t>directors</w:t>
            </w:r>
          </w:p>
        </w:tc>
        <w:tc>
          <w:tcPr>
            <w:tcW w:w="5820" w:type="dxa"/>
            <w:vAlign w:val="bottom"/>
            <w:tcBorders>
              <w:right w:val="single" w:sz="8" w:color="614A3D"/>
            </w:tcBorders>
          </w:tcPr>
          <w:p>
            <w:pPr>
              <w:ind w:left="200"/>
              <w:spacing w:after="0"/>
              <w:rPr>
                <w:sz w:val="20"/>
                <w:szCs w:val="20"/>
                <w:color w:val="auto"/>
              </w:rPr>
            </w:pPr>
            <w:r>
              <w:rPr>
                <w:rFonts w:ascii="Arial" w:cs="Arial" w:eastAsia="Arial" w:hAnsi="Arial"/>
                <w:sz w:val="18"/>
                <w:szCs w:val="18"/>
                <w:color w:val="auto"/>
              </w:rPr>
              <w:t>û   Re-pricing of underwater options</w:t>
            </w:r>
          </w:p>
        </w:tc>
        <w:tc>
          <w:tcPr>
            <w:tcW w:w="0" w:type="dxa"/>
            <w:vAlign w:val="bottom"/>
          </w:tcPr>
          <w:p>
            <w:pPr>
              <w:spacing w:after="0"/>
              <w:rPr>
                <w:sz w:val="1"/>
                <w:szCs w:val="1"/>
                <w:color w:val="auto"/>
              </w:rPr>
            </w:pPr>
          </w:p>
        </w:tc>
      </w:tr>
      <w:tr>
        <w:trPr>
          <w:trHeight w:val="206"/>
        </w:trPr>
        <w:tc>
          <w:tcPr>
            <w:tcW w:w="5620" w:type="dxa"/>
            <w:vAlign w:val="bottom"/>
            <w:tcBorders>
              <w:left w:val="single" w:sz="8" w:color="614A3D"/>
              <w:right w:val="single" w:sz="8" w:color="614A3D"/>
            </w:tcBorders>
          </w:tcPr>
          <w:p>
            <w:pPr>
              <w:ind w:left="120"/>
              <w:spacing w:after="0" w:line="206" w:lineRule="exact"/>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Use of an independent compensation consultant retained directly</w:t>
            </w:r>
          </w:p>
        </w:tc>
        <w:tc>
          <w:tcPr>
            <w:tcW w:w="5820" w:type="dxa"/>
            <w:vAlign w:val="bottom"/>
            <w:tcBorders>
              <w:right w:val="single" w:sz="8" w:color="614A3D"/>
            </w:tcBorders>
            <w:vMerge w:val="restart"/>
          </w:tcPr>
          <w:p>
            <w:pPr>
              <w:ind w:left="200"/>
              <w:spacing w:after="0"/>
              <w:rPr>
                <w:sz w:val="20"/>
                <w:szCs w:val="20"/>
                <w:color w:val="auto"/>
              </w:rPr>
            </w:pPr>
            <w:r>
              <w:rPr>
                <w:rFonts w:ascii="Arial" w:cs="Arial" w:eastAsia="Arial" w:hAnsi="Arial"/>
                <w:sz w:val="18"/>
                <w:szCs w:val="18"/>
                <w:color w:val="auto"/>
              </w:rPr>
              <w:t>û   Supplemental retirement or pension benefits for executives</w:t>
            </w:r>
          </w:p>
        </w:tc>
        <w:tc>
          <w:tcPr>
            <w:tcW w:w="0" w:type="dxa"/>
            <w:vAlign w:val="bottom"/>
          </w:tcPr>
          <w:p>
            <w:pPr>
              <w:spacing w:after="0"/>
              <w:rPr>
                <w:sz w:val="1"/>
                <w:szCs w:val="1"/>
                <w:color w:val="auto"/>
              </w:rPr>
            </w:pPr>
          </w:p>
        </w:tc>
      </w:tr>
      <w:tr>
        <w:trPr>
          <w:trHeight w:val="116"/>
        </w:trPr>
        <w:tc>
          <w:tcPr>
            <w:tcW w:w="5620" w:type="dxa"/>
            <w:vAlign w:val="bottom"/>
            <w:tcBorders>
              <w:left w:val="single" w:sz="8" w:color="614A3D"/>
              <w:right w:val="single" w:sz="8" w:color="614A3D"/>
            </w:tcBorders>
            <w:vMerge w:val="restart"/>
          </w:tcPr>
          <w:p>
            <w:pPr>
              <w:ind w:left="520"/>
              <w:spacing w:after="0" w:line="202" w:lineRule="exact"/>
              <w:rPr>
                <w:sz w:val="20"/>
                <w:szCs w:val="20"/>
                <w:color w:val="auto"/>
              </w:rPr>
            </w:pPr>
            <w:r>
              <w:rPr>
                <w:rFonts w:ascii="Arial" w:cs="Arial" w:eastAsia="Arial" w:hAnsi="Arial"/>
                <w:sz w:val="18"/>
                <w:szCs w:val="18"/>
                <w:color w:val="auto"/>
              </w:rPr>
              <w:t>by the Compensation Committee, in its sole discretion, who</w:t>
            </w:r>
          </w:p>
        </w:tc>
        <w:tc>
          <w:tcPr>
            <w:tcW w:w="5820" w:type="dxa"/>
            <w:vAlign w:val="bottom"/>
            <w:tcBorders>
              <w:right w:val="single" w:sz="8" w:color="614A3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620" w:type="dxa"/>
            <w:vAlign w:val="bottom"/>
            <w:tcBorders>
              <w:left w:val="single" w:sz="8" w:color="614A3D"/>
              <w:right w:val="single" w:sz="8" w:color="614A3D"/>
            </w:tcBorders>
            <w:vMerge w:val="continue"/>
          </w:tcPr>
          <w:p>
            <w:pPr>
              <w:spacing w:after="0"/>
              <w:rPr>
                <w:sz w:val="7"/>
                <w:szCs w:val="7"/>
                <w:color w:val="auto"/>
              </w:rPr>
            </w:pPr>
          </w:p>
        </w:tc>
        <w:tc>
          <w:tcPr>
            <w:tcW w:w="5820" w:type="dxa"/>
            <w:vAlign w:val="bottom"/>
            <w:tcBorders>
              <w:right w:val="single" w:sz="8" w:color="614A3D"/>
            </w:tcBorders>
            <w:vMerge w:val="restart"/>
          </w:tcPr>
          <w:p>
            <w:pPr>
              <w:ind w:left="200"/>
              <w:spacing w:after="0"/>
              <w:rPr>
                <w:sz w:val="20"/>
                <w:szCs w:val="20"/>
                <w:color w:val="auto"/>
              </w:rPr>
            </w:pPr>
            <w:r>
              <w:rPr>
                <w:rFonts w:ascii="Arial" w:cs="Arial" w:eastAsia="Arial" w:hAnsi="Arial"/>
                <w:sz w:val="18"/>
                <w:szCs w:val="18"/>
                <w:color w:val="auto"/>
              </w:rPr>
              <w:t>û   Excise tax gross ups for new employees</w:t>
            </w:r>
          </w:p>
        </w:tc>
        <w:tc>
          <w:tcPr>
            <w:tcW w:w="0" w:type="dxa"/>
            <w:vAlign w:val="bottom"/>
          </w:tcPr>
          <w:p>
            <w:pPr>
              <w:spacing w:after="0"/>
              <w:rPr>
                <w:sz w:val="1"/>
                <w:szCs w:val="1"/>
                <w:color w:val="auto"/>
              </w:rPr>
            </w:pPr>
          </w:p>
        </w:tc>
      </w:tr>
      <w:tr>
        <w:trPr>
          <w:trHeight w:val="203"/>
        </w:trPr>
        <w:tc>
          <w:tcPr>
            <w:tcW w:w="5620" w:type="dxa"/>
            <w:vAlign w:val="bottom"/>
            <w:tcBorders>
              <w:left w:val="single" w:sz="8" w:color="614A3D"/>
              <w:right w:val="single" w:sz="8" w:color="614A3D"/>
            </w:tcBorders>
          </w:tcPr>
          <w:p>
            <w:pPr>
              <w:ind w:left="520"/>
              <w:spacing w:after="0" w:line="202" w:lineRule="exact"/>
              <w:rPr>
                <w:sz w:val="20"/>
                <w:szCs w:val="20"/>
                <w:color w:val="auto"/>
              </w:rPr>
            </w:pPr>
            <w:r>
              <w:rPr>
                <w:rFonts w:ascii="Arial" w:cs="Arial" w:eastAsia="Arial" w:hAnsi="Arial"/>
                <w:sz w:val="18"/>
                <w:szCs w:val="18"/>
                <w:color w:val="auto"/>
              </w:rPr>
              <w:t>performs no consulting or other services for the Company’s</w:t>
            </w:r>
          </w:p>
        </w:tc>
        <w:tc>
          <w:tcPr>
            <w:tcW w:w="5820" w:type="dxa"/>
            <w:vAlign w:val="bottom"/>
            <w:tcBorders>
              <w:right w:val="single" w:sz="8" w:color="614A3D"/>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tcPr>
          <w:p>
            <w:pPr>
              <w:ind w:left="520"/>
              <w:spacing w:after="0" w:line="185" w:lineRule="exact"/>
              <w:rPr>
                <w:sz w:val="20"/>
                <w:szCs w:val="20"/>
                <w:color w:val="auto"/>
              </w:rPr>
            </w:pPr>
            <w:r>
              <w:rPr>
                <w:rFonts w:ascii="Arial" w:cs="Arial" w:eastAsia="Arial" w:hAnsi="Arial"/>
                <w:sz w:val="18"/>
                <w:szCs w:val="18"/>
                <w:color w:val="auto"/>
              </w:rPr>
              <w:t>management</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Long-term vesting for principal stock option and restricted stock</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614A3D"/>
              <w:right w:val="single" w:sz="8" w:color="614A3D"/>
            </w:tcBorders>
          </w:tcPr>
          <w:p>
            <w:pPr>
              <w:ind w:left="520"/>
              <w:spacing w:after="0"/>
              <w:rPr>
                <w:sz w:val="20"/>
                <w:szCs w:val="20"/>
                <w:color w:val="auto"/>
              </w:rPr>
            </w:pPr>
            <w:r>
              <w:rPr>
                <w:rFonts w:ascii="Arial" w:cs="Arial" w:eastAsia="Arial" w:hAnsi="Arial"/>
                <w:sz w:val="18"/>
                <w:szCs w:val="18"/>
                <w:color w:val="auto"/>
                <w:w w:val="98"/>
              </w:rPr>
              <w:t>awards (including certain grants with ten year vesting) which has</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tcPr>
          <w:p>
            <w:pPr>
              <w:ind w:left="520"/>
              <w:spacing w:after="0" w:line="185" w:lineRule="exact"/>
              <w:rPr>
                <w:sz w:val="20"/>
                <w:szCs w:val="20"/>
                <w:color w:val="auto"/>
              </w:rPr>
            </w:pPr>
            <w:r>
              <w:rPr>
                <w:rFonts w:ascii="Arial" w:cs="Arial" w:eastAsia="Arial" w:hAnsi="Arial"/>
                <w:sz w:val="18"/>
                <w:szCs w:val="18"/>
                <w:color w:val="auto"/>
              </w:rPr>
              <w:t>an ownership effect similar to that of a holding period policy</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Approximately 50% of the 2014 annual incentive awards were</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614A3D"/>
              <w:right w:val="single" w:sz="8" w:color="614A3D"/>
            </w:tcBorders>
          </w:tcPr>
          <w:p>
            <w:pPr>
              <w:ind w:left="520"/>
              <w:spacing w:after="0"/>
              <w:rPr>
                <w:sz w:val="20"/>
                <w:szCs w:val="20"/>
                <w:color w:val="auto"/>
              </w:rPr>
            </w:pPr>
            <w:r>
              <w:rPr>
                <w:rFonts w:ascii="Arial" w:cs="Arial" w:eastAsia="Arial" w:hAnsi="Arial"/>
                <w:sz w:val="18"/>
                <w:szCs w:val="18"/>
                <w:color w:val="auto"/>
              </w:rPr>
              <w:t>paid in the form of equity rather than cash, with awards to our</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614A3D"/>
              <w:right w:val="single" w:sz="8" w:color="614A3D"/>
            </w:tcBorders>
          </w:tcPr>
          <w:p>
            <w:pPr>
              <w:ind w:left="520"/>
              <w:spacing w:after="0" w:line="202" w:lineRule="exact"/>
              <w:rPr>
                <w:sz w:val="20"/>
                <w:szCs w:val="20"/>
                <w:color w:val="auto"/>
              </w:rPr>
            </w:pPr>
            <w:r>
              <w:rPr>
                <w:rFonts w:ascii="Arial" w:cs="Arial" w:eastAsia="Arial" w:hAnsi="Arial"/>
                <w:sz w:val="18"/>
                <w:szCs w:val="18"/>
                <w:color w:val="auto"/>
              </w:rPr>
              <w:t>NEOs other than the CEO (who already is a significant</w:t>
            </w:r>
          </w:p>
        </w:tc>
        <w:tc>
          <w:tcPr>
            <w:tcW w:w="582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tcPr>
          <w:p>
            <w:pPr>
              <w:ind w:left="520"/>
              <w:spacing w:after="0" w:line="185" w:lineRule="exact"/>
              <w:rPr>
                <w:sz w:val="20"/>
                <w:szCs w:val="20"/>
                <w:color w:val="auto"/>
              </w:rPr>
            </w:pPr>
            <w:r>
              <w:rPr>
                <w:rFonts w:ascii="Arial" w:cs="Arial" w:eastAsia="Arial" w:hAnsi="Arial"/>
                <w:sz w:val="18"/>
                <w:szCs w:val="18"/>
                <w:color w:val="auto"/>
              </w:rPr>
              <w:t>stockholder) being subject to a three-year Holding Period</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Meaningful stock ownership requirements for our NEOs and</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614A3D"/>
              <w:right w:val="single" w:sz="8" w:color="614A3D"/>
            </w:tcBorders>
          </w:tcPr>
          <w:p>
            <w:pPr>
              <w:ind w:left="520"/>
              <w:spacing w:after="0"/>
              <w:rPr>
                <w:sz w:val="20"/>
                <w:szCs w:val="20"/>
                <w:color w:val="auto"/>
              </w:rPr>
            </w:pPr>
            <w:r>
              <w:rPr>
                <w:rFonts w:ascii="Arial" w:cs="Arial" w:eastAsia="Arial" w:hAnsi="Arial"/>
                <w:sz w:val="18"/>
                <w:szCs w:val="18"/>
                <w:color w:val="auto"/>
              </w:rPr>
              <w:t>independent directors (including ten times base salary for the</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614A3D"/>
              <w:right w:val="single" w:sz="8" w:color="614A3D"/>
            </w:tcBorders>
          </w:tcPr>
          <w:p>
            <w:pPr>
              <w:ind w:left="520"/>
              <w:spacing w:after="0" w:line="202" w:lineRule="exact"/>
              <w:rPr>
                <w:sz w:val="20"/>
                <w:szCs w:val="20"/>
                <w:color w:val="auto"/>
              </w:rPr>
            </w:pPr>
            <w:r>
              <w:rPr>
                <w:rFonts w:ascii="Arial" w:cs="Arial" w:eastAsia="Arial" w:hAnsi="Arial"/>
                <w:sz w:val="18"/>
                <w:szCs w:val="18"/>
                <w:color w:val="auto"/>
              </w:rPr>
              <w:t>CEO, who owns approximately 10% of the Company’s</w:t>
            </w:r>
          </w:p>
        </w:tc>
        <w:tc>
          <w:tcPr>
            <w:tcW w:w="582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tcPr>
          <w:p>
            <w:pPr>
              <w:ind w:left="520"/>
              <w:spacing w:after="0" w:line="185" w:lineRule="exact"/>
              <w:rPr>
                <w:sz w:val="20"/>
                <w:szCs w:val="20"/>
                <w:color w:val="auto"/>
              </w:rPr>
            </w:pPr>
            <w:r>
              <w:rPr>
                <w:rFonts w:ascii="Arial" w:cs="Arial" w:eastAsia="Arial" w:hAnsi="Arial"/>
                <w:sz w:val="18"/>
                <w:szCs w:val="18"/>
                <w:color w:val="auto"/>
              </w:rPr>
              <w:t>outstanding Common Stock)</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Double-trigger change in control provisions</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Annually assess potential risks relating to the Company’s</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20" w:type="dxa"/>
            <w:vAlign w:val="bottom"/>
            <w:tcBorders>
              <w:left w:val="single" w:sz="8" w:color="614A3D"/>
              <w:bottom w:val="single" w:sz="8" w:color="614A3D"/>
              <w:right w:val="single" w:sz="8" w:color="614A3D"/>
            </w:tcBorders>
          </w:tcPr>
          <w:p>
            <w:pPr>
              <w:ind w:left="520"/>
              <w:spacing w:after="0" w:line="205" w:lineRule="exact"/>
              <w:rPr>
                <w:sz w:val="20"/>
                <w:szCs w:val="20"/>
                <w:color w:val="auto"/>
              </w:rPr>
            </w:pPr>
            <w:r>
              <w:rPr>
                <w:rFonts w:ascii="Arial" w:cs="Arial" w:eastAsia="Arial" w:hAnsi="Arial"/>
                <w:sz w:val="18"/>
                <w:szCs w:val="18"/>
                <w:color w:val="auto"/>
              </w:rPr>
              <w:t>compensation policies and practices</w:t>
            </w:r>
          </w:p>
        </w:tc>
        <w:tc>
          <w:tcPr>
            <w:tcW w:w="5820" w:type="dxa"/>
            <w:vAlign w:val="bottom"/>
            <w:tcBorders>
              <w:bottom w:val="single" w:sz="8" w:color="614A3D"/>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Philosophy and Overview of Our Executive Compensation Program</w:t>
      </w:r>
    </w:p>
    <w:p>
      <w:pPr>
        <w:spacing w:after="0" w:line="158"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b w:val="1"/>
          <w:bCs w:val="1"/>
          <w:i w:val="1"/>
          <w:iCs w:val="1"/>
          <w:color w:val="auto"/>
        </w:rPr>
        <w:t>Our Compensation Philosophy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believes that stockholder interests are best advanced by attracting and retaining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high-performing management team. To promote this objective, the Compensation Committee is guided by the following underlying principles in developing our executive compensation program:</w:t>
      </w:r>
    </w:p>
    <w:p>
      <w:pPr>
        <w:spacing w:after="0" w:line="45"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Top talent</w:t>
      </w:r>
      <w:r>
        <w:rPr>
          <w:rFonts w:ascii="Arial" w:cs="Arial" w:eastAsia="Arial" w:hAnsi="Arial"/>
          <w:sz w:val="16"/>
          <w:szCs w:val="16"/>
          <w:color w:val="auto"/>
        </w:rPr>
        <w:t>—Our program is designed to gain a long-term commitment from proven, accomplished executives that lead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029335" cy="4457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94"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20</w:t>
      </w:r>
    </w:p>
    <w:p>
      <w:pPr>
        <w:sectPr>
          <w:pgSz w:w="11900" w:h="16838" w:orient="portrait"/>
          <w:cols w:equalWidth="0" w:num="1">
            <w:col w:w="11440"/>
          </w:cols>
          <w:pgMar w:left="240" w:top="459" w:right="2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ind w:left="1020" w:hanging="215"/>
        <w:spacing w:after="0" w:line="23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Pay-for-performance</w:t>
      </w:r>
      <w:r>
        <w:rPr>
          <w:rFonts w:ascii="Arial" w:cs="Arial" w:eastAsia="Arial" w:hAnsi="Arial"/>
          <w:sz w:val="18"/>
          <w:szCs w:val="18"/>
          <w:color w:val="auto"/>
        </w:rPr>
        <w:t>—A high proportion of total compensation is at risk and tied to achievement of annual operating and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that drive stockholder value. As noted above, even when our EBITDA goals are achieved, the Compensation Committee has negative discretion to reduce the amounts payable based upon other performance considerations.</w:t>
      </w:r>
    </w:p>
    <w:p>
      <w:pPr>
        <w:spacing w:after="0" w:line="5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Stockholder alignment</w:t>
      </w:r>
      <w:r>
        <w:rPr>
          <w:rFonts w:ascii="Arial" w:cs="Arial" w:eastAsia="Arial" w:hAnsi="Arial"/>
          <w:sz w:val="18"/>
          <w:szCs w:val="18"/>
          <w:color w:val="auto"/>
        </w:rPr>
        <w:t>—Long-term incentives are provided in Company equity to encourage executives to plan and act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perspective of stockholders.</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Long-term performance orientation</w:t>
      </w:r>
      <w:r>
        <w:rPr>
          <w:rFonts w:ascii="Arial" w:cs="Arial" w:eastAsia="Arial" w:hAnsi="Arial"/>
          <w:sz w:val="18"/>
          <w:szCs w:val="18"/>
          <w:color w:val="auto"/>
        </w:rPr>
        <w:t>—The mix of incentives provided is designed to motivate long-term sustainable growth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brand and enterprise.</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Focus on total compensation</w:t>
      </w:r>
      <w:r>
        <w:rPr>
          <w:rFonts w:ascii="Arial" w:cs="Arial" w:eastAsia="Arial" w:hAnsi="Arial"/>
          <w:sz w:val="18"/>
          <w:szCs w:val="18"/>
          <w:color w:val="auto"/>
        </w:rPr>
        <w:t>—Compensation opportunities are considered in the context of total compensation relative to the pay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major gaming companies and other competitors for key talent.</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regularly reviews and evaluates the Company’s compensation arrangements to assess whether they are appropriately structured to support these objectives and are effective in enabling the Company to attract and retain top talent in key leadership positions. This regular review and evaluation resulted in significant changes to our compensation programs as described above.</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Mr. Wynn’s Talent, Image and Likeness Are Key to our Continued Success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Wynn has served as our CEO since the Company’s inception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2002, and during that period, has delivered exceptional value to our stockholders. Under Mr. Wynn’s leadership, from our initial public offering in 2002 through the end of 2014, we have paid approximately $5.9 billion, or $53.75 per share, in dividends to our stockholders, and our stockholders have seen a compounded annual total stockholder return (including reinvestment of dividends) of 27% over that same timeframe. Mr. Wynn is the founder, creator and name behind our brand. He brings extraordinary talent to our Company that is unrivaled in our industry. The Compensation Committee believes that Mr. Wynn’s contributions to our longstanding, consistent achievement over the last decade have been, and continue to be, instrumental in creating significant stockholder value. These factors were key in the determination of Mr. Wynn’s compensation during fiscal 2014. Mr. Wynn is also a significant stockholder and owns approximately 10% of the Company’s outstanding stock. The Compensation Committee believes that Mr. Wynn’s significant stock ownership in the Company aligns his interests with that of stockholders and as such Mr. Wynn has not historically participated in the Company’s equity incentive plans. However, for the 2014 annual incentive awards, the Compensation Committee paid a significant portion of Mr. Wynn’s annual incentive award in equity, as described above.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 Overview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Compensation Discussion and Analysis focuses on the following executives who were our NEOs in 2014: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776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614A3D"/>
              </w:rPr>
              <w:t>Title</w:t>
            </w:r>
          </w:p>
        </w:tc>
      </w:tr>
      <w:tr>
        <w:trPr>
          <w:trHeight w:val="262"/>
        </w:trPr>
        <w:tc>
          <w:tcPr>
            <w:tcW w:w="3660" w:type="dxa"/>
            <w:vAlign w:val="bottom"/>
          </w:tcPr>
          <w:p>
            <w:pPr>
              <w:spacing w:after="0"/>
              <w:rPr>
                <w:sz w:val="20"/>
                <w:szCs w:val="20"/>
                <w:color w:val="auto"/>
              </w:rPr>
            </w:pPr>
            <w:r>
              <w:rPr>
                <w:rFonts w:ascii="Arial" w:cs="Arial" w:eastAsia="Arial" w:hAnsi="Arial"/>
                <w:sz w:val="18"/>
                <w:szCs w:val="18"/>
                <w:color w:val="auto"/>
              </w:rPr>
              <w:t>Stephen A. Wynn</w:t>
            </w:r>
          </w:p>
        </w:tc>
        <w:tc>
          <w:tcPr>
            <w:tcW w:w="7760" w:type="dxa"/>
            <w:vAlign w:val="bottom"/>
          </w:tcPr>
          <w:p>
            <w:pPr>
              <w:ind w:left="230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Matt Maddox</w:t>
            </w:r>
          </w:p>
        </w:tc>
        <w:tc>
          <w:tcPr>
            <w:tcW w:w="7760" w:type="dxa"/>
            <w:vAlign w:val="bottom"/>
          </w:tcPr>
          <w:p>
            <w:pPr>
              <w:ind w:left="2300"/>
              <w:spacing w:after="0"/>
              <w:rPr>
                <w:sz w:val="20"/>
                <w:szCs w:val="20"/>
                <w:color w:val="auto"/>
              </w:rPr>
            </w:pPr>
            <w:r>
              <w:rPr>
                <w:rFonts w:ascii="Arial" w:cs="Arial" w:eastAsia="Arial" w:hAnsi="Arial"/>
                <w:sz w:val="18"/>
                <w:szCs w:val="18"/>
                <w:color w:val="auto"/>
              </w:rPr>
              <w:t>President</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Stephen Cootey</w:t>
            </w:r>
          </w:p>
        </w:tc>
        <w:tc>
          <w:tcPr>
            <w:tcW w:w="7760" w:type="dxa"/>
            <w:vAlign w:val="bottom"/>
          </w:tcPr>
          <w:p>
            <w:pPr>
              <w:ind w:left="230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Linda Chen</w:t>
            </w:r>
          </w:p>
        </w:tc>
        <w:tc>
          <w:tcPr>
            <w:tcW w:w="7760" w:type="dxa"/>
            <w:vAlign w:val="bottom"/>
          </w:tcPr>
          <w:p>
            <w:pPr>
              <w:ind w:left="2300"/>
              <w:spacing w:after="0"/>
              <w:rPr>
                <w:sz w:val="20"/>
                <w:szCs w:val="20"/>
                <w:color w:val="auto"/>
              </w:rPr>
            </w:pPr>
            <w:r>
              <w:rPr>
                <w:rFonts w:ascii="Arial" w:cs="Arial" w:eastAsia="Arial" w:hAnsi="Arial"/>
                <w:sz w:val="18"/>
                <w:szCs w:val="18"/>
                <w:color w:val="auto"/>
              </w:rPr>
              <w:t>President of Wynn International Marketing, Limited</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Kim Sinatra</w:t>
            </w:r>
          </w:p>
        </w:tc>
        <w:tc>
          <w:tcPr>
            <w:tcW w:w="7760" w:type="dxa"/>
            <w:vAlign w:val="bottom"/>
          </w:tcPr>
          <w:p>
            <w:pPr>
              <w:ind w:left="230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John Strzemp</w:t>
            </w:r>
          </w:p>
        </w:tc>
        <w:tc>
          <w:tcPr>
            <w:tcW w:w="7760" w:type="dxa"/>
            <w:vAlign w:val="bottom"/>
          </w:tcPr>
          <w:p>
            <w:pPr>
              <w:ind w:left="2300"/>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executive compensation program is simple in design and limited in scope. Each program component and the rationale for it are highlighted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gridSpan w:val="2"/>
          </w:tcPr>
          <w:p>
            <w:pPr>
              <w:spacing w:after="0"/>
              <w:rPr>
                <w:sz w:val="20"/>
                <w:szCs w:val="20"/>
                <w:color w:val="auto"/>
              </w:rPr>
            </w:pPr>
            <w:r>
              <w:rPr>
                <w:rFonts w:ascii="Arial" w:cs="Arial" w:eastAsia="Arial" w:hAnsi="Arial"/>
                <w:sz w:val="18"/>
                <w:szCs w:val="18"/>
                <w:b w:val="1"/>
                <w:bCs w:val="1"/>
                <w:color w:val="614A3D"/>
              </w:rPr>
              <w:t>Element</w:t>
            </w:r>
          </w:p>
        </w:tc>
        <w:tc>
          <w:tcPr>
            <w:tcW w:w="9360" w:type="dxa"/>
            <w:vAlign w:val="bottom"/>
            <w:gridSpan w:val="2"/>
          </w:tcPr>
          <w:p>
            <w:pPr>
              <w:ind w:left="1580"/>
              <w:spacing w:after="0"/>
              <w:rPr>
                <w:sz w:val="20"/>
                <w:szCs w:val="20"/>
                <w:color w:val="auto"/>
              </w:rPr>
            </w:pPr>
            <w:r>
              <w:rPr>
                <w:rFonts w:ascii="Arial" w:cs="Arial" w:eastAsia="Arial" w:hAnsi="Arial"/>
                <w:sz w:val="18"/>
                <w:szCs w:val="18"/>
                <w:b w:val="1"/>
                <w:bCs w:val="1"/>
                <w:color w:val="614A3D"/>
              </w:rPr>
              <w:t>Role and Objectives</w:t>
            </w:r>
          </w:p>
        </w:tc>
      </w:tr>
      <w:tr>
        <w:trPr>
          <w:trHeight w:val="181"/>
        </w:trPr>
        <w:tc>
          <w:tcPr>
            <w:tcW w:w="20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Base salary</w:t>
            </w:r>
          </w:p>
        </w:tc>
        <w:tc>
          <w:tcPr>
            <w:tcW w:w="9340" w:type="dxa"/>
            <w:vAlign w:val="bottom"/>
            <w:tcBorders>
              <w:top w:val="single" w:sz="8" w:color="auto"/>
            </w:tcBorders>
          </w:tcPr>
          <w:p>
            <w:pPr>
              <w:ind w:left="1580"/>
              <w:spacing w:after="0" w:line="182" w:lineRule="exact"/>
              <w:rPr>
                <w:sz w:val="20"/>
                <w:szCs w:val="20"/>
                <w:color w:val="auto"/>
              </w:rPr>
            </w:pPr>
            <w:r>
              <w:rPr>
                <w:rFonts w:ascii="Arial" w:cs="Arial" w:eastAsia="Arial" w:hAnsi="Arial"/>
                <w:sz w:val="18"/>
                <w:szCs w:val="18"/>
                <w:i w:val="1"/>
                <w:iCs w:val="1"/>
                <w:color w:val="auto"/>
              </w:rPr>
              <w:t>Provide a competitive, fixed level of cash compensation to attract and retain talented and skilled</w:t>
            </w:r>
          </w:p>
        </w:tc>
        <w:tc>
          <w:tcPr>
            <w:tcW w:w="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360" w:type="dxa"/>
            <w:vAlign w:val="bottom"/>
            <w:gridSpan w:val="2"/>
          </w:tcPr>
          <w:p>
            <w:pPr>
              <w:ind w:left="1580"/>
              <w:spacing w:after="0"/>
              <w:rPr>
                <w:sz w:val="20"/>
                <w:szCs w:val="20"/>
                <w:color w:val="auto"/>
              </w:rPr>
            </w:pPr>
            <w:r>
              <w:rPr>
                <w:rFonts w:ascii="Arial" w:cs="Arial" w:eastAsia="Arial" w:hAnsi="Arial"/>
                <w:sz w:val="18"/>
                <w:szCs w:val="18"/>
                <w:i w:val="1"/>
                <w:iCs w:val="1"/>
                <w:color w:val="auto"/>
              </w:rPr>
              <w:t>employees.</w:t>
            </w:r>
          </w:p>
        </w:tc>
      </w:tr>
      <w:tr>
        <w:trPr>
          <w:trHeight w:val="28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360" w:type="dxa"/>
            <w:vAlign w:val="bottom"/>
            <w:gridSpan w:val="2"/>
          </w:tcPr>
          <w:p>
            <w:pPr>
              <w:ind w:left="1580"/>
              <w:spacing w:after="0"/>
              <w:rPr>
                <w:sz w:val="20"/>
                <w:szCs w:val="20"/>
                <w:color w:val="auto"/>
              </w:rPr>
            </w:pPr>
            <w:r>
              <w:rPr>
                <w:rFonts w:ascii="Arial" w:cs="Arial" w:eastAsia="Arial" w:hAnsi="Arial"/>
                <w:sz w:val="18"/>
                <w:szCs w:val="18"/>
                <w:i w:val="1"/>
                <w:iCs w:val="1"/>
                <w:color w:val="auto"/>
              </w:rPr>
              <w:t>Recognize sustained performance, capabilities, job scope and experience.</w:t>
            </w:r>
          </w:p>
        </w:tc>
      </w:tr>
      <w:tr>
        <w:trPr>
          <w:trHeight w:val="183"/>
        </w:trPr>
        <w:tc>
          <w:tcPr>
            <w:tcW w:w="20" w:type="dxa"/>
            <w:vAlign w:val="bottom"/>
          </w:tcPr>
          <w:p>
            <w:pPr>
              <w:spacing w:after="0"/>
              <w:rPr>
                <w:sz w:val="15"/>
                <w:szCs w:val="15"/>
                <w:color w:val="auto"/>
              </w:rPr>
            </w:pPr>
          </w:p>
        </w:tc>
        <w:tc>
          <w:tcPr>
            <w:tcW w:w="206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b w:val="1"/>
                <w:bCs w:val="1"/>
                <w:color w:val="auto"/>
              </w:rPr>
              <w:t>Annual incentives</w:t>
            </w:r>
          </w:p>
        </w:tc>
        <w:tc>
          <w:tcPr>
            <w:tcW w:w="9340" w:type="dxa"/>
            <w:vAlign w:val="bottom"/>
            <w:tcBorders>
              <w:top w:val="single" w:sz="8" w:color="auto"/>
            </w:tcBorders>
          </w:tcPr>
          <w:p>
            <w:pPr>
              <w:ind w:left="1580"/>
              <w:spacing w:after="0" w:line="183" w:lineRule="exact"/>
              <w:rPr>
                <w:sz w:val="20"/>
                <w:szCs w:val="20"/>
                <w:color w:val="auto"/>
              </w:rPr>
            </w:pPr>
            <w:r>
              <w:rPr>
                <w:rFonts w:ascii="Arial" w:cs="Arial" w:eastAsia="Arial" w:hAnsi="Arial"/>
                <w:sz w:val="18"/>
                <w:szCs w:val="18"/>
                <w:i w:val="1"/>
                <w:iCs w:val="1"/>
                <w:color w:val="auto"/>
                <w:w w:val="98"/>
              </w:rPr>
              <w:t>Motivate and reward achievement of annual operating and strategic goals, which drive stockholder</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360" w:type="dxa"/>
            <w:vAlign w:val="bottom"/>
            <w:gridSpan w:val="2"/>
          </w:tcPr>
          <w:p>
            <w:pPr>
              <w:ind w:left="1580"/>
              <w:spacing w:after="0" w:line="202" w:lineRule="exact"/>
              <w:rPr>
                <w:sz w:val="20"/>
                <w:szCs w:val="20"/>
                <w:color w:val="auto"/>
              </w:rPr>
            </w:pPr>
            <w:r>
              <w:rPr>
                <w:rFonts w:ascii="Arial" w:cs="Arial" w:eastAsia="Arial" w:hAnsi="Arial"/>
                <w:sz w:val="18"/>
                <w:szCs w:val="18"/>
                <w:i w:val="1"/>
                <w:iCs w:val="1"/>
                <w:color w:val="auto"/>
                <w:w w:val="99"/>
              </w:rPr>
              <w:t>value. Under the 2014 Plan, in addition to the adjusted property EBITDA goal, additional qualifying</w:t>
            </w:r>
          </w:p>
        </w:tc>
      </w:t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360" w:type="dxa"/>
            <w:vAlign w:val="bottom"/>
            <w:gridSpan w:val="2"/>
          </w:tcPr>
          <w:p>
            <w:pPr>
              <w:ind w:left="1580"/>
              <w:spacing w:after="0" w:line="202" w:lineRule="exact"/>
              <w:rPr>
                <w:sz w:val="20"/>
                <w:szCs w:val="20"/>
                <w:color w:val="auto"/>
              </w:rPr>
            </w:pPr>
            <w:r>
              <w:rPr>
                <w:rFonts w:ascii="Arial" w:cs="Arial" w:eastAsia="Arial" w:hAnsi="Arial"/>
                <w:sz w:val="18"/>
                <w:szCs w:val="18"/>
                <w:i w:val="1"/>
                <w:iCs w:val="1"/>
                <w:color w:val="auto"/>
              </w:rPr>
              <w:t>annual operating and strategic goals are available for the Compensation Committee to choose</w:t>
            </w:r>
          </w:p>
        </w:tc>
      </w:tr>
      <w:tr>
        <w:trPr>
          <w:trHeight w:val="229"/>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360" w:type="dxa"/>
            <w:vAlign w:val="bottom"/>
            <w:gridSpan w:val="2"/>
          </w:tcPr>
          <w:p>
            <w:pPr>
              <w:ind w:left="1580"/>
              <w:spacing w:after="0"/>
              <w:rPr>
                <w:sz w:val="20"/>
                <w:szCs w:val="20"/>
                <w:color w:val="auto"/>
              </w:rPr>
            </w:pPr>
            <w:r>
              <w:rPr>
                <w:rFonts w:ascii="Arial" w:cs="Arial" w:eastAsia="Arial" w:hAnsi="Arial"/>
                <w:sz w:val="18"/>
                <w:szCs w:val="18"/>
                <w:i w:val="1"/>
                <w:iCs w:val="1"/>
                <w:color w:val="auto"/>
              </w:rPr>
              <w:t>from.</w:t>
            </w:r>
          </w:p>
        </w:tc>
      </w:tr>
      <w:tr>
        <w:trPr>
          <w:trHeight w:val="380"/>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360" w:type="dxa"/>
            <w:vAlign w:val="bottom"/>
            <w:tcBorders>
              <w:bottom w:val="single" w:sz="8" w:color="614A3D"/>
            </w:tcBorders>
            <w:gridSpan w:val="2"/>
          </w:tcPr>
          <w:p>
            <w:pPr>
              <w:jc w:val="right"/>
              <w:ind w:right="20"/>
              <w:spacing w:after="0"/>
              <w:rPr>
                <w:sz w:val="20"/>
                <w:szCs w:val="20"/>
                <w:color w:val="auto"/>
              </w:rPr>
            </w:pPr>
            <w:r>
              <w:rPr>
                <w:rFonts w:ascii="Arial" w:cs="Arial" w:eastAsia="Arial" w:hAnsi="Arial"/>
                <w:sz w:val="14"/>
                <w:szCs w:val="14"/>
                <w:b w:val="1"/>
                <w:bCs w:val="1"/>
                <w:color w:val="auto"/>
              </w:rPr>
              <w:t>Compensation Discussion and Analysis</w:t>
            </w:r>
          </w:p>
        </w:tc>
      </w:tr>
      <w:tr>
        <w:trPr>
          <w:trHeight w:val="30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 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Arial" w:cs="Arial" w:eastAsia="Arial" w:hAnsi="Arial"/>
                <w:sz w:val="18"/>
                <w:szCs w:val="18"/>
                <w:b w:val="1"/>
                <w:bCs w:val="1"/>
                <w:color w:val="614A3D"/>
              </w:rPr>
              <w:t>Element</w:t>
            </w:r>
          </w:p>
        </w:tc>
        <w:tc>
          <w:tcPr>
            <w:tcW w:w="8020" w:type="dxa"/>
            <w:vAlign w:val="bottom"/>
          </w:tcPr>
          <w:p>
            <w:pPr>
              <w:ind w:left="260"/>
              <w:spacing w:after="0"/>
              <w:rPr>
                <w:sz w:val="20"/>
                <w:szCs w:val="20"/>
                <w:color w:val="auto"/>
              </w:rPr>
            </w:pPr>
            <w:r>
              <w:rPr>
                <w:rFonts w:ascii="Arial" w:cs="Arial" w:eastAsia="Arial" w:hAnsi="Arial"/>
                <w:sz w:val="18"/>
                <w:szCs w:val="18"/>
                <w:b w:val="1"/>
                <w:bCs w:val="1"/>
                <w:color w:val="614A3D"/>
              </w:rPr>
              <w:t>Role and Objectives</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380" w:type="dxa"/>
            <w:vAlign w:val="bottom"/>
            <w:tcBorders>
              <w:top w:val="single" w:sz="8" w:color="auto"/>
            </w:tcBorders>
          </w:tcPr>
          <w:p>
            <w:pPr>
              <w:spacing w:after="0"/>
              <w:rPr>
                <w:sz w:val="23"/>
                <w:szCs w:val="23"/>
                <w:color w:val="auto"/>
              </w:rPr>
            </w:pPr>
          </w:p>
        </w:tc>
        <w:tc>
          <w:tcPr>
            <w:tcW w:w="8020" w:type="dxa"/>
            <w:vAlign w:val="bottom"/>
            <w:tcBorders>
              <w:top w:val="single" w:sz="8" w:color="auto"/>
            </w:tcBorders>
          </w:tcPr>
          <w:p>
            <w:pPr>
              <w:ind w:left="260"/>
              <w:spacing w:after="0"/>
              <w:rPr>
                <w:sz w:val="20"/>
                <w:szCs w:val="20"/>
                <w:color w:val="auto"/>
              </w:rPr>
            </w:pPr>
            <w:r>
              <w:rPr>
                <w:rFonts w:ascii="Arial" w:cs="Arial" w:eastAsia="Arial" w:hAnsi="Arial"/>
                <w:sz w:val="18"/>
                <w:szCs w:val="18"/>
                <w:i w:val="1"/>
                <w:iCs w:val="1"/>
                <w:color w:val="auto"/>
              </w:rPr>
              <w:t>Encourage  executive  retention.  For  the  2014  annual  incentive  awards,  the  Compensation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Committee paid a significant portion of these awards in equity, subject to the Holding Period, if</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applicable.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Enforce accountability for individual performance through discretionary reductions in awards as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8020" w:type="dxa"/>
            <w:vAlign w:val="bottom"/>
            <w:tcBorders>
              <w:bottom w:val="single" w:sz="8" w:color="auto"/>
            </w:tcBorders>
          </w:tcPr>
          <w:p>
            <w:pPr>
              <w:ind w:left="260"/>
              <w:spacing w:after="0"/>
              <w:rPr>
                <w:sz w:val="20"/>
                <w:szCs w:val="20"/>
                <w:color w:val="auto"/>
              </w:rPr>
            </w:pPr>
            <w:r>
              <w:rPr>
                <w:rFonts w:ascii="Arial" w:cs="Arial" w:eastAsia="Arial" w:hAnsi="Arial"/>
                <w:sz w:val="18"/>
                <w:szCs w:val="18"/>
                <w:i w:val="1"/>
                <w:iCs w:val="1"/>
                <w:color w:val="auto"/>
              </w:rPr>
              <w:t>deemed appropriate.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line="179" w:lineRule="exact"/>
              <w:rPr>
                <w:sz w:val="20"/>
                <w:szCs w:val="20"/>
                <w:color w:val="auto"/>
              </w:rPr>
            </w:pPr>
            <w:r>
              <w:rPr>
                <w:rFonts w:ascii="Arial" w:cs="Arial" w:eastAsia="Arial" w:hAnsi="Arial"/>
                <w:sz w:val="18"/>
                <w:szCs w:val="18"/>
                <w:b w:val="1"/>
                <w:bCs w:val="1"/>
                <w:color w:val="auto"/>
              </w:rPr>
              <w:t>Long-term incentive: Stock options &amp;</w:t>
            </w:r>
          </w:p>
        </w:tc>
        <w:tc>
          <w:tcPr>
            <w:tcW w:w="8020" w:type="dxa"/>
            <w:vAlign w:val="bottom"/>
          </w:tcPr>
          <w:p>
            <w:pPr>
              <w:ind w:left="260"/>
              <w:spacing w:after="0" w:line="179" w:lineRule="exact"/>
              <w:rPr>
                <w:sz w:val="20"/>
                <w:szCs w:val="20"/>
                <w:color w:val="auto"/>
              </w:rPr>
            </w:pPr>
            <w:r>
              <w:rPr>
                <w:rFonts w:ascii="Arial" w:cs="Arial" w:eastAsia="Arial" w:hAnsi="Arial"/>
                <w:sz w:val="18"/>
                <w:szCs w:val="18"/>
                <w:i w:val="1"/>
                <w:iCs w:val="1"/>
                <w:color w:val="auto"/>
              </w:rPr>
              <w:t>Align executives with stockholders.</w:t>
            </w:r>
          </w:p>
        </w:tc>
        <w:tc>
          <w:tcPr>
            <w:tcW w:w="0" w:type="dxa"/>
            <w:vAlign w:val="bottom"/>
          </w:tcPr>
          <w:p>
            <w:pPr>
              <w:spacing w:after="0"/>
              <w:rPr>
                <w:sz w:val="1"/>
                <w:szCs w:val="1"/>
                <w:color w:val="auto"/>
              </w:rPr>
            </w:pPr>
          </w:p>
        </w:tc>
      </w:tr>
      <w:tr>
        <w:trPr>
          <w:trHeight w:val="233"/>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802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Make periodic grants with long-term vesting (up to ten years) to encourage a long-term value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8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8020" w:type="dxa"/>
            <w:vAlign w:val="bottom"/>
            <w:tcBorders>
              <w:bottom w:val="single" w:sz="8" w:color="auto"/>
            </w:tcBorders>
          </w:tcPr>
          <w:p>
            <w:pPr>
              <w:ind w:left="260"/>
              <w:spacing w:after="0"/>
              <w:rPr>
                <w:sz w:val="20"/>
                <w:szCs w:val="20"/>
                <w:color w:val="auto"/>
              </w:rPr>
            </w:pPr>
            <w:r>
              <w:rPr>
                <w:rFonts w:ascii="Arial" w:cs="Arial" w:eastAsia="Arial" w:hAnsi="Arial"/>
                <w:sz w:val="18"/>
                <w:szCs w:val="18"/>
                <w:i w:val="1"/>
                <w:iCs w:val="1"/>
                <w:color w:val="auto"/>
              </w:rPr>
              <w:t>perspective and executive retention.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tcPr>
          <w:p>
            <w:pPr>
              <w:spacing w:after="0" w:line="183" w:lineRule="exact"/>
              <w:rPr>
                <w:sz w:val="20"/>
                <w:szCs w:val="20"/>
                <w:color w:val="auto"/>
              </w:rPr>
            </w:pPr>
            <w:r>
              <w:rPr>
                <w:rFonts w:ascii="Arial" w:cs="Arial" w:eastAsia="Arial" w:hAnsi="Arial"/>
                <w:sz w:val="18"/>
                <w:szCs w:val="18"/>
                <w:b w:val="1"/>
                <w:bCs w:val="1"/>
                <w:color w:val="auto"/>
              </w:rPr>
              <w:t>Executive benefits</w:t>
            </w:r>
          </w:p>
        </w:tc>
        <w:tc>
          <w:tcPr>
            <w:tcW w:w="8020" w:type="dxa"/>
            <w:vAlign w:val="bottom"/>
          </w:tcPr>
          <w:p>
            <w:pPr>
              <w:ind w:left="260"/>
              <w:spacing w:after="0" w:line="183" w:lineRule="exact"/>
              <w:rPr>
                <w:sz w:val="20"/>
                <w:szCs w:val="20"/>
                <w:color w:val="auto"/>
              </w:rPr>
            </w:pPr>
            <w:r>
              <w:rPr>
                <w:rFonts w:ascii="Arial" w:cs="Arial" w:eastAsia="Arial" w:hAnsi="Arial"/>
                <w:sz w:val="18"/>
                <w:szCs w:val="18"/>
                <w:i w:val="1"/>
                <w:iCs w:val="1"/>
                <w:color w:val="auto"/>
                <w:w w:val="98"/>
              </w:rPr>
              <w:t>Promote executive health through supplemental health benefits and provide for executives’ families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through supplemental life insurance policies.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w w:val="97"/>
              </w:rPr>
              <w:t>Offer industry-competitive merchandise discounts and certain complimentary privileges with respect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to the Company’s resorts.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w w:val="98"/>
              </w:rPr>
              <w:t>Mr. Wynn leases a villa at Wynn Las Vegas for use as his personal residence. The members of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9"/>
              </w:rPr>
              <w:t>Audit Committee and Board believe that having Mr. Wynn’s personal residence on the Company’s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property provides significant value to the Company and our stockholders. Prior to November 2013,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the villa was provided to Mr. Wynn as part of his compensation arrangements, with the rental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of the villa being reported as imputed income to Mr. Wynn, based on the fair market value of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accommodations provided. However, after considering evolving compensation practices, beginning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8"/>
              </w:rPr>
              <w:t>in November 2013, Mr. Wynn pays Wynn Las Vegas annual rent for the villa at its fair market value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based on a third-party expert opinion of value.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Consistent with the Board’s requirement that Mr. Wynn travel privately for security reasons,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Company historically has provided him with access to Company aircraft for both personal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7"/>
              </w:rPr>
              <w:t>business travel, as well as a car and driver in Las Vegas. In January 2015, Mr. Wynn’s employment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7"/>
              </w:rPr>
              <w:t>agreement and other relevant agreements with the Company were modified, effective as of January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rPr>
              <w:t>1, 2015, to, among other things, provide that Mr. Wynn will reimburse the Company for certain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20" w:type="dxa"/>
            <w:vAlign w:val="bottom"/>
          </w:tcPr>
          <w:p>
            <w:pPr>
              <w:ind w:left="260"/>
              <w:spacing w:after="0" w:line="202" w:lineRule="exact"/>
              <w:rPr>
                <w:sz w:val="20"/>
                <w:szCs w:val="20"/>
                <w:color w:val="auto"/>
              </w:rPr>
            </w:pPr>
            <w:r>
              <w:rPr>
                <w:rFonts w:ascii="Arial" w:cs="Arial" w:eastAsia="Arial" w:hAnsi="Arial"/>
                <w:sz w:val="18"/>
                <w:szCs w:val="18"/>
                <w:i w:val="1"/>
                <w:iCs w:val="1"/>
                <w:color w:val="auto"/>
                <w:w w:val="99"/>
              </w:rPr>
              <w:t>expenses for his personal use of Company aircraft, subject to a $250,000 credit per calendar year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as approved by the Compensation Committee.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Consistent with competitive practice in Macau, provide Ms. Chen with a car and driver, certain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tcPr>
          <w:p>
            <w:pPr>
              <w:ind w:left="260"/>
              <w:spacing w:after="0"/>
              <w:rPr>
                <w:sz w:val="20"/>
                <w:szCs w:val="20"/>
                <w:color w:val="auto"/>
              </w:rPr>
            </w:pPr>
            <w:r>
              <w:rPr>
                <w:rFonts w:ascii="Arial" w:cs="Arial" w:eastAsia="Arial" w:hAnsi="Arial"/>
                <w:sz w:val="18"/>
                <w:szCs w:val="18"/>
                <w:i w:val="1"/>
                <w:iCs w:val="1"/>
                <w:color w:val="auto"/>
              </w:rPr>
              <w:t>housing and living expenses and assistance with tax preparation.</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Elements of Executive Compensation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use a specific formula or weighting for allocating total compensation opportunities among the principal elements of our executive compensation program, which consists primarily of base salary, annual incentives, long-term equity awards and executive benefits and perquisites. Instead we offer what the Compensation Committee views to be effective for attracting and retaining key leaders while motivating management to maximize long-term Company value for our stockholders.</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Negotiated employment agreements establish the initial base salaries of our NEOs. We review and adjust their base salaries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periodically as deemed necessary due to competitive reasons, to reflect improvements in sustained performance, capabilities, and experience, and reward expansions of responsibility or other extraordinary circumstances. Mr. Wynn has not received a base salary increase since 2011 and effective January 1, 2015, his base salary decreased from $4,000,000 to $2,500,000. In 2014, Mr. Cootey joined the Company and received a base salary increase in connection with his promotion to Chief Financial Officer of the Company, and Ms. Sinatra received a base salary increase in connection with the extension of her employment agreement and her promotion from Senior Vice President and General Counsel to Executive Vice President and General Counsel and in recognition of her continued outstanding contributions to the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029335" cy="4457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6"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Executive</w:t>
            </w:r>
          </w:p>
        </w:tc>
        <w:tc>
          <w:tcPr>
            <w:tcW w:w="4220" w:type="dxa"/>
            <w:vAlign w:val="bottom"/>
            <w:tcBorders>
              <w:bottom w:val="single" w:sz="8" w:color="auto"/>
            </w:tcBorders>
            <w:gridSpan w:val="2"/>
          </w:tcPr>
          <w:p>
            <w:pPr>
              <w:ind w:left="2420"/>
              <w:spacing w:after="0"/>
              <w:rPr>
                <w:sz w:val="20"/>
                <w:szCs w:val="20"/>
                <w:color w:val="auto"/>
              </w:rPr>
            </w:pPr>
            <w:r>
              <w:rPr>
                <w:rFonts w:ascii="Arial" w:cs="Arial" w:eastAsia="Arial" w:hAnsi="Arial"/>
                <w:sz w:val="18"/>
                <w:szCs w:val="18"/>
                <w:b w:val="1"/>
                <w:bCs w:val="1"/>
                <w:color w:val="614A3D"/>
              </w:rPr>
              <w:t>2014 Base Salary</w:t>
            </w:r>
          </w:p>
        </w:tc>
        <w:tc>
          <w:tcPr>
            <w:tcW w:w="21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614A3D"/>
              </w:rPr>
              <w:t>2013 Base Salary</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Increase</w:t>
            </w:r>
          </w:p>
        </w:tc>
      </w:tr>
      <w:tr>
        <w:trPr>
          <w:trHeight w:val="199"/>
        </w:trPr>
        <w:tc>
          <w:tcPr>
            <w:tcW w:w="378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2780" w:type="dxa"/>
            <w:vAlign w:val="bottom"/>
          </w:tcPr>
          <w:p>
            <w:pPr>
              <w:ind w:left="2400"/>
              <w:spacing w:after="0" w:line="200"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0" w:lineRule="exact"/>
              <w:rPr>
                <w:sz w:val="20"/>
                <w:szCs w:val="20"/>
                <w:color w:val="auto"/>
              </w:rPr>
            </w:pPr>
            <w:r>
              <w:rPr>
                <w:rFonts w:ascii="Arial" w:cs="Arial" w:eastAsia="Arial" w:hAnsi="Arial"/>
                <w:sz w:val="18"/>
                <w:szCs w:val="18"/>
                <w:color w:val="auto"/>
              </w:rPr>
              <w:t>4,000,000</w:t>
            </w:r>
          </w:p>
        </w:tc>
        <w:tc>
          <w:tcPr>
            <w:tcW w:w="740" w:type="dxa"/>
            <w:vAlign w:val="bottom"/>
          </w:tcPr>
          <w:p>
            <w:pPr>
              <w:ind w:left="360"/>
              <w:spacing w:after="0" w:line="200"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4,000,000</w:t>
            </w:r>
          </w:p>
        </w:tc>
        <w:tc>
          <w:tcPr>
            <w:tcW w:w="12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0%</w:t>
            </w:r>
            <w:r>
              <w:rPr>
                <w:rFonts w:ascii="Arial" w:cs="Arial" w:eastAsia="Arial" w:hAnsi="Arial"/>
                <w:sz w:val="11"/>
                <w:szCs w:val="11"/>
                <w:color w:val="auto"/>
              </w:rPr>
              <w:t>(1)</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1,500,000</w:t>
            </w:r>
          </w:p>
        </w:tc>
        <w:tc>
          <w:tcPr>
            <w:tcW w:w="7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1,500,000</w:t>
            </w:r>
          </w:p>
        </w:tc>
        <w:tc>
          <w:tcPr>
            <w:tcW w:w="12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625,000</w:t>
            </w:r>
          </w:p>
        </w:tc>
        <w:tc>
          <w:tcPr>
            <w:tcW w:w="740" w:type="dxa"/>
            <w:vAlign w:val="bottom"/>
          </w:tcPr>
          <w:p>
            <w:pPr>
              <w:spacing w:after="0"/>
              <w:rPr>
                <w:sz w:val="17"/>
                <w:szCs w:val="17"/>
                <w:color w:val="auto"/>
              </w:rPr>
            </w:pP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N/A</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1,500,000</w:t>
            </w:r>
          </w:p>
        </w:tc>
        <w:tc>
          <w:tcPr>
            <w:tcW w:w="7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1,500,000</w:t>
            </w:r>
          </w:p>
        </w:tc>
        <w:tc>
          <w:tcPr>
            <w:tcW w:w="12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2780" w:type="dxa"/>
            <w:vAlign w:val="bottom"/>
          </w:tcPr>
          <w:p>
            <w:pPr>
              <w:ind w:left="24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850,000</w:t>
            </w:r>
          </w:p>
        </w:tc>
        <w:tc>
          <w:tcPr>
            <w:tcW w:w="7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800,000</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w:t>
            </w:r>
            <w:r>
              <w:rPr>
                <w:rFonts w:ascii="Arial" w:cs="Arial" w:eastAsia="Arial" w:hAnsi="Arial"/>
                <w:sz w:val="11"/>
                <w:szCs w:val="11"/>
                <w:color w:val="auto"/>
              </w:rPr>
              <w:t>(3)</w:t>
            </w:r>
          </w:p>
        </w:tc>
      </w:tr>
      <w:tr>
        <w:trPr>
          <w:trHeight w:val="211"/>
        </w:trPr>
        <w:tc>
          <w:tcPr>
            <w:tcW w:w="3780" w:type="dxa"/>
            <w:vAlign w:val="bottom"/>
          </w:tcPr>
          <w:p>
            <w:pPr>
              <w:spacing w:after="0"/>
              <w:rPr>
                <w:sz w:val="20"/>
                <w:szCs w:val="20"/>
                <w:color w:val="auto"/>
              </w:rPr>
            </w:pPr>
            <w:r>
              <w:rPr>
                <w:rFonts w:ascii="Arial" w:cs="Arial" w:eastAsia="Arial" w:hAnsi="Arial"/>
                <w:sz w:val="18"/>
                <w:szCs w:val="18"/>
                <w:color w:val="auto"/>
              </w:rPr>
              <w:t>John Strzemp</w:t>
            </w:r>
          </w:p>
        </w:tc>
        <w:tc>
          <w:tcPr>
            <w:tcW w:w="2780" w:type="dxa"/>
            <w:vAlign w:val="bottom"/>
          </w:tcPr>
          <w:p>
            <w:pPr>
              <w:ind w:left="24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750,000</w:t>
            </w:r>
          </w:p>
        </w:tc>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750,000</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w:t>
            </w:r>
          </w:p>
        </w:tc>
      </w:tr>
    </w:tbl>
    <w:p>
      <w:pPr>
        <w:spacing w:after="0" w:line="3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Wynn’s base salary was decreased to $2,500,000, effective January 1, 2015.</w:t>
      </w:r>
    </w:p>
    <w:p>
      <w:pPr>
        <w:ind w:left="340" w:hanging="332"/>
        <w:spacing w:after="0" w:line="182" w:lineRule="auto"/>
        <w:tabs>
          <w:tab w:leader="none" w:pos="340" w:val="left"/>
        </w:tabs>
        <w:numPr>
          <w:ilvl w:val="0"/>
          <w:numId w:val="2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Cootey joined the Company as Senior Vice President – Finance in January 2014 and was promoted to Chief Financial Officer, effective as of May 16, 2014.</w:t>
      </w:r>
    </w:p>
    <w:p>
      <w:pPr>
        <w:ind w:left="340" w:hanging="332"/>
        <w:spacing w:after="0" w:line="180" w:lineRule="auto"/>
        <w:tabs>
          <w:tab w:leader="none" w:pos="340" w:val="left"/>
        </w:tabs>
        <w:numPr>
          <w:ilvl w:val="0"/>
          <w:numId w:val="2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Ms. Sinatra’s base salary was increased in connection with the extension of her employment agreement and her promotion from Senior Vice President and General Counsel to Executive Vice President and General Counsel, effective as of February 27, 2014, and in recognition of her continued outstanding contributions to the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Annual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2014, our NEOs were granted annual incentive awards under our 2014 Plan. Within 90 days after the commencement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the Compensation Committee established the annual performance criteria for the senior executive officers it selected to participate in the 2014 Plan. The 2014 annual performance criteria provided that the maximum annual incentive was $25 million for Mr. Wynn and two times base salary for the other NEO participants. For the 2014 annual incentive awards, the Compensation Committee approved the use of three performance goals: (a) achievement of a 2014 adjusted property EBITDA goal, (b) retention of specified third party recognition of quality and performance as of December 1, 2014, and (c) achievement of certain goals related to the development of Wynn Palace as of December 1, 2014.</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each of the performance goals was achieved at maximum levels, the NEO participants were entitled to receive the maximum awards set forth in the table below. These awards were subject to (i) the limitations set forth in the 2014 Plan, including the cash and stock grant limits and continued employment through the end of the performance period, (ii) the Compensation Committee’s ability, in its discretion, to reduce actual bonus amounts paid based on a variety of factors, including corporate, property level and individual performance, as well as general macroeconomic conditions, and (iii) payment of at least 50% of the awards in shares of Common Stock subject to the Holding Period, if applicable. With respect to the 2014 annual incentive awards, the Committee certified that each of the performance goals were attained and established the award payouts set forth below in January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614A3D"/>
              </w:rPr>
              <w:t>Named Executive Officer</w:t>
            </w:r>
          </w:p>
        </w:tc>
        <w:tc>
          <w:tcPr>
            <w:tcW w:w="4320" w:type="dxa"/>
            <w:vAlign w:val="bottom"/>
            <w:gridSpan w:val="2"/>
            <w:vMerge w:val="restart"/>
          </w:tcPr>
          <w:p>
            <w:pPr>
              <w:ind w:left="2420"/>
              <w:spacing w:after="0"/>
              <w:rPr>
                <w:sz w:val="20"/>
                <w:szCs w:val="20"/>
                <w:color w:val="auto"/>
              </w:rPr>
            </w:pPr>
            <w:r>
              <w:rPr>
                <w:rFonts w:ascii="Arial" w:cs="Arial" w:eastAsia="Arial" w:hAnsi="Arial"/>
                <w:sz w:val="18"/>
                <w:szCs w:val="18"/>
                <w:b w:val="1"/>
                <w:bCs w:val="1"/>
                <w:color w:val="614A3D"/>
              </w:rPr>
              <w:t>Maximum Award</w:t>
            </w:r>
          </w:p>
        </w:tc>
        <w:tc>
          <w:tcPr>
            <w:tcW w:w="100" w:type="dxa"/>
            <w:vAlign w:val="bottom"/>
          </w:tcPr>
          <w:p>
            <w:pPr>
              <w:spacing w:after="0"/>
              <w:rPr>
                <w:sz w:val="14"/>
                <w:szCs w:val="14"/>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614A3D"/>
              </w:rPr>
              <w:t>Actual Award</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auto"/>
            </w:tcBorders>
            <w:vMerge w:val="continue"/>
          </w:tcPr>
          <w:p>
            <w:pPr>
              <w:spacing w:after="0"/>
              <w:rPr>
                <w:sz w:val="17"/>
                <w:szCs w:val="17"/>
                <w:color w:val="auto"/>
              </w:rPr>
            </w:pPr>
          </w:p>
        </w:tc>
        <w:tc>
          <w:tcPr>
            <w:tcW w:w="4320" w:type="dxa"/>
            <w:vAlign w:val="bottom"/>
            <w:tcBorders>
              <w:bottom w:val="single" w:sz="8" w:color="auto"/>
            </w:tcBorders>
            <w:gridSpan w:val="2"/>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75"/>
              <w:spacing w:after="0" w:line="196" w:lineRule="exact"/>
              <w:rPr>
                <w:sz w:val="20"/>
                <w:szCs w:val="20"/>
                <w:color w:val="auto"/>
              </w:rPr>
            </w:pPr>
            <w:r>
              <w:rPr>
                <w:rFonts w:ascii="Arial" w:cs="Arial" w:eastAsia="Arial" w:hAnsi="Arial"/>
                <w:sz w:val="18"/>
                <w:szCs w:val="18"/>
                <w:b w:val="1"/>
                <w:bCs w:val="1"/>
                <w:color w:val="614A3D"/>
              </w:rPr>
              <w:t>Cash</w:t>
            </w: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614A3D"/>
                <w:w w:val="96"/>
              </w:rPr>
              <w:t>Equity</w:t>
            </w:r>
            <w:r>
              <w:rPr>
                <w:rFonts w:ascii="Arial" w:cs="Arial" w:eastAsia="Arial" w:hAnsi="Arial"/>
                <w:sz w:val="22"/>
                <w:szCs w:val="22"/>
                <w:b w:val="1"/>
                <w:bCs w:val="1"/>
                <w:color w:val="614A3D"/>
                <w:w w:val="96"/>
                <w:vertAlign w:val="superscript"/>
              </w:rPr>
              <w:t>(2)(3)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2720" w:type="dxa"/>
            <w:vAlign w:val="bottom"/>
          </w:tcPr>
          <w:p>
            <w:pPr>
              <w:ind w:left="2420"/>
              <w:spacing w:after="0" w:line="200"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200" w:lineRule="exact"/>
              <w:rPr>
                <w:sz w:val="20"/>
                <w:szCs w:val="20"/>
                <w:color w:val="auto"/>
              </w:rPr>
            </w:pPr>
            <w:r>
              <w:rPr>
                <w:rFonts w:ascii="Arial" w:cs="Arial" w:eastAsia="Arial" w:hAnsi="Arial"/>
                <w:sz w:val="18"/>
                <w:szCs w:val="18"/>
                <w:color w:val="auto"/>
              </w:rPr>
              <w:t>25,000,000</w:t>
            </w: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200" w:lineRule="exact"/>
              <w:rPr>
                <w:sz w:val="20"/>
                <w:szCs w:val="20"/>
                <w:color w:val="auto"/>
              </w:rPr>
            </w:pPr>
            <w:r>
              <w:rPr>
                <w:rFonts w:ascii="Arial" w:cs="Arial" w:eastAsia="Arial" w:hAnsi="Arial"/>
                <w:sz w:val="18"/>
                <w:szCs w:val="18"/>
                <w:color w:val="auto"/>
                <w:w w:val="97"/>
              </w:rPr>
              <w:t>10,000,000</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80" w:type="dxa"/>
            <w:vAlign w:val="bottom"/>
          </w:tcPr>
          <w:p>
            <w:pPr>
              <w:spacing w:after="0" w:line="194" w:lineRule="exact"/>
              <w:rPr>
                <w:sz w:val="20"/>
                <w:szCs w:val="20"/>
                <w:color w:val="auto"/>
              </w:rPr>
            </w:pPr>
            <w:r>
              <w:rPr>
                <w:rFonts w:ascii="Arial" w:cs="Arial" w:eastAsia="Arial" w:hAnsi="Arial"/>
                <w:sz w:val="18"/>
                <w:szCs w:val="18"/>
                <w:color w:val="auto"/>
              </w:rPr>
              <w:t>Matt Maddox</w:t>
            </w:r>
          </w:p>
        </w:tc>
        <w:tc>
          <w:tcPr>
            <w:tcW w:w="2720" w:type="dxa"/>
            <w:vAlign w:val="bottom"/>
          </w:tcPr>
          <w:p>
            <w:pPr>
              <w:ind w:left="2420"/>
              <w:spacing w:after="0" w:line="194"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194" w:lineRule="exact"/>
              <w:rPr>
                <w:sz w:val="20"/>
                <w:szCs w:val="20"/>
                <w:color w:val="auto"/>
              </w:rPr>
            </w:pPr>
            <w:r>
              <w:rPr>
                <w:rFonts w:ascii="Arial" w:cs="Arial" w:eastAsia="Arial" w:hAnsi="Arial"/>
                <w:sz w:val="18"/>
                <w:szCs w:val="18"/>
                <w:color w:val="auto"/>
              </w:rPr>
              <w:t>3,000,000</w:t>
            </w:r>
          </w:p>
        </w:tc>
        <w:tc>
          <w:tcPr>
            <w:tcW w:w="10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194" w:lineRule="exact"/>
              <w:rPr>
                <w:sz w:val="20"/>
                <w:szCs w:val="20"/>
                <w:color w:val="auto"/>
              </w:rPr>
            </w:pPr>
            <w:r>
              <w:rPr>
                <w:rFonts w:ascii="Arial" w:cs="Arial" w:eastAsia="Arial" w:hAnsi="Arial"/>
                <w:sz w:val="18"/>
                <w:szCs w:val="18"/>
                <w:color w:val="auto"/>
              </w:rPr>
              <w:t>1,500,000</w:t>
            </w: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4" w:lineRule="exact"/>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line="211" w:lineRule="exact"/>
              <w:rPr>
                <w:sz w:val="20"/>
                <w:szCs w:val="20"/>
                <w:color w:val="auto"/>
              </w:rPr>
            </w:pPr>
            <w:r>
              <w:rPr>
                <w:rFonts w:ascii="Arial" w:cs="Arial" w:eastAsia="Arial" w:hAnsi="Arial"/>
                <w:sz w:val="18"/>
                <w:szCs w:val="18"/>
                <w:color w:val="auto"/>
              </w:rPr>
              <w:t xml:space="preserve">Stephen Cootey </w:t>
            </w:r>
            <w:r>
              <w:rPr>
                <w:rFonts w:ascii="Arial" w:cs="Arial" w:eastAsia="Arial" w:hAnsi="Arial"/>
                <w:sz w:val="22"/>
                <w:szCs w:val="22"/>
                <w:i w:val="1"/>
                <w:iCs w:val="1"/>
                <w:color w:val="auto"/>
                <w:vertAlign w:val="superscript"/>
              </w:rPr>
              <w:t>(1)</w:t>
            </w:r>
          </w:p>
        </w:tc>
        <w:tc>
          <w:tcPr>
            <w:tcW w:w="2720" w:type="dxa"/>
            <w:vAlign w:val="bottom"/>
          </w:tcPr>
          <w:p>
            <w:pPr>
              <w:spacing w:after="0"/>
              <w:rPr>
                <w:sz w:val="18"/>
                <w:szCs w:val="18"/>
                <w:color w:val="auto"/>
              </w:rPr>
            </w:pP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2720" w:type="dxa"/>
            <w:vAlign w:val="bottom"/>
          </w:tcPr>
          <w:p>
            <w:pPr>
              <w:ind w:left="24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3,000,000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1,500,000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2720" w:type="dxa"/>
            <w:vAlign w:val="bottom"/>
          </w:tcPr>
          <w:p>
            <w:pPr>
              <w:ind w:left="24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1,700,000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850,000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80" w:type="dxa"/>
            <w:vAlign w:val="bottom"/>
          </w:tcPr>
          <w:p>
            <w:pPr>
              <w:spacing w:after="0"/>
              <w:rPr>
                <w:sz w:val="20"/>
                <w:szCs w:val="20"/>
                <w:color w:val="auto"/>
              </w:rPr>
            </w:pPr>
            <w:r>
              <w:rPr>
                <w:rFonts w:ascii="Arial" w:cs="Arial" w:eastAsia="Arial" w:hAnsi="Arial"/>
                <w:sz w:val="18"/>
                <w:szCs w:val="18"/>
                <w:color w:val="auto"/>
              </w:rPr>
              <w:t>John Strzemp</w:t>
            </w:r>
          </w:p>
        </w:tc>
        <w:tc>
          <w:tcPr>
            <w:tcW w:w="2720" w:type="dxa"/>
            <w:vAlign w:val="bottom"/>
          </w:tcPr>
          <w:p>
            <w:pPr>
              <w:ind w:left="24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32"/>
              <w:spacing w:after="0"/>
              <w:rPr>
                <w:sz w:val="20"/>
                <w:szCs w:val="20"/>
                <w:color w:val="auto"/>
              </w:rPr>
            </w:pPr>
            <w:r>
              <w:rPr>
                <w:rFonts w:ascii="Arial" w:cs="Arial" w:eastAsia="Arial" w:hAnsi="Arial"/>
                <w:sz w:val="18"/>
                <w:szCs w:val="18"/>
                <w:color w:val="auto"/>
              </w:rPr>
              <w:t>1,500,000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750,000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40" w:hanging="332"/>
        <w:spacing w:after="0" w:line="180" w:lineRule="auto"/>
        <w:tabs>
          <w:tab w:leader="none" w:pos="340" w:val="left"/>
        </w:tabs>
        <w:numPr>
          <w:ilvl w:val="0"/>
          <w:numId w:val="2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Cootey was not a NEO at the time the Compensation Committee identified the senior executive officers to participate in the 2014 Plan for 2014 and established the annual performance criteria.</w:t>
      </w:r>
    </w:p>
    <w:p>
      <w:pPr>
        <w:ind w:left="340" w:hanging="332"/>
        <w:spacing w:after="0" w:line="182" w:lineRule="auto"/>
        <w:tabs>
          <w:tab w:leader="none" w:pos="340" w:val="left"/>
        </w:tabs>
        <w:numPr>
          <w:ilvl w:val="0"/>
          <w:numId w:val="2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The equity awards are fully vested but, except with respect to Mr. Wynn, are subject to a three year holding period.</w:t>
      </w:r>
    </w:p>
    <w:p>
      <w:pPr>
        <w:ind w:left="340" w:hanging="332"/>
        <w:spacing w:after="0" w:line="188" w:lineRule="auto"/>
        <w:tabs>
          <w:tab w:leader="none" w:pos="34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The amounts set forth in this column reflect the aggregate grant date fair value of stock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established a target of $1.60 billion adjusted property EBITDA on a consolidated basis for maximum funding and a target of $1.50 billion for partial funding. These targets were below the record level of EBITDA achieved by the Company in 2013 in light of the competitive environment for the Company’s facilities including the dramatic increase in supply in Macau, uncertainty as to the overall macroeconomic conditions in both China and the United States and the Company’s development cycle for the production of increased supply in Macau. The Committee determined these factors could cause variability and unpredictability in our results, notwithstanding that the Company has achieved strong results for prior periods. These same considerations underlie the Company’s practice of not providing guidance or projections for its financial results. Actual adjusted property EBITDA for 2014 was $1.77 billion, above maximum but slightly below the record level of adjusted property EBITDA achieved in 2013. The target level of achievement for the other two performance goals are competitively sensitive but were likewise established at levels that the Committee determined to be challenging and substantially uncertain.</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Cootey joined the Company as Senior Vice President – Finance in January 2014 and was promoted to Chief Financial Officer in May 2014. Pursuant to his employment agreement, for 2014, the Compensation Committee awarded him a bonus of $625,000, an amount equal to 100% of his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029335" cy="4457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17"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historically has only made periodic (not annual) equity grants to executives including our NEOs.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has used equity awards and, from time to time, long-term cash retention awards, to attract qualified individuals to work for the Company, to align executives with the perspective of stockholders, and to reward extraordinary performance and encourage retention with the Company. Periodic grants to NEOs typically have been made with long-term vesting dates of up to ten years to promote retention of talent deemed important to the Company’s continued prosperity, thereby building a talent base to drive sustained Company performance and growth. For 2014, the Compensation Committee did not grant long-term equity awards to any of the NEOs, other than 7,500 shares of restricted to stock to Ms. Sinatra in connection with the extension of her employment agreement and 20,000 shares of restricted stock to Mr. Cootey in connection with his new employment agreement.</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Executive 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our NEOs with other benefits that we believe are reasonable, competitive and consistent with our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programs. We believe that these benefits generally allow our executives to work more efficiently, promote our brand and are legitimate business expenses. The primary executive benefits include certain health insurance coverage, life insurance premiums, discounts and complimentary privileges with respect to the Company’s resorts which are described in the footnotes to the “Summary Compensation Table.” In addition, Mr. Wynn has access to the Company’s aircraft pursuant to a time sharing agreement described in “Certain Relationships and Related Transactions — Aircraft Arrangements.” For security purposes, the Board requires Mr. Wynn to travel on Company aircraft for both personal and business travel, and the Company provides cars and a driver in Las Vegas for his business and personal use. In January 2015, Mr. Wynn’s employment agreement and other relevant agreements with the Company were modified to, among other things, provide that Mr. Wynn reimburse the Company for certain expenses for his personal use of Company aircraft, subject to a $250,000 credit per calendar year as approved by the Compensation Committee. Consistent with competitive practice in Macau, Ms. Chen receives a car and driver, certain housing and living expenses and assistance with tax preparation.</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Mr. Wynn currently leases a villa at Wynn Las Vegas for use as his personal residence. The lease, including each amendment and/or restatement thereof was approved by the Audit Committee of the Board. The members of the Audit Committee and Board believe that having Mr. Wynn’s personal residence on the Company’s property provides significant value to the Company and our stockholders. Accordingly, prior to November 2013,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and amended as of February 25, 2015 (the “SW Lease”), Mr. Wynn pays Wynn Las Vegas annual rent for the villa at its fair market value of the accommodations based on independent third-party expert opinions of value, which is $525,000 per year through February 28, 2015 and $559,295 per year from March 1, 2015 through February 28, 2017. The rental value for the villa will be re-determined every two years during the term of the SW Lease by the 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How We Make Pay Decisions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Role of the Compensation Committee and Management in Setting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sets all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our NEOs based upon consideration of their contributions to the operating and strategic performance of the Company. The Compensation Committee considers the recommendations of the CEO in establishing compensation for all other NEOs. In addition, the CEO performs annual reviews of all of our senior executive officers and makes recommendations to the Compensation Committee. The Compensation Committee reviews the recommendations and makes final decisions regarding compensation for our senior executive officers.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Role of the Compensation Consultant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has the authority to retain compensation consulting firms exclusively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 it in the evaluation of senior executive officer and employee compensation and benefit programs. Since 2011, the Compensation Committee has retained Pay Governance LLC, a nationally-recognized independent compensation consulting firm, to assist in performing its duties. Pay Governance does not provide other services to the Company or the Company’s management. In 2014, Pay Governance advised the Compensation Committee with respect to compensation trends and best practices, competitive pay levels, equity grant practices and competitive levels, peer group benchmarking and proxy disclosure. The Compensation Committee retains sole responsibility for engaging any advisor and meets with its advisor, as needed, in the Compensation Committee’s sole discretion.</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Independence of the Compensation Consultant. </w:t>
      </w:r>
      <w:r>
        <w:rPr>
          <w:rFonts w:ascii="Arial" w:cs="Arial" w:eastAsia="Arial" w:hAnsi="Arial"/>
          <w:sz w:val="18"/>
          <w:szCs w:val="18"/>
          <w:color w:val="auto"/>
        </w:rPr>
        <w:t>The Compensation Committee has determined that Pay Governance is independent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provided by Pay Governance LLC currently and during 2014 did not raise any conflict of interests. In reaching these conclusions, the Compensation Committee considered the factors set forth in Rule 10C-1 of the Exchange Act and applicable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in determining base salary, annual incentive award goals and guidelines for equity awards, the</w:t>
      </w:r>
    </w:p>
    <w:p>
      <w:pPr>
        <w:spacing w:after="0"/>
        <w:rPr>
          <w:sz w:val="20"/>
          <w:szCs w:val="20"/>
          <w:color w:val="auto"/>
        </w:rPr>
      </w:pPr>
      <w:r>
        <w:rPr>
          <w:rFonts w:ascii="Arial" w:cs="Arial" w:eastAsia="Arial" w:hAnsi="Arial"/>
          <w:sz w:val="18"/>
          <w:szCs w:val="18"/>
          <w:color w:val="auto"/>
        </w:rPr>
        <w:t>Compensation Committee uses the NEOs’ current level of compensation as the starting point. Our compensation decisions consider:</w:t>
      </w:r>
    </w:p>
    <w:p>
      <w:pPr>
        <w:spacing w:after="0" w:line="198" w:lineRule="exact"/>
        <w:rPr>
          <w:sz w:val="20"/>
          <w:szCs w:val="20"/>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and complexity of the functions executives oversee;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contribution of those functions to our overall performance;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executives’ experience and capabilities;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individual performance; and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practices of our peers in order to obtain a general understanding of the competitive compensation environment.</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wealth accumulation is considered when making equity grants to assure alignment of the interests of our senior executive officers and those of our stockholders.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reviews total compensation, along with the value of past equity awards, to assess the general competitiveness of compensation. Annual cash and equity incentive compensation awards and special bonuses are considered on the basis of Company and individual performance. However, increases to base salary and additional equity incentive awards are made only on a periodic basis or in recognition of notable contributions to value creation for Company stockholders.</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Other Key Considerations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Wynn’s aesthetic vision, direction, and the public’s association of his name and likeness with our casino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are unique and integral components of our success and provided the context for determining Mr. Wynn’s compensation for 2014. The Compensation Committee is mindful that gaming companies have historically provided total compensation packages that may be higher than many of their non-gaming counterparts due to the unique blend of entrepreneurial and managerial skills required to be successful in gaming and certain regulatory and other extraordinary demands. In addition, the Company’s rapid expansion in the last eight years, including the establishment of operations in widely separated international locations, has required that NEOs provide extraordinary levels of commitment and financial, development and operating expertise. In fulfilling the Company’s goal of attracting and retaining high-quality and experienced executives, the Compensation Committee considers these factors in its determination of total compensation for the NEOs.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Aspects of Our Executive Compensation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Peer Group and Market Analysis. </w:t>
      </w:r>
      <w:r>
        <w:rPr>
          <w:rFonts w:ascii="Arial" w:cs="Arial" w:eastAsia="Arial" w:hAnsi="Arial"/>
          <w:sz w:val="18"/>
          <w:szCs w:val="18"/>
          <w:color w:val="auto"/>
        </w:rPr>
        <w:t>The Compensation Committee believes that it is appropriate to offer competitive total compensation packages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senior executive officers in order to attract and retain top executive talent. The compensation peer group allows the Compensation Committee to monitor the compensation practices of our primary competitors for executive talent. The Compensation Committee does not target any specific pay percentile for the Company’s senior executive officers. Instead, the Compensation Committee uses this information as a general overview of market practices and to ensure that it makes informed decisions on senior executive officer pay packages.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as part of our regular review of our compensation programs, the Compensation Committee approved a revised, expanded peer group which provided more robust pay information from the industries that the Compensation Committee believes reflects the competitive market for executive talent similar to that required by the Company. The Compensation Committee relied on Peer Group data obtained in 2013 for its pay decisions in 2014. The Peer Group companies compete in gaming and other related industries that the Compensation Committee believes reflects the competitive market for executive talent similar to that required by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4A3D"/>
        </w:rPr>
        <w:t>Wynn Resorts Executive Compensation Peer Group</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614A3D"/>
              </w:rPr>
              <w:t>Gaming &amp; Resorts</w:t>
            </w:r>
          </w:p>
        </w:tc>
        <w:tc>
          <w:tcPr>
            <w:tcW w:w="4360" w:type="dxa"/>
            <w:vAlign w:val="bottom"/>
            <w:tcBorders>
              <w:top w:val="single" w:sz="8" w:color="auto"/>
              <w:bottom w:val="single" w:sz="8" w:color="auto"/>
            </w:tcBorders>
          </w:tcPr>
          <w:p>
            <w:pPr>
              <w:ind w:left="1160"/>
              <w:spacing w:after="0" w:line="196" w:lineRule="exact"/>
              <w:rPr>
                <w:sz w:val="20"/>
                <w:szCs w:val="20"/>
                <w:color w:val="auto"/>
              </w:rPr>
            </w:pPr>
            <w:r>
              <w:rPr>
                <w:rFonts w:ascii="Arial" w:cs="Arial" w:eastAsia="Arial" w:hAnsi="Arial"/>
                <w:sz w:val="18"/>
                <w:szCs w:val="18"/>
                <w:b w:val="1"/>
                <w:bCs w:val="1"/>
                <w:color w:val="614A3D"/>
              </w:rPr>
              <w:t>Travel, Hospitality &amp; Resorts</w:t>
            </w:r>
          </w:p>
        </w:tc>
        <w:tc>
          <w:tcPr>
            <w:tcW w:w="3140" w:type="dxa"/>
            <w:vAlign w:val="bottom"/>
            <w:tcBorders>
              <w:top w:val="single" w:sz="8" w:color="auto"/>
              <w:bottom w:val="single" w:sz="8" w:color="auto"/>
            </w:tcBorders>
          </w:tcPr>
          <w:p>
            <w:pPr>
              <w:ind w:left="800"/>
              <w:spacing w:after="0" w:line="196" w:lineRule="exact"/>
              <w:rPr>
                <w:sz w:val="20"/>
                <w:szCs w:val="20"/>
                <w:color w:val="auto"/>
              </w:rPr>
            </w:pPr>
            <w:r>
              <w:rPr>
                <w:rFonts w:ascii="Arial" w:cs="Arial" w:eastAsia="Arial" w:hAnsi="Arial"/>
                <w:sz w:val="18"/>
                <w:szCs w:val="18"/>
                <w:b w:val="1"/>
                <w:bCs w:val="1"/>
                <w:color w:val="614A3D"/>
              </w:rPr>
              <w:t>Lifestyle Products</w:t>
            </w:r>
          </w:p>
        </w:tc>
      </w:tr>
      <w:tr>
        <w:trPr>
          <w:trHeight w:val="199"/>
        </w:trPr>
        <w:tc>
          <w:tcPr>
            <w:tcW w:w="3920" w:type="dxa"/>
            <w:vAlign w:val="bottom"/>
            <w:gridSpan w:val="2"/>
          </w:tcPr>
          <w:p>
            <w:pPr>
              <w:spacing w:after="0" w:line="200" w:lineRule="exact"/>
              <w:rPr>
                <w:sz w:val="20"/>
                <w:szCs w:val="20"/>
                <w:color w:val="auto"/>
              </w:rPr>
            </w:pPr>
            <w:r>
              <w:rPr>
                <w:rFonts w:ascii="Arial" w:cs="Arial" w:eastAsia="Arial" w:hAnsi="Arial"/>
                <w:sz w:val="18"/>
                <w:szCs w:val="18"/>
                <w:color w:val="auto"/>
              </w:rPr>
              <w:t>Las Vegas Sands Corp.</w:t>
            </w:r>
          </w:p>
        </w:tc>
        <w:tc>
          <w:tcPr>
            <w:tcW w:w="4360" w:type="dxa"/>
            <w:vAlign w:val="bottom"/>
          </w:tcPr>
          <w:p>
            <w:pPr>
              <w:ind w:left="1160"/>
              <w:spacing w:after="0" w:line="200" w:lineRule="exact"/>
              <w:rPr>
                <w:sz w:val="20"/>
                <w:szCs w:val="20"/>
                <w:color w:val="auto"/>
              </w:rPr>
            </w:pPr>
            <w:r>
              <w:rPr>
                <w:rFonts w:ascii="Arial" w:cs="Arial" w:eastAsia="Arial" w:hAnsi="Arial"/>
                <w:sz w:val="18"/>
                <w:szCs w:val="18"/>
                <w:color w:val="auto"/>
              </w:rPr>
              <w:t>Royal Caribbean Cruises Ltd.</w:t>
            </w:r>
          </w:p>
        </w:tc>
        <w:tc>
          <w:tcPr>
            <w:tcW w:w="3140" w:type="dxa"/>
            <w:vAlign w:val="bottom"/>
          </w:tcPr>
          <w:p>
            <w:pPr>
              <w:ind w:left="800"/>
              <w:spacing w:after="0" w:line="200" w:lineRule="exact"/>
              <w:rPr>
                <w:sz w:val="20"/>
                <w:szCs w:val="20"/>
                <w:color w:val="auto"/>
              </w:rPr>
            </w:pPr>
            <w:r>
              <w:rPr>
                <w:rFonts w:ascii="Arial" w:cs="Arial" w:eastAsia="Arial" w:hAnsi="Arial"/>
                <w:sz w:val="18"/>
                <w:szCs w:val="18"/>
                <w:color w:val="auto"/>
              </w:rPr>
              <w:t>Chipotle Mexican Grill, Inc.</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MGM Resorts International</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Wyndham Worldwide Corporation</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Ralph Lauren Corporation</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Caesars Entertainment Corporation</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Starwood Hotels &amp; Resorts</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Coach, Inc.</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Penn National Gaming, Inc.</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Marriott International, Inc.</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priceline.com Incorporated</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 Game Technology</w:t>
            </w:r>
          </w:p>
        </w:tc>
        <w:tc>
          <w:tcPr>
            <w:tcW w:w="4360" w:type="dxa"/>
            <w:vAlign w:val="bottom"/>
          </w:tcPr>
          <w:p>
            <w:pPr>
              <w:ind w:left="1160"/>
              <w:spacing w:after="0" w:line="202" w:lineRule="exact"/>
              <w:rPr>
                <w:sz w:val="20"/>
                <w:szCs w:val="20"/>
                <w:color w:val="auto"/>
              </w:rPr>
            </w:pPr>
            <w:r>
              <w:rPr>
                <w:rFonts w:ascii="Arial" w:cs="Arial" w:eastAsia="Arial" w:hAnsi="Arial"/>
                <w:sz w:val="18"/>
                <w:szCs w:val="18"/>
                <w:color w:val="auto"/>
              </w:rPr>
              <w:t>Hyatt Hotels Corporation</w:t>
            </w: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rPr>
              <w:t>Tiffany &amp; Co.</w:t>
            </w:r>
          </w:p>
        </w:tc>
      </w:tr>
      <w:tr>
        <w:trPr>
          <w:trHeight w:val="203"/>
        </w:trPr>
        <w:tc>
          <w:tcPr>
            <w:tcW w:w="20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140" w:type="dxa"/>
            <w:vAlign w:val="bottom"/>
          </w:tcPr>
          <w:p>
            <w:pPr>
              <w:ind w:left="800"/>
              <w:spacing w:after="0" w:line="202" w:lineRule="exact"/>
              <w:rPr>
                <w:sz w:val="20"/>
                <w:szCs w:val="20"/>
                <w:color w:val="auto"/>
              </w:rPr>
            </w:pPr>
            <w:r>
              <w:rPr>
                <w:rFonts w:ascii="Arial" w:cs="Arial" w:eastAsia="Arial" w:hAnsi="Arial"/>
                <w:sz w:val="18"/>
                <w:szCs w:val="18"/>
                <w:color w:val="auto"/>
                <w:w w:val="97"/>
              </w:rPr>
              <w:t>The Estée Lauder Companies</w:t>
            </w:r>
          </w:p>
        </w:tc>
      </w:tr>
      <w:tr>
        <w:trPr>
          <w:trHeight w:val="211"/>
        </w:trPr>
        <w:tc>
          <w:tcPr>
            <w:tcW w:w="20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140" w:type="dxa"/>
            <w:vAlign w:val="bottom"/>
          </w:tcPr>
          <w:p>
            <w:pPr>
              <w:ind w:left="800"/>
              <w:spacing w:after="0"/>
              <w:rPr>
                <w:sz w:val="20"/>
                <w:szCs w:val="20"/>
                <w:color w:val="auto"/>
              </w:rPr>
            </w:pPr>
            <w:r>
              <w:rPr>
                <w:rFonts w:ascii="Arial" w:cs="Arial" w:eastAsia="Arial" w:hAnsi="Arial"/>
                <w:sz w:val="18"/>
                <w:szCs w:val="18"/>
                <w:color w:val="auto"/>
              </w:rPr>
              <w:t>Inc.</w:t>
            </w:r>
          </w:p>
        </w:tc>
      </w:tr>
      <w:tr>
        <w:trPr>
          <w:trHeight w:val="366"/>
        </w:trPr>
        <w:tc>
          <w:tcPr>
            <w:tcW w:w="2080" w:type="dxa"/>
            <w:vAlign w:val="bottom"/>
          </w:tcPr>
          <w:p>
            <w:pPr>
              <w:spacing w:after="0"/>
              <w:rPr>
                <w:sz w:val="24"/>
                <w:szCs w:val="24"/>
                <w:color w:val="auto"/>
              </w:rPr>
            </w:pPr>
          </w:p>
        </w:tc>
        <w:tc>
          <w:tcPr>
            <w:tcW w:w="1840" w:type="dxa"/>
            <w:vAlign w:val="bottom"/>
            <w:tcBorders>
              <w:bottom w:val="single" w:sz="8" w:color="614A3D"/>
            </w:tcBorders>
          </w:tcPr>
          <w:p>
            <w:pPr>
              <w:spacing w:after="0"/>
              <w:rPr>
                <w:sz w:val="24"/>
                <w:szCs w:val="24"/>
                <w:color w:val="auto"/>
              </w:rPr>
            </w:pPr>
          </w:p>
        </w:tc>
        <w:tc>
          <w:tcPr>
            <w:tcW w:w="4360" w:type="dxa"/>
            <w:vAlign w:val="bottom"/>
            <w:tcBorders>
              <w:bottom w:val="single" w:sz="8" w:color="614A3D"/>
            </w:tcBorders>
          </w:tcPr>
          <w:p>
            <w:pPr>
              <w:spacing w:after="0"/>
              <w:rPr>
                <w:sz w:val="24"/>
                <w:szCs w:val="24"/>
                <w:color w:val="auto"/>
              </w:rPr>
            </w:pPr>
          </w:p>
        </w:tc>
        <w:tc>
          <w:tcPr>
            <w:tcW w:w="3140" w:type="dxa"/>
            <w:vAlign w:val="bottom"/>
            <w:tcBorders>
              <w:bottom w:val="single" w:sz="8" w:color="614A3D"/>
            </w:tcBorders>
          </w:tcPr>
          <w:p>
            <w:pPr>
              <w:jc w:val="right"/>
              <w:spacing w:after="0"/>
              <w:rPr>
                <w:sz w:val="20"/>
                <w:szCs w:val="20"/>
                <w:color w:val="auto"/>
              </w:rPr>
            </w:pPr>
            <w:r>
              <w:rPr>
                <w:rFonts w:ascii="Arial" w:cs="Arial" w:eastAsia="Arial" w:hAnsi="Arial"/>
                <w:sz w:val="14"/>
                <w:szCs w:val="14"/>
                <w:b w:val="1"/>
                <w:bCs w:val="1"/>
                <w:color w:val="auto"/>
              </w:rPr>
              <w:t>Compensation Discussion and Analysis</w:t>
            </w:r>
          </w:p>
        </w:tc>
      </w:tr>
      <w:tr>
        <w:trPr>
          <w:trHeight w:val="304"/>
        </w:trPr>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4"/>
                <w:szCs w:val="14"/>
                <w:b w:val="1"/>
                <w:bCs w:val="1"/>
                <w:color w:val="auto"/>
              </w:rPr>
              <w:t>page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16 companies in the peer group generally had 2014 revenue, market capitalization and total enterprise value (as of December 31, 2014) in a relevant range around those of the Company as set forth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614A3D"/>
              </w:rPr>
              <w:t>Wynn Resorts</w:t>
            </w:r>
          </w:p>
        </w:tc>
        <w:tc>
          <w:tcPr>
            <w:tcW w:w="10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614A3D"/>
              </w:rPr>
              <w:t>Peer Group</w:t>
            </w: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3980" w:type="dxa"/>
            <w:vAlign w:val="bottom"/>
          </w:tcPr>
          <w:p>
            <w:pPr>
              <w:jc w:val="right"/>
              <w:ind w:right="232"/>
              <w:spacing w:after="0" w:line="200" w:lineRule="exact"/>
              <w:rPr>
                <w:sz w:val="20"/>
                <w:szCs w:val="20"/>
                <w:color w:val="auto"/>
              </w:rPr>
            </w:pPr>
            <w:r>
              <w:rPr>
                <w:rFonts w:ascii="Arial" w:cs="Arial" w:eastAsia="Arial" w:hAnsi="Arial"/>
                <w:sz w:val="18"/>
                <w:szCs w:val="18"/>
                <w:color w:val="auto"/>
              </w:rPr>
              <w:t>$5.4 billion</w:t>
            </w:r>
          </w:p>
        </w:tc>
        <w:tc>
          <w:tcPr>
            <w:tcW w:w="10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Range:</w:t>
            </w:r>
          </w:p>
        </w:tc>
        <w:tc>
          <w:tcPr>
            <w:tcW w:w="2260" w:type="dxa"/>
            <w:vAlign w:val="bottom"/>
          </w:tcPr>
          <w:p>
            <w:pPr>
              <w:ind w:left="100"/>
              <w:spacing w:after="0" w:line="200" w:lineRule="exact"/>
              <w:rPr>
                <w:sz w:val="20"/>
                <w:szCs w:val="20"/>
                <w:color w:val="auto"/>
              </w:rPr>
            </w:pPr>
            <w:r>
              <w:rPr>
                <w:rFonts w:ascii="Arial" w:cs="Arial" w:eastAsia="Arial" w:hAnsi="Arial"/>
                <w:sz w:val="18"/>
                <w:szCs w:val="18"/>
                <w:color w:val="auto"/>
              </w:rPr>
              <w:t>$2.0 billion – $14.6 billion</w:t>
            </w:r>
          </w:p>
        </w:tc>
      </w:tr>
      <w:tr>
        <w:trPr>
          <w:trHeight w:val="203"/>
        </w:trPr>
        <w:tc>
          <w:tcPr>
            <w:tcW w:w="4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Median:</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$6.8 billion</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Market Capitalization</w:t>
            </w:r>
          </w:p>
        </w:tc>
        <w:tc>
          <w:tcPr>
            <w:tcW w:w="39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$14.8 billion</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Range:</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$1.2 billion – $53.5 billion</w:t>
            </w:r>
          </w:p>
        </w:tc>
      </w:tr>
      <w:tr>
        <w:trPr>
          <w:trHeight w:val="203"/>
        </w:trPr>
        <w:tc>
          <w:tcPr>
            <w:tcW w:w="4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Median:</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$11.7 billion</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Enterprise Value</w:t>
            </w:r>
          </w:p>
        </w:tc>
        <w:tc>
          <w:tcPr>
            <w:tcW w:w="39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$ 19.2 billion</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Range:</w:t>
            </w:r>
          </w:p>
        </w:tc>
        <w:tc>
          <w:tcPr>
            <w:tcW w:w="2260" w:type="dxa"/>
            <w:vAlign w:val="bottom"/>
          </w:tcPr>
          <w:p>
            <w:pPr>
              <w:ind w:left="100"/>
              <w:spacing w:after="0" w:line="202" w:lineRule="exact"/>
              <w:rPr>
                <w:sz w:val="20"/>
                <w:szCs w:val="20"/>
                <w:color w:val="auto"/>
              </w:rPr>
            </w:pPr>
            <w:r>
              <w:rPr>
                <w:rFonts w:ascii="Arial" w:cs="Arial" w:eastAsia="Arial" w:hAnsi="Arial"/>
                <w:sz w:val="18"/>
                <w:szCs w:val="18"/>
                <w:color w:val="auto"/>
              </w:rPr>
              <w:t>$2.2 billion – $52.8 billion</w:t>
            </w:r>
          </w:p>
        </w:tc>
      </w:tr>
      <w:tr>
        <w:trPr>
          <w:trHeight w:val="211"/>
        </w:trPr>
        <w:tc>
          <w:tcPr>
            <w:tcW w:w="4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Median:</w:t>
            </w:r>
          </w:p>
        </w:tc>
        <w:tc>
          <w:tcPr>
            <w:tcW w:w="2260" w:type="dxa"/>
            <w:vAlign w:val="bottom"/>
          </w:tcPr>
          <w:p>
            <w:pPr>
              <w:ind w:left="100"/>
              <w:spacing w:after="0"/>
              <w:rPr>
                <w:sz w:val="20"/>
                <w:szCs w:val="20"/>
                <w:color w:val="auto"/>
              </w:rPr>
            </w:pPr>
            <w:r>
              <w:rPr>
                <w:rFonts w:ascii="Arial" w:cs="Arial" w:eastAsia="Arial" w:hAnsi="Arial"/>
                <w:sz w:val="18"/>
                <w:szCs w:val="18"/>
                <w:color w:val="auto"/>
              </w:rPr>
              <w:t>$17.2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Data source: Thomson One. Revenue is based on trailing four quarter information available at February 6, 2015.</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Employment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longstanding practice of entering into employment agreements with our senior executive officers and select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our senior management. We believe that 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The employment agreements for the NEOs specify their base salary and provide that if the executive’s employment (i) terminates without cause at the Company’s election or (ii) is terminated by the executive for good reason after a change in control, the executive will receive a separation payment as described in more detail under the heading “Potential Payments Upon Termination or Change in Control.” The employment agreements and the terms of equity awards also provide that vesting of some or all of an executive’s equity awards will accelerate upon such event, and the employment agreements (except for Mr. Maddox’s and Mr. Cootey’s) provide for an excise tax gross up. We believe that providing for these benefits in such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Tax Deductibility Under Section 162(m)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Revenue Code Section 162(m) prevents publicly traded companies from receiving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 on certain compensation paid to the chief executive officer and three other highest-paid executive officers (other than the chief financial officer) in excess of $1,000,000 in any taxable year, unless the compensation qualifies as “performance-based.” The Company generally seeks for tax deductibility purposes to design and administer some components of executive compensation to allow for tax deductibility when consistent with the overall objectives of the compensation program.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 Report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Compensation Committee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 Edward Virtue, Chairman</w:t>
      </w:r>
    </w:p>
    <w:p>
      <w:pPr>
        <w:ind w:left="4440"/>
        <w:spacing w:after="0" w:line="234" w:lineRule="auto"/>
        <w:rPr>
          <w:sz w:val="20"/>
          <w:szCs w:val="20"/>
          <w:color w:val="auto"/>
        </w:rPr>
      </w:pPr>
      <w:r>
        <w:rPr>
          <w:rFonts w:ascii="Arial" w:cs="Arial" w:eastAsia="Arial" w:hAnsi="Arial"/>
          <w:sz w:val="18"/>
          <w:szCs w:val="18"/>
          <w:color w:val="auto"/>
        </w:rPr>
        <w:t>John J. Hagenbuch</w:t>
      </w:r>
    </w:p>
    <w:p>
      <w:pPr>
        <w:ind w:left="4440"/>
        <w:spacing w:after="0" w:line="235" w:lineRule="auto"/>
        <w:rPr>
          <w:sz w:val="20"/>
          <w:szCs w:val="20"/>
          <w:color w:val="auto"/>
        </w:rPr>
      </w:pPr>
      <w:r>
        <w:rPr>
          <w:rFonts w:ascii="Arial" w:cs="Arial" w:eastAsia="Arial" w:hAnsi="Arial"/>
          <w:sz w:val="18"/>
          <w:szCs w:val="18"/>
          <w:color w:val="auto"/>
        </w:rPr>
        <w:t>Dr. Ray R. Irani</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-81280</wp:posOffset>
            </wp:positionV>
            <wp:extent cx="68643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64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Summary Compensation Table</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our NEOs for the fiscal years ended December 31, 2014, 2013 and 2012.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614A3D"/>
              </w:rPr>
              <w:t>Non-Equity</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Stock</w:t>
            </w:r>
          </w:p>
        </w:tc>
        <w:tc>
          <w:tcPr>
            <w:tcW w:w="158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614A3D"/>
              </w:rPr>
              <w:t>Incentive Plan</w:t>
            </w:r>
          </w:p>
        </w:tc>
        <w:tc>
          <w:tcPr>
            <w:tcW w:w="600" w:type="dxa"/>
            <w:vAlign w:val="bottom"/>
          </w:tcPr>
          <w:p>
            <w:pPr>
              <w:spacing w:after="0"/>
              <w:rPr>
                <w:sz w:val="17"/>
                <w:szCs w:val="17"/>
                <w:color w:val="auto"/>
              </w:rPr>
            </w:pP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w w:val="99"/>
              </w:rPr>
              <w:t>All Other</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340" w:type="dxa"/>
            <w:vAlign w:val="bottom"/>
          </w:tcPr>
          <w:p>
            <w:pPr>
              <w:spacing w:after="0" w:line="202" w:lineRule="exact"/>
              <w:rPr>
                <w:sz w:val="20"/>
                <w:szCs w:val="20"/>
                <w:color w:val="auto"/>
              </w:rPr>
            </w:pPr>
            <w:r>
              <w:rPr>
                <w:rFonts w:ascii="Arial" w:cs="Arial" w:eastAsia="Arial" w:hAnsi="Arial"/>
                <w:sz w:val="18"/>
                <w:szCs w:val="18"/>
                <w:b w:val="1"/>
                <w:bCs w:val="1"/>
                <w:color w:val="614A3D"/>
              </w:rPr>
              <w:t>Name and</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614A3D"/>
              </w:rPr>
              <w:t>Salary</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614A3D"/>
              </w:rPr>
              <w:t>Bonus</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Awards</w:t>
            </w:r>
          </w:p>
        </w:tc>
        <w:tc>
          <w:tcPr>
            <w:tcW w:w="158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614A3D"/>
              </w:rPr>
              <w:t>Compensation</w:t>
            </w:r>
          </w:p>
        </w:tc>
        <w:tc>
          <w:tcPr>
            <w:tcW w:w="1620" w:type="dxa"/>
            <w:vAlign w:val="bottom"/>
            <w:gridSpan w:val="2"/>
          </w:tcPr>
          <w:p>
            <w:pPr>
              <w:jc w:val="right"/>
              <w:ind w:right="152"/>
              <w:spacing w:after="0" w:line="202" w:lineRule="exact"/>
              <w:rPr>
                <w:sz w:val="20"/>
                <w:szCs w:val="20"/>
                <w:color w:val="auto"/>
              </w:rPr>
            </w:pPr>
            <w:r>
              <w:rPr>
                <w:rFonts w:ascii="Arial" w:cs="Arial" w:eastAsia="Arial" w:hAnsi="Arial"/>
                <w:sz w:val="18"/>
                <w:szCs w:val="18"/>
                <w:b w:val="1"/>
                <w:bCs w:val="1"/>
                <w:color w:val="614A3D"/>
              </w:rPr>
              <w:t>Compensation</w:t>
            </w:r>
          </w:p>
        </w:tc>
        <w:tc>
          <w:tcPr>
            <w:tcW w:w="38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Total</w:t>
            </w:r>
          </w:p>
        </w:tc>
      </w:tr>
      <w:tr>
        <w:trPr>
          <w:trHeight w:val="235"/>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Principal Position</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Year</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(1)(2)</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614A3D"/>
              </w:rPr>
              <w:t>($)</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(3)</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2340" w:type="dxa"/>
            <w:vAlign w:val="bottom"/>
          </w:tcPr>
          <w:p>
            <w:pPr>
              <w:spacing w:after="0"/>
              <w:rPr>
                <w:sz w:val="20"/>
                <w:szCs w:val="20"/>
                <w:color w:val="auto"/>
              </w:rPr>
            </w:pPr>
            <w:r>
              <w:rPr>
                <w:rFonts w:ascii="Arial" w:cs="Arial" w:eastAsia="Arial" w:hAnsi="Arial"/>
                <w:sz w:val="18"/>
                <w:szCs w:val="18"/>
                <w:b w:val="1"/>
                <w:bCs w:val="1"/>
                <w:color w:val="auto"/>
              </w:rPr>
              <w:t>Stephen A. Wynn</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$4,000,000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w w:val="97"/>
              </w:rPr>
              <w:t>10,000,000</w:t>
            </w:r>
          </w:p>
        </w:tc>
        <w:tc>
          <w:tcPr>
            <w:tcW w:w="1580" w:type="dxa"/>
            <w:vAlign w:val="bottom"/>
            <w:gridSpan w:val="2"/>
          </w:tcPr>
          <w:p>
            <w:pPr>
              <w:jc w:val="right"/>
              <w:ind w:right="72"/>
              <w:spacing w:after="0"/>
              <w:rPr>
                <w:sz w:val="20"/>
                <w:szCs w:val="20"/>
                <w:color w:val="auto"/>
              </w:rPr>
            </w:pPr>
            <w:r>
              <w:rPr>
                <w:rFonts w:ascii="Arial" w:cs="Arial" w:eastAsia="Arial" w:hAnsi="Arial"/>
                <w:sz w:val="18"/>
                <w:szCs w:val="18"/>
                <w:color w:val="auto"/>
              </w:rPr>
              <w:t>$ 10,000,000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1,322,854</w:t>
            </w:r>
          </w:p>
        </w:tc>
        <w:tc>
          <w:tcPr>
            <w:tcW w:w="1320" w:type="dxa"/>
            <w:vAlign w:val="bottom"/>
            <w:gridSpan w:val="2"/>
          </w:tcPr>
          <w:p>
            <w:pPr>
              <w:jc w:val="right"/>
              <w:ind w:right="12"/>
              <w:spacing w:after="0"/>
              <w:rPr>
                <w:sz w:val="20"/>
                <w:szCs w:val="20"/>
                <w:color w:val="auto"/>
              </w:rPr>
            </w:pPr>
            <w:r>
              <w:rPr>
                <w:rFonts w:ascii="Arial" w:cs="Arial" w:eastAsia="Arial" w:hAnsi="Arial"/>
                <w:sz w:val="18"/>
                <w:szCs w:val="18"/>
                <w:color w:val="auto"/>
              </w:rPr>
              <w:t>$25,322,854</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Chairman and Chief</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$4,000,000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$4,000,000</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$ 10,000,000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4"/>
              </w:rPr>
              <w:t>1,601,381</w:t>
            </w:r>
          </w:p>
        </w:tc>
        <w:tc>
          <w:tcPr>
            <w:tcW w:w="13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$19,601,381</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Executive Officer</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$4,000,000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$2,000,000</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2"/>
              <w:spacing w:after="0"/>
              <w:rPr>
                <w:sz w:val="20"/>
                <w:szCs w:val="20"/>
                <w:color w:val="auto"/>
              </w:rPr>
            </w:pPr>
            <w:r>
              <w:rPr>
                <w:rFonts w:ascii="Arial" w:cs="Arial" w:eastAsia="Arial" w:hAnsi="Arial"/>
                <w:sz w:val="18"/>
                <w:szCs w:val="18"/>
                <w:color w:val="auto"/>
              </w:rPr>
              <w:t>$ 10,000,000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1,743,434</w:t>
            </w:r>
          </w:p>
        </w:tc>
        <w:tc>
          <w:tcPr>
            <w:tcW w:w="1320" w:type="dxa"/>
            <w:vAlign w:val="bottom"/>
            <w:gridSpan w:val="2"/>
          </w:tcPr>
          <w:p>
            <w:pPr>
              <w:jc w:val="right"/>
              <w:ind w:right="12"/>
              <w:spacing w:after="0"/>
              <w:rPr>
                <w:sz w:val="20"/>
                <w:szCs w:val="20"/>
                <w:color w:val="auto"/>
              </w:rPr>
            </w:pPr>
            <w:r>
              <w:rPr>
                <w:rFonts w:ascii="Arial" w:cs="Arial" w:eastAsia="Arial" w:hAnsi="Arial"/>
                <w:sz w:val="18"/>
                <w:szCs w:val="18"/>
                <w:color w:val="auto"/>
              </w:rPr>
              <w:t>$17,743,434</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Matt Maddox</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1,500,000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314,400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4,814,400</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President</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$1,065,385</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1,635,900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2,000,000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358,009</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5,059,294</w:t>
            </w:r>
          </w:p>
        </w:tc>
      </w:tr>
      <w:tr>
        <w:trPr>
          <w:trHeight w:val="211"/>
        </w:trPr>
        <w:tc>
          <w:tcPr>
            <w:tcW w:w="234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$1,000,000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481,296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3,481,296</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 xml:space="preserve">Stephen Cootey </w:t>
            </w:r>
            <w:r>
              <w:rPr>
                <w:rFonts w:ascii="Arial" w:cs="Arial" w:eastAsia="Arial" w:hAnsi="Arial"/>
                <w:sz w:val="11"/>
                <w:szCs w:val="11"/>
                <w:i w:val="1"/>
                <w:iCs w:val="1"/>
                <w:color w:val="auto"/>
              </w:rPr>
              <w:t>(4)</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587,307</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  625,000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3,958,800</w:t>
            </w:r>
          </w:p>
        </w:tc>
        <w:tc>
          <w:tcPr>
            <w:tcW w:w="58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125,746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5,296,853</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SVP, Chief Financial</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30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Officer and Treasurer</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Linda Chen</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1,500,000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886,249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5,386,249</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President of Wynn</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11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3,000,000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892,423</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5,392,423</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International Marketing</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1160" w:type="dxa"/>
            <w:vAlign w:val="bottom"/>
            <w:gridSpan w:val="2"/>
          </w:tcPr>
          <w:p>
            <w:pPr>
              <w:jc w:val="right"/>
              <w:ind w:right="52"/>
              <w:spacing w:after="0"/>
              <w:rPr>
                <w:sz w:val="20"/>
                <w:szCs w:val="20"/>
                <w:color w:val="auto"/>
              </w:rPr>
            </w:pPr>
            <w:r>
              <w:rPr>
                <w:rFonts w:ascii="Arial" w:cs="Arial" w:eastAsia="Arial" w:hAnsi="Arial"/>
                <w:sz w:val="18"/>
                <w:szCs w:val="18"/>
                <w:color w:val="auto"/>
              </w:rPr>
              <w:t>$1,500,000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3,000,000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1,173,755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5,673,755</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Kim Sinatra</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840,769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2,474,875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850,000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160,310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4,325,954</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EVP, General Counsel</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800,000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1,600,000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180,881</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2,580,881</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and Secretary</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671,346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1,300,000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241,352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2,212,698</w:t>
            </w:r>
          </w:p>
        </w:tc>
      </w:tr>
      <w:tr>
        <w:trPr>
          <w:trHeight w:val="302"/>
        </w:trPr>
        <w:tc>
          <w:tcPr>
            <w:tcW w:w="2340" w:type="dxa"/>
            <w:vAlign w:val="bottom"/>
          </w:tcPr>
          <w:p>
            <w:pPr>
              <w:spacing w:after="0"/>
              <w:rPr>
                <w:sz w:val="20"/>
                <w:szCs w:val="20"/>
                <w:color w:val="auto"/>
              </w:rPr>
            </w:pPr>
            <w:r>
              <w:rPr>
                <w:rFonts w:ascii="Arial" w:cs="Arial" w:eastAsia="Arial" w:hAnsi="Arial"/>
                <w:sz w:val="18"/>
                <w:szCs w:val="18"/>
                <w:b w:val="1"/>
                <w:bCs w:val="1"/>
                <w:color w:val="auto"/>
              </w:rPr>
              <w:t>John Strzemp</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750,000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750,000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750,000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149,294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2,399,294</w:t>
            </w:r>
          </w:p>
        </w:tc>
      </w:tr>
      <w:tr>
        <w:trPr>
          <w:trHeight w:val="203"/>
        </w:trPr>
        <w:tc>
          <w:tcPr>
            <w:tcW w:w="2340" w:type="dxa"/>
            <w:vAlign w:val="bottom"/>
          </w:tcPr>
          <w:p>
            <w:pPr>
              <w:ind w:left="200"/>
              <w:spacing w:after="0" w:line="202" w:lineRule="exact"/>
              <w:rPr>
                <w:sz w:val="20"/>
                <w:szCs w:val="20"/>
                <w:color w:val="auto"/>
              </w:rPr>
            </w:pPr>
            <w:r>
              <w:rPr>
                <w:rFonts w:ascii="Arial" w:cs="Arial" w:eastAsia="Arial" w:hAnsi="Arial"/>
                <w:sz w:val="18"/>
                <w:szCs w:val="18"/>
                <w:color w:val="auto"/>
              </w:rPr>
              <w:t>EVP and Chief</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2013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733,461</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2,888,250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1,500,000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155,412</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5,277,123</w:t>
            </w:r>
          </w:p>
        </w:tc>
      </w:tr>
      <w:tr>
        <w:trPr>
          <w:trHeight w:val="211"/>
        </w:trPr>
        <w:tc>
          <w:tcPr>
            <w:tcW w:w="2340" w:type="dxa"/>
            <w:vAlign w:val="bottom"/>
          </w:tcPr>
          <w:p>
            <w:pPr>
              <w:ind w:left="200"/>
              <w:spacing w:after="0"/>
              <w:rPr>
                <w:sz w:val="20"/>
                <w:szCs w:val="20"/>
                <w:color w:val="auto"/>
              </w:rPr>
            </w:pPr>
            <w:r>
              <w:rPr>
                <w:rFonts w:ascii="Arial" w:cs="Arial" w:eastAsia="Arial" w:hAnsi="Arial"/>
                <w:sz w:val="18"/>
                <w:szCs w:val="18"/>
                <w:color w:val="auto"/>
              </w:rPr>
              <w:t>Administrative Officer</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650,000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1,300,000</w:t>
            </w:r>
          </w:p>
        </w:tc>
        <w:tc>
          <w:tcPr>
            <w:tcW w:w="60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1,950,000</w:t>
            </w: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2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stock awards granted in the specified year, computed in accordance with accounting standards for stock based compensation. See our Annual Report on Form 10-K for the year ended December 31, 2014, Item 8, Note 15—“Stock-Based Compensation”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2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Stock awards constituting part of the 2014 Annual Performance Awards are reported in this table as 2014 compensation to reflect the applicable service period for such awards. Mr. Cootey’s 2014 stock award and other NEOs’ prior year stock awards are reported in the year of grant.</w:t>
      </w:r>
    </w:p>
    <w:p>
      <w:pPr>
        <w:jc w:val="both"/>
        <w:ind w:left="340" w:hanging="332"/>
        <w:spacing w:after="0" w:line="198" w:lineRule="auto"/>
        <w:tabs>
          <w:tab w:leader="none" w:pos="340" w:val="left"/>
        </w:tabs>
        <w:numPr>
          <w:ilvl w:val="0"/>
          <w:numId w:val="2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For executives other than Mr. Wynn, amounts reported as “All Other Compensation” for 2014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the Company did not regularly pay dividends at that time. These dividend amounts are payable to the executive only if and to the extent the restricted stock vests and is not forfeited.</w:t>
      </w:r>
    </w:p>
    <w:p>
      <w:pPr>
        <w:spacing w:after="0" w:line="27" w:lineRule="exact"/>
        <w:rPr>
          <w:rFonts w:ascii="Arial" w:cs="Arial" w:eastAsia="Arial" w:hAnsi="Arial"/>
          <w:sz w:val="22"/>
          <w:szCs w:val="22"/>
          <w:i w:val="1"/>
          <w:iCs w:val="1"/>
          <w:color w:val="auto"/>
          <w:vertAlign w:val="superscript"/>
        </w:rPr>
      </w:pPr>
    </w:p>
    <w:p>
      <w:pPr>
        <w:ind w:left="340"/>
        <w:spacing w:after="0"/>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following amounts for 2014 are included in “All Other Compensation” for Mr. Wynn:</w:t>
      </w:r>
    </w:p>
    <w:p>
      <w:pPr>
        <w:spacing w:after="0" w:line="1" w:lineRule="exact"/>
        <w:rPr>
          <w:rFonts w:ascii="Arial" w:cs="Arial" w:eastAsia="Arial" w:hAnsi="Arial"/>
          <w:sz w:val="22"/>
          <w:szCs w:val="22"/>
          <w:i w:val="1"/>
          <w:iCs w:val="1"/>
          <w:color w:val="auto"/>
          <w:vertAlign w:val="superscript"/>
        </w:rPr>
      </w:pPr>
    </w:p>
    <w:p>
      <w:pPr>
        <w:ind w:left="800" w:hanging="454"/>
        <w:spacing w:after="0" w:line="221" w:lineRule="auto"/>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personal use of Company aircraft of $1,049,798 (Mr. Wynn receives no tax gross ups relating to the value of aircraft usage that is imputed to him as compensation);</w:t>
      </w:r>
    </w:p>
    <w:p>
      <w:pPr>
        <w:ind w:left="800" w:hanging="454"/>
        <w:spacing w:after="0" w:line="221" w:lineRule="auto"/>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$41,549;</w:t>
      </w:r>
    </w:p>
    <w:p>
      <w:pPr>
        <w:ind w:left="800" w:hanging="454"/>
        <w:spacing w:after="0" w:line="221" w:lineRule="auto"/>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allocated compensation and benefits for the personal use of a driver whom we employ for Mr. Wynn and the personal use of vehicles of $163,216; and</w:t>
      </w:r>
    </w:p>
    <w:p>
      <w:pPr>
        <w:ind w:left="800" w:hanging="454"/>
        <w:spacing w:after="0"/>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$68,291.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-1387475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Mr. Maddox:</w:t>
      </w:r>
    </w:p>
    <w:p>
      <w:pPr>
        <w:ind w:left="800" w:hanging="454"/>
        <w:spacing w:after="0" w:line="223" w:lineRule="auto"/>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$1,566;</w:t>
      </w:r>
    </w:p>
    <w:p>
      <w:pPr>
        <w:ind w:left="800" w:hanging="454"/>
        <w:spacing w:after="0" w:line="221" w:lineRule="auto"/>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related to unvested restricted stock of $312,500; and</w:t>
      </w:r>
    </w:p>
    <w:p>
      <w:pPr>
        <w:ind w:left="800" w:hanging="454"/>
        <w:spacing w:after="0"/>
        <w:tabs>
          <w:tab w:leader="none" w:pos="80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$344.</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Mr. Cootey:</w:t>
      </w:r>
    </w:p>
    <w:p>
      <w:pPr>
        <w:ind w:left="800" w:hanging="454"/>
        <w:spacing w:after="0" w:line="223" w:lineRule="auto"/>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$746; and</w:t>
      </w:r>
    </w:p>
    <w:p>
      <w:pPr>
        <w:ind w:left="800" w:hanging="454"/>
        <w:spacing w:after="0"/>
        <w:tabs>
          <w:tab w:leader="none" w:pos="80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$125,000.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Ms. Chen:</w:t>
      </w:r>
    </w:p>
    <w:p>
      <w:pPr>
        <w:ind w:left="800" w:hanging="454"/>
        <w:spacing w:after="0" w:line="223" w:lineRule="auto"/>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housing and other living expenses in Macau of $258,639;</w:t>
      </w:r>
    </w:p>
    <w:p>
      <w:pPr>
        <w:ind w:left="800" w:hanging="454"/>
        <w:spacing w:after="0" w:line="221" w:lineRule="auto"/>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$2,610; and</w:t>
      </w:r>
    </w:p>
    <w:p>
      <w:pPr>
        <w:ind w:left="800" w:hanging="454"/>
        <w:spacing w:after="0"/>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$625,000.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Ms. Sinatra:</w:t>
      </w:r>
    </w:p>
    <w:p>
      <w:pPr>
        <w:ind w:left="800" w:hanging="454"/>
        <w:spacing w:after="0" w:line="223" w:lineRule="auto"/>
        <w:tabs>
          <w:tab w:leader="none" w:pos="8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$4,060; and</w:t>
      </w:r>
    </w:p>
    <w:p>
      <w:pPr>
        <w:ind w:left="800" w:hanging="454"/>
        <w:spacing w:after="0"/>
        <w:tabs>
          <w:tab w:leader="none" w:pos="8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$156,250.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i w:val="1"/>
          <w:iCs w:val="1"/>
          <w:color w:val="auto"/>
        </w:rPr>
        <w:t>The following amounts for 2014 are included in “All Other Compensation” for Mr. Strzemp:</w:t>
      </w:r>
    </w:p>
    <w:p>
      <w:pPr>
        <w:ind w:left="800" w:hanging="454"/>
        <w:spacing w:after="0" w:line="221" w:lineRule="auto"/>
        <w:tabs>
          <w:tab w:leader="none" w:pos="800" w:val="left"/>
        </w:tabs>
        <w:numPr>
          <w:ilvl w:val="1"/>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$5,544; and</w:t>
      </w:r>
    </w:p>
    <w:p>
      <w:pPr>
        <w:ind w:left="800" w:hanging="454"/>
        <w:spacing w:after="0" w:line="221" w:lineRule="auto"/>
        <w:tabs>
          <w:tab w:leader="none" w:pos="800" w:val="left"/>
        </w:tabs>
        <w:numPr>
          <w:ilvl w:val="1"/>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$143,750.</w:t>
      </w:r>
    </w:p>
    <w:p>
      <w:pPr>
        <w:ind w:left="340" w:hanging="332"/>
        <w:spacing w:after="0" w:line="188" w:lineRule="auto"/>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Mr. Cootey joined the Company as Senior Vice President – Finance in January 2014 and was promoted to Chief Financial Officer, effective as of May 16,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Discussion of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2014, each of the NEOs received base salary in accordance with the terms of his or her employment agreement, as approved by the</w:t>
      </w:r>
    </w:p>
    <w:p>
      <w:pPr>
        <w:spacing w:after="0"/>
        <w:rPr>
          <w:sz w:val="20"/>
          <w:szCs w:val="20"/>
          <w:color w:val="auto"/>
        </w:rPr>
      </w:pPr>
      <w:r>
        <w:rPr>
          <w:rFonts w:ascii="Arial" w:cs="Arial" w:eastAsia="Arial" w:hAnsi="Arial"/>
          <w:sz w:val="18"/>
          <w:szCs w:val="18"/>
          <w:color w:val="auto"/>
        </w:rPr>
        <w:t>Compensation Committee. Key terms of the current agreements, as amended, as of December 31, 2014, were as follows: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3640" w:type="dxa"/>
            <w:vAlign w:val="bottom"/>
          </w:tcPr>
          <w:p>
            <w:pPr>
              <w:jc w:val="right"/>
              <w:ind w:right="272"/>
              <w:spacing w:after="0"/>
              <w:rPr>
                <w:sz w:val="20"/>
                <w:szCs w:val="20"/>
                <w:color w:val="auto"/>
              </w:rPr>
            </w:pPr>
            <w:r>
              <w:rPr>
                <w:rFonts w:ascii="Arial" w:cs="Arial" w:eastAsia="Arial" w:hAnsi="Arial"/>
                <w:sz w:val="18"/>
                <w:szCs w:val="18"/>
                <w:b w:val="1"/>
                <w:bCs w:val="1"/>
                <w:color w:val="614A3D"/>
              </w:rPr>
              <w:t>Contract</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Named Executive Officer</w:t>
            </w:r>
          </w:p>
        </w:tc>
        <w:tc>
          <w:tcPr>
            <w:tcW w:w="3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Expiration</w:t>
            </w:r>
          </w:p>
        </w:tc>
        <w:tc>
          <w:tcPr>
            <w:tcW w:w="1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Base Salary</w:t>
            </w:r>
          </w:p>
        </w:tc>
      </w:tr>
      <w:tr>
        <w:trPr>
          <w:trHeight w:val="199"/>
        </w:trPr>
        <w:tc>
          <w:tcPr>
            <w:tcW w:w="4480" w:type="dxa"/>
            <w:vAlign w:val="bottom"/>
          </w:tcPr>
          <w:p>
            <w:pPr>
              <w:spacing w:after="0" w:line="200" w:lineRule="exact"/>
              <w:rPr>
                <w:sz w:val="20"/>
                <w:szCs w:val="20"/>
                <w:color w:val="auto"/>
              </w:rPr>
            </w:pPr>
            <w:r>
              <w:rPr>
                <w:rFonts w:ascii="Arial" w:cs="Arial" w:eastAsia="Arial" w:hAnsi="Arial"/>
                <w:sz w:val="18"/>
                <w:szCs w:val="18"/>
                <w:color w:val="auto"/>
              </w:rPr>
              <w:t xml:space="preserve">Stephen A. Wynn </w:t>
            </w:r>
            <w:r>
              <w:rPr>
                <w:rFonts w:ascii="Arial" w:cs="Arial" w:eastAsia="Arial" w:hAnsi="Arial"/>
                <w:sz w:val="11"/>
                <w:szCs w:val="11"/>
                <w:i w:val="1"/>
                <w:iCs w:val="1"/>
                <w:color w:val="auto"/>
              </w:rPr>
              <w:t>(1)</w:t>
            </w:r>
          </w:p>
        </w:tc>
        <w:tc>
          <w:tcPr>
            <w:tcW w:w="364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10/24/20</w:t>
            </w: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7"/>
              </w:rPr>
              <w:t>4,000,000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12/31/16</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1,500,000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1/02/17</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625,000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2/24/20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1,500,000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2/17/17</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850,000</w:t>
            </w:r>
          </w:p>
        </w:tc>
      </w:tr>
      <w:tr>
        <w:trPr>
          <w:trHeight w:val="211"/>
        </w:trPr>
        <w:tc>
          <w:tcPr>
            <w:tcW w:w="4480" w:type="dxa"/>
            <w:vAlign w:val="bottom"/>
          </w:tcPr>
          <w:p>
            <w:pPr>
              <w:spacing w:after="0"/>
              <w:rPr>
                <w:sz w:val="20"/>
                <w:szCs w:val="20"/>
                <w:color w:val="auto"/>
              </w:rPr>
            </w:pPr>
            <w:r>
              <w:rPr>
                <w:rFonts w:ascii="Arial" w:cs="Arial" w:eastAsia="Arial" w:hAnsi="Arial"/>
                <w:sz w:val="18"/>
                <w:szCs w:val="18"/>
                <w:color w:val="auto"/>
              </w:rPr>
              <w:t>John Strzemp</w:t>
            </w:r>
          </w:p>
        </w:tc>
        <w:tc>
          <w:tcPr>
            <w:tcW w:w="3640" w:type="dxa"/>
            <w:vAlign w:val="bottom"/>
          </w:tcPr>
          <w:p>
            <w:pPr>
              <w:jc w:val="right"/>
              <w:ind w:right="272"/>
              <w:spacing w:after="0"/>
              <w:rPr>
                <w:sz w:val="20"/>
                <w:szCs w:val="20"/>
                <w:color w:val="auto"/>
              </w:rPr>
            </w:pPr>
            <w:r>
              <w:rPr>
                <w:rFonts w:ascii="Arial" w:cs="Arial" w:eastAsia="Arial" w:hAnsi="Arial"/>
                <w:sz w:val="18"/>
                <w:szCs w:val="18"/>
                <w:color w:val="auto"/>
              </w:rPr>
              <w:t>3/31/17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750,000</w:t>
            </w:r>
          </w:p>
        </w:tc>
      </w:tr>
    </w:tbl>
    <w:p>
      <w:pPr>
        <w:spacing w:after="0" w:line="122" w:lineRule="exact"/>
        <w:rPr>
          <w:sz w:val="20"/>
          <w:szCs w:val="20"/>
          <w:color w:val="auto"/>
        </w:rPr>
      </w:pPr>
    </w:p>
    <w:p>
      <w:pPr>
        <w:ind w:left="1360" w:hanging="447"/>
        <w:spacing w:after="0" w:line="188" w:lineRule="auto"/>
        <w:tabs>
          <w:tab w:leader="none" w:pos="1360" w:val="left"/>
        </w:tabs>
        <w:numPr>
          <w:ilvl w:val="0"/>
          <w:numId w:val="3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 January 2015, the Company amended Mr. Wynn’s employment agreement, effective as of January 1, 2015, which decreased his base salary from $4.0 million to $2.5 million per year and extended the term of his employment agreement for two years through October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-221615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2014 Grants of Plan-Based Awards Table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2014 Plan rewards management for creation of superior return to stockholders, measured by the operating performance of our resorts. The amounts shown in the table below reflect possible payments based upon salaries in effect during the first quarter of 2014, when the performance criteria were established. Actual payouts were based upon the achievement of the 2014 performance goals as described in “Compensation Discussion and Analysis — Elements of Executive Compensation.”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20" w:type="dxa"/>
            <w:vAlign w:val="bottom"/>
          </w:tcPr>
          <w:p>
            <w:pPr>
              <w:jc w:val="right"/>
              <w:ind w:right="132"/>
              <w:spacing w:after="0"/>
              <w:rPr>
                <w:sz w:val="20"/>
                <w:szCs w:val="20"/>
                <w:color w:val="auto"/>
              </w:rPr>
            </w:pPr>
            <w:r>
              <w:rPr>
                <w:rFonts w:ascii="Arial" w:cs="Arial" w:eastAsia="Arial" w:hAnsi="Arial"/>
                <w:sz w:val="18"/>
                <w:szCs w:val="18"/>
                <w:b w:val="1"/>
                <w:bCs w:val="1"/>
                <w:color w:val="614A3D"/>
              </w:rPr>
              <w:t>Estimated Future Payouts</w:t>
            </w:r>
          </w:p>
        </w:tc>
        <w:tc>
          <w:tcPr>
            <w:tcW w:w="2520" w:type="dxa"/>
            <w:vAlign w:val="bottom"/>
          </w:tcPr>
          <w:p>
            <w:pPr>
              <w:jc w:val="right"/>
              <w:ind w:right="192"/>
              <w:spacing w:after="0"/>
              <w:rPr>
                <w:sz w:val="20"/>
                <w:szCs w:val="20"/>
                <w:color w:val="auto"/>
              </w:rPr>
            </w:pPr>
            <w:r>
              <w:rPr>
                <w:rFonts w:ascii="Arial" w:cs="Arial" w:eastAsia="Arial" w:hAnsi="Arial"/>
                <w:sz w:val="18"/>
                <w:szCs w:val="18"/>
                <w:b w:val="1"/>
                <w:bCs w:val="1"/>
                <w:color w:val="614A3D"/>
              </w:rPr>
              <w:t>All Other Stock Awards:</w:t>
            </w:r>
          </w:p>
        </w:tc>
        <w:tc>
          <w:tcPr>
            <w:tcW w:w="2520" w:type="dxa"/>
            <w:vAlign w:val="bottom"/>
          </w:tcPr>
          <w:p>
            <w:pPr>
              <w:jc w:val="right"/>
              <w:ind w:right="12"/>
              <w:spacing w:after="0"/>
              <w:rPr>
                <w:sz w:val="20"/>
                <w:szCs w:val="20"/>
                <w:color w:val="auto"/>
              </w:rPr>
            </w:pPr>
            <w:r>
              <w:rPr>
                <w:rFonts w:ascii="Arial" w:cs="Arial" w:eastAsia="Arial" w:hAnsi="Arial"/>
                <w:sz w:val="18"/>
                <w:szCs w:val="18"/>
                <w:b w:val="1"/>
                <w:bCs w:val="1"/>
                <w:color w:val="614A3D"/>
              </w:rPr>
              <w:t>Grant Date Fair Value of</w:t>
            </w:r>
          </w:p>
        </w:tc>
      </w:tr>
      <w:tr>
        <w:trPr>
          <w:trHeight w:val="203"/>
        </w:trPr>
        <w:tc>
          <w:tcPr>
            <w:tcW w:w="2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Under Non-Equity</w:t>
            </w:r>
          </w:p>
        </w:tc>
        <w:tc>
          <w:tcPr>
            <w:tcW w:w="252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614A3D"/>
              </w:rPr>
              <w:t>Number of Shares of</w:t>
            </w:r>
          </w:p>
        </w:tc>
        <w:tc>
          <w:tcPr>
            <w:tcW w:w="25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Stock and Option Awards</w:t>
            </w:r>
          </w:p>
        </w:tc>
      </w:tr>
      <w:tr>
        <w:trPr>
          <w:trHeight w:val="221"/>
        </w:trPr>
        <w:tc>
          <w:tcPr>
            <w:tcW w:w="2280" w:type="dxa"/>
            <w:vAlign w:val="bottom"/>
          </w:tcPr>
          <w:p>
            <w:pPr>
              <w:spacing w:after="0"/>
              <w:rPr>
                <w:sz w:val="19"/>
                <w:szCs w:val="19"/>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Grant Date</w:t>
            </w:r>
          </w:p>
        </w:tc>
        <w:tc>
          <w:tcPr>
            <w:tcW w:w="2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Incentive Plan Awards ($)</w:t>
            </w:r>
          </w:p>
        </w:tc>
        <w:tc>
          <w:tcPr>
            <w:tcW w:w="2520" w:type="dxa"/>
            <w:vAlign w:val="bottom"/>
            <w:tcBorders>
              <w:bottom w:val="single" w:sz="8" w:color="auto"/>
            </w:tcBorders>
          </w:tcPr>
          <w:p>
            <w:pPr>
              <w:jc w:val="right"/>
              <w:ind w:right="192"/>
              <w:spacing w:after="0" w:line="222" w:lineRule="exact"/>
              <w:rPr>
                <w:sz w:val="20"/>
                <w:szCs w:val="20"/>
                <w:color w:val="auto"/>
              </w:rPr>
            </w:pPr>
            <w:r>
              <w:rPr>
                <w:rFonts w:ascii="Arial" w:cs="Arial" w:eastAsia="Arial" w:hAnsi="Arial"/>
                <w:sz w:val="18"/>
                <w:szCs w:val="18"/>
                <w:b w:val="1"/>
                <w:bCs w:val="1"/>
                <w:color w:val="614A3D"/>
              </w:rPr>
              <w:t>Stock or Units (#)</w:t>
            </w:r>
            <w:r>
              <w:rPr>
                <w:rFonts w:ascii="Arial" w:cs="Arial" w:eastAsia="Arial" w:hAnsi="Arial"/>
                <w:sz w:val="22"/>
                <w:szCs w:val="22"/>
                <w:b w:val="1"/>
                <w:bCs w:val="1"/>
                <w:color w:val="614A3D"/>
                <w:vertAlign w:val="superscript"/>
              </w:rPr>
              <w:t>(2)</w:t>
            </w:r>
          </w:p>
        </w:tc>
        <w:tc>
          <w:tcPr>
            <w:tcW w:w="2520" w:type="dxa"/>
            <w:vAlign w:val="bottom"/>
            <w:tcBorders>
              <w:bottom w:val="single" w:sz="8" w:color="auto"/>
            </w:tcBorders>
          </w:tcPr>
          <w:p>
            <w:pPr>
              <w:jc w:val="right"/>
              <w:ind w:right="12"/>
              <w:spacing w:after="0" w:line="222" w:lineRule="exact"/>
              <w:rPr>
                <w:sz w:val="20"/>
                <w:szCs w:val="20"/>
                <w:color w:val="auto"/>
              </w:rPr>
            </w:pPr>
            <w:r>
              <w:rPr>
                <w:rFonts w:ascii="Arial" w:cs="Arial" w:eastAsia="Arial" w:hAnsi="Arial"/>
                <w:sz w:val="18"/>
                <w:szCs w:val="18"/>
                <w:b w:val="1"/>
                <w:bCs w:val="1"/>
                <w:color w:val="614A3D"/>
              </w:rPr>
              <w:t>($)</w:t>
            </w:r>
            <w:r>
              <w:rPr>
                <w:rFonts w:ascii="Arial" w:cs="Arial" w:eastAsia="Arial" w:hAnsi="Arial"/>
                <w:sz w:val="22"/>
                <w:szCs w:val="22"/>
                <w:b w:val="1"/>
                <w:bCs w:val="1"/>
                <w:color w:val="614A3D"/>
                <w:vertAlign w:val="superscript"/>
              </w:rPr>
              <w:t>(2)</w:t>
            </w:r>
          </w:p>
        </w:tc>
      </w:tr>
      <w:tr>
        <w:trPr>
          <w:trHeight w:val="177"/>
        </w:trPr>
        <w:tc>
          <w:tcPr>
            <w:tcW w:w="2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20" w:type="dxa"/>
            <w:vAlign w:val="bottom"/>
          </w:tcPr>
          <w:p>
            <w:pPr>
              <w:jc w:val="right"/>
              <w:ind w:right="132"/>
              <w:spacing w:after="0" w:line="177" w:lineRule="exact"/>
              <w:rPr>
                <w:sz w:val="20"/>
                <w:szCs w:val="20"/>
                <w:color w:val="auto"/>
              </w:rPr>
            </w:pPr>
            <w:r>
              <w:rPr>
                <w:rFonts w:ascii="Arial" w:cs="Arial" w:eastAsia="Arial" w:hAnsi="Arial"/>
                <w:sz w:val="18"/>
                <w:szCs w:val="18"/>
                <w:b w:val="1"/>
                <w:bCs w:val="1"/>
                <w:color w:val="614A3D"/>
              </w:rPr>
              <w:t>Target/Maximum</w:t>
            </w:r>
          </w:p>
        </w:tc>
        <w:tc>
          <w:tcPr>
            <w:tcW w:w="252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35"/>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Named Executive Officer</w:t>
            </w:r>
          </w:p>
        </w:tc>
        <w:tc>
          <w:tcPr>
            <w:tcW w:w="14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752"/>
              <w:spacing w:after="0" w:line="234" w:lineRule="exact"/>
              <w:rPr>
                <w:sz w:val="20"/>
                <w:szCs w:val="20"/>
                <w:color w:val="auto"/>
              </w:rPr>
            </w:pPr>
            <w:r>
              <w:rPr>
                <w:rFonts w:ascii="Arial" w:cs="Arial" w:eastAsia="Arial" w:hAnsi="Arial"/>
                <w:sz w:val="18"/>
                <w:szCs w:val="18"/>
                <w:b w:val="1"/>
                <w:bCs w:val="1"/>
                <w:color w:val="614A3D"/>
              </w:rPr>
              <w:t>($)</w:t>
            </w:r>
            <w:r>
              <w:rPr>
                <w:rFonts w:ascii="Arial" w:cs="Arial" w:eastAsia="Arial" w:hAnsi="Arial"/>
                <w:sz w:val="22"/>
                <w:szCs w:val="22"/>
                <w:b w:val="1"/>
                <w:bCs w:val="1"/>
                <w:color w:val="614A3D"/>
                <w:vertAlign w:val="superscript"/>
              </w:rPr>
              <w:t>(1)</w:t>
            </w:r>
          </w:p>
        </w:tc>
        <w:tc>
          <w:tcPr>
            <w:tcW w:w="2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r>
      <w:tr>
        <w:trPr>
          <w:trHeight w:val="199"/>
        </w:trPr>
        <w:tc>
          <w:tcPr>
            <w:tcW w:w="228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148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$25,000,000</w:t>
            </w:r>
          </w:p>
        </w:tc>
        <w:tc>
          <w:tcPr>
            <w:tcW w:w="252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r>
      <w:tr>
        <w:trPr>
          <w:trHeight w:val="194"/>
        </w:trPr>
        <w:tc>
          <w:tcPr>
            <w:tcW w:w="2280" w:type="dxa"/>
            <w:vAlign w:val="bottom"/>
          </w:tcPr>
          <w:p>
            <w:pPr>
              <w:spacing w:after="0" w:line="194" w:lineRule="exact"/>
              <w:rPr>
                <w:sz w:val="20"/>
                <w:szCs w:val="20"/>
                <w:color w:val="auto"/>
              </w:rPr>
            </w:pPr>
            <w:r>
              <w:rPr>
                <w:rFonts w:ascii="Arial" w:cs="Arial" w:eastAsia="Arial" w:hAnsi="Arial"/>
                <w:sz w:val="18"/>
                <w:szCs w:val="18"/>
                <w:color w:val="auto"/>
              </w:rPr>
              <w:t>Matt Maddox</w:t>
            </w:r>
          </w:p>
        </w:tc>
        <w:tc>
          <w:tcPr>
            <w:tcW w:w="148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$ 3,000,000</w:t>
            </w:r>
          </w:p>
        </w:tc>
        <w:tc>
          <w:tcPr>
            <w:tcW w:w="2520" w:type="dxa"/>
            <w:vAlign w:val="bottom"/>
          </w:tcPr>
          <w:p>
            <w:pPr>
              <w:jc w:val="right"/>
              <w:ind w:right="192"/>
              <w:spacing w:after="0" w:line="194"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2"/>
              <w:spacing w:after="0" w:line="194" w:lineRule="exact"/>
              <w:rPr>
                <w:sz w:val="20"/>
                <w:szCs w:val="20"/>
                <w:color w:val="auto"/>
              </w:rPr>
            </w:pPr>
            <w:r>
              <w:rPr>
                <w:rFonts w:ascii="Arial" w:cs="Arial" w:eastAsia="Arial" w:hAnsi="Arial"/>
                <w:sz w:val="18"/>
                <w:szCs w:val="18"/>
                <w:color w:val="auto"/>
              </w:rPr>
              <w:t>—</w:t>
            </w:r>
          </w:p>
        </w:tc>
      </w:tr>
      <w:tr>
        <w:trPr>
          <w:trHeight w:val="212"/>
        </w:trPr>
        <w:tc>
          <w:tcPr>
            <w:tcW w:w="2280" w:type="dxa"/>
            <w:vAlign w:val="bottom"/>
          </w:tcPr>
          <w:p>
            <w:pPr>
              <w:spacing w:after="0"/>
              <w:rPr>
                <w:sz w:val="20"/>
                <w:szCs w:val="20"/>
                <w:color w:val="auto"/>
              </w:rPr>
            </w:pPr>
            <w:r>
              <w:rPr>
                <w:rFonts w:ascii="Arial" w:cs="Arial" w:eastAsia="Arial" w:hAnsi="Arial"/>
                <w:sz w:val="18"/>
                <w:szCs w:val="18"/>
                <w:color w:val="auto"/>
              </w:rPr>
              <w:t>Stephen Cootey</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01/02/2014</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92"/>
              <w:spacing w:after="0" w:line="211" w:lineRule="exact"/>
              <w:rPr>
                <w:sz w:val="20"/>
                <w:szCs w:val="20"/>
                <w:color w:val="auto"/>
              </w:rPr>
            </w:pPr>
            <w:r>
              <w:rPr>
                <w:rFonts w:ascii="Arial" w:cs="Arial" w:eastAsia="Arial" w:hAnsi="Arial"/>
                <w:sz w:val="18"/>
                <w:szCs w:val="18"/>
                <w:color w:val="auto"/>
              </w:rPr>
              <w:t>20,000</w:t>
            </w:r>
            <w:r>
              <w:rPr>
                <w:rFonts w:ascii="Arial" w:cs="Arial" w:eastAsia="Arial" w:hAnsi="Arial"/>
                <w:sz w:val="22"/>
                <w:szCs w:val="22"/>
                <w:i w:val="1"/>
                <w:iCs w:val="1"/>
                <w:color w:val="auto"/>
                <w:vertAlign w:val="superscript"/>
              </w:rPr>
              <w:t>(3)</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$3,958,800</w:t>
            </w: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$ 3,000,000</w:t>
            </w:r>
          </w:p>
        </w:tc>
        <w:tc>
          <w:tcPr>
            <w:tcW w:w="25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4"/>
        </w:trPr>
        <w:tc>
          <w:tcPr>
            <w:tcW w:w="2280" w:type="dxa"/>
            <w:vAlign w:val="bottom"/>
          </w:tcPr>
          <w:p>
            <w:pPr>
              <w:spacing w:after="0" w:line="194" w:lineRule="exact"/>
              <w:rPr>
                <w:sz w:val="20"/>
                <w:szCs w:val="20"/>
                <w:color w:val="auto"/>
              </w:rPr>
            </w:pPr>
            <w:r>
              <w:rPr>
                <w:rFonts w:ascii="Arial" w:cs="Arial" w:eastAsia="Arial" w:hAnsi="Arial"/>
                <w:sz w:val="18"/>
                <w:szCs w:val="18"/>
                <w:color w:val="auto"/>
              </w:rPr>
              <w:t>Kim Sinatra</w:t>
            </w:r>
          </w:p>
        </w:tc>
        <w:tc>
          <w:tcPr>
            <w:tcW w:w="148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N/A</w:t>
            </w:r>
          </w:p>
        </w:tc>
        <w:tc>
          <w:tcPr>
            <w:tcW w:w="262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$ 1,700,000</w:t>
            </w:r>
          </w:p>
        </w:tc>
        <w:tc>
          <w:tcPr>
            <w:tcW w:w="2520" w:type="dxa"/>
            <w:vAlign w:val="bottom"/>
          </w:tcPr>
          <w:p>
            <w:pPr>
              <w:jc w:val="right"/>
              <w:ind w:right="192"/>
              <w:spacing w:after="0" w:line="194" w:lineRule="exact"/>
              <w:rPr>
                <w:sz w:val="20"/>
                <w:szCs w:val="20"/>
                <w:color w:val="auto"/>
              </w:rPr>
            </w:pPr>
            <w:r>
              <w:rPr>
                <w:rFonts w:ascii="Arial" w:cs="Arial" w:eastAsia="Arial" w:hAnsi="Arial"/>
                <w:sz w:val="18"/>
                <w:szCs w:val="18"/>
                <w:color w:val="auto"/>
              </w:rPr>
              <w:t>—</w:t>
            </w:r>
          </w:p>
        </w:tc>
        <w:tc>
          <w:tcPr>
            <w:tcW w:w="2520" w:type="dxa"/>
            <w:vAlign w:val="bottom"/>
          </w:tcPr>
          <w:p>
            <w:pPr>
              <w:jc w:val="right"/>
              <w:ind w:right="12"/>
              <w:spacing w:after="0" w:line="194" w:lineRule="exact"/>
              <w:rPr>
                <w:sz w:val="20"/>
                <w:szCs w:val="20"/>
                <w:color w:val="auto"/>
              </w:rPr>
            </w:pPr>
            <w:r>
              <w:rPr>
                <w:rFonts w:ascii="Arial" w:cs="Arial" w:eastAsia="Arial" w:hAnsi="Arial"/>
                <w:sz w:val="18"/>
                <w:szCs w:val="18"/>
                <w:color w:val="auto"/>
              </w:rPr>
              <w:t>—</w:t>
            </w:r>
          </w:p>
        </w:tc>
      </w:tr>
      <w:tr>
        <w:trPr>
          <w:trHeight w:val="212"/>
        </w:trPr>
        <w:tc>
          <w:tcPr>
            <w:tcW w:w="2280" w:type="dxa"/>
            <w:vAlign w:val="bottom"/>
          </w:tcPr>
          <w:p>
            <w:pPr>
              <w:spacing w:after="0"/>
              <w:rPr>
                <w:sz w:val="18"/>
                <w:szCs w:val="18"/>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05/05/2014</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92"/>
              <w:spacing w:after="0" w:line="211" w:lineRule="exact"/>
              <w:rPr>
                <w:sz w:val="20"/>
                <w:szCs w:val="20"/>
                <w:color w:val="auto"/>
              </w:rPr>
            </w:pPr>
            <w:r>
              <w:rPr>
                <w:rFonts w:ascii="Arial" w:cs="Arial" w:eastAsia="Arial" w:hAnsi="Arial"/>
                <w:sz w:val="18"/>
                <w:szCs w:val="18"/>
                <w:color w:val="auto"/>
              </w:rPr>
              <w:t>7,500</w:t>
            </w:r>
            <w:r>
              <w:rPr>
                <w:rFonts w:ascii="Arial" w:cs="Arial" w:eastAsia="Arial" w:hAnsi="Arial"/>
                <w:sz w:val="22"/>
                <w:szCs w:val="22"/>
                <w:i w:val="1"/>
                <w:iCs w:val="1"/>
                <w:color w:val="auto"/>
                <w:vertAlign w:val="superscript"/>
              </w:rPr>
              <w:t>(4)</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$1,624,875</w:t>
            </w:r>
          </w:p>
        </w:tc>
      </w:tr>
      <w:tr>
        <w:trPr>
          <w:trHeight w:val="211"/>
        </w:trPr>
        <w:tc>
          <w:tcPr>
            <w:tcW w:w="2280" w:type="dxa"/>
            <w:vAlign w:val="bottom"/>
          </w:tcPr>
          <w:p>
            <w:pPr>
              <w:spacing w:after="0"/>
              <w:rPr>
                <w:sz w:val="20"/>
                <w:szCs w:val="20"/>
                <w:color w:val="auto"/>
              </w:rPr>
            </w:pPr>
            <w:r>
              <w:rPr>
                <w:rFonts w:ascii="Arial" w:cs="Arial" w:eastAsia="Arial" w:hAnsi="Arial"/>
                <w:sz w:val="18"/>
                <w:szCs w:val="18"/>
                <w:color w:val="auto"/>
              </w:rPr>
              <w:t>John Strzemp</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N/A</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$ 1,500,000</w:t>
            </w:r>
          </w:p>
        </w:tc>
        <w:tc>
          <w:tcPr>
            <w:tcW w:w="25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jc w:val="both"/>
        <w:ind w:left="340" w:hanging="332"/>
        <w:spacing w:after="0" w:line="210" w:lineRule="auto"/>
        <w:tabs>
          <w:tab w:leader="none" w:pos="34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shown in the table above reflect possible 2014 performance-based annual incentive awards based upon salaries in effect during the first quarter of 2014, when the performance criteria were established. The awards are subject to (1) the limitations set forth in the 2014 Plan, including the cash and stock grant limits and continued employment through the end of the performance period, (2) the Compensation Committee’s ability to reduce awards in its discretion and (3) payment of at least 50% of the awards in shares of Common Stock subject to a holding period, if applicable. Actual awards were based upon achievement of the 2014 performance criteria: (1) achievement of a 2014 adjusted property EBITDA goal; (2) retention of specified third party recognition of quality and performance as of December 1, 2014; (3) achievement of certain goals related to the development of Wynn Palace as of December 1, 2014. Achievement of these 2014 performance criteria resulted in the payment of maximum bonuses under the 2014 Plan to all NEOs with exception of (i) Mr. Wynn who received $20 million instead of the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2" w:lineRule="exact"/>
        <w:rPr>
          <w:sz w:val="20"/>
          <w:szCs w:val="20"/>
          <w:color w:val="auto"/>
        </w:rPr>
      </w:pPr>
    </w:p>
    <w:p>
      <w:pPr>
        <w:ind w:left="340" w:right="20"/>
        <w:spacing w:after="0" w:line="206" w:lineRule="auto"/>
        <w:rPr>
          <w:sz w:val="20"/>
          <w:szCs w:val="20"/>
          <w:color w:val="auto"/>
        </w:rPr>
      </w:pPr>
      <w:r>
        <w:rPr>
          <w:rFonts w:ascii="Arial" w:cs="Arial" w:eastAsia="Arial" w:hAnsi="Arial"/>
          <w:sz w:val="14"/>
          <w:szCs w:val="14"/>
          <w:i w:val="1"/>
          <w:iCs w:val="1"/>
          <w:color w:val="auto"/>
        </w:rPr>
        <w:t>maximum and (ii) Mr. Cootey who was not a participant in the 2014 performance-based annual incentive awards program as he was not a NEO at the time the Compensation Committee established the performance criteria.</w:t>
      </w:r>
    </w:p>
    <w:p>
      <w:pPr>
        <w:spacing w:after="0" w:line="7" w:lineRule="exact"/>
        <w:rPr>
          <w:sz w:val="20"/>
          <w:szCs w:val="20"/>
          <w:color w:val="auto"/>
        </w:rPr>
      </w:pPr>
    </w:p>
    <w:p>
      <w:pPr>
        <w:jc w:val="both"/>
        <w:ind w:left="340" w:hanging="332"/>
        <w:spacing w:after="0" w:line="191" w:lineRule="auto"/>
        <w:tabs>
          <w:tab w:leader="none" w:pos="340" w:val="left"/>
        </w:tabs>
        <w:numPr>
          <w:ilvl w:val="0"/>
          <w:numId w:val="3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are calculated based on the aggregate grant date fair value computed in accordance with accounting standards for stock based compensation. See our Annual Report on Form 10-K for the year ended December 31, 2014, Item 8, Note 15—“Stock-Based Compensation”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34"/>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Cootey’s awards will vest as follows: 20,000 shares will vest one-third on each of January 2, 2017, 2018 and 2019.</w:t>
      </w:r>
    </w:p>
    <w:p>
      <w:pPr>
        <w:ind w:left="340" w:hanging="332"/>
        <w:spacing w:after="0" w:line="188" w:lineRule="auto"/>
        <w:tabs>
          <w:tab w:leader="none" w:pos="340" w:val="left"/>
        </w:tabs>
        <w:numPr>
          <w:ilvl w:val="0"/>
          <w:numId w:val="34"/>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Ms. Sinatra’s awards immediately vested on May 5,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20" w:type="dxa"/>
            <w:vAlign w:val="bottom"/>
            <w:gridSpan w:val="2"/>
          </w:tcPr>
          <w:p>
            <w:pPr>
              <w:spacing w:after="0"/>
              <w:rPr>
                <w:sz w:val="20"/>
                <w:szCs w:val="20"/>
                <w:color w:val="auto"/>
              </w:rPr>
            </w:pPr>
            <w:r>
              <w:rPr>
                <w:rFonts w:ascii="Arial" w:cs="Arial" w:eastAsia="Arial" w:hAnsi="Arial"/>
                <w:sz w:val="18"/>
                <w:szCs w:val="18"/>
                <w:b w:val="1"/>
                <w:bCs w:val="1"/>
                <w:color w:val="806E63"/>
                <w:w w:val="98"/>
              </w:rPr>
              <w:t>Outstanding Equity Awards at Fiscal Year-End</w:t>
            </w: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4"/>
        </w:trPr>
        <w:tc>
          <w:tcPr>
            <w:tcW w:w="22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772"/>
              <w:spacing w:after="0"/>
              <w:rPr>
                <w:sz w:val="20"/>
                <w:szCs w:val="20"/>
                <w:color w:val="auto"/>
              </w:rPr>
            </w:pPr>
            <w:r>
              <w:rPr>
                <w:rFonts w:ascii="Arial" w:cs="Arial" w:eastAsia="Arial" w:hAnsi="Arial"/>
                <w:sz w:val="18"/>
                <w:szCs w:val="18"/>
                <w:b w:val="1"/>
                <w:bCs w:val="1"/>
                <w:color w:val="614A3D"/>
              </w:rPr>
              <w:t>Option Awards</w:t>
            </w:r>
          </w:p>
        </w:tc>
        <w:tc>
          <w:tcPr>
            <w:tcW w:w="1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614A3D"/>
              </w:rPr>
              <w:t>Stock Awards</w:t>
            </w:r>
          </w:p>
        </w:tc>
        <w:tc>
          <w:tcPr>
            <w:tcW w:w="1000" w:type="dxa"/>
            <w:vAlign w:val="bottom"/>
            <w:tcBorders>
              <w:bottom w:val="single" w:sz="8" w:color="auto"/>
            </w:tcBorders>
          </w:tcPr>
          <w:p>
            <w:pPr>
              <w:spacing w:after="0"/>
              <w:rPr>
                <w:sz w:val="24"/>
                <w:szCs w:val="24"/>
                <w:color w:val="auto"/>
              </w:rPr>
            </w:pPr>
          </w:p>
        </w:tc>
      </w:tr>
      <w:tr>
        <w:trPr>
          <w:trHeight w:val="177"/>
        </w:trPr>
        <w:tc>
          <w:tcPr>
            <w:tcW w:w="2200" w:type="dxa"/>
            <w:vAlign w:val="bottom"/>
          </w:tcPr>
          <w:p>
            <w:pPr>
              <w:spacing w:after="0"/>
              <w:rPr>
                <w:sz w:val="15"/>
                <w:szCs w:val="15"/>
                <w:color w:val="auto"/>
              </w:rPr>
            </w:pPr>
          </w:p>
        </w:tc>
        <w:tc>
          <w:tcPr>
            <w:tcW w:w="1720" w:type="dxa"/>
            <w:vAlign w:val="bottom"/>
          </w:tcPr>
          <w:p>
            <w:pPr>
              <w:jc w:val="right"/>
              <w:ind w:right="272"/>
              <w:spacing w:after="0" w:line="177" w:lineRule="exact"/>
              <w:rPr>
                <w:sz w:val="20"/>
                <w:szCs w:val="20"/>
                <w:color w:val="auto"/>
              </w:rPr>
            </w:pPr>
            <w:r>
              <w:rPr>
                <w:rFonts w:ascii="Arial" w:cs="Arial" w:eastAsia="Arial" w:hAnsi="Arial"/>
                <w:sz w:val="18"/>
                <w:szCs w:val="18"/>
                <w:b w:val="1"/>
                <w:bCs w:val="1"/>
                <w:color w:val="614A3D"/>
              </w:rPr>
              <w:t>Number of</w:t>
            </w:r>
          </w:p>
        </w:tc>
        <w:tc>
          <w:tcPr>
            <w:tcW w:w="1480" w:type="dxa"/>
            <w:vAlign w:val="bottom"/>
          </w:tcPr>
          <w:p>
            <w:pPr>
              <w:jc w:val="right"/>
              <w:ind w:right="132"/>
              <w:spacing w:after="0" w:line="177" w:lineRule="exact"/>
              <w:rPr>
                <w:sz w:val="20"/>
                <w:szCs w:val="20"/>
                <w:color w:val="auto"/>
              </w:rPr>
            </w:pPr>
            <w:r>
              <w:rPr>
                <w:rFonts w:ascii="Arial" w:cs="Arial" w:eastAsia="Arial" w:hAnsi="Arial"/>
                <w:sz w:val="18"/>
                <w:szCs w:val="18"/>
                <w:b w:val="1"/>
                <w:bCs w:val="1"/>
                <w:color w:val="614A3D"/>
              </w:rPr>
              <w:t>Number of</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0" w:type="dxa"/>
            <w:vAlign w:val="bottom"/>
          </w:tcPr>
          <w:p>
            <w:pPr>
              <w:jc w:val="right"/>
              <w:ind w:right="312"/>
              <w:spacing w:after="0" w:line="177" w:lineRule="exact"/>
              <w:rPr>
                <w:sz w:val="20"/>
                <w:szCs w:val="20"/>
                <w:color w:val="auto"/>
              </w:rPr>
            </w:pPr>
            <w:r>
              <w:rPr>
                <w:rFonts w:ascii="Arial" w:cs="Arial" w:eastAsia="Arial" w:hAnsi="Arial"/>
                <w:sz w:val="18"/>
                <w:szCs w:val="18"/>
                <w:b w:val="1"/>
                <w:bCs w:val="1"/>
                <w:color w:val="614A3D"/>
              </w:rPr>
              <w:t>Number of</w:t>
            </w:r>
          </w:p>
        </w:tc>
        <w:tc>
          <w:tcPr>
            <w:tcW w:w="1700" w:type="dxa"/>
            <w:vAlign w:val="bottom"/>
            <w:gridSpan w:val="2"/>
          </w:tcPr>
          <w:p>
            <w:pPr>
              <w:jc w:val="right"/>
              <w:ind w:right="12"/>
              <w:spacing w:after="0" w:line="177" w:lineRule="exact"/>
              <w:rPr>
                <w:sz w:val="20"/>
                <w:szCs w:val="20"/>
                <w:color w:val="auto"/>
              </w:rPr>
            </w:pPr>
            <w:r>
              <w:rPr>
                <w:rFonts w:ascii="Arial" w:cs="Arial" w:eastAsia="Arial" w:hAnsi="Arial"/>
                <w:sz w:val="18"/>
                <w:szCs w:val="18"/>
                <w:b w:val="1"/>
                <w:bCs w:val="1"/>
                <w:color w:val="614A3D"/>
              </w:rPr>
              <w:t>Market Value</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Securities</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Securities</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Shares or</w:t>
            </w:r>
          </w:p>
        </w:tc>
        <w:tc>
          <w:tcPr>
            <w:tcW w:w="17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of Shares or</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Underlying</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Underlying</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Units of Stock</w:t>
            </w:r>
          </w:p>
        </w:tc>
        <w:tc>
          <w:tcPr>
            <w:tcW w:w="17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Units of Stock</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Unexercised</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Unexercised</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rPr>
              <w:t>Option</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Option</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That Have Not</w:t>
            </w:r>
          </w:p>
        </w:tc>
        <w:tc>
          <w:tcPr>
            <w:tcW w:w="17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That Have Not</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Options (#)</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Options (#)</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rPr>
              <w:t>Exercise</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Expiration</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614A3D"/>
              </w:rPr>
              <w:t>Vested</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Vested</w:t>
            </w:r>
          </w:p>
        </w:tc>
      </w:tr>
      <w:tr>
        <w:trPr>
          <w:trHeight w:val="235"/>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Exercisable</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Unexercisable</w:t>
            </w: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Price ($)</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Date</w:t>
            </w:r>
          </w:p>
        </w:tc>
        <w:tc>
          <w:tcPr>
            <w:tcW w:w="1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614A3D"/>
              </w:rPr>
              <w:t>(#)</w:t>
            </w: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(6)</w:t>
            </w:r>
          </w:p>
        </w:tc>
      </w:tr>
      <w:tr>
        <w:trPr>
          <w:trHeight w:val="294"/>
        </w:trPr>
        <w:tc>
          <w:tcPr>
            <w:tcW w:w="2200" w:type="dxa"/>
            <w:vAlign w:val="bottom"/>
          </w:tcPr>
          <w:p>
            <w:pPr>
              <w:spacing w:after="0"/>
              <w:rPr>
                <w:sz w:val="20"/>
                <w:szCs w:val="20"/>
                <w:color w:val="auto"/>
              </w:rPr>
            </w:pPr>
            <w:r>
              <w:rPr>
                <w:rFonts w:ascii="Arial" w:cs="Arial" w:eastAsia="Arial" w:hAnsi="Arial"/>
                <w:sz w:val="18"/>
                <w:szCs w:val="18"/>
                <w:color w:val="auto"/>
              </w:rPr>
              <w:t>Stephen A. Wynn</w:t>
            </w:r>
          </w:p>
        </w:tc>
        <w:tc>
          <w:tcPr>
            <w:tcW w:w="17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i w:val="1"/>
                <w:iCs w:val="1"/>
                <w:color w:val="auto"/>
              </w:rPr>
              <w:t>(1)</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50,000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7,438,000</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150,000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$ 47.12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Stephen Cootey </w:t>
            </w:r>
            <w:r>
              <w:rPr>
                <w:rFonts w:ascii="Arial" w:cs="Arial" w:eastAsia="Arial" w:hAnsi="Arial"/>
                <w:sz w:val="11"/>
                <w:szCs w:val="11"/>
                <w:i w:val="1"/>
                <w:iCs w:val="1"/>
                <w:color w:val="auto"/>
              </w:rPr>
              <w:t>(2)</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2,975,200</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Linda Chen </w:t>
            </w:r>
            <w:r>
              <w:rPr>
                <w:rFonts w:ascii="Arial" w:cs="Arial" w:eastAsia="Arial" w:hAnsi="Arial"/>
                <w:sz w:val="11"/>
                <w:szCs w:val="11"/>
                <w:i w:val="1"/>
                <w:iCs w:val="1"/>
                <w:color w:val="auto"/>
              </w:rPr>
              <w:t>(3)</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100,000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14,876,000</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692"/>
              <w:spacing w:after="0" w:line="202" w:lineRule="exact"/>
              <w:rPr>
                <w:sz w:val="20"/>
                <w:szCs w:val="20"/>
                <w:color w:val="auto"/>
              </w:rPr>
            </w:pPr>
            <w:r>
              <w:rPr>
                <w:rFonts w:ascii="Arial" w:cs="Arial" w:eastAsia="Arial" w:hAnsi="Arial"/>
                <w:sz w:val="18"/>
                <w:szCs w:val="18"/>
                <w:color w:val="auto"/>
              </w:rPr>
              <w:t>40,000</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150,000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$ 47.12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i w:val="1"/>
                <w:iCs w:val="1"/>
                <w:color w:val="auto"/>
              </w:rPr>
              <w:t>(4)</w:t>
            </w: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25,000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3,719,000</w:t>
            </w:r>
          </w:p>
        </w:tc>
      </w:tr>
      <w:tr>
        <w:trPr>
          <w:trHeight w:val="203"/>
        </w:trPr>
        <w:tc>
          <w:tcPr>
            <w:tcW w:w="2200" w:type="dxa"/>
            <w:vAlign w:val="bottom"/>
          </w:tcPr>
          <w:p>
            <w:pPr>
              <w:spacing w:after="0"/>
              <w:rPr>
                <w:sz w:val="17"/>
                <w:szCs w:val="17"/>
                <w:color w:val="auto"/>
              </w:rPr>
            </w:pPr>
          </w:p>
        </w:tc>
        <w:tc>
          <w:tcPr>
            <w:tcW w:w="17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125,000</w:t>
            </w:r>
          </w:p>
        </w:tc>
        <w:tc>
          <w:tcPr>
            <w:tcW w:w="11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$ 47.12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8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2200" w:type="dxa"/>
            <w:vAlign w:val="bottom"/>
          </w:tcPr>
          <w:p>
            <w:pPr>
              <w:spacing w:after="0"/>
              <w:rPr>
                <w:sz w:val="20"/>
                <w:szCs w:val="20"/>
                <w:color w:val="auto"/>
              </w:rPr>
            </w:pPr>
            <w:r>
              <w:rPr>
                <w:rFonts w:ascii="Arial" w:cs="Arial" w:eastAsia="Arial" w:hAnsi="Arial"/>
                <w:sz w:val="18"/>
                <w:szCs w:val="18"/>
                <w:color w:val="auto"/>
              </w:rPr>
              <w:t xml:space="preserve">John Strzemp </w:t>
            </w:r>
            <w:r>
              <w:rPr>
                <w:rFonts w:ascii="Arial" w:cs="Arial" w:eastAsia="Arial" w:hAnsi="Arial"/>
                <w:sz w:val="11"/>
                <w:szCs w:val="11"/>
                <w:i w:val="1"/>
                <w:iCs w:val="1"/>
                <w:color w:val="auto"/>
              </w:rPr>
              <w:t>(5)</w:t>
            </w:r>
          </w:p>
        </w:tc>
        <w:tc>
          <w:tcPr>
            <w:tcW w:w="17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12"/>
              <w:spacing w:after="0"/>
              <w:rPr>
                <w:sz w:val="20"/>
                <w:szCs w:val="20"/>
                <w:color w:val="auto"/>
              </w:rPr>
            </w:pPr>
            <w:r>
              <w:rPr>
                <w:rFonts w:ascii="Arial" w:cs="Arial" w:eastAsia="Arial" w:hAnsi="Arial"/>
                <w:sz w:val="18"/>
                <w:szCs w:val="18"/>
                <w:color w:val="auto"/>
              </w:rPr>
              <w:t>22,500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3,347,100</w:t>
            </w:r>
          </w:p>
        </w:tc>
      </w:tr>
    </w:tbl>
    <w:p>
      <w:pPr>
        <w:spacing w:after="0" w:line="3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Maddox’s unvested awards will vest as follows:</w:t>
      </w:r>
    </w:p>
    <w:p>
      <w:pPr>
        <w:ind w:left="80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175,000 stock options will vest on December 5, 2016;</w:t>
      </w:r>
    </w:p>
    <w:p>
      <w:pPr>
        <w:ind w:left="80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30,000 stock options will vest on May 6, 2015, and each anniversary thereafter until the 150,000 stock options are fully vested; and</w:t>
      </w:r>
    </w:p>
    <w:p>
      <w:pPr>
        <w:ind w:left="80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50,000 shares of restricted stock will vest on December 5, 2016.</w:t>
      </w:r>
    </w:p>
    <w:p>
      <w:pPr>
        <w:ind w:left="340" w:hanging="332"/>
        <w:spacing w:after="0" w:line="182" w:lineRule="auto"/>
        <w:tabs>
          <w:tab w:leader="none" w:pos="340" w:val="left"/>
        </w:tabs>
        <w:numPr>
          <w:ilvl w:val="0"/>
          <w:numId w:val="35"/>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Cootey joined the Company as Senior Vice President – Finance in January 2014 and was promoted to Chief Financial Officer, effective as of May 16, 2014. Mr. Cootey received</w:t>
      </w:r>
    </w:p>
    <w:p>
      <w:pPr>
        <w:ind w:left="340"/>
        <w:spacing w:after="0" w:line="221" w:lineRule="auto"/>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20,000 shares of restricted stock in connection with his employment agreement. Mr. Cootey’s unvested awards will vest as follows:</w:t>
      </w:r>
    </w:p>
    <w:p>
      <w:pPr>
        <w:ind w:left="80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20,000 shares will vest one-third on each of January 2, 2017, 2018 and 2019.</w:t>
      </w:r>
    </w:p>
    <w:p>
      <w:pPr>
        <w:ind w:left="340" w:hanging="332"/>
        <w:spacing w:after="0" w:line="182" w:lineRule="auto"/>
        <w:tabs>
          <w:tab w:leader="none" w:pos="340" w:val="left"/>
        </w:tabs>
        <w:numPr>
          <w:ilvl w:val="0"/>
          <w:numId w:val="35"/>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Chen’s unvested awards will vest as follows:</w:t>
      </w:r>
    </w:p>
    <w:p>
      <w:pPr>
        <w:ind w:left="80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175,000 stock options will vest on December 5, 2016;</w:t>
      </w:r>
    </w:p>
    <w:p>
      <w:pPr>
        <w:ind w:left="80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30,000 stock options will vest on May 6, 2015, and each anniversary thereafter until the 150,000 stock options are fully vested; and</w:t>
      </w:r>
    </w:p>
    <w:p>
      <w:pPr>
        <w:ind w:left="80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100,000 shares of restricted stock will vest on December 5, 2016.</w:t>
      </w:r>
    </w:p>
    <w:p>
      <w:pPr>
        <w:ind w:left="340" w:hanging="332"/>
        <w:spacing w:after="0" w:line="182" w:lineRule="auto"/>
        <w:tabs>
          <w:tab w:leader="none" w:pos="340" w:val="left"/>
        </w:tabs>
        <w:numPr>
          <w:ilvl w:val="0"/>
          <w:numId w:val="35"/>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Sinatra’s unvested awards will vest as follows:</w:t>
      </w:r>
    </w:p>
    <w:p>
      <w:pPr>
        <w:ind w:left="80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75,000 stock options will vest on December 5, 2016;</w:t>
      </w:r>
    </w:p>
    <w:p>
      <w:pPr>
        <w:ind w:left="80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25,000 stock options will vest on May 6, 2015, and each anniversary thereafter until the 125,000 stock options are fully vested; and</w:t>
      </w:r>
    </w:p>
    <w:p>
      <w:pPr>
        <w:ind w:left="80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25,000 shares of restricted stock will vest on December 5, 2016.</w:t>
      </w:r>
    </w:p>
    <w:p>
      <w:pPr>
        <w:ind w:left="340" w:hanging="332"/>
        <w:spacing w:after="0" w:line="182" w:lineRule="auto"/>
        <w:tabs>
          <w:tab w:leader="none" w:pos="340" w:val="left"/>
        </w:tabs>
        <w:numPr>
          <w:ilvl w:val="0"/>
          <w:numId w:val="35"/>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Strzemp’s unvested awards will vest as follows:</w:t>
      </w:r>
    </w:p>
    <w:p>
      <w:pPr>
        <w:ind w:left="800" w:right="440" w:hanging="346"/>
        <w:spacing w:after="0" w:line="221" w:lineRule="auto"/>
        <w:tabs>
          <w:tab w:leader="none" w:pos="800" w:val="left"/>
        </w:tabs>
        <w:numPr>
          <w:ilvl w:val="1"/>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2,500 shares of restricted stock will vest on February 21, 2015, and each anniversary thereafter until February 21, 2017, at which time the remaining of 17,500 shares will vest.</w:t>
      </w:r>
    </w:p>
    <w:p>
      <w:pPr>
        <w:ind w:left="340" w:hanging="332"/>
        <w:spacing w:after="0" w:line="188" w:lineRule="auto"/>
        <w:tabs>
          <w:tab w:leader="none" w:pos="340" w:val="left"/>
        </w:tabs>
        <w:numPr>
          <w:ilvl w:val="0"/>
          <w:numId w:val="35"/>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in this column are based upon the closing price of the Company’s stock at year-end, which was $148.76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-1825625</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vesting is conditioned upon such NEOs being an employee of the Company on the vesting date, except as discussed below under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Option Exercises and Stock Vested in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19"/>
                <w:szCs w:val="19"/>
                <w:color w:val="auto"/>
              </w:rPr>
            </w:pP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Option Awards</w:t>
            </w:r>
          </w:p>
        </w:tc>
        <w:tc>
          <w:tcPr>
            <w:tcW w:w="16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Stock Awards</w:t>
            </w:r>
          </w:p>
        </w:tc>
        <w:tc>
          <w:tcPr>
            <w:tcW w:w="1360" w:type="dxa"/>
            <w:vAlign w:val="bottom"/>
            <w:tcBorders>
              <w:bottom w:val="single" w:sz="8" w:color="auto"/>
            </w:tcBorders>
          </w:tcPr>
          <w:p>
            <w:pPr>
              <w:spacing w:after="0"/>
              <w:rPr>
                <w:sz w:val="19"/>
                <w:szCs w:val="19"/>
                <w:color w:val="auto"/>
              </w:rPr>
            </w:pPr>
          </w:p>
        </w:tc>
      </w:tr>
      <w:tr>
        <w:trPr>
          <w:trHeight w:val="177"/>
        </w:trPr>
        <w:tc>
          <w:tcPr>
            <w:tcW w:w="2500" w:type="dxa"/>
            <w:vAlign w:val="bottom"/>
          </w:tcPr>
          <w:p>
            <w:pPr>
              <w:spacing w:after="0"/>
              <w:rPr>
                <w:sz w:val="15"/>
                <w:szCs w:val="15"/>
                <w:color w:val="auto"/>
              </w:rPr>
            </w:pPr>
          </w:p>
        </w:tc>
        <w:tc>
          <w:tcPr>
            <w:tcW w:w="3140" w:type="dxa"/>
            <w:vAlign w:val="bottom"/>
          </w:tcPr>
          <w:p>
            <w:pPr>
              <w:jc w:val="right"/>
              <w:ind w:right="652"/>
              <w:spacing w:after="0" w:line="177" w:lineRule="exact"/>
              <w:rPr>
                <w:sz w:val="20"/>
                <w:szCs w:val="20"/>
                <w:color w:val="auto"/>
              </w:rPr>
            </w:pPr>
            <w:r>
              <w:rPr>
                <w:rFonts w:ascii="Arial" w:cs="Arial" w:eastAsia="Arial" w:hAnsi="Arial"/>
                <w:sz w:val="18"/>
                <w:szCs w:val="18"/>
                <w:b w:val="1"/>
                <w:bCs w:val="1"/>
                <w:color w:val="614A3D"/>
              </w:rPr>
              <w:t>Number of Shares</w:t>
            </w:r>
          </w:p>
        </w:tc>
        <w:tc>
          <w:tcPr>
            <w:tcW w:w="1620" w:type="dxa"/>
            <w:vAlign w:val="bottom"/>
          </w:tcPr>
          <w:p>
            <w:pPr>
              <w:jc w:val="right"/>
              <w:ind w:right="272"/>
              <w:spacing w:after="0" w:line="177" w:lineRule="exact"/>
              <w:rPr>
                <w:sz w:val="20"/>
                <w:szCs w:val="20"/>
                <w:color w:val="auto"/>
              </w:rPr>
            </w:pPr>
            <w:r>
              <w:rPr>
                <w:rFonts w:ascii="Arial" w:cs="Arial" w:eastAsia="Arial" w:hAnsi="Arial"/>
                <w:sz w:val="18"/>
                <w:szCs w:val="18"/>
                <w:b w:val="1"/>
                <w:bCs w:val="1"/>
                <w:color w:val="614A3D"/>
                <w:w w:val="98"/>
              </w:rPr>
              <w:t>Value Realized</w:t>
            </w:r>
          </w:p>
        </w:tc>
        <w:tc>
          <w:tcPr>
            <w:tcW w:w="2800" w:type="dxa"/>
            <w:vAlign w:val="bottom"/>
          </w:tcPr>
          <w:p>
            <w:pPr>
              <w:jc w:val="right"/>
              <w:ind w:right="652"/>
              <w:spacing w:after="0" w:line="177" w:lineRule="exact"/>
              <w:rPr>
                <w:sz w:val="20"/>
                <w:szCs w:val="20"/>
                <w:color w:val="auto"/>
              </w:rPr>
            </w:pPr>
            <w:r>
              <w:rPr>
                <w:rFonts w:ascii="Arial" w:cs="Arial" w:eastAsia="Arial" w:hAnsi="Arial"/>
                <w:sz w:val="18"/>
                <w:szCs w:val="18"/>
                <w:b w:val="1"/>
                <w:bCs w:val="1"/>
                <w:color w:val="614A3D"/>
              </w:rPr>
              <w:t>Number of Shares</w:t>
            </w:r>
          </w:p>
        </w:tc>
        <w:tc>
          <w:tcPr>
            <w:tcW w:w="136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614A3D"/>
                <w:w w:val="98"/>
              </w:rPr>
              <w:t>Value Realized</w:t>
            </w:r>
          </w:p>
        </w:tc>
      </w:tr>
      <w:tr>
        <w:trPr>
          <w:trHeight w:val="203"/>
        </w:trPr>
        <w:tc>
          <w:tcPr>
            <w:tcW w:w="2500" w:type="dxa"/>
            <w:vAlign w:val="bottom"/>
          </w:tcPr>
          <w:p>
            <w:pPr>
              <w:spacing w:after="0"/>
              <w:rPr>
                <w:sz w:val="17"/>
                <w:szCs w:val="17"/>
                <w:color w:val="auto"/>
              </w:rPr>
            </w:pP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b w:val="1"/>
                <w:bCs w:val="1"/>
                <w:color w:val="614A3D"/>
              </w:rPr>
              <w:t>Acquired on Exercise</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On Exercise</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b w:val="1"/>
                <w:bCs w:val="1"/>
                <w:color w:val="614A3D"/>
              </w:rPr>
              <w:t>Acquired on Vesting</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on Vesting</w:t>
            </w:r>
          </w:p>
        </w:tc>
      </w:tr>
      <w:tr>
        <w:trPr>
          <w:trHeight w:val="235"/>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31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614A3D"/>
              </w:rPr>
              <w:t>(#)</w:t>
            </w:r>
          </w:p>
        </w:tc>
        <w:tc>
          <w:tcPr>
            <w:tcW w:w="16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w:t>
            </w:r>
          </w:p>
        </w:tc>
        <w:tc>
          <w:tcPr>
            <w:tcW w:w="28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614A3D"/>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2500" w:type="dxa"/>
            <w:vAlign w:val="bottom"/>
          </w:tcPr>
          <w:p>
            <w:pPr>
              <w:spacing w:after="0"/>
              <w:rPr>
                <w:sz w:val="20"/>
                <w:szCs w:val="20"/>
                <w:color w:val="auto"/>
              </w:rPr>
            </w:pPr>
            <w:r>
              <w:rPr>
                <w:rFonts w:ascii="Arial" w:cs="Arial" w:eastAsia="Arial" w:hAnsi="Arial"/>
                <w:sz w:val="18"/>
                <w:szCs w:val="18"/>
                <w:color w:val="auto"/>
              </w:rPr>
              <w:t>Stephen A. Wynn</w:t>
            </w:r>
          </w:p>
        </w:tc>
        <w:tc>
          <w:tcPr>
            <w:tcW w:w="31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30,000</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$4,713,195</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Stephen Cootey</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1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25,000</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$3,790,700</w:t>
            </w:r>
          </w:p>
        </w:tc>
        <w:tc>
          <w:tcPr>
            <w:tcW w:w="280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7,500</w:t>
            </w: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$1,624,875</w:t>
            </w:r>
          </w:p>
        </w:tc>
      </w:tr>
      <w:tr>
        <w:trPr>
          <w:trHeight w:val="211"/>
        </w:trPr>
        <w:tc>
          <w:tcPr>
            <w:tcW w:w="2500" w:type="dxa"/>
            <w:vAlign w:val="bottom"/>
          </w:tcPr>
          <w:p>
            <w:pPr>
              <w:spacing w:after="0"/>
              <w:rPr>
                <w:sz w:val="20"/>
                <w:szCs w:val="20"/>
                <w:color w:val="auto"/>
              </w:rPr>
            </w:pPr>
            <w:r>
              <w:rPr>
                <w:rFonts w:ascii="Arial" w:cs="Arial" w:eastAsia="Arial" w:hAnsi="Arial"/>
                <w:sz w:val="18"/>
                <w:szCs w:val="18"/>
                <w:color w:val="auto"/>
              </w:rPr>
              <w:t>John Strzemp</w:t>
            </w:r>
          </w:p>
        </w:tc>
        <w:tc>
          <w:tcPr>
            <w:tcW w:w="31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652"/>
              <w:spacing w:after="0"/>
              <w:rPr>
                <w:sz w:val="20"/>
                <w:szCs w:val="20"/>
                <w:color w:val="auto"/>
              </w:rPr>
            </w:pPr>
            <w:r>
              <w:rPr>
                <w:rFonts w:ascii="Arial" w:cs="Arial" w:eastAsia="Arial" w:hAnsi="Arial"/>
                <w:sz w:val="18"/>
                <w:szCs w:val="18"/>
                <w:color w:val="auto"/>
              </w:rPr>
              <w:t>2,500</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  589,000</w:t>
            </w:r>
          </w:p>
        </w:tc>
      </w:tr>
    </w:tbl>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amounts reported in the table above are based on the sales price of the Company’s Common Stock on the date the stock options were exercised or the closing price of the Company’s Common Stock on the date the stock award vested. Upon vesting of the stock award, the executive also was paid an amount equal to the dividends that had accrued on the shares prior to their vesting.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Potential Payments Upon Termination or Change in Control</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Payments Made Upon Termination Due to Death, Complete Disability or License Revocation</w:t>
      </w:r>
      <w:r>
        <w:rPr>
          <w:rFonts w:ascii="Arial" w:cs="Arial" w:eastAsia="Arial" w:hAnsi="Arial"/>
          <w:sz w:val="18"/>
          <w:szCs w:val="18"/>
          <w:color w:val="auto"/>
        </w:rPr>
        <w:t>. The Company’s employment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NEOs provide that such agreements terminate automatically upon death or complete disability of the employee, as well as upon failure of the employee to obtain or maintain any required gaming licenses. Upon such termination, (a) for all NEOs other than Mr. Wynn, such NEO is entitled to a lump sum payment of accrued and unpaid base salary and vacation pay through the termination date and (b) for Mr. Wynn, Mr. Wynn is entitled to a lump sum separation payment (described below), payment of accrued and unpaid base salary and vacation pay through the termination date and an excise tax gross up. In addition, certain of the stock option agreements and restricted stock agreements held by the NEOs provide that unvested options and shares will vest upon such termination.</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Payments Made Upon Termination Without Cause at Employer’s Election During the Term</w:t>
      </w:r>
      <w:r>
        <w:rPr>
          <w:rFonts w:ascii="Arial" w:cs="Arial" w:eastAsia="Arial" w:hAnsi="Arial"/>
          <w:sz w:val="18"/>
          <w:szCs w:val="18"/>
          <w:color w:val="auto"/>
        </w:rPr>
        <w:t>. The Company’s employment agreements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provide that such agreements are terminable by the Company without cause upon notice to the employee, so long as a “separation payment” is paid as provided in such contracts. Cause is defined as (i) willful destruction of property of the Company or an affiliate having a material value to the Company or such affiliate; (ii) fraud, embezzlement, theft, or comparable dishonest activity; (iii) 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 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“separation payment,” except for Mr. Cootey, consists of a multiple (ranging from one to, in the case of Mr. Wynn, three times) of the sum of</w:t>
      </w:r>
    </w:p>
    <w:p>
      <w:pPr>
        <w:spacing w:after="0" w:line="19" w:lineRule="exact"/>
        <w:rPr>
          <w:sz w:val="20"/>
          <w:szCs w:val="20"/>
          <w:color w:val="auto"/>
        </w:rPr>
      </w:pPr>
    </w:p>
    <w:p>
      <w:pPr>
        <w:jc w:val="both"/>
        <w:ind w:firstLine="8"/>
        <w:spacing w:after="0" w:line="267" w:lineRule="auto"/>
        <w:tabs>
          <w:tab w:leader="none" w:pos="263"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 salary through the end of the term of the agreement, but not less than 12 months (and in Mr. Wynn’s and Ms. Chen’s cases, not more than four years); (b) bonus for all bonus periods based upon last bonus paid pursuant to the employment agreement through the end of the term of the agreement but not less than 12 months (and in Mr. Wynn’s and Ms. Chen’s cases, not more than four years), except Ms. Sinatra who receives the bonus that was paid to her in the preceding bonus period (projected over 12 months if the bonus was less than a year); (c) any accrued but unpaid vacation pay; and (d) except for Mr. Maddox, an excise tax gross up. For Mr. Cootey, the “separation payment” consists of a sum equal to 12 months of his base salary, plus the bonus that was paid to him for the preceding bonus period, plus any accrued but unpaid vacation pay. In February 2015, the Company amended Mr. Cootey’s employment agreement, effective February 24, 2015, which modified the base salary component of his separation payment to be his base salary through the end of the term of the agreement, but not less than 12 months. If Ms. Chen or Mr. Cootey is terminated without cause, then as a condition to receiving such separation payment, Ms. Chen and Mr. Cootey, as applicable, must execute a written release-severance agreement that (1) releases the Company, its affiliates, and their officers, directors, agents and employees, from any claims or causes of action, (2) provides for the confidentiality of both the terms of the release-severance agreement and the compensation paid, and (3) except for Mr. Cootey, provides that all non-compete provisions of the employment agreement shall terminate after the period of time for which Ms. Chen receives such compensation. In addition, except for Ms. Chen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029335" cy="4457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Cootey, the NEOs are entitled to health benefits coverage under the same plan or arrangement as the NEO was covered immediately prior to termination. Health benefits are to be provided until the earlier of the remainder of the original term, or until the employee is covered by a plan of another employer. Ms. Sinatra’s employment agreement, in providing such health benefits also provides that, so long as Ms. Sinatra continues to receive health benefits, she may not engage or participate in any business that is in competition with the Company or its affiliates. Some of the stock option agreements and restricted stock agreements held by the NEOs provide that unvested options and shares will vest upon termination without cause.</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2011, Ms. Chen was granted a $10 million retention award which vests in full on July 27, 2021, subject to certain provisions. This retention award was awarded to Ms. Chen for her current and expected future contributions to the success of the Company and to provide an incentive to her to remain an employee of the Company. If Ms. Chen’s employment is terminated without “Cause” (as such term is defined in the applicable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Payments Made Upon Termination by Employee for Good Reason after Change in Control</w:t>
      </w:r>
      <w:r>
        <w:rPr>
          <w:rFonts w:ascii="Arial" w:cs="Arial" w:eastAsia="Arial" w:hAnsi="Arial"/>
          <w:sz w:val="16"/>
          <w:szCs w:val="16"/>
          <w:color w:val="auto"/>
        </w:rPr>
        <w:t>. The Company’s employment agreements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provide that such agreements are terminable by the employee for good reason after a change in control. A change in control is defined as</w:t>
      </w:r>
    </w:p>
    <w:p>
      <w:pPr>
        <w:jc w:val="both"/>
        <w:ind w:firstLine="8"/>
        <w:spacing w:after="0" w:line="266" w:lineRule="auto"/>
        <w:tabs>
          <w:tab w:leader="none" w:pos="27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person or group (other than Mr. Wynn and his affiliates)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and in the case of the post-employment health benefits of Ms. Sinatra, subject to the same obligations described under “Payments Made Upon Termination Without Cause at Employer’s Election During the Term” above. In addition, if an executive’s termination is deemed to occur in connection with a change in control under the Internal Revenue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NEOs would immediately vest upon termination by the Company without cause or upon termination by the employee for good reason after a change in control.</w:t>
      </w:r>
    </w:p>
    <w:p>
      <w:pPr>
        <w:spacing w:after="0" w:line="3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Ms. Chen’s employment agreement includes a non-competition obligation providing that Ms. Chen may not engage or participate in any business that is in competition with the Company or its affiliates for such period as the Company continues to compensate Ms. Chen, including through periodic separation payments made due to her termination of her employment for good reason after a change in control.</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Payments Made Upon Termination</w:t>
      </w:r>
      <w:r>
        <w:rPr>
          <w:rFonts w:ascii="Arial" w:cs="Arial" w:eastAsia="Arial" w:hAnsi="Arial"/>
          <w:sz w:val="18"/>
          <w:szCs w:val="18"/>
          <w:color w:val="auto"/>
        </w:rPr>
        <w:t>. The tables below reflect the amount of compensation that would become payable to each of the NEOs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agreements and arrangements if the named executive’s employment had terminated on December 31, 2014,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029335" cy="4457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Stephen A. Wynn</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four years and upon “Termination Without Cause at Employer’s Election During the Term” and “Termination by Employee for Good Reason After Change in Control” is three times the salary and bonus that would be payable during the remaining term of the contract with a limit of four years.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jc w:val="right"/>
              <w:ind w:right="635"/>
              <w:spacing w:after="0"/>
              <w:rPr>
                <w:sz w:val="20"/>
                <w:szCs w:val="20"/>
                <w:color w:val="auto"/>
              </w:rPr>
            </w:pPr>
            <w:r>
              <w:rPr>
                <w:rFonts w:ascii="Arial" w:cs="Arial" w:eastAsia="Arial" w:hAnsi="Arial"/>
                <w:sz w:val="14"/>
                <w:szCs w:val="14"/>
                <w:b w:val="1"/>
                <w:bCs w:val="1"/>
                <w:color w:val="614A3D"/>
              </w:rPr>
              <w:t>Termination</w:t>
            </w:r>
          </w:p>
        </w:tc>
        <w:tc>
          <w:tcPr>
            <w:tcW w:w="980" w:type="dxa"/>
            <w:vAlign w:val="bottom"/>
          </w:tcPr>
          <w:p>
            <w:pPr>
              <w:spacing w:after="0"/>
              <w:rPr>
                <w:sz w:val="14"/>
                <w:szCs w:val="14"/>
                <w:color w:val="auto"/>
              </w:rPr>
            </w:pPr>
          </w:p>
        </w:tc>
        <w:tc>
          <w:tcPr>
            <w:tcW w:w="1100" w:type="dxa"/>
            <w:vAlign w:val="bottom"/>
          </w:tcPr>
          <w:p>
            <w:pPr>
              <w:jc w:val="right"/>
              <w:ind w:right="17"/>
              <w:spacing w:after="0"/>
              <w:rPr>
                <w:sz w:val="20"/>
                <w:szCs w:val="20"/>
                <w:color w:val="auto"/>
              </w:rPr>
            </w:pPr>
            <w:r>
              <w:rPr>
                <w:rFonts w:ascii="Arial" w:cs="Arial" w:eastAsia="Arial" w:hAnsi="Arial"/>
                <w:sz w:val="14"/>
                <w:szCs w:val="14"/>
                <w:b w:val="1"/>
                <w:bCs w:val="1"/>
                <w:color w:val="614A3D"/>
                <w:w w:val="97"/>
              </w:rPr>
              <w:t>Termination by</w:t>
            </w:r>
          </w:p>
        </w:tc>
      </w:tr>
      <w:tr>
        <w:trPr>
          <w:trHeight w:val="149"/>
        </w:trPr>
        <w:tc>
          <w:tcPr>
            <w:tcW w:w="3520" w:type="dxa"/>
            <w:vAlign w:val="bottom"/>
          </w:tcPr>
          <w:p>
            <w:pPr>
              <w:spacing w:after="0"/>
              <w:rPr>
                <w:sz w:val="12"/>
                <w:szCs w:val="12"/>
                <w:color w:val="auto"/>
              </w:rPr>
            </w:pPr>
          </w:p>
        </w:tc>
        <w:tc>
          <w:tcPr>
            <w:tcW w:w="3040" w:type="dxa"/>
            <w:vAlign w:val="bottom"/>
            <w:gridSpan w:val="2"/>
          </w:tcPr>
          <w:p>
            <w:pPr>
              <w:jc w:val="right"/>
              <w:ind w:right="675"/>
              <w:spacing w:after="0" w:line="149" w:lineRule="exact"/>
              <w:rPr>
                <w:sz w:val="20"/>
                <w:szCs w:val="20"/>
                <w:color w:val="auto"/>
              </w:rPr>
            </w:pPr>
            <w:r>
              <w:rPr>
                <w:rFonts w:ascii="Arial" w:cs="Arial" w:eastAsia="Arial" w:hAnsi="Arial"/>
                <w:sz w:val="14"/>
                <w:szCs w:val="14"/>
                <w:b w:val="1"/>
                <w:bCs w:val="1"/>
                <w:color w:val="614A3D"/>
              </w:rPr>
              <w:t>Termination Upon</w:t>
            </w:r>
          </w:p>
        </w:tc>
        <w:tc>
          <w:tcPr>
            <w:tcW w:w="2780" w:type="dxa"/>
            <w:vAlign w:val="bottom"/>
            <w:gridSpan w:val="2"/>
          </w:tcPr>
          <w:p>
            <w:pPr>
              <w:ind w:left="960"/>
              <w:spacing w:after="0" w:line="149" w:lineRule="exact"/>
              <w:rPr>
                <w:sz w:val="20"/>
                <w:szCs w:val="20"/>
                <w:color w:val="auto"/>
              </w:rPr>
            </w:pPr>
            <w:r>
              <w:rPr>
                <w:rFonts w:ascii="Arial" w:cs="Arial" w:eastAsia="Arial" w:hAnsi="Arial"/>
                <w:sz w:val="14"/>
                <w:szCs w:val="14"/>
                <w:b w:val="1"/>
                <w:bCs w:val="1"/>
                <w:color w:val="614A3D"/>
              </w:rPr>
              <w:t>Without Cause at</w:t>
            </w:r>
          </w:p>
        </w:tc>
        <w:tc>
          <w:tcPr>
            <w:tcW w:w="208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614A3D"/>
              </w:rPr>
              <w:t>Employee for Good</w:t>
            </w:r>
          </w:p>
        </w:tc>
      </w:tr>
      <w:tr>
        <w:trPr>
          <w:trHeight w:val="149"/>
        </w:trPr>
        <w:tc>
          <w:tcPr>
            <w:tcW w:w="3520" w:type="dxa"/>
            <w:vAlign w:val="bottom"/>
          </w:tcPr>
          <w:p>
            <w:pPr>
              <w:spacing w:after="0"/>
              <w:rPr>
                <w:sz w:val="12"/>
                <w:szCs w:val="12"/>
                <w:color w:val="auto"/>
              </w:rPr>
            </w:pPr>
          </w:p>
        </w:tc>
        <w:tc>
          <w:tcPr>
            <w:tcW w:w="3040" w:type="dxa"/>
            <w:vAlign w:val="bottom"/>
            <w:gridSpan w:val="2"/>
          </w:tcPr>
          <w:p>
            <w:pPr>
              <w:jc w:val="right"/>
              <w:ind w:right="675"/>
              <w:spacing w:after="0" w:line="149" w:lineRule="exact"/>
              <w:rPr>
                <w:sz w:val="20"/>
                <w:szCs w:val="20"/>
                <w:color w:val="auto"/>
              </w:rPr>
            </w:pPr>
            <w:r>
              <w:rPr>
                <w:rFonts w:ascii="Arial" w:cs="Arial" w:eastAsia="Arial" w:hAnsi="Arial"/>
                <w:sz w:val="14"/>
                <w:szCs w:val="14"/>
                <w:b w:val="1"/>
                <w:bCs w:val="1"/>
                <w:color w:val="614A3D"/>
              </w:rPr>
              <w:t>Death or Complete</w:t>
            </w:r>
          </w:p>
        </w:tc>
        <w:tc>
          <w:tcPr>
            <w:tcW w:w="2780" w:type="dxa"/>
            <w:vAlign w:val="bottom"/>
            <w:gridSpan w:val="2"/>
          </w:tcPr>
          <w:p>
            <w:pPr>
              <w:jc w:val="right"/>
              <w:ind w:right="635"/>
              <w:spacing w:after="0" w:line="149" w:lineRule="exact"/>
              <w:rPr>
                <w:sz w:val="20"/>
                <w:szCs w:val="20"/>
                <w:color w:val="auto"/>
              </w:rPr>
            </w:pPr>
            <w:r>
              <w:rPr>
                <w:rFonts w:ascii="Arial" w:cs="Arial" w:eastAsia="Arial" w:hAnsi="Arial"/>
                <w:sz w:val="14"/>
                <w:szCs w:val="14"/>
                <w:b w:val="1"/>
                <w:bCs w:val="1"/>
                <w:color w:val="614A3D"/>
              </w:rPr>
              <w:t>Employer’s Election</w:t>
            </w:r>
          </w:p>
        </w:tc>
        <w:tc>
          <w:tcPr>
            <w:tcW w:w="980" w:type="dxa"/>
            <w:vAlign w:val="bottom"/>
          </w:tcPr>
          <w:p>
            <w:pPr>
              <w:spacing w:after="0"/>
              <w:rPr>
                <w:sz w:val="12"/>
                <w:szCs w:val="12"/>
                <w:color w:val="auto"/>
              </w:rPr>
            </w:pPr>
          </w:p>
        </w:tc>
        <w:tc>
          <w:tcPr>
            <w:tcW w:w="11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614A3D"/>
              </w:rPr>
              <w:t>Reason After</w:t>
            </w:r>
          </w:p>
        </w:tc>
      </w:tr>
      <w:tr>
        <w:trPr>
          <w:trHeight w:val="178"/>
        </w:trPr>
        <w:tc>
          <w:tcPr>
            <w:tcW w:w="3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614A3D"/>
              </w:rPr>
              <w:t>Disability</w:t>
            </w:r>
          </w:p>
        </w:tc>
        <w:tc>
          <w:tcPr>
            <w:tcW w:w="278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4"/>
                <w:szCs w:val="14"/>
                <w:b w:val="1"/>
                <w:bCs w:val="1"/>
                <w:color w:val="614A3D"/>
              </w:rPr>
              <w:t>During the Term</w:t>
            </w:r>
          </w:p>
        </w:tc>
        <w:tc>
          <w:tcPr>
            <w:tcW w:w="20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614A3D"/>
              </w:rPr>
              <w:t>Change in Control</w:t>
            </w:r>
          </w:p>
        </w:tc>
      </w:tr>
      <w:tr>
        <w:trPr>
          <w:trHeight w:val="200"/>
        </w:trPr>
        <w:tc>
          <w:tcPr>
            <w:tcW w:w="3520" w:type="dxa"/>
            <w:vAlign w:val="bottom"/>
          </w:tcPr>
          <w:p>
            <w:pPr>
              <w:spacing w:after="0" w:line="200" w:lineRule="exact"/>
              <w:rPr>
                <w:sz w:val="20"/>
                <w:szCs w:val="20"/>
                <w:color w:val="auto"/>
              </w:rPr>
            </w:pPr>
            <w:r>
              <w:rPr>
                <w:rFonts w:ascii="Arial" w:cs="Arial" w:eastAsia="Arial" w:hAnsi="Arial"/>
                <w:sz w:val="18"/>
                <w:szCs w:val="18"/>
                <w:color w:val="auto"/>
              </w:rPr>
              <w:t xml:space="preserve">Base Salary </w:t>
            </w:r>
            <w:r>
              <w:rPr>
                <w:rFonts w:ascii="Arial" w:cs="Arial" w:eastAsia="Arial" w:hAnsi="Arial"/>
                <w:sz w:val="11"/>
                <w:szCs w:val="11"/>
                <w:i w:val="1"/>
                <w:iCs w:val="1"/>
                <w:color w:val="auto"/>
              </w:rPr>
              <w:t>(1)</w:t>
            </w:r>
          </w:p>
        </w:tc>
        <w:tc>
          <w:tcPr>
            <w:tcW w:w="14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line="200" w:lineRule="exact"/>
              <w:rPr>
                <w:sz w:val="20"/>
                <w:szCs w:val="20"/>
                <w:color w:val="auto"/>
              </w:rPr>
            </w:pPr>
            <w:r>
              <w:rPr>
                <w:rFonts w:ascii="Arial" w:cs="Arial" w:eastAsia="Arial" w:hAnsi="Arial"/>
                <w:sz w:val="18"/>
                <w:szCs w:val="18"/>
                <w:color w:val="auto"/>
                <w:w w:val="95"/>
              </w:rPr>
              <w:t>16,000,000</w:t>
            </w:r>
          </w:p>
        </w:tc>
        <w:tc>
          <w:tcPr>
            <w:tcW w:w="1080" w:type="dxa"/>
            <w:vAlign w:val="bottom"/>
          </w:tcPr>
          <w:p>
            <w:pPr>
              <w:ind w:left="960"/>
              <w:spacing w:after="0" w:line="200"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ind w:right="635"/>
              <w:spacing w:after="0" w:line="200" w:lineRule="exact"/>
              <w:rPr>
                <w:sz w:val="20"/>
                <w:szCs w:val="20"/>
                <w:color w:val="auto"/>
              </w:rPr>
            </w:pPr>
            <w:r>
              <w:rPr>
                <w:rFonts w:ascii="Arial" w:cs="Arial" w:eastAsia="Arial" w:hAnsi="Arial"/>
                <w:sz w:val="18"/>
                <w:szCs w:val="18"/>
                <w:color w:val="auto"/>
              </w:rPr>
              <w:t>48,000,000</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line="200" w:lineRule="exact"/>
              <w:rPr>
                <w:sz w:val="20"/>
                <w:szCs w:val="20"/>
                <w:color w:val="auto"/>
              </w:rPr>
            </w:pPr>
            <w:r>
              <w:rPr>
                <w:rFonts w:ascii="Arial" w:cs="Arial" w:eastAsia="Arial" w:hAnsi="Arial"/>
                <w:sz w:val="18"/>
                <w:szCs w:val="18"/>
                <w:color w:val="auto"/>
              </w:rPr>
              <w:t>48,000,000</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(2)</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w w:val="95"/>
              </w:rPr>
              <w:t>80,000,000</w:t>
            </w:r>
          </w:p>
        </w:tc>
        <w:tc>
          <w:tcPr>
            <w:tcW w:w="1080" w:type="dxa"/>
            <w:vAlign w:val="bottom"/>
          </w:tcPr>
          <w:p>
            <w:pPr>
              <w:ind w:left="960"/>
              <w:spacing w:after="0" w:line="202" w:lineRule="exact"/>
              <w:rPr>
                <w:sz w:val="20"/>
                <w:szCs w:val="20"/>
                <w:color w:val="auto"/>
              </w:rPr>
            </w:pPr>
            <w:r>
              <w:rPr>
                <w:rFonts w:ascii="Arial" w:cs="Arial" w:eastAsia="Arial" w:hAnsi="Arial"/>
                <w:sz w:val="18"/>
                <w:szCs w:val="18"/>
                <w:color w:val="auto"/>
                <w:w w:val="99"/>
              </w:rPr>
              <w:t>$</w:t>
            </w: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w w:val="95"/>
              </w:rPr>
              <w:t>240,000,000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w w:val="97"/>
              </w:rPr>
              <w:t>240,000,000</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Stock Options/Restricted Stock</w:t>
            </w:r>
          </w:p>
        </w:tc>
        <w:tc>
          <w:tcPr>
            <w:tcW w:w="1400" w:type="dxa"/>
            <w:vAlign w:val="bottom"/>
          </w:tcPr>
          <w:p>
            <w:pPr>
              <w:spacing w:after="0"/>
              <w:rPr>
                <w:sz w:val="17"/>
                <w:szCs w:val="17"/>
                <w:color w:val="auto"/>
              </w:rPr>
            </w:pP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1,300,000</w:t>
            </w:r>
          </w:p>
        </w:tc>
        <w:tc>
          <w:tcPr>
            <w:tcW w:w="1080" w:type="dxa"/>
            <w:vAlign w:val="bottom"/>
          </w:tcPr>
          <w:p>
            <w:pPr>
              <w:spacing w:after="0"/>
              <w:rPr>
                <w:sz w:val="17"/>
                <w:szCs w:val="17"/>
                <w:color w:val="auto"/>
              </w:rPr>
            </w:pP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 xml:space="preserve">Tax Gross Up </w:t>
            </w:r>
            <w:r>
              <w:rPr>
                <w:rFonts w:ascii="Arial" w:cs="Arial" w:eastAsia="Arial" w:hAnsi="Arial"/>
                <w:sz w:val="11"/>
                <w:szCs w:val="11"/>
                <w:i w:val="1"/>
                <w:iCs w:val="1"/>
                <w:color w:val="auto"/>
              </w:rPr>
              <w:t>(1)</w:t>
            </w:r>
          </w:p>
        </w:tc>
        <w:tc>
          <w:tcPr>
            <w:tcW w:w="1400" w:type="dxa"/>
            <w:vAlign w:val="bottom"/>
          </w:tcPr>
          <w:p>
            <w:pPr>
              <w:spacing w:after="0"/>
              <w:rPr>
                <w:sz w:val="17"/>
                <w:szCs w:val="17"/>
                <w:color w:val="auto"/>
              </w:rPr>
            </w:pPr>
          </w:p>
        </w:tc>
        <w:tc>
          <w:tcPr>
            <w:tcW w:w="1640" w:type="dxa"/>
            <w:vAlign w:val="bottom"/>
          </w:tcPr>
          <w:p>
            <w:pPr>
              <w:jc w:val="right"/>
              <w:ind w:right="67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700" w:type="dxa"/>
            <w:vAlign w:val="bottom"/>
          </w:tcPr>
          <w:p>
            <w:pPr>
              <w:jc w:val="right"/>
              <w:ind w:right="6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line="202" w:lineRule="exact"/>
              <w:rPr>
                <w:sz w:val="20"/>
                <w:szCs w:val="20"/>
                <w:color w:val="auto"/>
              </w:rPr>
            </w:pPr>
            <w:r>
              <w:rPr>
                <w:rFonts w:ascii="Arial" w:cs="Arial" w:eastAsia="Arial" w:hAnsi="Arial"/>
                <w:sz w:val="18"/>
                <w:szCs w:val="18"/>
                <w:color w:val="auto"/>
                <w:w w:val="97"/>
              </w:rPr>
              <w:t>143,522,388</w:t>
            </w:r>
          </w:p>
        </w:tc>
      </w:tr>
      <w:tr>
        <w:trPr>
          <w:trHeight w:val="211"/>
        </w:trPr>
        <w:tc>
          <w:tcPr>
            <w:tcW w:w="352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i w:val="1"/>
                <w:iCs w:val="1"/>
                <w:color w:val="auto"/>
              </w:rPr>
              <w:t>(3)</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675"/>
              <w:spacing w:after="0"/>
              <w:rPr>
                <w:sz w:val="20"/>
                <w:szCs w:val="20"/>
                <w:color w:val="auto"/>
              </w:rPr>
            </w:pPr>
            <w:r>
              <w:rPr>
                <w:rFonts w:ascii="Arial" w:cs="Arial" w:eastAsia="Arial" w:hAnsi="Arial"/>
                <w:sz w:val="18"/>
                <w:szCs w:val="18"/>
                <w:color w:val="auto"/>
              </w:rPr>
              <w:t>215,595</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635"/>
              <w:spacing w:after="0"/>
              <w:rPr>
                <w:sz w:val="20"/>
                <w:szCs w:val="20"/>
                <w:color w:val="auto"/>
              </w:rPr>
            </w:pPr>
            <w:r>
              <w:rPr>
                <w:rFonts w:ascii="Arial" w:cs="Arial" w:eastAsia="Arial" w:hAnsi="Arial"/>
                <w:sz w:val="18"/>
                <w:szCs w:val="18"/>
                <w:color w:val="auto"/>
              </w:rPr>
              <w:t>215,595</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328,918</w:t>
            </w:r>
          </w:p>
        </w:tc>
      </w:tr>
    </w:tbl>
    <w:p>
      <w:pPr>
        <w:spacing w:after="0" w:line="122" w:lineRule="exact"/>
        <w:rPr>
          <w:sz w:val="20"/>
          <w:szCs w:val="20"/>
          <w:color w:val="auto"/>
        </w:rPr>
      </w:pPr>
    </w:p>
    <w:p>
      <w:pPr>
        <w:jc w:val="both"/>
        <w:ind w:left="340" w:right="20" w:hanging="332"/>
        <w:spacing w:after="0" w:line="180" w:lineRule="auto"/>
        <w:tabs>
          <w:tab w:leader="none" w:pos="340" w:val="left"/>
        </w:tabs>
        <w:numPr>
          <w:ilvl w:val="0"/>
          <w:numId w:val="3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 January 2015, the Company amended Mr. Wynn’s employment agreement, effective January 1, 2015, which decreased his base salary from $4.0 million to $2.5 million per year and extended the term of his employment agreement for two years through October 24, 2022. As a result, certain payments made upon termination shown above (which reflects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spacing w:after="0" w:line="222" w:lineRule="auto"/>
        <w:rPr>
          <w:sz w:val="20"/>
          <w:szCs w:val="20"/>
          <w:color w:val="auto"/>
        </w:rPr>
      </w:pPr>
      <w:r>
        <w:rPr>
          <w:rFonts w:ascii="Arial" w:cs="Arial" w:eastAsia="Arial" w:hAnsi="Arial"/>
          <w:sz w:val="14"/>
          <w:szCs w:val="14"/>
          <w:i w:val="1"/>
          <w:iCs w:val="1"/>
          <w:color w:val="auto"/>
        </w:rPr>
        <w:t>termination as of December 31, 2014), would be revised to be as follows if Mr. Wynn’s employment had terminated on January 1, 2015.</w:t>
      </w:r>
    </w:p>
    <w:p>
      <w:pPr>
        <w:ind w:left="800" w:hanging="346"/>
        <w:spacing w:after="0" w:line="221" w:lineRule="auto"/>
        <w:tabs>
          <w:tab w:leader="none" w:pos="80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Base Salary:</w:t>
      </w:r>
    </w:p>
    <w:p>
      <w:pPr>
        <w:ind w:left="800" w:hanging="346"/>
        <w:spacing w:after="0" w:line="222" w:lineRule="auto"/>
        <w:tabs>
          <w:tab w:leader="none" w:pos="80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Upon Death or Complete Disability is $10,000,000</w:t>
      </w:r>
    </w:p>
    <w:p>
      <w:pPr>
        <w:ind w:left="800" w:hanging="346"/>
        <w:spacing w:after="0" w:line="221" w:lineRule="auto"/>
        <w:tabs>
          <w:tab w:leader="none" w:pos="80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Without Cause at Employer’s Election During the Term is $30,000,000</w:t>
      </w:r>
    </w:p>
    <w:p>
      <w:pPr>
        <w:ind w:left="800" w:hanging="346"/>
        <w:spacing w:after="0" w:line="221" w:lineRule="auto"/>
        <w:tabs>
          <w:tab w:leader="none" w:pos="80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by Employee for Good Reason After Change in Control is $30,000,000</w:t>
      </w:r>
    </w:p>
    <w:p>
      <w:pPr>
        <w:ind w:left="800" w:hanging="346"/>
        <w:spacing w:after="0" w:line="221" w:lineRule="auto"/>
        <w:tabs>
          <w:tab w:leader="none" w:pos="80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Tax Gross Up</w:t>
      </w:r>
    </w:p>
    <w:p>
      <w:pPr>
        <w:ind w:left="800" w:hanging="346"/>
        <w:spacing w:after="0" w:line="222" w:lineRule="auto"/>
        <w:tabs>
          <w:tab w:leader="none" w:pos="800" w:val="left"/>
        </w:tabs>
        <w:numPr>
          <w:ilvl w:val="1"/>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by Employee for Good Reason After Change in Control is $134,061,152</w:t>
      </w:r>
    </w:p>
    <w:p>
      <w:pPr>
        <w:ind w:left="340" w:hanging="332"/>
        <w:spacing w:after="0" w:line="182" w:lineRule="auto"/>
        <w:tabs>
          <w:tab w:leader="none" w:pos="340" w:val="left"/>
        </w:tabs>
        <w:numPr>
          <w:ilvl w:val="0"/>
          <w:numId w:val="4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Calculation based on 2014 annual incentive awards paid in January 2015.</w:t>
      </w:r>
    </w:p>
    <w:p>
      <w:pPr>
        <w:ind w:left="340" w:hanging="332"/>
        <w:spacing w:after="0" w:line="180"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Matt Maddox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right"/>
              <w:ind w:right="615"/>
              <w:spacing w:after="0"/>
              <w:rPr>
                <w:sz w:val="20"/>
                <w:szCs w:val="20"/>
                <w:color w:val="auto"/>
              </w:rPr>
            </w:pPr>
            <w:r>
              <w:rPr>
                <w:rFonts w:ascii="Arial" w:cs="Arial" w:eastAsia="Arial" w:hAnsi="Arial"/>
                <w:sz w:val="14"/>
                <w:szCs w:val="14"/>
                <w:b w:val="1"/>
                <w:bCs w:val="1"/>
                <w:color w:val="614A3D"/>
              </w:rPr>
              <w:t>Termination</w:t>
            </w:r>
          </w:p>
        </w:tc>
        <w:tc>
          <w:tcPr>
            <w:tcW w:w="20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614A3D"/>
              </w:rPr>
              <w:t>Termination by</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940" w:type="dxa"/>
            <w:vAlign w:val="bottom"/>
            <w:gridSpan w:val="2"/>
          </w:tcPr>
          <w:p>
            <w:pPr>
              <w:jc w:val="right"/>
              <w:ind w:right="596"/>
              <w:spacing w:after="0" w:line="149" w:lineRule="exact"/>
              <w:rPr>
                <w:sz w:val="20"/>
                <w:szCs w:val="20"/>
                <w:color w:val="auto"/>
              </w:rPr>
            </w:pPr>
            <w:r>
              <w:rPr>
                <w:rFonts w:ascii="Arial" w:cs="Arial" w:eastAsia="Arial" w:hAnsi="Arial"/>
                <w:sz w:val="14"/>
                <w:szCs w:val="14"/>
                <w:b w:val="1"/>
                <w:bCs w:val="1"/>
                <w:color w:val="614A3D"/>
              </w:rPr>
              <w:t>Termination Upon</w:t>
            </w:r>
          </w:p>
        </w:tc>
        <w:tc>
          <w:tcPr>
            <w:tcW w:w="2680" w:type="dxa"/>
            <w:vAlign w:val="bottom"/>
            <w:gridSpan w:val="2"/>
          </w:tcPr>
          <w:p>
            <w:pPr>
              <w:jc w:val="right"/>
              <w:ind w:right="615"/>
              <w:spacing w:after="0" w:line="149" w:lineRule="exact"/>
              <w:rPr>
                <w:sz w:val="20"/>
                <w:szCs w:val="20"/>
                <w:color w:val="auto"/>
              </w:rPr>
            </w:pPr>
            <w:r>
              <w:rPr>
                <w:rFonts w:ascii="Arial" w:cs="Arial" w:eastAsia="Arial" w:hAnsi="Arial"/>
                <w:sz w:val="14"/>
                <w:szCs w:val="14"/>
                <w:b w:val="1"/>
                <w:bCs w:val="1"/>
                <w:color w:val="614A3D"/>
              </w:rPr>
              <w:t>Without Cause at</w:t>
            </w:r>
          </w:p>
        </w:tc>
        <w:tc>
          <w:tcPr>
            <w:tcW w:w="206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614A3D"/>
              </w:rPr>
              <w:t>Employee for Good</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940" w:type="dxa"/>
            <w:vAlign w:val="bottom"/>
            <w:gridSpan w:val="2"/>
          </w:tcPr>
          <w:p>
            <w:pPr>
              <w:jc w:val="right"/>
              <w:ind w:right="596"/>
              <w:spacing w:after="0" w:line="149" w:lineRule="exact"/>
              <w:rPr>
                <w:sz w:val="20"/>
                <w:szCs w:val="20"/>
                <w:color w:val="auto"/>
              </w:rPr>
            </w:pPr>
            <w:r>
              <w:rPr>
                <w:rFonts w:ascii="Arial" w:cs="Arial" w:eastAsia="Arial" w:hAnsi="Arial"/>
                <w:sz w:val="14"/>
                <w:szCs w:val="14"/>
                <w:b w:val="1"/>
                <w:bCs w:val="1"/>
                <w:color w:val="614A3D"/>
              </w:rPr>
              <w:t>Death or Complete</w:t>
            </w:r>
          </w:p>
        </w:tc>
        <w:tc>
          <w:tcPr>
            <w:tcW w:w="2680" w:type="dxa"/>
            <w:vAlign w:val="bottom"/>
            <w:gridSpan w:val="2"/>
          </w:tcPr>
          <w:p>
            <w:pPr>
              <w:jc w:val="right"/>
              <w:ind w:right="615"/>
              <w:spacing w:after="0" w:line="149" w:lineRule="exact"/>
              <w:rPr>
                <w:sz w:val="20"/>
                <w:szCs w:val="20"/>
                <w:color w:val="auto"/>
              </w:rPr>
            </w:pPr>
            <w:r>
              <w:rPr>
                <w:rFonts w:ascii="Arial" w:cs="Arial" w:eastAsia="Arial" w:hAnsi="Arial"/>
                <w:sz w:val="14"/>
                <w:szCs w:val="14"/>
                <w:b w:val="1"/>
                <w:bCs w:val="1"/>
                <w:color w:val="614A3D"/>
              </w:rPr>
              <w:t>Employer’s Election</w:t>
            </w:r>
          </w:p>
        </w:tc>
        <w:tc>
          <w:tcPr>
            <w:tcW w:w="1060" w:type="dxa"/>
            <w:vAlign w:val="bottom"/>
          </w:tcPr>
          <w:p>
            <w:pPr>
              <w:spacing w:after="0"/>
              <w:rPr>
                <w:sz w:val="12"/>
                <w:szCs w:val="12"/>
                <w:color w:val="auto"/>
              </w:rPr>
            </w:pPr>
          </w:p>
        </w:tc>
        <w:tc>
          <w:tcPr>
            <w:tcW w:w="10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614A3D"/>
              </w:rPr>
              <w:t>Reason After</w:t>
            </w:r>
          </w:p>
        </w:tc>
        <w:tc>
          <w:tcPr>
            <w:tcW w:w="0" w:type="dxa"/>
            <w:vAlign w:val="bottom"/>
          </w:tcPr>
          <w:p>
            <w:pPr>
              <w:spacing w:after="0"/>
              <w:rPr>
                <w:sz w:val="1"/>
                <w:szCs w:val="1"/>
                <w:color w:val="auto"/>
              </w:rPr>
            </w:pPr>
          </w:p>
        </w:tc>
      </w:tr>
      <w:tr>
        <w:trPr>
          <w:trHeight w:val="178"/>
        </w:trPr>
        <w:tc>
          <w:tcPr>
            <w:tcW w:w="37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614A3D"/>
              </w:rPr>
              <w:t>Disability</w:t>
            </w:r>
          </w:p>
        </w:tc>
        <w:tc>
          <w:tcPr>
            <w:tcW w:w="2680" w:type="dxa"/>
            <w:vAlign w:val="bottom"/>
            <w:tcBorders>
              <w:bottom w:val="single" w:sz="8" w:color="auto"/>
            </w:tcBorders>
            <w:gridSpan w:val="2"/>
          </w:tcPr>
          <w:p>
            <w:pPr>
              <w:jc w:val="right"/>
              <w:ind w:right="615"/>
              <w:spacing w:after="0"/>
              <w:rPr>
                <w:sz w:val="20"/>
                <w:szCs w:val="20"/>
                <w:color w:val="auto"/>
              </w:rPr>
            </w:pPr>
            <w:r>
              <w:rPr>
                <w:rFonts w:ascii="Arial" w:cs="Arial" w:eastAsia="Arial" w:hAnsi="Arial"/>
                <w:sz w:val="14"/>
                <w:szCs w:val="14"/>
                <w:b w:val="1"/>
                <w:bCs w:val="1"/>
                <w:color w:val="614A3D"/>
              </w:rPr>
              <w:t>During the Term</w:t>
            </w:r>
          </w:p>
        </w:tc>
        <w:tc>
          <w:tcPr>
            <w:tcW w:w="20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614A3D"/>
              </w:rPr>
              <w:t>Change in Control</w:t>
            </w:r>
          </w:p>
        </w:tc>
        <w:tc>
          <w:tcPr>
            <w:tcW w:w="0" w:type="dxa"/>
            <w:vAlign w:val="bottom"/>
          </w:tcPr>
          <w:p>
            <w:pPr>
              <w:spacing w:after="0"/>
              <w:rPr>
                <w:sz w:val="1"/>
                <w:szCs w:val="1"/>
                <w:color w:val="auto"/>
              </w:rPr>
            </w:pPr>
          </w:p>
        </w:tc>
      </w:tr>
      <w:tr>
        <w:trPr>
          <w:trHeight w:val="200"/>
        </w:trPr>
        <w:tc>
          <w:tcPr>
            <w:tcW w:w="374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2940" w:type="dxa"/>
            <w:vAlign w:val="bottom"/>
            <w:gridSpan w:val="2"/>
          </w:tcPr>
          <w:p>
            <w:pPr>
              <w:jc w:val="right"/>
              <w:ind w:right="596"/>
              <w:spacing w:after="0" w:line="200" w:lineRule="exact"/>
              <w:rPr>
                <w:sz w:val="20"/>
                <w:szCs w:val="20"/>
                <w:color w:val="auto"/>
              </w:rPr>
            </w:pPr>
            <w:r>
              <w:rPr>
                <w:rFonts w:ascii="Arial" w:cs="Arial" w:eastAsia="Arial" w:hAnsi="Arial"/>
                <w:sz w:val="18"/>
                <w:szCs w:val="18"/>
                <w:color w:val="auto"/>
              </w:rPr>
              <w:t>Amount earned and</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940" w:type="dxa"/>
            <w:vAlign w:val="bottom"/>
            <w:gridSpan w:val="2"/>
          </w:tcPr>
          <w:p>
            <w:pPr>
              <w:jc w:val="right"/>
              <w:ind w:right="596"/>
              <w:spacing w:after="0" w:line="202" w:lineRule="exact"/>
              <w:rPr>
                <w:sz w:val="20"/>
                <w:szCs w:val="20"/>
                <w:color w:val="auto"/>
              </w:rPr>
            </w:pPr>
            <w:r>
              <w:rPr>
                <w:rFonts w:ascii="Arial" w:cs="Arial" w:eastAsia="Arial" w:hAnsi="Arial"/>
                <w:sz w:val="18"/>
                <w:szCs w:val="18"/>
                <w:color w:val="auto"/>
              </w:rPr>
              <w:t>unpaid through the</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vMerge w:val="restart"/>
          </w:tcPr>
          <w:p>
            <w:pPr>
              <w:spacing w:after="0"/>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2940" w:type="dxa"/>
            <w:vAlign w:val="bottom"/>
            <w:gridSpan w:val="2"/>
          </w:tcPr>
          <w:p>
            <w:pPr>
              <w:jc w:val="right"/>
              <w:ind w:right="596"/>
              <w:spacing w:after="0"/>
              <w:rPr>
                <w:sz w:val="20"/>
                <w:szCs w:val="20"/>
                <w:color w:val="auto"/>
              </w:rPr>
            </w:pPr>
            <w:r>
              <w:rPr>
                <w:rFonts w:ascii="Arial" w:cs="Arial" w:eastAsia="Arial" w:hAnsi="Arial"/>
                <w:sz w:val="18"/>
                <w:szCs w:val="18"/>
                <w:color w:val="auto"/>
              </w:rPr>
              <w:t>date of termination.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rPr>
                <w:sz w:val="20"/>
                <w:szCs w:val="20"/>
                <w:color w:val="auto"/>
              </w:rPr>
            </w:pPr>
            <w:r>
              <w:rPr>
                <w:rFonts w:ascii="Arial" w:cs="Arial" w:eastAsia="Arial" w:hAnsi="Arial"/>
                <w:sz w:val="18"/>
                <w:szCs w:val="18"/>
                <w:color w:val="auto"/>
              </w:rPr>
              <w:t>3,000,000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194"/>
        </w:trPr>
        <w:tc>
          <w:tcPr>
            <w:tcW w:w="374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560" w:type="dxa"/>
            <w:vAlign w:val="bottom"/>
          </w:tcPr>
          <w:p>
            <w:pPr>
              <w:jc w:val="right"/>
              <w:ind w:right="596"/>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line="194" w:lineRule="exact"/>
              <w:rPr>
                <w:sz w:val="20"/>
                <w:szCs w:val="20"/>
                <w:color w:val="auto"/>
              </w:rPr>
            </w:pPr>
            <w:r>
              <w:rPr>
                <w:rFonts w:ascii="Arial" w:cs="Arial" w:eastAsia="Arial" w:hAnsi="Arial"/>
                <w:sz w:val="18"/>
                <w:szCs w:val="18"/>
                <w:color w:val="auto"/>
              </w:rPr>
              <w:t>6,000,000</w:t>
            </w:r>
          </w:p>
        </w:tc>
        <w:tc>
          <w:tcPr>
            <w:tcW w:w="10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line="194" w:lineRule="exact"/>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2"/>
        </w:trPr>
        <w:tc>
          <w:tcPr>
            <w:tcW w:w="374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(2)(3)(4)(5)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6"/>
              <w:spacing w:after="0"/>
              <w:rPr>
                <w:sz w:val="20"/>
                <w:szCs w:val="20"/>
                <w:color w:val="auto"/>
              </w:rPr>
            </w:pPr>
            <w:r>
              <w:rPr>
                <w:rFonts w:ascii="Arial" w:cs="Arial" w:eastAsia="Arial" w:hAnsi="Arial"/>
                <w:sz w:val="18"/>
                <w:szCs w:val="18"/>
                <w:color w:val="auto"/>
                <w:w w:val="95"/>
              </w:rPr>
              <w:t>31,913,250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rPr>
                <w:sz w:val="20"/>
                <w:szCs w:val="20"/>
                <w:color w:val="auto"/>
              </w:rPr>
            </w:pPr>
            <w:r>
              <w:rPr>
                <w:rFonts w:ascii="Arial" w:cs="Arial" w:eastAsia="Arial" w:hAnsi="Arial"/>
                <w:sz w:val="18"/>
                <w:szCs w:val="18"/>
                <w:color w:val="auto"/>
                <w:w w:val="97"/>
              </w:rPr>
              <w:t>12,908,846</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16,667,250</w:t>
            </w:r>
          </w:p>
        </w:tc>
        <w:tc>
          <w:tcPr>
            <w:tcW w:w="0" w:type="dxa"/>
            <w:vAlign w:val="bottom"/>
          </w:tcPr>
          <w:p>
            <w:pPr>
              <w:spacing w:after="0"/>
              <w:rPr>
                <w:sz w:val="1"/>
                <w:szCs w:val="1"/>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96"/>
              <w:spacing w:after="0" w:line="202" w:lineRule="exact"/>
              <w:rPr>
                <w:sz w:val="20"/>
                <w:szCs w:val="20"/>
                <w:color w:val="auto"/>
              </w:rPr>
            </w:pPr>
            <w:r>
              <w:rPr>
                <w:rFonts w:ascii="Arial" w:cs="Arial" w:eastAsia="Arial" w:hAnsi="Arial"/>
                <w:sz w:val="18"/>
                <w:szCs w:val="18"/>
                <w:color w:val="auto"/>
              </w:rPr>
              <w:t>1,500,000</w:t>
            </w:r>
          </w:p>
        </w:tc>
        <w:tc>
          <w:tcPr>
            <w:tcW w:w="1080" w:type="dxa"/>
            <w:vAlign w:val="bottom"/>
          </w:tcPr>
          <w:p>
            <w:pPr>
              <w:spacing w:after="0"/>
              <w:rPr>
                <w:sz w:val="17"/>
                <w:szCs w:val="17"/>
                <w:color w:val="auto"/>
              </w:rPr>
            </w:pPr>
          </w:p>
        </w:tc>
        <w:tc>
          <w:tcPr>
            <w:tcW w:w="1600" w:type="dxa"/>
            <w:vAlign w:val="bottom"/>
          </w:tcPr>
          <w:p>
            <w:pPr>
              <w:jc w:val="right"/>
              <w:ind w:right="615"/>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3740" w:type="dxa"/>
            <w:vAlign w:val="bottom"/>
          </w:tcPr>
          <w:p>
            <w:pPr>
              <w:spacing w:after="0" w:line="194" w:lineRule="exact"/>
              <w:rPr>
                <w:sz w:val="20"/>
                <w:szCs w:val="20"/>
                <w:color w:val="auto"/>
              </w:rPr>
            </w:pPr>
            <w:r>
              <w:rPr>
                <w:rFonts w:ascii="Arial" w:cs="Arial" w:eastAsia="Arial" w:hAnsi="Arial"/>
                <w:sz w:val="18"/>
                <w:szCs w:val="18"/>
                <w:color w:val="auto"/>
              </w:rPr>
              <w:t>Tax Gross Up</w:t>
            </w:r>
          </w:p>
        </w:tc>
        <w:tc>
          <w:tcPr>
            <w:tcW w:w="1380" w:type="dxa"/>
            <w:vAlign w:val="bottom"/>
          </w:tcPr>
          <w:p>
            <w:pPr>
              <w:spacing w:after="0"/>
              <w:rPr>
                <w:sz w:val="16"/>
                <w:szCs w:val="16"/>
                <w:color w:val="auto"/>
              </w:rPr>
            </w:pPr>
          </w:p>
        </w:tc>
        <w:tc>
          <w:tcPr>
            <w:tcW w:w="1560" w:type="dxa"/>
            <w:vAlign w:val="bottom"/>
          </w:tcPr>
          <w:p>
            <w:pPr>
              <w:jc w:val="right"/>
              <w:ind w:right="596"/>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6"/>
                <w:szCs w:val="16"/>
                <w:color w:val="auto"/>
              </w:rPr>
            </w:pPr>
          </w:p>
        </w:tc>
        <w:tc>
          <w:tcPr>
            <w:tcW w:w="1600" w:type="dxa"/>
            <w:vAlign w:val="bottom"/>
          </w:tcPr>
          <w:p>
            <w:pPr>
              <w:jc w:val="right"/>
              <w:ind w:right="615"/>
              <w:spacing w:after="0" w:line="194"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6"/>
                <w:szCs w:val="16"/>
                <w:color w:val="auto"/>
              </w:rPr>
            </w:pPr>
          </w:p>
        </w:tc>
        <w:tc>
          <w:tcPr>
            <w:tcW w:w="1000" w:type="dxa"/>
            <w:vAlign w:val="bottom"/>
          </w:tcPr>
          <w:p>
            <w:pPr>
              <w:jc w:val="right"/>
              <w:ind w:right="15"/>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9"/>
        </w:trPr>
        <w:tc>
          <w:tcPr>
            <w:tcW w:w="374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i w:val="1"/>
                <w:iCs w:val="1"/>
                <w:color w:val="auto"/>
                <w:vertAlign w:val="superscript"/>
              </w:rPr>
              <w:t>(6)</w:t>
            </w:r>
          </w:p>
        </w:tc>
        <w:tc>
          <w:tcPr>
            <w:tcW w:w="1380" w:type="dxa"/>
            <w:vAlign w:val="bottom"/>
          </w:tcPr>
          <w:p>
            <w:pPr>
              <w:spacing w:after="0"/>
              <w:rPr>
                <w:sz w:val="24"/>
                <w:szCs w:val="24"/>
                <w:color w:val="auto"/>
              </w:rPr>
            </w:pPr>
          </w:p>
        </w:tc>
        <w:tc>
          <w:tcPr>
            <w:tcW w:w="156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5"/>
              <w:spacing w:after="0"/>
              <w:rPr>
                <w:sz w:val="20"/>
                <w:szCs w:val="20"/>
                <w:color w:val="auto"/>
              </w:rPr>
            </w:pPr>
            <w:r>
              <w:rPr>
                <w:rFonts w:ascii="Arial" w:cs="Arial" w:eastAsia="Arial" w:hAnsi="Arial"/>
                <w:sz w:val="18"/>
                <w:szCs w:val="18"/>
                <w:color w:val="auto"/>
              </w:rPr>
              <w:t>99,221</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99,221</w:t>
            </w:r>
          </w:p>
        </w:tc>
        <w:tc>
          <w:tcPr>
            <w:tcW w:w="0" w:type="dxa"/>
            <w:vAlign w:val="bottom"/>
          </w:tcPr>
          <w:p>
            <w:pPr>
              <w:spacing w:after="0"/>
              <w:rPr>
                <w:sz w:val="1"/>
                <w:szCs w:val="1"/>
                <w:color w:val="auto"/>
              </w:rPr>
            </w:pPr>
          </w:p>
        </w:tc>
      </w:tr>
    </w:tbl>
    <w:p>
      <w:pPr>
        <w:ind w:left="340" w:hanging="332"/>
        <w:spacing w:after="0" w:line="195" w:lineRule="auto"/>
        <w:tabs>
          <w:tab w:leader="none" w:pos="340" w:val="left"/>
        </w:tabs>
        <w:numPr>
          <w:ilvl w:val="0"/>
          <w:numId w:val="4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jc w:val="both"/>
        <w:ind w:left="340" w:hanging="332"/>
        <w:spacing w:after="0" w:line="193" w:lineRule="auto"/>
        <w:tabs>
          <w:tab w:leader="none" w:pos="340" w:val="left"/>
        </w:tabs>
        <w:numPr>
          <w:ilvl w:val="0"/>
          <w:numId w:val="4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175,000 would vest in full immediately. Using the closing price on December 31, 2014, the value of such stock options upon exercise would have been $7,141,750. Upon termination without cause, 175,000 stock options would vest on a prorated basis based on the number of months since the grant date, so long as the employee’s employment agreement with the Company has not terminated or expired. Using the closing price on December 31, 2014, the value of such 135,539 stock options upon exercise would have been $5,531,347.</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44"/>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or complete disability, unvested stock options of 150,000 would vest in full immediately. Using the closing price on December 31, 2014, the value of such stock options upon exercise would have been $15,246,000.</w:t>
      </w:r>
    </w:p>
    <w:p>
      <w:pPr>
        <w:jc w:val="both"/>
        <w:ind w:left="340" w:hanging="332"/>
        <w:spacing w:after="0" w:line="186" w:lineRule="auto"/>
        <w:tabs>
          <w:tab w:leader="none" w:pos="340" w:val="left"/>
        </w:tabs>
        <w:numPr>
          <w:ilvl w:val="0"/>
          <w:numId w:val="4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50,000 shares of restricted stock would vest in full immediately so long as the employee’s employment agreement with the Company has not terminated or expired. Using the closing price on December 31, 2014, the value of such 50,000 shares would have been $7,438,000, plus accrued dividends of $2,087,500.</w:t>
      </w:r>
    </w:p>
    <w:p>
      <w:pPr>
        <w:jc w:val="both"/>
        <w:ind w:left="340" w:hanging="332"/>
        <w:spacing w:after="0" w:line="186" w:lineRule="auto"/>
        <w:tabs>
          <w:tab w:leader="none" w:pos="340" w:val="left"/>
        </w:tabs>
        <w:numPr>
          <w:ilvl w:val="0"/>
          <w:numId w:val="4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50,000 shares of restricted stock would vest on a prorated basis based on the number of months since the grant date so long as the employee’s employment agreement with the Company has not terminated or expired. Using the closing price on December 31, 2014, the value of such 38,725 shares would have been $5,760,731, plus accrued dividends of $1,616,769.</w:t>
      </w:r>
    </w:p>
    <w:p>
      <w:pPr>
        <w:ind w:left="340" w:right="20" w:hanging="332"/>
        <w:spacing w:after="0" w:line="180" w:lineRule="auto"/>
        <w:tabs>
          <w:tab w:leader="none" w:pos="340" w:val="left"/>
        </w:tabs>
        <w:numPr>
          <w:ilvl w:val="0"/>
          <w:numId w:val="4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-1448435</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Stephen Cootey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380" w:type="dxa"/>
            <w:vAlign w:val="bottom"/>
          </w:tcPr>
          <w:p>
            <w:pPr>
              <w:jc w:val="right"/>
              <w:ind w:right="480"/>
              <w:spacing w:after="0"/>
              <w:rPr>
                <w:sz w:val="20"/>
                <w:szCs w:val="20"/>
                <w:color w:val="auto"/>
              </w:rPr>
            </w:pPr>
            <w:r>
              <w:rPr>
                <w:rFonts w:ascii="Arial" w:cs="Arial" w:eastAsia="Arial" w:hAnsi="Arial"/>
                <w:sz w:val="14"/>
                <w:szCs w:val="14"/>
                <w:b w:val="1"/>
                <w:bCs w:val="1"/>
                <w:color w:val="614A3D"/>
              </w:rPr>
              <w:t>Termination</w:t>
            </w:r>
          </w:p>
        </w:tc>
        <w:tc>
          <w:tcPr>
            <w:tcW w:w="1900" w:type="dxa"/>
            <w:vAlign w:val="bottom"/>
          </w:tcPr>
          <w:p>
            <w:pPr>
              <w:jc w:val="right"/>
              <w:ind w:right="20"/>
              <w:spacing w:after="0"/>
              <w:rPr>
                <w:sz w:val="20"/>
                <w:szCs w:val="20"/>
                <w:color w:val="auto"/>
              </w:rPr>
            </w:pPr>
            <w:r>
              <w:rPr>
                <w:rFonts w:ascii="Arial" w:cs="Arial" w:eastAsia="Arial" w:hAnsi="Arial"/>
                <w:sz w:val="14"/>
                <w:szCs w:val="14"/>
                <w:b w:val="1"/>
                <w:bCs w:val="1"/>
                <w:color w:val="614A3D"/>
              </w:rPr>
              <w:t>Termination by</w:t>
            </w:r>
          </w:p>
        </w:tc>
      </w:tr>
      <w:tr>
        <w:trPr>
          <w:trHeight w:val="149"/>
        </w:trPr>
        <w:tc>
          <w:tcPr>
            <w:tcW w:w="3840" w:type="dxa"/>
            <w:vAlign w:val="bottom"/>
          </w:tcPr>
          <w:p>
            <w:pPr>
              <w:spacing w:after="0"/>
              <w:rPr>
                <w:sz w:val="12"/>
                <w:szCs w:val="12"/>
                <w:color w:val="auto"/>
              </w:rPr>
            </w:pPr>
          </w:p>
        </w:tc>
        <w:tc>
          <w:tcPr>
            <w:tcW w:w="3300" w:type="dxa"/>
            <w:vAlign w:val="bottom"/>
          </w:tcPr>
          <w:p>
            <w:pPr>
              <w:jc w:val="right"/>
              <w:ind w:right="438"/>
              <w:spacing w:after="0" w:line="149" w:lineRule="exact"/>
              <w:rPr>
                <w:sz w:val="20"/>
                <w:szCs w:val="20"/>
                <w:color w:val="auto"/>
              </w:rPr>
            </w:pPr>
            <w:r>
              <w:rPr>
                <w:rFonts w:ascii="Arial" w:cs="Arial" w:eastAsia="Arial" w:hAnsi="Arial"/>
                <w:sz w:val="14"/>
                <w:szCs w:val="14"/>
                <w:b w:val="1"/>
                <w:bCs w:val="1"/>
                <w:color w:val="614A3D"/>
              </w:rPr>
              <w:t>Termination Upon</w:t>
            </w:r>
          </w:p>
        </w:tc>
        <w:tc>
          <w:tcPr>
            <w:tcW w:w="2380" w:type="dxa"/>
            <w:vAlign w:val="bottom"/>
          </w:tcPr>
          <w:p>
            <w:pPr>
              <w:jc w:val="right"/>
              <w:ind w:right="480"/>
              <w:spacing w:after="0" w:line="149" w:lineRule="exact"/>
              <w:rPr>
                <w:sz w:val="20"/>
                <w:szCs w:val="20"/>
                <w:color w:val="auto"/>
              </w:rPr>
            </w:pPr>
            <w:r>
              <w:rPr>
                <w:rFonts w:ascii="Arial" w:cs="Arial" w:eastAsia="Arial" w:hAnsi="Arial"/>
                <w:sz w:val="14"/>
                <w:szCs w:val="14"/>
                <w:b w:val="1"/>
                <w:bCs w:val="1"/>
                <w:color w:val="614A3D"/>
              </w:rPr>
              <w:t>Without Cause at</w:t>
            </w:r>
          </w:p>
        </w:tc>
        <w:tc>
          <w:tcPr>
            <w:tcW w:w="19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614A3D"/>
              </w:rPr>
              <w:t>Employee for Good</w:t>
            </w:r>
          </w:p>
        </w:tc>
      </w:tr>
      <w:tr>
        <w:trPr>
          <w:trHeight w:val="149"/>
        </w:trPr>
        <w:tc>
          <w:tcPr>
            <w:tcW w:w="3840" w:type="dxa"/>
            <w:vAlign w:val="bottom"/>
          </w:tcPr>
          <w:p>
            <w:pPr>
              <w:spacing w:after="0"/>
              <w:rPr>
                <w:sz w:val="12"/>
                <w:szCs w:val="12"/>
                <w:color w:val="auto"/>
              </w:rPr>
            </w:pPr>
          </w:p>
        </w:tc>
        <w:tc>
          <w:tcPr>
            <w:tcW w:w="3300" w:type="dxa"/>
            <w:vAlign w:val="bottom"/>
          </w:tcPr>
          <w:p>
            <w:pPr>
              <w:jc w:val="right"/>
              <w:ind w:right="438"/>
              <w:spacing w:after="0" w:line="149" w:lineRule="exact"/>
              <w:rPr>
                <w:sz w:val="20"/>
                <w:szCs w:val="20"/>
                <w:color w:val="auto"/>
              </w:rPr>
            </w:pPr>
            <w:r>
              <w:rPr>
                <w:rFonts w:ascii="Arial" w:cs="Arial" w:eastAsia="Arial" w:hAnsi="Arial"/>
                <w:sz w:val="14"/>
                <w:szCs w:val="14"/>
                <w:b w:val="1"/>
                <w:bCs w:val="1"/>
                <w:color w:val="614A3D"/>
              </w:rPr>
              <w:t>Death or Complete</w:t>
            </w:r>
          </w:p>
        </w:tc>
        <w:tc>
          <w:tcPr>
            <w:tcW w:w="2380" w:type="dxa"/>
            <w:vAlign w:val="bottom"/>
          </w:tcPr>
          <w:p>
            <w:pPr>
              <w:jc w:val="right"/>
              <w:ind w:right="480"/>
              <w:spacing w:after="0" w:line="149" w:lineRule="exact"/>
              <w:rPr>
                <w:sz w:val="20"/>
                <w:szCs w:val="20"/>
                <w:color w:val="auto"/>
              </w:rPr>
            </w:pPr>
            <w:r>
              <w:rPr>
                <w:rFonts w:ascii="Arial" w:cs="Arial" w:eastAsia="Arial" w:hAnsi="Arial"/>
                <w:sz w:val="14"/>
                <w:szCs w:val="14"/>
                <w:b w:val="1"/>
                <w:bCs w:val="1"/>
                <w:color w:val="614A3D"/>
              </w:rPr>
              <w:t>Employer’s Election</w:t>
            </w:r>
          </w:p>
        </w:tc>
        <w:tc>
          <w:tcPr>
            <w:tcW w:w="19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614A3D"/>
              </w:rPr>
              <w:t>Reason After</w:t>
            </w:r>
          </w:p>
        </w:tc>
      </w:tr>
      <w:tr>
        <w:trPr>
          <w:trHeight w:val="178"/>
        </w:trPr>
        <w:tc>
          <w:tcPr>
            <w:tcW w:w="38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614A3D"/>
              </w:rPr>
              <w:t>Disability</w:t>
            </w:r>
          </w:p>
        </w:tc>
        <w:tc>
          <w:tcPr>
            <w:tcW w:w="23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614A3D"/>
              </w:rPr>
              <w:t>During the Term</w:t>
            </w:r>
          </w:p>
        </w:tc>
        <w:tc>
          <w:tcPr>
            <w:tcW w:w="19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614A3D"/>
              </w:rPr>
              <w:t>Change in Control</w:t>
            </w:r>
          </w:p>
        </w:tc>
      </w:tr>
      <w:tr>
        <w:trPr>
          <w:trHeight w:val="200"/>
        </w:trPr>
        <w:tc>
          <w:tcPr>
            <w:tcW w:w="3840" w:type="dxa"/>
            <w:vAlign w:val="bottom"/>
          </w:tcPr>
          <w:p>
            <w:pPr>
              <w:spacing w:after="0" w:line="200" w:lineRule="exact"/>
              <w:rPr>
                <w:sz w:val="20"/>
                <w:szCs w:val="20"/>
                <w:color w:val="auto"/>
              </w:rPr>
            </w:pPr>
            <w:r>
              <w:rPr>
                <w:rFonts w:ascii="Arial" w:cs="Arial" w:eastAsia="Arial" w:hAnsi="Arial"/>
                <w:sz w:val="18"/>
                <w:szCs w:val="18"/>
                <w:color w:val="auto"/>
              </w:rPr>
              <w:t xml:space="preserve">Base Salary </w:t>
            </w:r>
            <w:r>
              <w:rPr>
                <w:rFonts w:ascii="Arial" w:cs="Arial" w:eastAsia="Arial" w:hAnsi="Arial"/>
                <w:sz w:val="11"/>
                <w:szCs w:val="11"/>
                <w:i w:val="1"/>
                <w:iCs w:val="1"/>
                <w:color w:val="auto"/>
              </w:rPr>
              <w:t>(1)</w:t>
            </w:r>
          </w:p>
        </w:tc>
        <w:tc>
          <w:tcPr>
            <w:tcW w:w="3300" w:type="dxa"/>
            <w:vAlign w:val="bottom"/>
          </w:tcPr>
          <w:p>
            <w:pPr>
              <w:jc w:val="right"/>
              <w:ind w:right="438"/>
              <w:spacing w:after="0" w:line="200" w:lineRule="exact"/>
              <w:rPr>
                <w:sz w:val="20"/>
                <w:szCs w:val="20"/>
                <w:color w:val="auto"/>
              </w:rPr>
            </w:pPr>
            <w:r>
              <w:rPr>
                <w:rFonts w:ascii="Arial" w:cs="Arial" w:eastAsia="Arial" w:hAnsi="Arial"/>
                <w:sz w:val="18"/>
                <w:szCs w:val="18"/>
                <w:color w:val="auto"/>
              </w:rPr>
              <w:t>Amount earned and</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unpaid through the</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6"/>
        </w:trPr>
        <w:tc>
          <w:tcPr>
            <w:tcW w:w="3840" w:type="dxa"/>
            <w:vAlign w:val="bottom"/>
          </w:tcPr>
          <w:p>
            <w:pPr>
              <w:spacing w:after="0"/>
              <w:rPr>
                <w:sz w:val="18"/>
                <w:szCs w:val="18"/>
                <w:color w:val="auto"/>
              </w:rPr>
            </w:pPr>
          </w:p>
        </w:tc>
        <w:tc>
          <w:tcPr>
            <w:tcW w:w="3300" w:type="dxa"/>
            <w:vAlign w:val="bottom"/>
          </w:tcPr>
          <w:p>
            <w:pPr>
              <w:jc w:val="right"/>
              <w:ind w:right="438"/>
              <w:spacing w:after="0"/>
              <w:rPr>
                <w:sz w:val="20"/>
                <w:szCs w:val="20"/>
                <w:color w:val="auto"/>
              </w:rPr>
            </w:pPr>
            <w:r>
              <w:rPr>
                <w:rFonts w:ascii="Arial" w:cs="Arial" w:eastAsia="Arial" w:hAnsi="Arial"/>
                <w:sz w:val="18"/>
                <w:szCs w:val="18"/>
                <w:color w:val="auto"/>
              </w:rPr>
              <w:t>date of termination.</w:t>
            </w:r>
          </w:p>
        </w:tc>
        <w:tc>
          <w:tcPr>
            <w:tcW w:w="2380" w:type="dxa"/>
            <w:vAlign w:val="bottom"/>
          </w:tcPr>
          <w:p>
            <w:pPr>
              <w:jc w:val="right"/>
              <w:ind w:right="480"/>
              <w:spacing w:after="0"/>
              <w:rPr>
                <w:sz w:val="20"/>
                <w:szCs w:val="20"/>
                <w:color w:val="auto"/>
              </w:rPr>
            </w:pPr>
            <w:r>
              <w:rPr>
                <w:rFonts w:ascii="Arial" w:cs="Arial" w:eastAsia="Arial" w:hAnsi="Arial"/>
                <w:sz w:val="18"/>
                <w:szCs w:val="18"/>
                <w:color w:val="auto"/>
              </w:rPr>
              <w:t>$625,000</w:t>
            </w:r>
          </w:p>
        </w:tc>
        <w:tc>
          <w:tcPr>
            <w:tcW w:w="1900" w:type="dxa"/>
            <w:vAlign w:val="bottom"/>
          </w:tcPr>
          <w:p>
            <w:pPr>
              <w:jc w:val="right"/>
              <w:ind w:right="20"/>
              <w:spacing w:after="0"/>
              <w:rPr>
                <w:sz w:val="20"/>
                <w:szCs w:val="20"/>
                <w:color w:val="auto"/>
              </w:rPr>
            </w:pPr>
            <w:r>
              <w:rPr>
                <w:rFonts w:ascii="Arial" w:cs="Arial" w:eastAsia="Arial" w:hAnsi="Arial"/>
                <w:sz w:val="18"/>
                <w:szCs w:val="18"/>
                <w:color w:val="auto"/>
              </w:rPr>
              <w:t>$625,000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(2)</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$625,000</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$625,000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i w:val="1"/>
                <w:iCs w:val="1"/>
                <w:color w:val="auto"/>
              </w:rPr>
              <w:t>(3)</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$ 625,000</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3300" w:type="dxa"/>
            <w:vAlign w:val="bottom"/>
          </w:tcPr>
          <w:p>
            <w:pPr>
              <w:jc w:val="right"/>
              <w:ind w:right="438"/>
              <w:spacing w:after="0" w:line="202"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11"/>
        </w:trPr>
        <w:tc>
          <w:tcPr>
            <w:tcW w:w="3840" w:type="dxa"/>
            <w:vAlign w:val="bottom"/>
          </w:tcPr>
          <w:p>
            <w:pPr>
              <w:spacing w:after="0"/>
              <w:rPr>
                <w:sz w:val="20"/>
                <w:szCs w:val="20"/>
                <w:color w:val="auto"/>
              </w:rPr>
            </w:pPr>
            <w:r>
              <w:rPr>
                <w:rFonts w:ascii="Arial" w:cs="Arial" w:eastAsia="Arial" w:hAnsi="Arial"/>
                <w:sz w:val="18"/>
                <w:szCs w:val="18"/>
                <w:color w:val="auto"/>
              </w:rPr>
              <w:t>Benefits</w:t>
            </w:r>
          </w:p>
        </w:tc>
        <w:tc>
          <w:tcPr>
            <w:tcW w:w="3300" w:type="dxa"/>
            <w:vAlign w:val="bottom"/>
          </w:tcPr>
          <w:p>
            <w:pPr>
              <w:jc w:val="right"/>
              <w:ind w:right="438"/>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4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20"/>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jc w:val="both"/>
        <w:ind w:left="340" w:hanging="332"/>
        <w:spacing w:after="0" w:line="190" w:lineRule="auto"/>
        <w:tabs>
          <w:tab w:leader="none" w:pos="340" w:val="left"/>
        </w:tabs>
        <w:numPr>
          <w:ilvl w:val="0"/>
          <w:numId w:val="45"/>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 February 2015, the Company amended Mr. Cootey’s employment agreement, effective February 24, 2015, which modified the base salary component of his separation payment to be his base salary through the end of the term of the agreement, but not less than 12 months. As a result, certain payments made upon termination shown above (which reflects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spacing w:after="0" w:line="223" w:lineRule="auto"/>
        <w:rPr>
          <w:sz w:val="20"/>
          <w:szCs w:val="20"/>
          <w:color w:val="auto"/>
        </w:rPr>
      </w:pPr>
      <w:r>
        <w:rPr>
          <w:rFonts w:ascii="Arial" w:cs="Arial" w:eastAsia="Arial" w:hAnsi="Arial"/>
          <w:sz w:val="14"/>
          <w:szCs w:val="14"/>
          <w:i w:val="1"/>
          <w:iCs w:val="1"/>
          <w:color w:val="auto"/>
        </w:rPr>
        <w:t>termination as of December 31, 2014) would be revised to be as follows if Mr. Cootey’s employment had been terminated on February 24, 2015.</w:t>
      </w:r>
    </w:p>
    <w:p>
      <w:pPr>
        <w:ind w:left="800" w:hanging="346"/>
        <w:spacing w:after="0" w:line="222" w:lineRule="auto"/>
        <w:tabs>
          <w:tab w:leader="none" w:pos="80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Base Salary</w:t>
      </w:r>
    </w:p>
    <w:p>
      <w:pPr>
        <w:ind w:left="800" w:hanging="346"/>
        <w:spacing w:after="0" w:line="221" w:lineRule="auto"/>
        <w:tabs>
          <w:tab w:leader="none" w:pos="800" w:val="left"/>
        </w:tabs>
        <w:numPr>
          <w:ilvl w:val="1"/>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Without Cause at Employer’s Election During the Term is $1,250,000</w:t>
      </w:r>
    </w:p>
    <w:p>
      <w:pPr>
        <w:ind w:left="800" w:hanging="346"/>
        <w:spacing w:after="0" w:line="221" w:lineRule="auto"/>
        <w:tabs>
          <w:tab w:leader="none" w:pos="800" w:val="left"/>
        </w:tabs>
        <w:numPr>
          <w:ilvl w:val="1"/>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Termination by Employee for Good Reason After Change in Control is $1,250,000</w:t>
      </w:r>
    </w:p>
    <w:p>
      <w:pPr>
        <w:ind w:left="340" w:hanging="332"/>
        <w:spacing w:after="0" w:line="182" w:lineRule="auto"/>
        <w:tabs>
          <w:tab w:leader="none" w:pos="340" w:val="left"/>
        </w:tabs>
        <w:numPr>
          <w:ilvl w:val="0"/>
          <w:numId w:val="48"/>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Calculation based on 2014 annual incentive awards paid in January 2015.</w:t>
      </w:r>
    </w:p>
    <w:p>
      <w:pPr>
        <w:ind w:left="340" w:hanging="332"/>
        <w:spacing w:after="0" w:line="188" w:lineRule="auto"/>
        <w:tabs>
          <w:tab w:leader="none" w:pos="340" w:val="left"/>
        </w:tabs>
        <w:numPr>
          <w:ilvl w:val="0"/>
          <w:numId w:val="48"/>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Upon termination for any reason, any of his 20,000 shares of restricted stock that have not vested as of December 31, 2014, would be forfeited.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Linda Chen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right"/>
              <w:ind w:right="614"/>
              <w:spacing w:after="0"/>
              <w:rPr>
                <w:sz w:val="20"/>
                <w:szCs w:val="20"/>
                <w:color w:val="auto"/>
              </w:rPr>
            </w:pPr>
            <w:r>
              <w:rPr>
                <w:rFonts w:ascii="Arial" w:cs="Arial" w:eastAsia="Arial" w:hAnsi="Arial"/>
                <w:sz w:val="14"/>
                <w:szCs w:val="14"/>
                <w:b w:val="1"/>
                <w:bCs w:val="1"/>
                <w:color w:val="614A3D"/>
              </w:rPr>
              <w:t>Termination</w:t>
            </w:r>
          </w:p>
        </w:tc>
        <w:tc>
          <w:tcPr>
            <w:tcW w:w="20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614A3D"/>
              </w:rPr>
              <w:t>Termination by</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96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Termination Upon</w:t>
            </w:r>
          </w:p>
        </w:tc>
        <w:tc>
          <w:tcPr>
            <w:tcW w:w="2680" w:type="dxa"/>
            <w:vAlign w:val="bottom"/>
            <w:gridSpan w:val="2"/>
          </w:tcPr>
          <w:p>
            <w:pPr>
              <w:jc w:val="right"/>
              <w:ind w:right="614"/>
              <w:spacing w:after="0" w:line="149" w:lineRule="exact"/>
              <w:rPr>
                <w:sz w:val="20"/>
                <w:szCs w:val="20"/>
                <w:color w:val="auto"/>
              </w:rPr>
            </w:pPr>
            <w:r>
              <w:rPr>
                <w:rFonts w:ascii="Arial" w:cs="Arial" w:eastAsia="Arial" w:hAnsi="Arial"/>
                <w:sz w:val="14"/>
                <w:szCs w:val="14"/>
                <w:b w:val="1"/>
                <w:bCs w:val="1"/>
                <w:color w:val="614A3D"/>
              </w:rPr>
              <w:t>Without Cause at</w:t>
            </w:r>
          </w:p>
        </w:tc>
        <w:tc>
          <w:tcPr>
            <w:tcW w:w="2060" w:type="dxa"/>
            <w:vAlign w:val="bottom"/>
            <w:gridSpan w:val="2"/>
          </w:tcPr>
          <w:p>
            <w:pPr>
              <w:jc w:val="right"/>
              <w:ind w:right="14"/>
              <w:spacing w:after="0" w:line="149" w:lineRule="exact"/>
              <w:rPr>
                <w:sz w:val="20"/>
                <w:szCs w:val="20"/>
                <w:color w:val="auto"/>
              </w:rPr>
            </w:pPr>
            <w:r>
              <w:rPr>
                <w:rFonts w:ascii="Arial" w:cs="Arial" w:eastAsia="Arial" w:hAnsi="Arial"/>
                <w:sz w:val="14"/>
                <w:szCs w:val="14"/>
                <w:b w:val="1"/>
                <w:bCs w:val="1"/>
                <w:color w:val="614A3D"/>
              </w:rPr>
              <w:t>Employee for Good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96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Death or Complete</w:t>
            </w:r>
          </w:p>
        </w:tc>
        <w:tc>
          <w:tcPr>
            <w:tcW w:w="2680" w:type="dxa"/>
            <w:vAlign w:val="bottom"/>
            <w:gridSpan w:val="2"/>
          </w:tcPr>
          <w:p>
            <w:pPr>
              <w:jc w:val="right"/>
              <w:ind w:right="614"/>
              <w:spacing w:after="0" w:line="149" w:lineRule="exact"/>
              <w:rPr>
                <w:sz w:val="20"/>
                <w:szCs w:val="20"/>
                <w:color w:val="auto"/>
              </w:rPr>
            </w:pPr>
            <w:r>
              <w:rPr>
                <w:rFonts w:ascii="Arial" w:cs="Arial" w:eastAsia="Arial" w:hAnsi="Arial"/>
                <w:sz w:val="14"/>
                <w:szCs w:val="14"/>
                <w:b w:val="1"/>
                <w:bCs w:val="1"/>
                <w:color w:val="614A3D"/>
              </w:rPr>
              <w:t>Employer’s Election</w:t>
            </w:r>
          </w:p>
        </w:tc>
        <w:tc>
          <w:tcPr>
            <w:tcW w:w="1060" w:type="dxa"/>
            <w:vAlign w:val="bottom"/>
          </w:tcPr>
          <w:p>
            <w:pPr>
              <w:spacing w:after="0"/>
              <w:rPr>
                <w:sz w:val="12"/>
                <w:szCs w:val="12"/>
                <w:color w:val="auto"/>
              </w:rPr>
            </w:pPr>
          </w:p>
        </w:tc>
        <w:tc>
          <w:tcPr>
            <w:tcW w:w="10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614A3D"/>
              </w:rPr>
              <w:t>Reason After</w:t>
            </w:r>
          </w:p>
        </w:tc>
        <w:tc>
          <w:tcPr>
            <w:tcW w:w="0" w:type="dxa"/>
            <w:vAlign w:val="bottom"/>
          </w:tcPr>
          <w:p>
            <w:pPr>
              <w:spacing w:after="0"/>
              <w:rPr>
                <w:sz w:val="1"/>
                <w:szCs w:val="1"/>
                <w:color w:val="auto"/>
              </w:rPr>
            </w:pPr>
          </w:p>
        </w:tc>
      </w:tr>
      <w:tr>
        <w:trPr>
          <w:trHeight w:val="178"/>
        </w:trPr>
        <w:tc>
          <w:tcPr>
            <w:tcW w:w="3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614A3D"/>
              </w:rPr>
              <w:t>Disability</w:t>
            </w:r>
          </w:p>
        </w:tc>
        <w:tc>
          <w:tcPr>
            <w:tcW w:w="268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614A3D"/>
              </w:rPr>
              <w:t>During the Term</w:t>
            </w:r>
          </w:p>
        </w:tc>
        <w:tc>
          <w:tcPr>
            <w:tcW w:w="20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614A3D"/>
              </w:rPr>
              <w:t>Change in Control</w:t>
            </w:r>
          </w:p>
        </w:tc>
        <w:tc>
          <w:tcPr>
            <w:tcW w:w="0" w:type="dxa"/>
            <w:vAlign w:val="bottom"/>
          </w:tcPr>
          <w:p>
            <w:pPr>
              <w:spacing w:after="0"/>
              <w:rPr>
                <w:sz w:val="1"/>
                <w:szCs w:val="1"/>
                <w:color w:val="auto"/>
              </w:rPr>
            </w:pPr>
          </w:p>
        </w:tc>
      </w:tr>
      <w:tr>
        <w:trPr>
          <w:trHeight w:val="200"/>
        </w:trPr>
        <w:tc>
          <w:tcPr>
            <w:tcW w:w="372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2960" w:type="dxa"/>
            <w:vAlign w:val="bottom"/>
            <w:gridSpan w:val="2"/>
          </w:tcPr>
          <w:p>
            <w:pPr>
              <w:jc w:val="right"/>
              <w:ind w:right="595"/>
              <w:spacing w:after="0" w:line="200" w:lineRule="exact"/>
              <w:rPr>
                <w:sz w:val="20"/>
                <w:szCs w:val="20"/>
                <w:color w:val="auto"/>
              </w:rPr>
            </w:pPr>
            <w:r>
              <w:rPr>
                <w:rFonts w:ascii="Arial" w:cs="Arial" w:eastAsia="Arial" w:hAnsi="Arial"/>
                <w:sz w:val="18"/>
                <w:szCs w:val="18"/>
                <w:color w:val="auto"/>
              </w:rPr>
              <w:t>Amount earned and</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2960" w:type="dxa"/>
            <w:vAlign w:val="bottom"/>
            <w:gridSpan w:val="2"/>
          </w:tcPr>
          <w:p>
            <w:pPr>
              <w:jc w:val="right"/>
              <w:ind w:right="595"/>
              <w:spacing w:after="0" w:line="202" w:lineRule="exact"/>
              <w:rPr>
                <w:sz w:val="20"/>
                <w:szCs w:val="20"/>
                <w:color w:val="auto"/>
              </w:rPr>
            </w:pPr>
            <w:r>
              <w:rPr>
                <w:rFonts w:ascii="Arial" w:cs="Arial" w:eastAsia="Arial" w:hAnsi="Arial"/>
                <w:sz w:val="18"/>
                <w:szCs w:val="18"/>
                <w:color w:val="auto"/>
              </w:rPr>
              <w:t>unpaid through the</w:t>
            </w: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vMerge w:val="restart"/>
          </w:tcPr>
          <w:p>
            <w:pPr>
              <w:spacing w:after="0"/>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2960" w:type="dxa"/>
            <w:vAlign w:val="bottom"/>
            <w:gridSpan w:val="2"/>
          </w:tcPr>
          <w:p>
            <w:pPr>
              <w:jc w:val="right"/>
              <w:ind w:right="595"/>
              <w:spacing w:after="0" w:line="202" w:lineRule="exact"/>
              <w:rPr>
                <w:sz w:val="20"/>
                <w:szCs w:val="20"/>
                <w:color w:val="auto"/>
              </w:rPr>
            </w:pPr>
            <w:r>
              <w:rPr>
                <w:rFonts w:ascii="Arial" w:cs="Arial" w:eastAsia="Arial" w:hAnsi="Arial"/>
                <w:sz w:val="18"/>
                <w:szCs w:val="18"/>
                <w:color w:val="auto"/>
              </w:rPr>
              <w:t>date of termination.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6,000,000</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194"/>
        </w:trPr>
        <w:tc>
          <w:tcPr>
            <w:tcW w:w="372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560" w:type="dxa"/>
            <w:vAlign w:val="bottom"/>
          </w:tcPr>
          <w:p>
            <w:pPr>
              <w:jc w:val="right"/>
              <w:ind w:right="595"/>
              <w:spacing w:after="0" w:line="194"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194" w:lineRule="exact"/>
              <w:rPr>
                <w:sz w:val="20"/>
                <w:szCs w:val="20"/>
                <w:color w:val="auto"/>
              </w:rPr>
            </w:pPr>
            <w:r>
              <w:rPr>
                <w:rFonts w:ascii="Arial" w:cs="Arial" w:eastAsia="Arial" w:hAnsi="Arial"/>
                <w:sz w:val="18"/>
                <w:szCs w:val="18"/>
                <w:color w:val="auto"/>
                <w:w w:val="97"/>
              </w:rPr>
              <w:t>12,000,000</w:t>
            </w:r>
          </w:p>
        </w:tc>
        <w:tc>
          <w:tcPr>
            <w:tcW w:w="10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194" w:lineRule="exact"/>
              <w:rPr>
                <w:sz w:val="20"/>
                <w:szCs w:val="20"/>
                <w:color w:val="auto"/>
              </w:rPr>
            </w:pPr>
            <w:r>
              <w:rPr>
                <w:rFonts w:ascii="Arial" w:cs="Arial" w:eastAsia="Arial" w:hAnsi="Arial"/>
                <w:sz w:val="18"/>
                <w:szCs w:val="18"/>
                <w:color w:val="auto"/>
                <w:w w:val="97"/>
              </w:rPr>
              <w:t>12,000,000</w:t>
            </w:r>
          </w:p>
        </w:tc>
        <w:tc>
          <w:tcPr>
            <w:tcW w:w="0" w:type="dxa"/>
            <w:vAlign w:val="bottom"/>
          </w:tcPr>
          <w:p>
            <w:pPr>
              <w:spacing w:after="0"/>
              <w:rPr>
                <w:sz w:val="1"/>
                <w:szCs w:val="1"/>
                <w:color w:val="auto"/>
              </w:rPr>
            </w:pPr>
          </w:p>
        </w:tc>
      </w:tr>
      <w:tr>
        <w:trPr>
          <w:trHeight w:val="203"/>
        </w:trPr>
        <w:tc>
          <w:tcPr>
            <w:tcW w:w="3720" w:type="dxa"/>
            <w:vAlign w:val="bottom"/>
          </w:tcPr>
          <w:p>
            <w:pPr>
              <w:spacing w:after="0" w:line="203"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(2)(3)(4)(5)</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w w:val="95"/>
              </w:rPr>
              <w:t>45,504,350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w w:val="97"/>
              </w:rPr>
              <w:t>24,352,137</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7"/>
              </w:rPr>
              <w:t>30,258,350</w:t>
            </w:r>
          </w:p>
        </w:tc>
        <w:tc>
          <w:tcPr>
            <w:tcW w:w="0" w:type="dxa"/>
            <w:vAlign w:val="bottom"/>
          </w:tcPr>
          <w:p>
            <w:pPr>
              <w:spacing w:after="0"/>
              <w:rPr>
                <w:sz w:val="1"/>
                <w:szCs w:val="1"/>
                <w:color w:val="auto"/>
              </w:rPr>
            </w:pPr>
          </w:p>
        </w:tc>
      </w:tr>
      <w:tr>
        <w:trPr>
          <w:trHeight w:val="203"/>
        </w:trPr>
        <w:tc>
          <w:tcPr>
            <w:tcW w:w="3720" w:type="dxa"/>
            <w:vAlign w:val="bottom"/>
          </w:tcPr>
          <w:p>
            <w:pPr>
              <w:spacing w:after="0" w:line="203" w:lineRule="exact"/>
              <w:rPr>
                <w:sz w:val="20"/>
                <w:szCs w:val="20"/>
                <w:color w:val="auto"/>
              </w:rPr>
            </w:pPr>
            <w:r>
              <w:rPr>
                <w:rFonts w:ascii="Arial" w:cs="Arial" w:eastAsia="Arial" w:hAnsi="Arial"/>
                <w:sz w:val="18"/>
                <w:szCs w:val="18"/>
                <w:color w:val="auto"/>
              </w:rPr>
              <w:t xml:space="preserve">Macau Executive Residence </w:t>
            </w:r>
            <w:r>
              <w:rPr>
                <w:rFonts w:ascii="Arial" w:cs="Arial" w:eastAsia="Arial" w:hAnsi="Arial"/>
                <w:sz w:val="22"/>
                <w:szCs w:val="22"/>
                <w:i w:val="1"/>
                <w:iCs w:val="1"/>
                <w:color w:val="auto"/>
                <w:vertAlign w:val="superscript"/>
              </w:rPr>
              <w:t>(6)</w:t>
            </w:r>
          </w:p>
        </w:tc>
        <w:tc>
          <w:tcPr>
            <w:tcW w:w="1400" w:type="dxa"/>
            <w:vAlign w:val="bottom"/>
          </w:tcPr>
          <w:p>
            <w:pPr>
              <w:spacing w:after="0"/>
              <w:rPr>
                <w:sz w:val="17"/>
                <w:szCs w:val="17"/>
                <w:color w:val="auto"/>
              </w:rPr>
            </w:pP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9,676,545</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9,676,545</w:t>
            </w:r>
          </w:p>
        </w:tc>
        <w:tc>
          <w:tcPr>
            <w:tcW w:w="0" w:type="dxa"/>
            <w:vAlign w:val="bottom"/>
          </w:tcPr>
          <w:p>
            <w:pPr>
              <w:spacing w:after="0"/>
              <w:rPr>
                <w:sz w:val="1"/>
                <w:szCs w:val="1"/>
                <w:color w:val="auto"/>
              </w:rPr>
            </w:pPr>
          </w:p>
        </w:tc>
      </w:tr>
      <w:tr>
        <w:trPr>
          <w:trHeight w:val="212"/>
        </w:trPr>
        <w:tc>
          <w:tcPr>
            <w:tcW w:w="3720" w:type="dxa"/>
            <w:vAlign w:val="bottom"/>
          </w:tcPr>
          <w:p>
            <w:pPr>
              <w:spacing w:after="0" w:line="211" w:lineRule="exact"/>
              <w:rPr>
                <w:sz w:val="20"/>
                <w:szCs w:val="20"/>
                <w:color w:val="auto"/>
              </w:rPr>
            </w:pPr>
            <w:r>
              <w:rPr>
                <w:rFonts w:ascii="Arial" w:cs="Arial" w:eastAsia="Arial" w:hAnsi="Arial"/>
                <w:sz w:val="18"/>
                <w:szCs w:val="18"/>
                <w:color w:val="auto"/>
              </w:rPr>
              <w:t xml:space="preserve">Retention Plan Award </w:t>
            </w:r>
            <w:r>
              <w:rPr>
                <w:rFonts w:ascii="Arial" w:cs="Arial" w:eastAsia="Arial" w:hAnsi="Arial"/>
                <w:sz w:val="22"/>
                <w:szCs w:val="22"/>
                <w:i w:val="1"/>
                <w:iCs w:val="1"/>
                <w:color w:val="auto"/>
                <w:vertAlign w:val="superscript"/>
              </w:rPr>
              <w:t>(7)</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95"/>
              <w:spacing w:after="0"/>
              <w:rPr>
                <w:sz w:val="20"/>
                <w:szCs w:val="20"/>
                <w:color w:val="auto"/>
              </w:rPr>
            </w:pPr>
            <w:r>
              <w:rPr>
                <w:rFonts w:ascii="Arial" w:cs="Arial" w:eastAsia="Arial" w:hAnsi="Arial"/>
                <w:sz w:val="18"/>
                <w:szCs w:val="18"/>
                <w:color w:val="auto"/>
              </w:rPr>
              <w:t>3,416,667</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4"/>
              <w:spacing w:after="0"/>
              <w:rPr>
                <w:sz w:val="20"/>
                <w:szCs w:val="20"/>
                <w:color w:val="auto"/>
              </w:rPr>
            </w:pPr>
            <w:r>
              <w:rPr>
                <w:rFonts w:ascii="Arial" w:cs="Arial" w:eastAsia="Arial" w:hAnsi="Arial"/>
                <w:sz w:val="18"/>
                <w:szCs w:val="18"/>
                <w:color w:val="auto"/>
              </w:rPr>
              <w:t>3,416,667</w:t>
            </w:r>
          </w:p>
        </w:tc>
        <w:tc>
          <w:tcPr>
            <w:tcW w:w="10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1,500,000</w:t>
            </w:r>
          </w:p>
        </w:tc>
        <w:tc>
          <w:tcPr>
            <w:tcW w:w="1080" w:type="dxa"/>
            <w:vAlign w:val="bottom"/>
          </w:tcPr>
          <w:p>
            <w:pPr>
              <w:spacing w:after="0"/>
              <w:rPr>
                <w:sz w:val="17"/>
                <w:szCs w:val="17"/>
                <w:color w:val="auto"/>
              </w:rPr>
            </w:pP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400" w:type="dxa"/>
            <w:vAlign w:val="bottom"/>
          </w:tcPr>
          <w:p>
            <w:pPr>
              <w:spacing w:after="0"/>
              <w:rPr>
                <w:sz w:val="17"/>
                <w:szCs w:val="17"/>
                <w:color w:val="auto"/>
              </w:rPr>
            </w:pPr>
          </w:p>
        </w:tc>
        <w:tc>
          <w:tcPr>
            <w:tcW w:w="156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600" w:type="dxa"/>
            <w:vAlign w:val="bottom"/>
          </w:tcPr>
          <w:p>
            <w:pPr>
              <w:jc w:val="right"/>
              <w:ind w:right="614"/>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Benefits</w:t>
            </w:r>
          </w:p>
        </w:tc>
        <w:tc>
          <w:tcPr>
            <w:tcW w:w="1400" w:type="dxa"/>
            <w:vAlign w:val="bottom"/>
          </w:tcPr>
          <w:p>
            <w:pPr>
              <w:spacing w:after="0"/>
              <w:rPr>
                <w:sz w:val="18"/>
                <w:szCs w:val="18"/>
                <w:color w:val="auto"/>
              </w:rPr>
            </w:pPr>
          </w:p>
        </w:tc>
        <w:tc>
          <w:tcPr>
            <w:tcW w:w="1560" w:type="dxa"/>
            <w:vAlign w:val="bottom"/>
          </w:tcPr>
          <w:p>
            <w:pPr>
              <w:jc w:val="right"/>
              <w:ind w:right="595"/>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60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jc w:val="both"/>
        <w:ind w:left="340" w:hanging="332"/>
        <w:spacing w:after="0" w:line="193" w:lineRule="auto"/>
        <w:tabs>
          <w:tab w:leader="none" w:pos="340" w:val="left"/>
        </w:tabs>
        <w:numPr>
          <w:ilvl w:val="0"/>
          <w:numId w:val="4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175,000 would vest in full immediately. Using the closing price on December 31, 2014, the value of such stock options upon exercise would have been $7,141,750. Upon termination without cause, 175,000 stock options would vest on a prorated basis based on the number of months since the grant date, so long as the employee’s employment agreement with the Company has not terminated or expired. Using the closing price on December 31, 2014, the value of such 135,539 stock options upon exercise would have been $5,531,347.</w:t>
      </w:r>
    </w:p>
    <w:p>
      <w:pPr>
        <w:spacing w:after="0" w:line="2" w:lineRule="exact"/>
        <w:rPr>
          <w:rFonts w:ascii="Arial" w:cs="Arial" w:eastAsia="Arial" w:hAnsi="Arial"/>
          <w:sz w:val="22"/>
          <w:szCs w:val="22"/>
          <w:i w:val="1"/>
          <w:iCs w:val="1"/>
          <w:color w:val="auto"/>
          <w:vertAlign w:val="superscript"/>
        </w:rPr>
      </w:pPr>
    </w:p>
    <w:p>
      <w:pPr>
        <w:jc w:val="both"/>
        <w:ind w:left="340" w:hanging="332"/>
        <w:spacing w:after="0" w:line="186" w:lineRule="auto"/>
        <w:tabs>
          <w:tab w:leader="none" w:pos="340" w:val="left"/>
        </w:tabs>
        <w:numPr>
          <w:ilvl w:val="0"/>
          <w:numId w:val="4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or complete disability, unvested stock options of 150,000 would vest in full immediately. Using the closing price on December 31, 2014, the value of such stock options upon exercise would have been $15,246,000. As of December 31, 2014, vested stock options of 40,000 were available for exercise. Using the closing price on December 31, 2014, the value of such vested shares would have been $4,065,600.</w:t>
      </w:r>
    </w:p>
    <w:p>
      <w:pPr>
        <w:ind w:left="340" w:hanging="332"/>
        <w:spacing w:after="0" w:line="182" w:lineRule="auto"/>
        <w:tabs>
          <w:tab w:leader="none" w:pos="340" w:val="left"/>
        </w:tabs>
        <w:numPr>
          <w:ilvl w:val="0"/>
          <w:numId w:val="49"/>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complete disability or change in control, 100,000 shares of restricted stock would vest in full immediately. Using the closing price on December 31, 2014, the value of such 100,000 shares would have been $14,876,000, plus accrued dividends of $4,175,000.</w:t>
      </w:r>
    </w:p>
    <w:p>
      <w:pPr>
        <w:ind w:left="340" w:hanging="332"/>
        <w:spacing w:after="0" w:line="182" w:lineRule="auto"/>
        <w:tabs>
          <w:tab w:leader="none" w:pos="340" w:val="left"/>
        </w:tabs>
        <w:numPr>
          <w:ilvl w:val="0"/>
          <w:numId w:val="49"/>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termination without cause, 100,000 shares of restricted stock would vest on a prorated basis based on the number of months since the grant date. Using the closing price on December 31, 2014, the value of such 77,451 shares would have been $11,521,611, plus accrued dividends of $3,233,579.</w:t>
      </w:r>
    </w:p>
    <w:p>
      <w:pPr>
        <w:ind w:left="340" w:right="20" w:hanging="332"/>
        <w:spacing w:after="0" w:line="182" w:lineRule="auto"/>
        <w:tabs>
          <w:tab w:leader="none" w:pos="340" w:val="left"/>
        </w:tabs>
        <w:numPr>
          <w:ilvl w:val="0"/>
          <w:numId w:val="49"/>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termination without cause or a change in control, the Macau Executive Residence could be purchased by Ms. Chen for $1.00. The amount reflected in the table represents the estimated fair market value of the residence at December 31, 2014.</w:t>
      </w:r>
    </w:p>
    <w:p>
      <w:pPr>
        <w:ind w:left="340" w:hanging="332"/>
        <w:spacing w:after="0" w:line="180" w:lineRule="auto"/>
        <w:tabs>
          <w:tab w:leader="none" w:pos="340" w:val="left"/>
        </w:tabs>
        <w:numPr>
          <w:ilvl w:val="0"/>
          <w:numId w:val="4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termination without cause, the retention award will vest on a prorated basis equal to the number of full calendar months elapsed between the grant date and the date of such termination of employment divided by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Kim Sinatra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74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614A3D"/>
              </w:rPr>
              <w:t>Termination</w:t>
            </w:r>
          </w:p>
        </w:tc>
        <w:tc>
          <w:tcPr>
            <w:tcW w:w="22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b w:val="1"/>
                <w:bCs w:val="1"/>
                <w:color w:val="614A3D"/>
              </w:rPr>
              <w:t>Termination Upon</w:t>
            </w:r>
          </w:p>
        </w:tc>
        <w:tc>
          <w:tcPr>
            <w:tcW w:w="2740" w:type="dxa"/>
            <w:vAlign w:val="bottom"/>
            <w:gridSpan w:val="2"/>
          </w:tcPr>
          <w:p>
            <w:pPr>
              <w:jc w:val="right"/>
              <w:ind w:right="452"/>
              <w:spacing w:after="0" w:line="202" w:lineRule="exact"/>
              <w:rPr>
                <w:sz w:val="20"/>
                <w:szCs w:val="20"/>
                <w:color w:val="auto"/>
              </w:rPr>
            </w:pPr>
            <w:r>
              <w:rPr>
                <w:rFonts w:ascii="Arial" w:cs="Arial" w:eastAsia="Arial" w:hAnsi="Arial"/>
                <w:sz w:val="18"/>
                <w:szCs w:val="18"/>
                <w:b w:val="1"/>
                <w:bCs w:val="1"/>
                <w:color w:val="614A3D"/>
              </w:rPr>
              <w:t>Without Cause at</w:t>
            </w:r>
          </w:p>
        </w:tc>
        <w:tc>
          <w:tcPr>
            <w:tcW w:w="22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b w:val="1"/>
                <w:bCs w:val="1"/>
                <w:color w:val="614A3D"/>
              </w:rPr>
              <w:t>Death or Complete</w:t>
            </w:r>
          </w:p>
        </w:tc>
        <w:tc>
          <w:tcPr>
            <w:tcW w:w="27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614A3D"/>
                <w:w w:val="97"/>
              </w:rPr>
              <w:t>Employer’s Election</w:t>
            </w:r>
          </w:p>
        </w:tc>
        <w:tc>
          <w:tcPr>
            <w:tcW w:w="22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3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614A3D"/>
              </w:rPr>
              <w:t>Disability</w:t>
            </w:r>
          </w:p>
        </w:tc>
        <w:tc>
          <w:tcPr>
            <w:tcW w:w="274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b w:val="1"/>
                <w:bCs w:val="1"/>
                <w:color w:val="614A3D"/>
              </w:rPr>
              <w:t>During the Term</w:t>
            </w:r>
          </w:p>
        </w:tc>
        <w:tc>
          <w:tcPr>
            <w:tcW w:w="2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Change in Control</w:t>
            </w:r>
          </w:p>
        </w:tc>
      </w:tr>
      <w:tr>
        <w:trPr>
          <w:trHeight w:val="200"/>
        </w:trPr>
        <w:tc>
          <w:tcPr>
            <w:tcW w:w="3660" w:type="dxa"/>
            <w:vAlign w:val="bottom"/>
          </w:tcPr>
          <w:p>
            <w:pPr>
              <w:spacing w:after="0" w:line="201" w:lineRule="exact"/>
              <w:rPr>
                <w:sz w:val="20"/>
                <w:szCs w:val="20"/>
                <w:color w:val="auto"/>
              </w:rPr>
            </w:pPr>
            <w:r>
              <w:rPr>
                <w:rFonts w:ascii="Arial" w:cs="Arial" w:eastAsia="Arial" w:hAnsi="Arial"/>
                <w:sz w:val="18"/>
                <w:szCs w:val="18"/>
                <w:color w:val="auto"/>
              </w:rPr>
              <w:t>Base Salary</w:t>
            </w:r>
          </w:p>
        </w:tc>
        <w:tc>
          <w:tcPr>
            <w:tcW w:w="2740" w:type="dxa"/>
            <w:vAlign w:val="bottom"/>
            <w:gridSpan w:val="2"/>
          </w:tcPr>
          <w:p>
            <w:pPr>
              <w:jc w:val="right"/>
              <w:ind w:right="432"/>
              <w:spacing w:after="0" w:line="201" w:lineRule="exact"/>
              <w:rPr>
                <w:sz w:val="20"/>
                <w:szCs w:val="20"/>
                <w:color w:val="auto"/>
              </w:rPr>
            </w:pPr>
            <w:r>
              <w:rPr>
                <w:rFonts w:ascii="Arial" w:cs="Arial" w:eastAsia="Arial" w:hAnsi="Arial"/>
                <w:sz w:val="18"/>
                <w:szCs w:val="18"/>
                <w:color w:val="auto"/>
              </w:rPr>
              <w:t>Amount earned and</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color w:val="auto"/>
              </w:rPr>
              <w:t>unpaid through the</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2740" w:type="dxa"/>
            <w:vAlign w:val="bottom"/>
            <w:gridSpan w:val="2"/>
          </w:tcPr>
          <w:p>
            <w:pPr>
              <w:jc w:val="right"/>
              <w:ind w:right="432"/>
              <w:spacing w:after="0" w:line="202" w:lineRule="exact"/>
              <w:rPr>
                <w:sz w:val="20"/>
                <w:szCs w:val="20"/>
                <w:color w:val="auto"/>
              </w:rPr>
            </w:pPr>
            <w:r>
              <w:rPr>
                <w:rFonts w:ascii="Arial" w:cs="Arial" w:eastAsia="Arial" w:hAnsi="Arial"/>
                <w:sz w:val="18"/>
                <w:szCs w:val="18"/>
                <w:color w:val="auto"/>
              </w:rPr>
              <w:t>date of termination.</w:t>
            </w:r>
          </w:p>
        </w:tc>
        <w:tc>
          <w:tcPr>
            <w:tcW w:w="1420" w:type="dxa"/>
            <w:vAlign w:val="bottom"/>
          </w:tcPr>
          <w:p>
            <w:pPr>
              <w:jc w:val="center"/>
              <w:ind w:left="1192"/>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4"/>
              </w:rPr>
              <w:t>1,841,667</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1,841,667</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(1)</w:t>
            </w:r>
          </w:p>
        </w:tc>
        <w:tc>
          <w:tcPr>
            <w:tcW w:w="1340" w:type="dxa"/>
            <w:vAlign w:val="bottom"/>
          </w:tcPr>
          <w:p>
            <w:pPr>
              <w:spacing w:after="0"/>
              <w:rPr>
                <w:sz w:val="17"/>
                <w:szCs w:val="17"/>
                <w:color w:val="auto"/>
              </w:rPr>
            </w:pP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center"/>
              <w:ind w:left="1192"/>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4"/>
              </w:rPr>
              <w:t>1,700,000</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1,700,000</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i w:val="1"/>
                <w:iCs w:val="1"/>
                <w:color w:val="auto"/>
              </w:rPr>
              <w:t>(2)(3)(4)(5)</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w w:val="95"/>
              </w:rPr>
              <w:t>20,528,500</w:t>
            </w:r>
          </w:p>
        </w:tc>
        <w:tc>
          <w:tcPr>
            <w:tcW w:w="1420" w:type="dxa"/>
            <w:vAlign w:val="bottom"/>
          </w:tcPr>
          <w:p>
            <w:pPr>
              <w:jc w:val="center"/>
              <w:ind w:left="1192"/>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w w:val="94"/>
              </w:rPr>
              <w:t>6,059,416</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7,823,500</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850,000</w:t>
            </w:r>
          </w:p>
        </w:tc>
        <w:tc>
          <w:tcPr>
            <w:tcW w:w="1420" w:type="dxa"/>
            <w:vAlign w:val="bottom"/>
          </w:tcPr>
          <w:p>
            <w:pPr>
              <w:spacing w:after="0"/>
              <w:rPr>
                <w:sz w:val="17"/>
                <w:szCs w:val="17"/>
                <w:color w:val="auto"/>
              </w:rPr>
            </w:pP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340" w:type="dxa"/>
            <w:vAlign w:val="bottom"/>
          </w:tcPr>
          <w:p>
            <w:pPr>
              <w:spacing w:after="0"/>
              <w:rPr>
                <w:sz w:val="17"/>
                <w:szCs w:val="17"/>
                <w:color w:val="auto"/>
              </w:rPr>
            </w:pPr>
          </w:p>
        </w:tc>
        <w:tc>
          <w:tcPr>
            <w:tcW w:w="14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spacing w:after="0"/>
              <w:rPr>
                <w:sz w:val="17"/>
                <w:szCs w:val="17"/>
                <w:color w:val="auto"/>
              </w:rPr>
            </w:pPr>
          </w:p>
        </w:tc>
        <w:tc>
          <w:tcPr>
            <w:tcW w:w="13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i w:val="1"/>
                <w:iCs w:val="1"/>
                <w:color w:val="auto"/>
              </w:rPr>
              <w:t>(6)</w:t>
            </w:r>
          </w:p>
        </w:tc>
        <w:tc>
          <w:tcPr>
            <w:tcW w:w="1340" w:type="dxa"/>
            <w:vAlign w:val="bottom"/>
          </w:tcPr>
          <w:p>
            <w:pPr>
              <w:spacing w:after="0"/>
              <w:rPr>
                <w:sz w:val="18"/>
                <w:szCs w:val="18"/>
                <w:color w:val="auto"/>
              </w:rPr>
            </w:pPr>
          </w:p>
        </w:tc>
        <w:tc>
          <w:tcPr>
            <w:tcW w:w="14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420" w:type="dxa"/>
            <w:vAlign w:val="bottom"/>
          </w:tcPr>
          <w:p>
            <w:pPr>
              <w:jc w:val="center"/>
              <w:ind w:left="1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52"/>
              <w:spacing w:after="0"/>
              <w:rPr>
                <w:sz w:val="20"/>
                <w:szCs w:val="20"/>
                <w:color w:val="auto"/>
              </w:rPr>
            </w:pPr>
            <w:r>
              <w:rPr>
                <w:rFonts w:ascii="Arial" w:cs="Arial" w:eastAsia="Arial" w:hAnsi="Arial"/>
                <w:sz w:val="18"/>
                <w:szCs w:val="18"/>
                <w:color w:val="auto"/>
              </w:rPr>
              <w:t>108,226</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108,226</w:t>
            </w:r>
          </w:p>
        </w:tc>
      </w:tr>
    </w:tbl>
    <w:p>
      <w:pPr>
        <w:spacing w:after="0" w:line="3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jc w:val="both"/>
        <w:ind w:left="340" w:hanging="332"/>
        <w:spacing w:after="0" w:line="193" w:lineRule="auto"/>
        <w:tabs>
          <w:tab w:leader="none" w:pos="340" w:val="left"/>
        </w:tabs>
        <w:numPr>
          <w:ilvl w:val="0"/>
          <w:numId w:val="5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75,000 would vest in full immediately. Using the closing price on December 31, 2014, the value of such stock options upon exercise would have been $3,060,750. Upon termination without cause, 75,000 stock options would vest on a prorated basis based on the number of months since the grant date, so long as the employee’s employment agreement with the Company has not terminated or expired. Using the closing price on December 31, 2014, the value of such 58,088 stock options upon exercise would have been $2,370,571.</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50"/>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or complete disability, unvested stock options of 125,000 would vest in full immediately. Using the closing price on December 31, 2014, the value of such stock options upon exercise would have been $12,705,000.</w:t>
      </w:r>
    </w:p>
    <w:p>
      <w:pPr>
        <w:jc w:val="both"/>
        <w:ind w:left="340" w:right="20" w:hanging="332"/>
        <w:spacing w:after="0" w:line="186" w:lineRule="auto"/>
        <w:tabs>
          <w:tab w:leader="none" w:pos="340" w:val="left"/>
        </w:tabs>
        <w:numPr>
          <w:ilvl w:val="0"/>
          <w:numId w:val="5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25,000 shares of restricted stock would vest in full, so long as the employee’s employment agreement with the Company has not terminated or expired. Using the closing price on December 31, 2014, the value of such restricted stock grants upon vesting would have been $3,719,000, plus accrued dividends of $1,043,750.</w:t>
      </w:r>
    </w:p>
    <w:p>
      <w:pPr>
        <w:jc w:val="both"/>
        <w:ind w:left="340" w:hanging="332"/>
        <w:spacing w:after="0" w:line="186" w:lineRule="auto"/>
        <w:tabs>
          <w:tab w:leader="none" w:pos="340" w:val="left"/>
        </w:tabs>
        <w:numPr>
          <w:ilvl w:val="0"/>
          <w:numId w:val="5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2014, the value of such 19,363 shares would have been $2,880,440 plus accrued dividends of $808,405.</w:t>
      </w:r>
    </w:p>
    <w:p>
      <w:pPr>
        <w:ind w:left="340" w:right="20" w:hanging="332"/>
        <w:spacing w:after="0" w:line="180" w:lineRule="auto"/>
        <w:tabs>
          <w:tab w:leader="none" w:pos="340" w:val="left"/>
        </w:tabs>
        <w:numPr>
          <w:ilvl w:val="0"/>
          <w:numId w:val="5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-1448435</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John Strzemp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4"/>
                <w:szCs w:val="14"/>
                <w:b w:val="1"/>
                <w:bCs w:val="1"/>
                <w:color w:val="614A3D"/>
                <w:w w:val="97"/>
              </w:rPr>
              <w:t>Termination</w:t>
            </w:r>
          </w:p>
        </w:tc>
        <w:tc>
          <w:tcPr>
            <w:tcW w:w="2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614A3D"/>
              </w:rPr>
              <w:t>Termination by</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180" w:type="dxa"/>
            <w:vAlign w:val="bottom"/>
          </w:tcPr>
          <w:p>
            <w:pPr>
              <w:jc w:val="right"/>
              <w:ind w:right="578"/>
              <w:spacing w:after="0" w:line="149" w:lineRule="exact"/>
              <w:rPr>
                <w:sz w:val="20"/>
                <w:szCs w:val="20"/>
                <w:color w:val="auto"/>
              </w:rPr>
            </w:pPr>
            <w:r>
              <w:rPr>
                <w:rFonts w:ascii="Arial" w:cs="Arial" w:eastAsia="Arial" w:hAnsi="Arial"/>
                <w:sz w:val="14"/>
                <w:szCs w:val="14"/>
                <w:b w:val="1"/>
                <w:bCs w:val="1"/>
                <w:color w:val="614A3D"/>
              </w:rPr>
              <w:t>Termination Upon</w:t>
            </w:r>
          </w:p>
        </w:tc>
        <w:tc>
          <w:tcPr>
            <w:tcW w:w="264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Without Cause at</w:t>
            </w:r>
          </w:p>
        </w:tc>
        <w:tc>
          <w:tcPr>
            <w:tcW w:w="20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614A3D"/>
              </w:rPr>
              <w:t>Employee for Good</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180" w:type="dxa"/>
            <w:vAlign w:val="bottom"/>
          </w:tcPr>
          <w:p>
            <w:pPr>
              <w:jc w:val="right"/>
              <w:ind w:right="578"/>
              <w:spacing w:after="0" w:line="149" w:lineRule="exact"/>
              <w:rPr>
                <w:sz w:val="20"/>
                <w:szCs w:val="20"/>
                <w:color w:val="auto"/>
              </w:rPr>
            </w:pPr>
            <w:r>
              <w:rPr>
                <w:rFonts w:ascii="Arial" w:cs="Arial" w:eastAsia="Arial" w:hAnsi="Arial"/>
                <w:sz w:val="14"/>
                <w:szCs w:val="14"/>
                <w:b w:val="1"/>
                <w:bCs w:val="1"/>
                <w:color w:val="614A3D"/>
              </w:rPr>
              <w:t>Death or Complete</w:t>
            </w:r>
          </w:p>
        </w:tc>
        <w:tc>
          <w:tcPr>
            <w:tcW w:w="2640" w:type="dxa"/>
            <w:vAlign w:val="bottom"/>
            <w:gridSpan w:val="2"/>
          </w:tcPr>
          <w:p>
            <w:pPr>
              <w:jc w:val="right"/>
              <w:ind w:right="595"/>
              <w:spacing w:after="0" w:line="149" w:lineRule="exact"/>
              <w:rPr>
                <w:sz w:val="20"/>
                <w:szCs w:val="20"/>
                <w:color w:val="auto"/>
              </w:rPr>
            </w:pPr>
            <w:r>
              <w:rPr>
                <w:rFonts w:ascii="Arial" w:cs="Arial" w:eastAsia="Arial" w:hAnsi="Arial"/>
                <w:sz w:val="14"/>
                <w:szCs w:val="14"/>
                <w:b w:val="1"/>
                <w:bCs w:val="1"/>
                <w:color w:val="614A3D"/>
              </w:rPr>
              <w:t>Employer’s Election</w:t>
            </w:r>
          </w:p>
        </w:tc>
        <w:tc>
          <w:tcPr>
            <w:tcW w:w="20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614A3D"/>
              </w:rPr>
              <w:t>Reason After</w:t>
            </w:r>
          </w:p>
        </w:tc>
        <w:tc>
          <w:tcPr>
            <w:tcW w:w="0" w:type="dxa"/>
            <w:vAlign w:val="bottom"/>
          </w:tcPr>
          <w:p>
            <w:pPr>
              <w:spacing w:after="0"/>
              <w:rPr>
                <w:sz w:val="1"/>
                <w:szCs w:val="1"/>
                <w:color w:val="auto"/>
              </w:rPr>
            </w:pPr>
          </w:p>
        </w:tc>
      </w:tr>
      <w:tr>
        <w:trPr>
          <w:trHeight w:val="178"/>
        </w:trPr>
        <w:tc>
          <w:tcPr>
            <w:tcW w:w="35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614A3D"/>
              </w:rPr>
              <w:t>Disability</w:t>
            </w:r>
          </w:p>
        </w:tc>
        <w:tc>
          <w:tcPr>
            <w:tcW w:w="264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614A3D"/>
              </w:rPr>
              <w:t>During the Term</w:t>
            </w:r>
          </w:p>
        </w:tc>
        <w:tc>
          <w:tcPr>
            <w:tcW w:w="2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614A3D"/>
              </w:rPr>
              <w:t>Change in Control</w:t>
            </w:r>
          </w:p>
        </w:tc>
        <w:tc>
          <w:tcPr>
            <w:tcW w:w="0" w:type="dxa"/>
            <w:vAlign w:val="bottom"/>
          </w:tcPr>
          <w:p>
            <w:pPr>
              <w:spacing w:after="0"/>
              <w:rPr>
                <w:sz w:val="1"/>
                <w:szCs w:val="1"/>
                <w:color w:val="auto"/>
              </w:rPr>
            </w:pPr>
          </w:p>
        </w:tc>
      </w:tr>
      <w:tr>
        <w:trPr>
          <w:trHeight w:val="200"/>
        </w:trPr>
        <w:tc>
          <w:tcPr>
            <w:tcW w:w="356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3180" w:type="dxa"/>
            <w:vAlign w:val="bottom"/>
          </w:tcPr>
          <w:p>
            <w:pPr>
              <w:jc w:val="right"/>
              <w:ind w:right="578"/>
              <w:spacing w:after="0" w:line="200" w:lineRule="exact"/>
              <w:rPr>
                <w:sz w:val="20"/>
                <w:szCs w:val="20"/>
                <w:color w:val="auto"/>
              </w:rPr>
            </w:pPr>
            <w:r>
              <w:rPr>
                <w:rFonts w:ascii="Arial" w:cs="Arial" w:eastAsia="Arial" w:hAnsi="Arial"/>
                <w:sz w:val="18"/>
                <w:szCs w:val="18"/>
                <w:color w:val="auto"/>
              </w:rPr>
              <w:t>Amount earned and</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3180" w:type="dxa"/>
            <w:vAlign w:val="bottom"/>
          </w:tcPr>
          <w:p>
            <w:pPr>
              <w:jc w:val="right"/>
              <w:ind w:right="578"/>
              <w:spacing w:after="0" w:line="202" w:lineRule="exact"/>
              <w:rPr>
                <w:sz w:val="20"/>
                <w:szCs w:val="20"/>
                <w:color w:val="auto"/>
              </w:rPr>
            </w:pPr>
            <w:r>
              <w:rPr>
                <w:rFonts w:ascii="Arial" w:cs="Arial" w:eastAsia="Arial" w:hAnsi="Arial"/>
                <w:sz w:val="18"/>
                <w:szCs w:val="18"/>
                <w:color w:val="auto"/>
              </w:rPr>
              <w:t>unpaid through the</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vMerge w:val="restart"/>
          </w:tcPr>
          <w:p>
            <w:pPr>
              <w:spacing w:after="0"/>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3180" w:type="dxa"/>
            <w:vAlign w:val="bottom"/>
          </w:tcPr>
          <w:p>
            <w:pPr>
              <w:jc w:val="right"/>
              <w:ind w:right="578"/>
              <w:spacing w:after="0"/>
              <w:rPr>
                <w:sz w:val="20"/>
                <w:szCs w:val="20"/>
                <w:color w:val="auto"/>
              </w:rPr>
            </w:pPr>
            <w:r>
              <w:rPr>
                <w:rFonts w:ascii="Arial" w:cs="Arial" w:eastAsia="Arial" w:hAnsi="Arial"/>
                <w:sz w:val="18"/>
                <w:szCs w:val="18"/>
                <w:color w:val="auto"/>
              </w:rPr>
              <w:t>date of termination.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95"/>
              <w:spacing w:after="0"/>
              <w:rPr>
                <w:sz w:val="20"/>
                <w:szCs w:val="20"/>
                <w:color w:val="auto"/>
              </w:rPr>
            </w:pPr>
            <w:r>
              <w:rPr>
                <w:rFonts w:ascii="Arial" w:cs="Arial" w:eastAsia="Arial" w:hAnsi="Arial"/>
                <w:sz w:val="18"/>
                <w:szCs w:val="18"/>
                <w:color w:val="auto"/>
                <w:w w:val="97"/>
              </w:rPr>
              <w:t>1,687,500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1,687,500</w:t>
            </w:r>
          </w:p>
        </w:tc>
        <w:tc>
          <w:tcPr>
            <w:tcW w:w="0" w:type="dxa"/>
            <w:vAlign w:val="bottom"/>
          </w:tcPr>
          <w:p>
            <w:pPr>
              <w:spacing w:after="0"/>
              <w:rPr>
                <w:sz w:val="1"/>
                <w:szCs w:val="1"/>
                <w:color w:val="auto"/>
              </w:rPr>
            </w:pPr>
          </w:p>
        </w:tc>
      </w:tr>
      <w:tr>
        <w:trPr>
          <w:trHeight w:val="194"/>
        </w:trPr>
        <w:tc>
          <w:tcPr>
            <w:tcW w:w="3560" w:type="dxa"/>
            <w:vAlign w:val="bottom"/>
            <w:vMerge w:val="continue"/>
          </w:tcPr>
          <w:p>
            <w:pPr>
              <w:spacing w:after="0"/>
              <w:rPr>
                <w:sz w:val="16"/>
                <w:szCs w:val="16"/>
                <w:color w:val="auto"/>
              </w:rPr>
            </w:pPr>
          </w:p>
        </w:tc>
        <w:tc>
          <w:tcPr>
            <w:tcW w:w="3180" w:type="dxa"/>
            <w:vAlign w:val="bottom"/>
          </w:tcPr>
          <w:p>
            <w:pPr>
              <w:jc w:val="right"/>
              <w:ind w:right="578"/>
              <w:spacing w:after="0" w:line="194"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595"/>
              <w:spacing w:after="0" w:line="194" w:lineRule="exact"/>
              <w:rPr>
                <w:sz w:val="20"/>
                <w:szCs w:val="20"/>
                <w:color w:val="auto"/>
              </w:rPr>
            </w:pPr>
            <w:r>
              <w:rPr>
                <w:rFonts w:ascii="Arial" w:cs="Arial" w:eastAsia="Arial" w:hAnsi="Arial"/>
                <w:sz w:val="18"/>
                <w:szCs w:val="18"/>
                <w:color w:val="auto"/>
                <w:w w:val="97"/>
              </w:rPr>
              <w:t>3,375,000</w:t>
            </w:r>
          </w:p>
        </w:tc>
        <w:tc>
          <w:tcPr>
            <w:tcW w:w="1140" w:type="dxa"/>
            <w:vAlign w:val="bottom"/>
          </w:tcPr>
          <w:p>
            <w:pPr>
              <w:jc w:val="right"/>
              <w:spacing w:after="0" w:line="194"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4" w:lineRule="exact"/>
              <w:rPr>
                <w:sz w:val="20"/>
                <w:szCs w:val="20"/>
                <w:color w:val="auto"/>
              </w:rPr>
            </w:pPr>
            <w:r>
              <w:rPr>
                <w:rFonts w:ascii="Arial" w:cs="Arial" w:eastAsia="Arial" w:hAnsi="Arial"/>
                <w:sz w:val="18"/>
                <w:szCs w:val="18"/>
                <w:color w:val="auto"/>
                <w:w w:val="97"/>
              </w:rPr>
              <w:t>3,375,000</w:t>
            </w:r>
          </w:p>
        </w:tc>
        <w:tc>
          <w:tcPr>
            <w:tcW w:w="0" w:type="dxa"/>
            <w:vAlign w:val="bottom"/>
          </w:tcPr>
          <w:p>
            <w:pPr>
              <w:spacing w:after="0"/>
              <w:rPr>
                <w:sz w:val="1"/>
                <w:szCs w:val="1"/>
                <w:color w:val="auto"/>
              </w:rPr>
            </w:pPr>
          </w:p>
        </w:tc>
      </w:tr>
      <w:tr>
        <w:trPr>
          <w:trHeight w:val="212"/>
        </w:trPr>
        <w:tc>
          <w:tcPr>
            <w:tcW w:w="356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w:t>
            </w:r>
          </w:p>
        </w:tc>
        <w:tc>
          <w:tcPr>
            <w:tcW w:w="318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1480" w:type="dxa"/>
            <w:vAlign w:val="bottom"/>
          </w:tcPr>
          <w:p>
            <w:pPr>
              <w:jc w:val="right"/>
              <w:ind w:right="595"/>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3180" w:type="dxa"/>
            <w:vAlign w:val="bottom"/>
          </w:tcPr>
          <w:p>
            <w:pPr>
              <w:jc w:val="right"/>
              <w:ind w:right="578"/>
              <w:spacing w:after="0" w:line="202" w:lineRule="exact"/>
              <w:rPr>
                <w:sz w:val="20"/>
                <w:szCs w:val="20"/>
                <w:color w:val="auto"/>
              </w:rPr>
            </w:pPr>
            <w:r>
              <w:rPr>
                <w:rFonts w:ascii="Arial" w:cs="Arial" w:eastAsia="Arial" w:hAnsi="Arial"/>
                <w:sz w:val="18"/>
                <w:szCs w:val="18"/>
                <w:color w:val="auto"/>
              </w:rPr>
              <w:t>$   750,000</w:t>
            </w:r>
          </w:p>
        </w:tc>
        <w:tc>
          <w:tcPr>
            <w:tcW w:w="1160" w:type="dxa"/>
            <w:vAlign w:val="bottom"/>
          </w:tcPr>
          <w:p>
            <w:pPr>
              <w:spacing w:after="0"/>
              <w:rPr>
                <w:sz w:val="17"/>
                <w:szCs w:val="17"/>
                <w:color w:val="auto"/>
              </w:rPr>
            </w:pPr>
          </w:p>
        </w:tc>
        <w:tc>
          <w:tcPr>
            <w:tcW w:w="1480" w:type="dxa"/>
            <w:vAlign w:val="bottom"/>
          </w:tcPr>
          <w:p>
            <w:pPr>
              <w:jc w:val="right"/>
              <w:ind w:right="595"/>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3560" w:type="dxa"/>
            <w:vAlign w:val="bottom"/>
          </w:tcPr>
          <w:p>
            <w:pPr>
              <w:spacing w:after="0" w:line="194" w:lineRule="exact"/>
              <w:rPr>
                <w:sz w:val="20"/>
                <w:szCs w:val="20"/>
                <w:color w:val="auto"/>
              </w:rPr>
            </w:pPr>
            <w:r>
              <w:rPr>
                <w:rFonts w:ascii="Arial" w:cs="Arial" w:eastAsia="Arial" w:hAnsi="Arial"/>
                <w:sz w:val="18"/>
                <w:szCs w:val="18"/>
                <w:color w:val="auto"/>
              </w:rPr>
              <w:t>Tax Gross Up</w:t>
            </w:r>
          </w:p>
        </w:tc>
        <w:tc>
          <w:tcPr>
            <w:tcW w:w="3180" w:type="dxa"/>
            <w:vAlign w:val="bottom"/>
          </w:tcPr>
          <w:p>
            <w:pPr>
              <w:jc w:val="right"/>
              <w:ind w:right="578"/>
              <w:spacing w:after="0" w:line="194"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6"/>
                <w:szCs w:val="16"/>
                <w:color w:val="auto"/>
              </w:rPr>
            </w:pPr>
          </w:p>
        </w:tc>
        <w:tc>
          <w:tcPr>
            <w:tcW w:w="1480" w:type="dxa"/>
            <w:vAlign w:val="bottom"/>
          </w:tcPr>
          <w:p>
            <w:pPr>
              <w:jc w:val="right"/>
              <w:ind w:right="595"/>
              <w:spacing w:after="0" w:line="194"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6"/>
                <w:szCs w:val="16"/>
                <w:color w:val="auto"/>
              </w:rPr>
            </w:pPr>
          </w:p>
        </w:tc>
        <w:tc>
          <w:tcPr>
            <w:tcW w:w="900" w:type="dxa"/>
            <w:vAlign w:val="bottom"/>
          </w:tcPr>
          <w:p>
            <w:pPr>
              <w:jc w:val="right"/>
              <w:ind w:right="12"/>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9"/>
        </w:trPr>
        <w:tc>
          <w:tcPr>
            <w:tcW w:w="356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i w:val="1"/>
                <w:iCs w:val="1"/>
                <w:color w:val="auto"/>
                <w:vertAlign w:val="superscript"/>
              </w:rPr>
              <w:t>(3)</w:t>
            </w:r>
          </w:p>
        </w:tc>
        <w:tc>
          <w:tcPr>
            <w:tcW w:w="318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95"/>
              <w:spacing w:after="0"/>
              <w:rPr>
                <w:sz w:val="20"/>
                <w:szCs w:val="20"/>
                <w:color w:val="auto"/>
              </w:rPr>
            </w:pPr>
            <w:r>
              <w:rPr>
                <w:rFonts w:ascii="Arial" w:cs="Arial" w:eastAsia="Arial" w:hAnsi="Arial"/>
                <w:sz w:val="18"/>
                <w:szCs w:val="18"/>
                <w:color w:val="auto"/>
              </w:rPr>
              <w:t>112,773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112,773</w:t>
            </w:r>
          </w:p>
        </w:tc>
        <w:tc>
          <w:tcPr>
            <w:tcW w:w="0" w:type="dxa"/>
            <w:vAlign w:val="bottom"/>
          </w:tcPr>
          <w:p>
            <w:pPr>
              <w:spacing w:after="0"/>
              <w:rPr>
                <w:sz w:val="1"/>
                <w:szCs w:val="1"/>
                <w:color w:val="auto"/>
              </w:rPr>
            </w:pPr>
          </w:p>
        </w:tc>
      </w:tr>
    </w:tbl>
    <w:p>
      <w:pPr>
        <w:ind w:left="340" w:hanging="332"/>
        <w:spacing w:after="0" w:line="195" w:lineRule="auto"/>
        <w:tabs>
          <w:tab w:leader="none" w:pos="340" w:val="left"/>
        </w:tabs>
        <w:numPr>
          <w:ilvl w:val="0"/>
          <w:numId w:val="5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2014 annual incentive awards paid in January 2015.</w:t>
      </w:r>
    </w:p>
    <w:p>
      <w:pPr>
        <w:ind w:left="340" w:hanging="332"/>
        <w:spacing w:after="0" w:line="182" w:lineRule="auto"/>
        <w:tabs>
          <w:tab w:leader="none" w:pos="340" w:val="left"/>
        </w:tabs>
        <w:numPr>
          <w:ilvl w:val="0"/>
          <w:numId w:val="5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Upon termination for any reason, any of his 22,500 shares of restricted stock that have not vested as of December 31, 2014, would be forfeited.</w:t>
      </w:r>
    </w:p>
    <w:p>
      <w:pPr>
        <w:ind w:left="340" w:right="20" w:hanging="332"/>
        <w:spacing w:after="0" w:line="180" w:lineRule="auto"/>
        <w:tabs>
          <w:tab w:leader="none" w:pos="340" w:val="left"/>
        </w:tabs>
        <w:numPr>
          <w:ilvl w:val="0"/>
          <w:numId w:val="5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-81280</wp:posOffset>
            </wp:positionV>
            <wp:extent cx="137223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Pursuant to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Stockholders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6, 2010, Mr. Wynn, the Chairman of the Board and Chief Executive Officer of the Company, Ms. Elaine 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a director of the Company, and Aruze, each of whom were then greater than 5% stockholders of the Company, entered into an amended and restated stockholders agreement (the “Amended and Restated Stockholders Agreement”) which amended and restated the stockholders agreement between Mr. Wynn and Aruze (which had been entered into as of April 11, 2002, as amended as of November 8, 2006, and was subject to waivers and consents, dated July 31, 2009, and August 13, 2009). Pursuant to the Amended and Restated Stockholders Agreement, Ms. Elaine P. Wynn (a) became a party to the Amended and Restated Stockholders Agreement in connection with her ownership of 11,076,709 shares of the Company’s Common Stock that were transferred to Ms.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Elaine P.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Elaine P. Wynn and, so long as such slate results in a majority of directors at all times being candidates endorsed by Mr. Wynn, nominees approved by Aruze. As a result of the share redemption described below, the shares previously held by Aruze are no longer issued and outstanding and neither Mr. Wynn nor Ms. Wynn has or shares the power to vote or dispose of the Former Aruze Shares, as defined below. Further, by virtue of that redemption, neither Mr. Wynn nor Ms. Wynn remains a member of any “group” with Aruze nor is either of Mr. Wynn or Ms. Wynn otherwise a beneficial owner of the Former Aruze Shares.</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Artwork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June 2006, Wynn Las Vegas, LLC has leased certain pieces of fine art from Mr. Wynn for an annual fee of one dollar ($1).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Las Vegas is responsible for all expenses incurred in exhibiting and safeguarding those works that it exhibits under the lease, including the cost of insurance (including terrorism insurance) and taxes.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The “Wynn” Surname Rights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6, 2004, the Company entered into agreements with Mr. Wynn that confirm and clarify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Villa 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leases a villa at Wynn Las Vegas for use as his personal residence. The lease, including each amendment and/or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restatement thereof was approved by the Audit Committee of the Board. The members of the Audit Committee and Board believe that having Mr. Wynn’s personal residence on the Company’s property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-62230</wp:posOffset>
            </wp:positionV>
            <wp:extent cx="9150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significant value to the Company and our stockholders. Accordingly, prior to November 2013,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and amended as of February 25, 2015 (the “SW Lease”), Mr. Wynn pays Wynn Las Vegas annual rent for the villa at its fair market value of the accommodations based independent third-party expert opinions of value, which is $525,000 per year through February 28, 2015 and $559,295 per year from March 1, 2015 through February 28, 2017. The rental value for the villa will be re-determined every two years during the term of the SW Lease by the Audit Committee. Certain services for, and maintenance of, the villa are included in the annual rent.</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Home Purchase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2010, the Company entered into an employment agreement with Linda Chen, who is an Executive Director and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Officer of Wynn Macau, Limited and President of Wynn International Marketing, Limited. The term of the employment agreement is through February 24, 2020. Under the terms of the employment agreement, the Company purchased a home in Macau for use by Ms. Chen and has made renovations to the home with total costs of $9.4 million through December 31, 2014.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in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her gaming license), the option will terminate.</w:t>
      </w:r>
    </w:p>
    <w:p>
      <w:pPr>
        <w:spacing w:after="0" w:line="3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Aircraft Arrangements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had a time sharing agreement with the Company, covering his personal use of Company-owned aircraft (“Old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Sharing Agreement”). The Old Time Sharing Agreement required the Company to include as taxable compensation of such executive, the direct costs that the Company incurs in operating the aircraft, up to an amount determined by using the Internal Revenue Service Standard Industry Fare Level (SIFL) tables for his personal use of the aircraft. During 2014, $399,941 was included in Mr. Wynn’s taxable compensation pursuant to the Old Time Sharing Agreement. In the event that direct costs in operating the aircraft exceed the amounts determined by using the SIFL method, such additional costs are paid for by the Company. Effective January 1, 2015, the Old Time Sharing Agreement was replaced with a new time sharing agreement pursuant to which Mr. Wynn will reimburse the Company for certain expenses for his personal use of Company aircraft, subject to a $250,000 credit per calendar year as approved by the Compensation Committee.</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Reimbursable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periodically provides services to certain of its executive officers and directors, including the personal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construction work and other personal services. These certain officers and directors have deposits with the Company to prepay any such items. These deposits are replenished on an ongoing basis as needed. At December 31, 2014, Mr. Wynn and Ms. Elaine P. Wynn had net deposit balances with the Company of $284,949 and $178,190, respectively.</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Plane Option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3, 2013, the Company and Mr. Wynn entered into an agreement pursuant to which Mr. Wynn agreed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color w:val="auto"/>
        </w:rPr>
        <w:t>. In addition to the above, the Company (or its subsidiaries) (a) employed Michael Pascal, the brother of Ms. Elaine P. Wynn, as a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Host of Wynn Las Vegas through February 27, 2015; and (b) employs Michael Pascal’s wife, Mary Ann Pascal, as Vice President – Player Development at Wynn Las Vegas. The Audit Committee of the Company approved each such employment arrangement in advance and determined that compensation was at (or below) levels paid to non-family members. Total compensation paid to the above-named individuals for 2014 included the following amounts calculated in the same manner as the Summary Compensation Table values presented for NEOs: (a) to Michael Pascal, base salary and bonus of $142,500, and other compensation of $2,269; and (b) to Mary Ann Pascal, base salary and bonus of $200,000, and other compensation of $774. Michael Pascal’s annual base salary for 2015 was $132,500, and Mary Ann Pascal’s annual base salary for 2015 is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-81280</wp:posOffset>
            </wp:positionV>
            <wp:extent cx="45720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Audit Committee of the Board has selected Ernst &amp; Young LLP, a registered public accounting firm, as our independent public accountants to examine and report to our stockholders on the consolidated financial statements of our Company and its subsidiaries for the year 2015. Representatives of Ernst &amp; Young LLP will be present at the Annual Meeting and will be given an opportunity to make a statement. They also will be available to respond to appropriate questions.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matter of good corporate governance, the Audit Committee has determined to submit its selection of Ernst &amp; Young LLP as the Company’s independent public accountants, although this is not required under Nevada law or under the Company’s Articles or Bylaws. If the stockholders do not ratify the selection of Ernst &amp; Young LLP as the Company’s independent auditors for 2015, the Audit Committee will evaluate what would be in the best interests of the Company and its stockholders and consider whether to select new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Audit and Other Fees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presents the aggregate fees billed to the Company for audit and other services provided by Ernst &amp; Young LLP, the Company’s independent auditor for each of the fiscal years ended December 31, 2014, and December 31, 2013:</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221"/>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614A3D"/>
              </w:rPr>
              <w:t>Category</w:t>
            </w: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614A3D"/>
              </w:rPr>
              <w:t>Aggregate Fees</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614A3D"/>
              </w:rPr>
              <w:t>2014</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614A3D"/>
              </w:rPr>
              <w:t>2013</w:t>
            </w:r>
          </w:p>
        </w:tc>
        <w:tc>
          <w:tcPr>
            <w:tcW w:w="0" w:type="dxa"/>
            <w:vAlign w:val="bottom"/>
          </w:tcPr>
          <w:p>
            <w:pPr>
              <w:spacing w:after="0"/>
              <w:rPr>
                <w:sz w:val="1"/>
                <w:szCs w:val="1"/>
                <w:color w:val="auto"/>
              </w:rPr>
            </w:pPr>
          </w:p>
        </w:tc>
      </w:tr>
      <w:tr>
        <w:trPr>
          <w:trHeight w:val="253"/>
        </w:trPr>
        <w:tc>
          <w:tcPr>
            <w:tcW w:w="6160" w:type="dxa"/>
            <w:vAlign w:val="bottom"/>
          </w:tcPr>
          <w:p>
            <w:pPr>
              <w:spacing w:after="0"/>
              <w:rPr>
                <w:sz w:val="20"/>
                <w:szCs w:val="20"/>
                <w:color w:val="auto"/>
              </w:rPr>
            </w:pPr>
            <w:r>
              <w:rPr>
                <w:rFonts w:ascii="Arial" w:cs="Arial" w:eastAsia="Arial" w:hAnsi="Arial"/>
                <w:sz w:val="18"/>
                <w:szCs w:val="18"/>
                <w:color w:val="auto"/>
              </w:rPr>
              <w:t>Audit fees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w w:val="94"/>
              </w:rPr>
              <w:t>1,779,725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1,732,919</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31,000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274,563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328,980</w:t>
            </w:r>
          </w:p>
        </w:tc>
        <w:tc>
          <w:tcPr>
            <w:tcW w:w="0" w:type="dxa"/>
            <w:vAlign w:val="bottom"/>
          </w:tcPr>
          <w:p>
            <w:pPr>
              <w:spacing w:after="0"/>
              <w:rPr>
                <w:sz w:val="1"/>
                <w:szCs w:val="1"/>
                <w:color w:val="auto"/>
              </w:rPr>
            </w:pPr>
          </w:p>
        </w:tc>
      </w:tr>
      <w:tr>
        <w:trPr>
          <w:trHeight w:val="211"/>
        </w:trPr>
        <w:tc>
          <w:tcPr>
            <w:tcW w:w="6160" w:type="dxa"/>
            <w:vAlign w:val="bottom"/>
          </w:tcPr>
          <w:p>
            <w:pPr>
              <w:spacing w:after="0"/>
              <w:rPr>
                <w:sz w:val="20"/>
                <w:szCs w:val="20"/>
                <w:color w:val="auto"/>
              </w:rPr>
            </w:pPr>
            <w:r>
              <w:rPr>
                <w:rFonts w:ascii="Arial" w:cs="Arial" w:eastAsia="Arial" w:hAnsi="Arial"/>
                <w:sz w:val="18"/>
                <w:szCs w:val="18"/>
                <w:color w:val="auto"/>
              </w:rPr>
              <w:t>All other fees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59,538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2014, and 2013, and the audit of our internal controls over financial reporting as of December 31, 2014, and 2013. “Audit fees” also include amounts billed for services provided in connection with securities offerings, audit related accounting consultations and statutory audits of certain subsidiaries of the Company. “Audit-related fees” include the aggregate fees billed for audits of the Company’s defined contribution employee benefit plan. “Tax fees” include fees for international tax research, planning for the Company’s foreign subsidiaries, domestic tax planning and other research. “All other fees” consisted of due diligence services in 2013. All of our independent auditor’s fees were pre-approved by the Audit Committee in 2014. The Audit Committee pre-approves services either by:</w:t>
      </w:r>
    </w:p>
    <w:p>
      <w:pPr>
        <w:spacing w:after="0" w:line="2" w:lineRule="exact"/>
        <w:rPr>
          <w:sz w:val="20"/>
          <w:szCs w:val="20"/>
          <w:color w:val="auto"/>
        </w:rPr>
      </w:pPr>
    </w:p>
    <w:p>
      <w:pPr>
        <w:ind w:firstLine="8"/>
        <w:spacing w:after="0" w:line="239" w:lineRule="auto"/>
        <w:tabs>
          <w:tab w:leader="none" w:pos="2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231775</wp:posOffset>
            </wp:positionV>
            <wp:extent cx="7276465" cy="4673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6465" cy="467360"/>
                    </a:xfrm>
                    <a:prstGeom prst="rect">
                      <a:avLst/>
                    </a:prstGeom>
                    <a:noFill/>
                  </pic:spPr>
                </pic:pic>
              </a:graphicData>
            </a:graphic>
          </wp:anchor>
        </w:drawing>
      </w:r>
    </w:p>
    <w:p>
      <w:pPr>
        <w:spacing w:after="0" w:line="383" w:lineRule="exact"/>
        <w:rPr>
          <w:sz w:val="20"/>
          <w:szCs w:val="20"/>
          <w:color w:val="auto"/>
        </w:rPr>
      </w:pPr>
    </w:p>
    <w:p>
      <w:pPr>
        <w:jc w:val="center"/>
        <w:ind w:left="320" w:right="1660"/>
        <w:spacing w:after="0" w:line="249" w:lineRule="auto"/>
        <w:rPr>
          <w:sz w:val="20"/>
          <w:szCs w:val="20"/>
          <w:color w:val="auto"/>
        </w:rPr>
      </w:pPr>
      <w:r>
        <w:rPr>
          <w:rFonts w:ascii="Arial" w:cs="Arial" w:eastAsia="Arial" w:hAnsi="Arial"/>
          <w:sz w:val="18"/>
          <w:szCs w:val="18"/>
          <w:b w:val="1"/>
          <w:bCs w:val="1"/>
          <w:color w:val="614A3D"/>
        </w:rPr>
        <w:t>OUR BOARD OF DIRECTORS RECOMMENDS THAT YOU VOTE FOR THE RATIFICATION OF THE APPOINTMENT OF ERNST &amp; YOUNG LLP AS THE COMPANY’S INDEPENDENT PUBLIC ACCOUNTANTS FOR THE YEAR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Report of the Audit Committee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029335" cy="4457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-62230</wp:posOffset>
            </wp:positionV>
            <wp:extent cx="9150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reviewed and discussed with management the Company’s audited financial statements for the year ended December 31, 2014. We have discussed with the independent registered public accounting firm the matters required to be discussed by the rules of the Public Company Accounting Oversight Board (“PCAOB”), including the quality, not just the acceptability, of the accounting principles, the reasonableness of significant judgments and the clarity of the disclosures in the financial statements.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that the audited financial statements referred to above be included in the Company’s Annual Report on Form 10-K for the year ended December 31, 2014, filed with the SEC.</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Audit Committee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 Boone Wayson, Chairman</w:t>
      </w:r>
    </w:p>
    <w:p>
      <w:pPr>
        <w:ind w:left="4440"/>
        <w:spacing w:after="0" w:line="234" w:lineRule="auto"/>
        <w:rPr>
          <w:sz w:val="20"/>
          <w:szCs w:val="20"/>
          <w:color w:val="auto"/>
        </w:rPr>
      </w:pPr>
      <w:r>
        <w:rPr>
          <w:rFonts w:ascii="Arial" w:cs="Arial" w:eastAsia="Arial" w:hAnsi="Arial"/>
          <w:sz w:val="18"/>
          <w:szCs w:val="18"/>
          <w:color w:val="auto"/>
        </w:rPr>
        <w:t>John J. Hagenbuch</w:t>
      </w:r>
    </w:p>
    <w:p>
      <w:pPr>
        <w:ind w:left="4440"/>
        <w:spacing w:after="0" w:line="235" w:lineRule="auto"/>
        <w:rPr>
          <w:sz w:val="20"/>
          <w:szCs w:val="20"/>
          <w:color w:val="auto"/>
        </w:rPr>
      </w:pPr>
      <w:r>
        <w:rPr>
          <w:rFonts w:ascii="Arial" w:cs="Arial" w:eastAsia="Arial" w:hAnsi="Arial"/>
          <w:sz w:val="18"/>
          <w:szCs w:val="18"/>
          <w:color w:val="auto"/>
        </w:rPr>
        <w:t>Robert J. Miller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7280"/>
        <w:spacing w:after="0"/>
        <w:rPr>
          <w:sz w:val="20"/>
          <w:szCs w:val="20"/>
          <w:color w:val="auto"/>
        </w:rPr>
      </w:pPr>
      <w:r>
        <w:rPr>
          <w:rFonts w:ascii="Arial" w:cs="Arial" w:eastAsia="Arial" w:hAnsi="Arial"/>
          <w:sz w:val="12"/>
          <w:szCs w:val="12"/>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3: Approval of Articles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-106680</wp:posOffset>
            </wp:positionV>
            <wp:extent cx="22860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8600" cy="17145"/>
                    </a:xfrm>
                    <a:prstGeom prst="rect">
                      <a:avLst/>
                    </a:prstGeom>
                    <a:noFill/>
                  </pic:spPr>
                </pic:pic>
              </a:graphicData>
            </a:graphic>
          </wp:anchor>
        </w:drawing>
      </w:r>
    </w:p>
    <w:p>
      <w:pPr>
        <w:jc w:val="both"/>
        <w:spacing w:after="0" w:line="237" w:lineRule="auto"/>
        <w:rPr>
          <w:sz w:val="20"/>
          <w:szCs w:val="20"/>
          <w:color w:val="auto"/>
        </w:rPr>
      </w:pPr>
      <w:r>
        <w:rPr>
          <w:rFonts w:ascii="Arial" w:cs="Arial" w:eastAsia="Arial" w:hAnsi="Arial"/>
          <w:sz w:val="18"/>
          <w:szCs w:val="18"/>
          <w:color w:val="auto"/>
        </w:rPr>
        <w:t>The Company is incorporated under the laws of the State of Nevada pursuant to Chapter 78 of the Nevada Revised Statutes (“NRS”). In February 2015, the Board approved, subject to stockholder approval, an amendment to the Company’s Second Amended and Restated Articles of Incorporation (the “Articles”). This amendment (the “Articles Amendment”) would permit the Company to make any distribution to its stockholders that otherwise would be prohibited by NRS 78.288(2)(b).</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NRS 78.191 provides that a distribution may be in the form of (i) a declaration or payment of a dividend, (ii) a purchase, redemption or other acquisition of shares, (iii) a distribution of indebtedness, or (iv) otherwise. Under NRS 78.288(2), the directors of a corporation may authorize, and the corporation may make, distributions (including cash dividends) to stockholders, but no such distribution may be made if, after giving it effect:</w:t>
      </w:r>
    </w:p>
    <w:p>
      <w:pPr>
        <w:spacing w:after="0" w:line="164" w:lineRule="exact"/>
        <w:rPr>
          <w:sz w:val="20"/>
          <w:szCs w:val="20"/>
          <w:color w:val="auto"/>
        </w:rPr>
      </w:pPr>
    </w:p>
    <w:p>
      <w:pPr>
        <w:ind w:left="1020" w:hanging="215"/>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corporation would not be able to pay its debts as they become due in the usual course of business (the “Solvency Test”); or</w:t>
      </w:r>
    </w:p>
    <w:p>
      <w:pPr>
        <w:spacing w:after="0" w:line="76"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specifically allowed by the corporation’s articles of incorporation, the corporation’s total assets would be less than the sum of its total liabilities plus the amount that would be needed, if the corporation were to be dissolved at the time of distribution, to satisfy the preferential rights upon dissolution of stockholders whose preferential rights are superior to those receiving the distribution (the “Balance Sheet Test”).</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noted above, NRS 78.288(2) affords a corporation the flexibility of exempting distributions from the Balance Sheet Test pursuant to a provision in its articles of incorporation. The Articles Amendment would specifically allow the Company to avail itself of the flexibility permitted under the statute, and thereby authorize the Board, subject to applicable fiduciary duties and the Solvency Test, to approve greater distributions and returns of capital to stockholders than may otherwise be allowed without the Articles Amendment, if and when appropriate in the circumstances.</w:t>
      </w:r>
    </w:p>
    <w:p>
      <w:pPr>
        <w:spacing w:after="0" w:line="1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Declaration and payment of any distribution (including cash dividends or certain share purchases) will remain subject to the discretion of our Board. We have historically paid periodic cash dividends on our Common Stock. However, the timing and amount of future distributions, if any, will be at the discretion of our Board and will be dependent upon our financial condition, operations, compliance with applicable law, cash requirements and availability, debt repayment obligations, capital expenditure needs and restrictions in any existing or future debt instruments, contractual restrictions, business prospects, industry trends, the provisions of Nevada law affecting the payment of distributions (including the Solvency Test) and any other factors our Board may consider to be relevant. The Board has not made any decision as to whether or when the Company may engage in any distribution that would not otherwise be permissible absent stockholder approval of the Articles Amendment, but the Articles Amendment, if approved, would provide flexibility for the Board in considering the timing and scope of any such distribution. Our ability to pay distributions (including cash dividends) on our Common Stock may depend, in part, on our receipt of cash dividends from our subsidiaries, which may be restricted from paying us dividends as a result of the laws of their jurisdiction of organization, agreements to which they are a party or covenants under any existing or future indebtedness or preferred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Articles Amendment would add a new Article VIII to the Company’s Articles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jc w:val="center"/>
        <w:spacing w:after="0"/>
        <w:rPr>
          <w:sz w:val="20"/>
          <w:szCs w:val="20"/>
          <w:color w:val="auto"/>
        </w:rPr>
      </w:pPr>
      <w:r>
        <w:rPr>
          <w:rFonts w:ascii="Arial" w:cs="Arial" w:eastAsia="Arial" w:hAnsi="Arial"/>
          <w:sz w:val="18"/>
          <w:szCs w:val="18"/>
          <w:u w:val="single" w:color="auto"/>
          <w:color w:val="auto"/>
        </w:rPr>
        <w:t>SPECIAL PROVISION REGARDING DISTRIBUTIONS</w:t>
      </w:r>
    </w:p>
    <w:p>
      <w:pPr>
        <w:spacing w:after="0" w:line="158" w:lineRule="exact"/>
        <w:rPr>
          <w:sz w:val="20"/>
          <w:szCs w:val="20"/>
          <w:color w:val="auto"/>
        </w:rPr>
      </w:pPr>
    </w:p>
    <w:p>
      <w:pPr>
        <w:ind w:left="800" w:firstLine="318"/>
        <w:spacing w:after="0" w:line="239" w:lineRule="auto"/>
        <w:rPr>
          <w:sz w:val="20"/>
          <w:szCs w:val="20"/>
          <w:color w:val="auto"/>
        </w:rPr>
      </w:pPr>
      <w:r>
        <w:rPr>
          <w:rFonts w:ascii="Arial" w:cs="Arial" w:eastAsia="Arial" w:hAnsi="Arial"/>
          <w:sz w:val="18"/>
          <w:szCs w:val="18"/>
          <w:color w:val="auto"/>
        </w:rPr>
        <w:t>Notwithstanding anything to the contrary in these Articles or any bylaw of the Corporation, the Corporation is hereby specifically allowed to make any distribution that otherwise would be prohibited by NRS 78.288(2)(b).”</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the Articles Proposal is approved by the stockholders, the Company intends to file a certificate of amendment or a certificate of amended and restated articles with the Nevada Secretary of State. The Articles Amendment will be effective upon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231775</wp:posOffset>
            </wp:positionV>
            <wp:extent cx="7276465" cy="3384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THE ARTICLES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3: Approval of Articles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640"/>
        <w:spacing w:after="0" w:line="259" w:lineRule="auto"/>
        <w:rPr>
          <w:sz w:val="20"/>
          <w:szCs w:val="20"/>
          <w:color w:val="auto"/>
        </w:rPr>
      </w:pPr>
      <w:r>
        <w:rPr>
          <w:rFonts w:ascii="Arial" w:cs="Arial" w:eastAsia="Arial" w:hAnsi="Arial"/>
          <w:sz w:val="32"/>
          <w:szCs w:val="32"/>
          <w:b w:val="1"/>
          <w:bCs w:val="1"/>
          <w:color w:val="B0A49E"/>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-111760</wp:posOffset>
            </wp:positionV>
            <wp:extent cx="45720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8"/>
          <w:szCs w:val="18"/>
          <w:color w:val="auto"/>
        </w:rPr>
        <w:t>The Company has been advised that the New York State Common Retirement Fund, 59 Maiden Lane, 30th Floor, New York, NY 10038, the beneficial owner of 284,854 shares as of November 25, 2014, intends to submit the following proposal for consideration at the Annual Meeting:</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“Resolved, that the shareholders of Wynn Resorts, Ltd., (“Company”) hereby request that the Company provide a report, updated semiannually, disclosing the Company’s:</w:t>
      </w:r>
    </w:p>
    <w:p>
      <w:pPr>
        <w:spacing w:after="0" w:line="155" w:lineRule="exact"/>
        <w:rPr>
          <w:sz w:val="20"/>
          <w:szCs w:val="20"/>
          <w:color w:val="auto"/>
        </w:rPr>
      </w:pPr>
    </w:p>
    <w:p>
      <w:pPr>
        <w:jc w:val="both"/>
        <w:ind w:firstLine="8"/>
        <w:spacing w:after="0" w:line="238" w:lineRule="auto"/>
        <w:tabs>
          <w:tab w:leader="none" w:pos="2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54" w:lineRule="exact"/>
        <w:rPr>
          <w:rFonts w:ascii="Arial" w:cs="Arial" w:eastAsia="Arial" w:hAnsi="Arial"/>
          <w:sz w:val="18"/>
          <w:szCs w:val="18"/>
          <w:color w:val="auto"/>
        </w:rPr>
      </w:pPr>
    </w:p>
    <w:p>
      <w:pPr>
        <w:ind w:left="200" w:hanging="192"/>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Monetary and non-monetary contributions and expenditures (direct and indirect) used in the manner described in section 1 above, including: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The identity of the recipient as well as the amount paid to each; 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 The title(s) of the person(s) in the Company responsible for decision-making.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Supporting Statement of the New York State Common Retirement Fund</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long-term shareholders of Wynn Resorts,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Disclosure is in the best interest of the company and its shareholders and critical for compliance with federal ethics laws. Moreover, the Supreme Court’s </w:t>
      </w:r>
      <w:r>
        <w:rPr>
          <w:rFonts w:ascii="Arial" w:cs="Arial" w:eastAsia="Arial" w:hAnsi="Arial"/>
          <w:sz w:val="18"/>
          <w:szCs w:val="18"/>
          <w:i w:val="1"/>
          <w:iCs w:val="1"/>
          <w:color w:val="auto"/>
        </w:rPr>
        <w:t>Citizens United</w:t>
      </w:r>
      <w:r>
        <w:rPr>
          <w:rFonts w:ascii="Arial" w:cs="Arial" w:eastAsia="Arial" w:hAnsi="Arial"/>
          <w:sz w:val="18"/>
          <w:szCs w:val="18"/>
          <w:color w:val="auto"/>
        </w:rPr>
        <w:t xml:space="preserve"> decision recognized the importance of political spending disclosure for shareholders when it said,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Wynn Resorts contributed at least $1,800,053 in corporate funds since the 2004 election cycle. (CQ: </w:t>
      </w:r>
      <w:r>
        <w:rPr>
          <w:rFonts w:ascii="Arial" w:cs="Arial" w:eastAsia="Arial" w:hAnsi="Arial"/>
          <w:sz w:val="16"/>
          <w:szCs w:val="16"/>
          <w:u w:val="single" w:color="auto"/>
          <w:color w:val="auto"/>
        </w:rPr>
        <w:t>http://moneyline.cq.com</w:t>
      </w:r>
      <w:r>
        <w:rPr>
          <w:rFonts w:ascii="Arial" w:cs="Arial" w:eastAsia="Arial" w:hAnsi="Arial"/>
          <w:sz w:val="16"/>
          <w:szCs w:val="16"/>
          <w:color w:val="auto"/>
        </w:rPr>
        <w:t xml:space="preserve"> and National Institute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Money in State Politics: </w:t>
      </w:r>
      <w:r>
        <w:rPr>
          <w:rFonts w:ascii="Arial" w:cs="Arial" w:eastAsia="Arial" w:hAnsi="Arial"/>
          <w:sz w:val="18"/>
          <w:szCs w:val="18"/>
          <w:u w:val="single" w:color="auto"/>
          <w:color w:val="auto"/>
        </w:rPr>
        <w:t>http://www.followthemoney.org</w:t>
      </w:r>
      <w:r>
        <w:rPr>
          <w:rFonts w:ascii="Arial" w:cs="Arial" w:eastAsia="Arial" w:hAnsi="Arial"/>
          <w:sz w:val="18"/>
          <w:szCs w:val="18"/>
          <w:color w:val="auto"/>
        </w:rPr>
        <w:t>)</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Board and its shareholders need comprehensive disclosure to be able to fully evaluate the political use of corporate assets. We urge your support for this critical governance reform.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The Board of Directors’ Statement in Opposition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After careful consideration, the Board of Directors recommends that stockholders vote AGAINST this proposal for the following reasons: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The Company also has adopted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-62230</wp:posOffset>
            </wp:positionV>
            <wp:extent cx="9150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Political Contributions Policy and Procedures. In addition to the Company’s Code of Business Conduct and Ethics, the Political Contributions Policy and Procedures governs the Company’s consideration of political activities, including the Company’s political contributions at the federal, state, and local levels and the Company’s membership in trade associations.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periodic basis.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also believes that it provides sufficient transparency with respect to its political contributions. The Company’s participation in political activities includes contributions to federal elections through Wynn Resorts Limited PAC (“Wynn PAC”). In compliance with federal law, Wynn PAC files regular reports with the Federal Election Commission (“FEC”) to disclose political contributions by Wynn PAC. These reports are publicly available on the FEC website</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reports regarding the Company’s specific political contributions in various jurisdictions are publicly available at each jurisdiction’s official website.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these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sum, the Company already discloses sufficient information regarding its political contributions; and the Company has an appropriate system of oversight, including its Political Contributions Policy and Procedures, designed to confirm that the Company’s political contributions comply with applicable law and are in the best, long-term interests of the Company and its stockholders. Accordingly, the Board believes that preparing an additional report as requested in the proposal would be unnecessary and an imprudent use of the Company’s time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231140</wp:posOffset>
            </wp:positionV>
            <wp:extent cx="7276465" cy="3384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UNANIMOUSLY RECOMMENDS THAT YOU VOTE AGAINST THE</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STOCKHOLDER PROPOSAL REGARDING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4: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-81280</wp:posOffset>
            </wp:positionV>
            <wp:extent cx="137223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Proxy Procedure and Expenses of Solicitation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will retain an independent tabulator to receive and tabulate the proxies and an inspector of elections will certify the results.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expenses incurred in connection with the solicitation of proxies will be borne by us. We will also reimburse banks, brokers and other nominees for their expenses in forwarding proxy materials to beneficial owners of Common Stock held in their names. See Appendix A for additional information regarding this solicitation for the Annual Meeting, which information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Stockholder Proposals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Stockholders intending to present a proposal at the 2016 Annual Meeting of Stockholders for inclusion in our proxy statement for that meeting pursuant to Rule 14a-8 of the Securities Exchange Act of 1934 must submit the proposal in writing to Wynn Resorts, Limited, Attention: Corporate Secretary, 3131 Las Vegas Boulevard South, Las Vegas, Nevada 89109. Such proposals must comply with the requirements of Rule 14a-8 of the Securities Exchange Act of 1934 and must be received by the Company no later than November 11, 2015.</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a meeting when the other business is not submitted for inclusion in the Company’s proxy statement pursuant to Rule 14a-8 of the Securities Exchange Act of 1934. Generally, notice of a nomination or proposal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Accordingly, for our 2016 Annual Meeting, notice of a nomination or proposal must be delivered to us no later than January 25, 2016 and no earlier than December 26, 2015. Nominations and proposals also must satisfy other requirements set forth in the Bylaws. If a stockholder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Chairman of the Board may refuse to acknowledge the introduction of any stockholder proposal not made in compliance with the foregoing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Annual Report</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Our financial statements for the year ended December 31, 2014, are included in our 2014 Annual Report to Stockholders, which we are providing to our stockholders at the same time as this Proxy Statement. Our Annual Report and this Proxy Statement are also posted on the Internet at </w:t>
      </w:r>
      <w:r>
        <w:rPr>
          <w:rFonts w:ascii="Arial" w:cs="Arial" w:eastAsia="Arial" w:hAnsi="Arial"/>
          <w:sz w:val="18"/>
          <w:szCs w:val="18"/>
          <w:b w:val="1"/>
          <w:bCs w:val="1"/>
          <w:u w:val="single" w:color="auto"/>
          <w:color w:val="auto"/>
        </w:rPr>
        <w:t>http://www.wynnresorts.com</w:t>
      </w:r>
      <w:r>
        <w:rPr>
          <w:rFonts w:ascii="Arial" w:cs="Arial" w:eastAsia="Arial" w:hAnsi="Arial"/>
          <w:sz w:val="18"/>
          <w:szCs w:val="18"/>
          <w:b w:val="1"/>
          <w:bCs w:val="1"/>
          <w:color w:val="auto"/>
        </w:rPr>
        <w:t>.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Householding</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Stockholders who are beneficial owners, but not the record holders, who share a single address may receive only one copy of the Company’s Notice of Internet Availability and, as applicable, any additional proxy materials that are delivered, unless the broker, bank or other nominee delivering the materials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 proxy statement and annual report, now or in the future, should submit their request to the Company by telephone at (702) 770-7555 or by submitting a written request to Wynn Resorts, Limited, c/o Investor Relations, 3131 Las Vegas Boulevard South, Las Vegas, Nevada 89109. Beneficial owners sharing an address who are receiving multiple copies of the Notice of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-62230</wp:posOffset>
            </wp:positionV>
            <wp:extent cx="9150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Availability or proxy statement and annual report and wish to receive a single copy of such materials in the future will need to contact their broker, bank or other nominee to request that only a single copy be mailed to all stockholders at the shared address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Business</w:t>
      </w:r>
    </w:p>
    <w:p>
      <w:pPr>
        <w:spacing w:after="0" w:line="180"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029335" cy="4457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23"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-81280</wp:posOffset>
            </wp:positionV>
            <wp:extent cx="137223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2235" cy="1714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158115</wp:posOffset>
            </wp:positionV>
            <wp:extent cx="1423670" cy="6261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2367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jc w:val="center"/>
        <w:spacing w:after="0" w:line="234" w:lineRule="auto"/>
        <w:rPr>
          <w:sz w:val="20"/>
          <w:szCs w:val="20"/>
          <w:color w:val="auto"/>
        </w:rPr>
      </w:pPr>
      <w:r>
        <w:rPr>
          <w:rFonts w:ascii="Arial" w:cs="Arial" w:eastAsia="Arial" w:hAnsi="Arial"/>
          <w:sz w:val="18"/>
          <w:szCs w:val="18"/>
          <w:b w:val="1"/>
          <w:bCs w:val="1"/>
          <w:color w:val="auto"/>
        </w:rPr>
        <w:t>Las Vegas, Nevada 89109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(702) 770-7000</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Wynn Resorts, Limited (the “Company”), its directors and certain of its officers may be deemed to be participants in the solicitation of proxies from stockholders of Wynn Resorts, Limited in connection with the matters to be considered at the Company’s Annual Meeting of Stockholders (the “Annual Meeting”). The following tables (“Directors and Nominees” and “Officers and Employees”) set forth the names and business addresses of our directors and nominees, and the names, present principal occupations and business addresses of our officers and employees who, under the rules of the Securities and Exchange Commission, are considered to be participants in our solicitation of proxies from our stockholders in connection with the Annual Meeting (collectively, the “Participants”).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Directors and Nominees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principal occupations of our directors and nominees are set forth under the section titled “Proposal 1: Election of Directors”—“Director Biographies and Qualifications” of the proxy statement that we filed with the SEC on March [ ], 2015 (the “Proxy Statement”). The business address of each of our directors and nominees is the Company’s address: Wynn Resorts, Limited, 3131 Las Vegas Boulevard South, Las Vegas, Nevada 89109. The names and business addresses of the organizations of employment of our directors and nominees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4738370</wp:posOffset>
            </wp:positionH>
            <wp:positionV relativeFrom="paragraph">
              <wp:posOffset>-280670</wp:posOffset>
            </wp:positionV>
            <wp:extent cx="1752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526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25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614A3D"/>
              </w:rPr>
              <w:t>Name of Organization</w:t>
            </w:r>
          </w:p>
        </w:tc>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614A3D"/>
              </w:rPr>
              <w:t>Business Address of Organization</w:t>
            </w:r>
          </w:p>
        </w:tc>
      </w:tr>
      <w:tr>
        <w:trPr>
          <w:trHeight w:val="199"/>
        </w:trPr>
        <w:tc>
          <w:tcPr>
            <w:tcW w:w="2080" w:type="dxa"/>
            <w:vAlign w:val="bottom"/>
          </w:tcPr>
          <w:p>
            <w:pPr>
              <w:spacing w:after="0" w:line="200" w:lineRule="exact"/>
              <w:rPr>
                <w:sz w:val="20"/>
                <w:szCs w:val="20"/>
                <w:color w:val="auto"/>
              </w:rPr>
            </w:pPr>
            <w:r>
              <w:rPr>
                <w:rFonts w:ascii="Arial" w:cs="Arial" w:eastAsia="Arial" w:hAnsi="Arial"/>
                <w:sz w:val="18"/>
                <w:szCs w:val="18"/>
                <w:color w:val="auto"/>
              </w:rPr>
              <w:t>John J. Hagenbuch</w:t>
            </w:r>
          </w:p>
        </w:tc>
        <w:tc>
          <w:tcPr>
            <w:tcW w:w="2500" w:type="dxa"/>
            <w:vAlign w:val="bottom"/>
          </w:tcPr>
          <w:p>
            <w:pPr>
              <w:ind w:left="220"/>
              <w:spacing w:after="0" w:line="200" w:lineRule="exact"/>
              <w:rPr>
                <w:sz w:val="20"/>
                <w:szCs w:val="20"/>
                <w:color w:val="auto"/>
              </w:rPr>
            </w:pPr>
            <w:r>
              <w:rPr>
                <w:rFonts w:ascii="Arial" w:cs="Arial" w:eastAsia="Arial" w:hAnsi="Arial"/>
                <w:sz w:val="18"/>
                <w:szCs w:val="18"/>
                <w:color w:val="auto"/>
              </w:rPr>
              <w:t>M&amp;H Realty Partners</w:t>
            </w:r>
          </w:p>
        </w:tc>
        <w:tc>
          <w:tcPr>
            <w:tcW w:w="6840" w:type="dxa"/>
            <w:vAlign w:val="bottom"/>
          </w:tcPr>
          <w:p>
            <w:pPr>
              <w:ind w:left="220"/>
              <w:spacing w:after="0" w:line="200" w:lineRule="exact"/>
              <w:rPr>
                <w:sz w:val="20"/>
                <w:szCs w:val="20"/>
                <w:color w:val="auto"/>
              </w:rPr>
            </w:pPr>
            <w:r>
              <w:rPr>
                <w:rFonts w:ascii="Arial" w:cs="Arial" w:eastAsia="Arial" w:hAnsi="Arial"/>
                <w:sz w:val="18"/>
                <w:szCs w:val="18"/>
                <w:color w:val="auto"/>
              </w:rPr>
              <w:t>22316 Harbor Ridge, Lane 5, San Francisco, CA 90502</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J. Edward (“Ted”) Virtue</w:t>
            </w:r>
          </w:p>
        </w:tc>
        <w:tc>
          <w:tcPr>
            <w:tcW w:w="2500" w:type="dxa"/>
            <w:vAlign w:val="bottom"/>
          </w:tcPr>
          <w:p>
            <w:pPr>
              <w:ind w:left="220"/>
              <w:spacing w:after="0" w:line="202" w:lineRule="exact"/>
              <w:rPr>
                <w:sz w:val="20"/>
                <w:szCs w:val="20"/>
                <w:color w:val="auto"/>
              </w:rPr>
            </w:pPr>
            <w:r>
              <w:rPr>
                <w:rFonts w:ascii="Arial" w:cs="Arial" w:eastAsia="Arial" w:hAnsi="Arial"/>
                <w:sz w:val="18"/>
                <w:szCs w:val="18"/>
                <w:color w:val="auto"/>
              </w:rPr>
              <w:t>MidOcean Partners</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320 Park Avenue, Suite 1600, New York, NY 10022</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Stephen A. Wynn</w:t>
            </w:r>
          </w:p>
        </w:tc>
        <w:tc>
          <w:tcPr>
            <w:tcW w:w="2500" w:type="dxa"/>
            <w:vAlign w:val="bottom"/>
          </w:tcPr>
          <w:p>
            <w:pPr>
              <w:ind w:left="220"/>
              <w:spacing w:after="0" w:line="202" w:lineRule="exact"/>
              <w:rPr>
                <w:sz w:val="20"/>
                <w:szCs w:val="20"/>
                <w:color w:val="auto"/>
              </w:rPr>
            </w:pPr>
            <w:r>
              <w:rPr>
                <w:rFonts w:ascii="Arial" w:cs="Arial" w:eastAsia="Arial" w:hAnsi="Arial"/>
                <w:sz w:val="18"/>
                <w:szCs w:val="18"/>
                <w:color w:val="auto"/>
              </w:rPr>
              <w:t>Wynn Resorts, Limited</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3131 Las Vegas Blvd South, Las Vegas, NV 89109</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Dr. Ray R. Irani</w:t>
            </w:r>
          </w:p>
        </w:tc>
        <w:tc>
          <w:tcPr>
            <w:tcW w:w="2500" w:type="dxa"/>
            <w:vAlign w:val="bottom"/>
          </w:tcPr>
          <w:p>
            <w:pPr>
              <w:ind w:left="220"/>
              <w:spacing w:after="0" w:line="202" w:lineRule="exact"/>
              <w:rPr>
                <w:sz w:val="20"/>
                <w:szCs w:val="20"/>
                <w:color w:val="auto"/>
              </w:rPr>
            </w:pPr>
            <w:r>
              <w:rPr>
                <w:rFonts w:ascii="Arial" w:cs="Arial" w:eastAsia="Arial" w:hAnsi="Arial"/>
                <w:sz w:val="18"/>
                <w:szCs w:val="18"/>
                <w:color w:val="auto"/>
              </w:rPr>
              <w:t>(Retired)</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w w:val="98"/>
              </w:rPr>
              <w:t>c/o Wynn Resorts, Limited, 3131 Las Vegas Boulevard South, Las Vegas, NV 89109</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Alvin V. Shoemaker</w:t>
            </w:r>
          </w:p>
        </w:tc>
        <w:tc>
          <w:tcPr>
            <w:tcW w:w="2500" w:type="dxa"/>
            <w:vAlign w:val="bottom"/>
          </w:tcPr>
          <w:p>
            <w:pPr>
              <w:ind w:left="220"/>
              <w:spacing w:after="0" w:line="202" w:lineRule="exact"/>
              <w:rPr>
                <w:sz w:val="20"/>
                <w:szCs w:val="20"/>
                <w:color w:val="auto"/>
              </w:rPr>
            </w:pPr>
            <w:r>
              <w:rPr>
                <w:rFonts w:ascii="Arial" w:cs="Arial" w:eastAsia="Arial" w:hAnsi="Arial"/>
                <w:sz w:val="18"/>
                <w:szCs w:val="18"/>
                <w:color w:val="auto"/>
              </w:rPr>
              <w:t>(Retired)</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w w:val="98"/>
              </w:rPr>
              <w:t>c/o Wynn Resorts, Limited, 3131 Las Vegas Boulevard South, Las Vegas, NV 89109</w:t>
            </w:r>
          </w:p>
        </w:tc>
      </w:t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D. Boone Wayson</w:t>
            </w:r>
          </w:p>
        </w:tc>
        <w:tc>
          <w:tcPr>
            <w:tcW w:w="2500" w:type="dxa"/>
            <w:vAlign w:val="bottom"/>
          </w:tcPr>
          <w:p>
            <w:pPr>
              <w:ind w:left="220"/>
              <w:spacing w:after="0" w:line="202" w:lineRule="exact"/>
              <w:rPr>
                <w:sz w:val="20"/>
                <w:szCs w:val="20"/>
                <w:color w:val="auto"/>
              </w:rPr>
            </w:pPr>
            <w:r>
              <w:rPr>
                <w:rFonts w:ascii="Arial" w:cs="Arial" w:eastAsia="Arial" w:hAnsi="Arial"/>
                <w:sz w:val="18"/>
                <w:szCs w:val="18"/>
                <w:color w:val="auto"/>
              </w:rPr>
              <w:t>Wayson’s Properties</w:t>
            </w:r>
          </w:p>
        </w:tc>
        <w:tc>
          <w:tcPr>
            <w:tcW w:w="6840" w:type="dxa"/>
            <w:vAlign w:val="bottom"/>
          </w:tcPr>
          <w:p>
            <w:pPr>
              <w:ind w:left="220"/>
              <w:spacing w:after="0" w:line="202" w:lineRule="exact"/>
              <w:rPr>
                <w:sz w:val="20"/>
                <w:szCs w:val="20"/>
                <w:color w:val="auto"/>
              </w:rPr>
            </w:pPr>
            <w:r>
              <w:rPr>
                <w:rFonts w:ascii="Arial" w:cs="Arial" w:eastAsia="Arial" w:hAnsi="Arial"/>
                <w:sz w:val="18"/>
                <w:szCs w:val="18"/>
                <w:color w:val="auto"/>
              </w:rPr>
              <w:t>125-A Main Street, Lothian, MD 20711</w:t>
            </w:r>
          </w:p>
        </w:tc>
      </w:tr>
      <w:tr>
        <w:trPr>
          <w:trHeight w:val="211"/>
        </w:trPr>
        <w:tc>
          <w:tcPr>
            <w:tcW w:w="2080" w:type="dxa"/>
            <w:vAlign w:val="bottom"/>
          </w:tcPr>
          <w:p>
            <w:pPr>
              <w:spacing w:after="0"/>
              <w:rPr>
                <w:sz w:val="20"/>
                <w:szCs w:val="20"/>
                <w:color w:val="auto"/>
              </w:rPr>
            </w:pPr>
            <w:r>
              <w:rPr>
                <w:rFonts w:ascii="Arial" w:cs="Arial" w:eastAsia="Arial" w:hAnsi="Arial"/>
                <w:sz w:val="18"/>
                <w:szCs w:val="18"/>
                <w:color w:val="auto"/>
              </w:rPr>
              <w:t>Robert J. Miller</w:t>
            </w:r>
          </w:p>
        </w:tc>
        <w:tc>
          <w:tcPr>
            <w:tcW w:w="2500" w:type="dxa"/>
            <w:vAlign w:val="bottom"/>
          </w:tcPr>
          <w:p>
            <w:pPr>
              <w:ind w:left="220"/>
              <w:spacing w:after="0"/>
              <w:rPr>
                <w:sz w:val="20"/>
                <w:szCs w:val="20"/>
                <w:color w:val="auto"/>
              </w:rPr>
            </w:pPr>
            <w:r>
              <w:rPr>
                <w:rFonts w:ascii="Arial" w:cs="Arial" w:eastAsia="Arial" w:hAnsi="Arial"/>
                <w:sz w:val="18"/>
                <w:szCs w:val="18"/>
                <w:color w:val="auto"/>
              </w:rPr>
              <w:t>Robert J. Miller Consulting</w:t>
            </w:r>
          </w:p>
        </w:tc>
        <w:tc>
          <w:tcPr>
            <w:tcW w:w="6840" w:type="dxa"/>
            <w:vAlign w:val="bottom"/>
          </w:tcPr>
          <w:p>
            <w:pPr>
              <w:ind w:left="220"/>
              <w:spacing w:after="0"/>
              <w:rPr>
                <w:sz w:val="20"/>
                <w:szCs w:val="20"/>
                <w:color w:val="auto"/>
              </w:rPr>
            </w:pPr>
            <w:r>
              <w:rPr>
                <w:rFonts w:ascii="Arial" w:cs="Arial" w:eastAsia="Arial" w:hAnsi="Arial"/>
                <w:sz w:val="18"/>
                <w:szCs w:val="18"/>
                <w:color w:val="auto"/>
              </w:rPr>
              <w:t>900 S. Pavilion Center Dr., # 160, Las Vegas, NV 89144</w:t>
            </w:r>
          </w:p>
        </w:tc>
      </w:tr>
    </w:tbl>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not included Elaine P. Wynn, one of our current directors, as a “participant” in our solicitation of proxies from our stockholders in connection with the Annual Meeting because, as discussed in the Proxy Statement and subsequent filings, she has nominated herself for election to the Board at the Annual Meeting, effectively in opposition to John J. Hagenbuch, one of the Company’s recommended nominees.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Officers and Employees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principal occupations of each executive officer and employee, in addition to Stephen A. Wynn who is also a director and is included in the information above, that are considered Participants in the solicitation, are set forth below. The principal occupation refers to such person’s position with the Company, and the business address for each person is Wynn Resorts, Limited, 3131 Las Vegas Boulevard South, Las Vegas, Nevada 89109.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782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614A3D"/>
              </w:rPr>
              <w:t>Title</w:t>
            </w:r>
          </w:p>
        </w:tc>
      </w:tr>
      <w:tr>
        <w:trPr>
          <w:trHeight w:val="208"/>
        </w:trPr>
        <w:tc>
          <w:tcPr>
            <w:tcW w:w="3600" w:type="dxa"/>
            <w:vAlign w:val="bottom"/>
          </w:tcPr>
          <w:p>
            <w:pPr>
              <w:spacing w:after="0"/>
              <w:rPr>
                <w:sz w:val="20"/>
                <w:szCs w:val="20"/>
                <w:color w:val="auto"/>
              </w:rPr>
            </w:pPr>
            <w:r>
              <w:rPr>
                <w:rFonts w:ascii="Arial" w:cs="Arial" w:eastAsia="Arial" w:hAnsi="Arial"/>
                <w:sz w:val="18"/>
                <w:szCs w:val="18"/>
                <w:color w:val="auto"/>
              </w:rPr>
              <w:t>Matt Maddox</w:t>
            </w:r>
          </w:p>
        </w:tc>
        <w:tc>
          <w:tcPr>
            <w:tcW w:w="7820" w:type="dxa"/>
            <w:vAlign w:val="bottom"/>
          </w:tcPr>
          <w:p>
            <w:pPr>
              <w:ind w:left="2360"/>
              <w:spacing w:after="0"/>
              <w:rPr>
                <w:sz w:val="20"/>
                <w:szCs w:val="20"/>
                <w:color w:val="auto"/>
              </w:rPr>
            </w:pPr>
            <w:r>
              <w:rPr>
                <w:rFonts w:ascii="Arial" w:cs="Arial" w:eastAsia="Arial" w:hAnsi="Arial"/>
                <w:sz w:val="18"/>
                <w:szCs w:val="18"/>
                <w:color w:val="auto"/>
              </w:rPr>
              <w:t>President</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Stephen Cootey</w:t>
            </w:r>
          </w:p>
        </w:tc>
        <w:tc>
          <w:tcPr>
            <w:tcW w:w="7820" w:type="dxa"/>
            <w:vAlign w:val="bottom"/>
          </w:tcPr>
          <w:p>
            <w:pPr>
              <w:ind w:left="2360"/>
              <w:spacing w:after="0"/>
              <w:rPr>
                <w:sz w:val="20"/>
                <w:szCs w:val="20"/>
                <w:color w:val="auto"/>
              </w:rPr>
            </w:pPr>
            <w:r>
              <w:rPr>
                <w:rFonts w:ascii="Arial" w:cs="Arial" w:eastAsia="Arial" w:hAnsi="Arial"/>
                <w:sz w:val="18"/>
                <w:szCs w:val="18"/>
                <w:color w:val="auto"/>
              </w:rPr>
              <w:t>Chief Financial Officer, Senior Vice President and Treasurer</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Kim Sinatra</w:t>
            </w:r>
          </w:p>
        </w:tc>
        <w:tc>
          <w:tcPr>
            <w:tcW w:w="7820" w:type="dxa"/>
            <w:vAlign w:val="bottom"/>
          </w:tcPr>
          <w:p>
            <w:pPr>
              <w:ind w:left="23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Mark Strawn</w:t>
            </w:r>
          </w:p>
        </w:tc>
        <w:tc>
          <w:tcPr>
            <w:tcW w:w="7820" w:type="dxa"/>
            <w:vAlign w:val="bottom"/>
          </w:tcPr>
          <w:p>
            <w:pPr>
              <w:ind w:left="2360"/>
              <w:spacing w:after="0"/>
              <w:rPr>
                <w:sz w:val="20"/>
                <w:szCs w:val="20"/>
                <w:color w:val="auto"/>
              </w:rPr>
            </w:pPr>
            <w:r>
              <w:rPr>
                <w:rFonts w:ascii="Arial" w:cs="Arial" w:eastAsia="Arial" w:hAnsi="Arial"/>
                <w:sz w:val="18"/>
                <w:szCs w:val="18"/>
                <w:color w:val="auto"/>
              </w:rPr>
              <w:t>Vice President of Corporate Finance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660"/>
        <w:spacing w:after="0"/>
        <w:rPr>
          <w:sz w:val="20"/>
          <w:szCs w:val="20"/>
          <w:color w:val="auto"/>
        </w:rPr>
      </w:pPr>
      <w:r>
        <w:rPr>
          <w:rFonts w:ascii="Arial" w:cs="Arial" w:eastAsia="Arial" w:hAnsi="Arial"/>
          <w:sz w:val="12"/>
          <w:szCs w:val="1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-62230</wp:posOffset>
            </wp:positionV>
            <wp:extent cx="9150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Information Regarding Ownership of Company Securities By Participants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amount of the Company’s securities, as well as securities of any parent or subsidiary of the Company, that may be deemed beneficially owned by each Participant as of March [ ], 2015, including the number of securities for which beneficial ownership can be acquired within 60 days of such date, is set forth below, to the extent not already disclosed in the section of the Proxy Statement titled “Certain Beneficial Ownership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-280670</wp:posOffset>
            </wp:positionV>
            <wp:extent cx="1581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8115"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768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614A3D"/>
              </w:rPr>
              <w:t>Amount and Nature of Beneficial Ownership</w:t>
            </w:r>
          </w:p>
        </w:tc>
      </w:tr>
      <w:tr>
        <w:trPr>
          <w:trHeight w:val="199"/>
        </w:trPr>
        <w:tc>
          <w:tcPr>
            <w:tcW w:w="3740" w:type="dxa"/>
            <w:vAlign w:val="bottom"/>
          </w:tcPr>
          <w:p>
            <w:pPr>
              <w:spacing w:after="0" w:line="200" w:lineRule="exact"/>
              <w:rPr>
                <w:sz w:val="20"/>
                <w:szCs w:val="20"/>
                <w:color w:val="auto"/>
              </w:rPr>
            </w:pPr>
            <w:r>
              <w:rPr>
                <w:rFonts w:ascii="Arial" w:cs="Arial" w:eastAsia="Arial" w:hAnsi="Arial"/>
                <w:sz w:val="18"/>
                <w:szCs w:val="18"/>
                <w:color w:val="auto"/>
              </w:rPr>
              <w:t>John J. Hagenbuch</w:t>
            </w:r>
          </w:p>
        </w:tc>
        <w:tc>
          <w:tcPr>
            <w:tcW w:w="7680" w:type="dxa"/>
            <w:vAlign w:val="bottom"/>
          </w:tcPr>
          <w:p>
            <w:pPr>
              <w:ind w:left="2220"/>
              <w:spacing w:after="0" w:line="200" w:lineRule="exact"/>
              <w:rPr>
                <w:sz w:val="20"/>
                <w:szCs w:val="20"/>
                <w:color w:val="auto"/>
              </w:rPr>
            </w:pPr>
            <w:r>
              <w:rPr>
                <w:rFonts w:ascii="Arial" w:cs="Arial" w:eastAsia="Arial" w:hAnsi="Arial"/>
                <w:sz w:val="18"/>
                <w:szCs w:val="18"/>
                <w:color w:val="auto"/>
                <w:w w:val="99"/>
              </w:rPr>
              <w:t>-Wife owns 16,000 shares of common stock of Wynn Macau, Limited</w:t>
            </w:r>
          </w:p>
        </w:tc>
      </w:tr>
      <w:tr>
        <w:trPr>
          <w:trHeight w:val="211"/>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rPr>
              <w:t>(an indirect 72% owned subsidiary)</w:t>
            </w:r>
          </w:p>
        </w:tc>
      </w:tr>
      <w:tr>
        <w:trPr>
          <w:trHeight w:val="262"/>
        </w:trPr>
        <w:tc>
          <w:tcPr>
            <w:tcW w:w="3740" w:type="dxa"/>
            <w:vAlign w:val="bottom"/>
          </w:tcPr>
          <w:p>
            <w:pPr>
              <w:spacing w:after="0"/>
              <w:rPr>
                <w:sz w:val="22"/>
                <w:szCs w:val="22"/>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rPr>
              <w:t>-Minor son owns 1,425 shares of common stock of Wynn Macau,</w:t>
            </w:r>
          </w:p>
        </w:tc>
      </w:tr>
      <w:tr>
        <w:trPr>
          <w:trHeight w:val="211"/>
        </w:trPr>
        <w:tc>
          <w:tcPr>
            <w:tcW w:w="3740" w:type="dxa"/>
            <w:vAlign w:val="bottom"/>
          </w:tcPr>
          <w:p>
            <w:pPr>
              <w:spacing w:after="0"/>
              <w:rPr>
                <w:sz w:val="18"/>
                <w:szCs w:val="18"/>
                <w:color w:val="auto"/>
              </w:rPr>
            </w:pPr>
          </w:p>
        </w:tc>
        <w:tc>
          <w:tcPr>
            <w:tcW w:w="7680" w:type="dxa"/>
            <w:vAlign w:val="bottom"/>
          </w:tcPr>
          <w:p>
            <w:pPr>
              <w:ind w:left="2220"/>
              <w:spacing w:after="0"/>
              <w:rPr>
                <w:sz w:val="20"/>
                <w:szCs w:val="20"/>
                <w:color w:val="auto"/>
              </w:rPr>
            </w:pPr>
            <w:r>
              <w:rPr>
                <w:rFonts w:ascii="Arial" w:cs="Arial" w:eastAsia="Arial" w:hAnsi="Arial"/>
                <w:sz w:val="18"/>
                <w:szCs w:val="18"/>
                <w:color w:val="auto"/>
              </w:rPr>
              <w:t>Limited (with Mr. Hagenbuch as UTMA custodian)</w:t>
            </w:r>
          </w:p>
        </w:tc>
      </w:tr>
      <w:tr>
        <w:trPr>
          <w:trHeight w:val="284"/>
        </w:trPr>
        <w:tc>
          <w:tcPr>
            <w:tcW w:w="3740" w:type="dxa"/>
            <w:vAlign w:val="bottom"/>
          </w:tcPr>
          <w:p>
            <w:pPr>
              <w:spacing w:after="0"/>
              <w:rPr>
                <w:sz w:val="20"/>
                <w:szCs w:val="20"/>
                <w:color w:val="auto"/>
              </w:rPr>
            </w:pPr>
            <w:r>
              <w:rPr>
                <w:rFonts w:ascii="Arial" w:cs="Arial" w:eastAsia="Arial" w:hAnsi="Arial"/>
                <w:sz w:val="18"/>
                <w:szCs w:val="18"/>
                <w:color w:val="auto"/>
              </w:rPr>
              <w:t>Stephen Cootey</w:t>
            </w:r>
          </w:p>
        </w:tc>
        <w:tc>
          <w:tcPr>
            <w:tcW w:w="7680" w:type="dxa"/>
            <w:vAlign w:val="bottom"/>
          </w:tcPr>
          <w:p>
            <w:pPr>
              <w:ind w:left="2220"/>
              <w:spacing w:after="0"/>
              <w:rPr>
                <w:sz w:val="20"/>
                <w:szCs w:val="20"/>
                <w:color w:val="auto"/>
              </w:rPr>
            </w:pPr>
            <w:r>
              <w:rPr>
                <w:rFonts w:ascii="Arial" w:cs="Arial" w:eastAsia="Arial" w:hAnsi="Arial"/>
                <w:sz w:val="18"/>
                <w:szCs w:val="18"/>
                <w:color w:val="auto"/>
              </w:rPr>
              <w:t>22,000 shares of common stock of Wynn Macau, Limited</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Information Regarding Transactions in the Company’s Securities by Participants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sets forth information regarding purchases and sales of the Company’s securities by each Participant during the past two years (March [ ], 2013 - March [ ], 2015). No part of the purchase price or market value of these securities is represented by funds borrowed or otherwise obtained for the purpose of acquiring or holding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-152400</wp:posOffset>
            </wp:positionV>
            <wp:extent cx="1670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-152400</wp:posOffset>
            </wp:positionV>
            <wp:extent cx="1670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b w:val="1"/>
                <w:bCs w:val="1"/>
                <w:color w:val="614A3D"/>
              </w:rPr>
              <w:t>Transaction</w:t>
            </w:r>
          </w:p>
        </w:tc>
        <w:tc>
          <w:tcPr>
            <w:tcW w:w="138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21"/>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2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Date</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 of Shares</w:t>
            </w:r>
          </w:p>
        </w:tc>
        <w:tc>
          <w:tcPr>
            <w:tcW w:w="420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614A3D"/>
                <w:w w:val="96"/>
              </w:rPr>
              <w:t>Transaction Description</w:t>
            </w:r>
          </w:p>
        </w:tc>
      </w:tr>
      <w:tr>
        <w:trPr>
          <w:trHeight w:val="253"/>
        </w:trPr>
        <w:tc>
          <w:tcPr>
            <w:tcW w:w="3240" w:type="dxa"/>
            <w:vAlign w:val="bottom"/>
          </w:tcPr>
          <w:p>
            <w:pPr>
              <w:spacing w:after="0"/>
              <w:rPr>
                <w:sz w:val="20"/>
                <w:szCs w:val="20"/>
                <w:color w:val="auto"/>
              </w:rPr>
            </w:pPr>
            <w:r>
              <w:rPr>
                <w:rFonts w:ascii="Arial" w:cs="Arial" w:eastAsia="Arial" w:hAnsi="Arial"/>
                <w:sz w:val="18"/>
                <w:szCs w:val="18"/>
                <w:color w:val="auto"/>
              </w:rPr>
              <w:t>John J. Hagenbuch</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5/6/2013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6,300</w:t>
            </w:r>
          </w:p>
        </w:tc>
        <w:tc>
          <w:tcPr>
            <w:tcW w:w="420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11"/>
        </w:trPr>
        <w:tc>
          <w:tcPr>
            <w:tcW w:w="3240" w:type="dxa"/>
            <w:vAlign w:val="bottom"/>
          </w:tcPr>
          <w:p>
            <w:pPr>
              <w:spacing w:after="0"/>
              <w:rPr>
                <w:sz w:val="18"/>
                <w:szCs w:val="18"/>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5/15/2014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4,300</w:t>
            </w:r>
          </w:p>
        </w:tc>
        <w:tc>
          <w:tcPr>
            <w:tcW w:w="420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62"/>
        </w:trPr>
        <w:tc>
          <w:tcPr>
            <w:tcW w:w="3240" w:type="dxa"/>
            <w:vAlign w:val="bottom"/>
          </w:tcPr>
          <w:p>
            <w:pPr>
              <w:spacing w:after="0"/>
              <w:rPr>
                <w:sz w:val="20"/>
                <w:szCs w:val="20"/>
                <w:color w:val="auto"/>
              </w:rPr>
            </w:pPr>
            <w:r>
              <w:rPr>
                <w:rFonts w:ascii="Arial" w:cs="Arial" w:eastAsia="Arial" w:hAnsi="Arial"/>
                <w:sz w:val="18"/>
                <w:szCs w:val="18"/>
                <w:color w:val="auto"/>
              </w:rPr>
              <w:t>J. Edward (“Ted”) Virtue</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5/6/2013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6,300</w:t>
            </w:r>
          </w:p>
        </w:tc>
        <w:tc>
          <w:tcPr>
            <w:tcW w:w="420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11"/>
        </w:trPr>
        <w:tc>
          <w:tcPr>
            <w:tcW w:w="3240" w:type="dxa"/>
            <w:vAlign w:val="bottom"/>
          </w:tcPr>
          <w:p>
            <w:pPr>
              <w:spacing w:after="0"/>
              <w:rPr>
                <w:sz w:val="18"/>
                <w:szCs w:val="18"/>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5/15/2014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4,300</w:t>
            </w:r>
          </w:p>
        </w:tc>
        <w:tc>
          <w:tcPr>
            <w:tcW w:w="420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62"/>
        </w:trPr>
        <w:tc>
          <w:tcPr>
            <w:tcW w:w="3240" w:type="dxa"/>
            <w:vAlign w:val="bottom"/>
          </w:tcPr>
          <w:p>
            <w:pPr>
              <w:spacing w:after="0"/>
              <w:rPr>
                <w:sz w:val="20"/>
                <w:szCs w:val="20"/>
                <w:color w:val="auto"/>
              </w:rPr>
            </w:pPr>
            <w:r>
              <w:rPr>
                <w:rFonts w:ascii="Arial" w:cs="Arial" w:eastAsia="Arial" w:hAnsi="Arial"/>
                <w:sz w:val="18"/>
                <w:szCs w:val="18"/>
                <w:color w:val="auto"/>
              </w:rPr>
              <w:t>Stephen A. Wynn</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1/15/2015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67,727</w:t>
            </w:r>
          </w:p>
        </w:tc>
        <w:tc>
          <w:tcPr>
            <w:tcW w:w="4200" w:type="dxa"/>
            <w:vAlign w:val="bottom"/>
          </w:tcPr>
          <w:p>
            <w:pPr>
              <w:ind w:left="220"/>
              <w:spacing w:after="0"/>
              <w:rPr>
                <w:sz w:val="20"/>
                <w:szCs w:val="20"/>
                <w:color w:val="auto"/>
              </w:rPr>
            </w:pPr>
            <w:r>
              <w:rPr>
                <w:rFonts w:ascii="Arial" w:cs="Arial" w:eastAsia="Arial" w:hAnsi="Arial"/>
                <w:sz w:val="18"/>
                <w:szCs w:val="18"/>
                <w:color w:val="auto"/>
              </w:rPr>
              <w:t>Grant—common stock granted</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1/15/2015</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28,412</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w w:val="99"/>
              </w:rPr>
              <w:t>Taxes—shares withheld by the Company (and not</w:t>
            </w:r>
          </w:p>
        </w:tc>
      </w:tr>
      <w:tr>
        <w:trPr>
          <w:trHeight w:val="203"/>
        </w:trPr>
        <w:tc>
          <w:tcPr>
            <w:tcW w:w="3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delivered to the Participant) for the satisfaction of</w:t>
            </w:r>
          </w:p>
        </w:tc>
      </w:tr>
      <w:tr>
        <w:trPr>
          <w:trHeight w:val="211"/>
        </w:trPr>
        <w:tc>
          <w:tcPr>
            <w:tcW w:w="3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taxes upon vesting of common stock</w:t>
            </w:r>
          </w:p>
        </w:tc>
      </w:tr>
      <w:tr>
        <w:trPr>
          <w:trHeight w:val="262"/>
        </w:trPr>
        <w:tc>
          <w:tcPr>
            <w:tcW w:w="3240" w:type="dxa"/>
            <w:vAlign w:val="bottom"/>
          </w:tcPr>
          <w:p>
            <w:pPr>
              <w:spacing w:after="0"/>
              <w:rPr>
                <w:sz w:val="20"/>
                <w:szCs w:val="20"/>
                <w:color w:val="auto"/>
              </w:rPr>
            </w:pPr>
            <w:r>
              <w:rPr>
                <w:rFonts w:ascii="Arial" w:cs="Arial" w:eastAsia="Arial" w:hAnsi="Arial"/>
                <w:sz w:val="18"/>
                <w:szCs w:val="18"/>
                <w:color w:val="auto"/>
              </w:rPr>
              <w:t>Dr. Ray R. Irani</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5/5/2013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2,500</w:t>
            </w:r>
          </w:p>
        </w:tc>
        <w:tc>
          <w:tcPr>
            <w:tcW w:w="4200" w:type="dxa"/>
            <w:vAlign w:val="bottom"/>
          </w:tcPr>
          <w:p>
            <w:pPr>
              <w:ind w:left="220"/>
              <w:spacing w:after="0"/>
              <w:rPr>
                <w:sz w:val="20"/>
                <w:szCs w:val="20"/>
                <w:color w:val="auto"/>
              </w:rPr>
            </w:pPr>
            <w:r>
              <w:rPr>
                <w:rFonts w:ascii="Arial" w:cs="Arial" w:eastAsia="Arial" w:hAnsi="Arial"/>
                <w:sz w:val="18"/>
                <w:szCs w:val="18"/>
                <w:color w:val="auto"/>
              </w:rPr>
              <w:t>Acquisition—restricted stock vested</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6,300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11"/>
        </w:trPr>
        <w:tc>
          <w:tcPr>
            <w:tcW w:w="3240" w:type="dxa"/>
            <w:vAlign w:val="bottom"/>
          </w:tcPr>
          <w:p>
            <w:pPr>
              <w:spacing w:after="0"/>
              <w:rPr>
                <w:sz w:val="18"/>
                <w:szCs w:val="18"/>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5/15/2014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4,300</w:t>
            </w:r>
          </w:p>
        </w:tc>
        <w:tc>
          <w:tcPr>
            <w:tcW w:w="420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62"/>
        </w:trPr>
        <w:tc>
          <w:tcPr>
            <w:tcW w:w="3240" w:type="dxa"/>
            <w:vAlign w:val="bottom"/>
          </w:tcPr>
          <w:p>
            <w:pPr>
              <w:spacing w:after="0"/>
              <w:rPr>
                <w:sz w:val="20"/>
                <w:szCs w:val="20"/>
                <w:color w:val="auto"/>
              </w:rPr>
            </w:pPr>
            <w:r>
              <w:rPr>
                <w:rFonts w:ascii="Arial" w:cs="Arial" w:eastAsia="Arial" w:hAnsi="Arial"/>
                <w:sz w:val="18"/>
                <w:szCs w:val="18"/>
                <w:color w:val="auto"/>
              </w:rPr>
              <w:t>Alvin V. Shoemaker</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5/5/2013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2,500</w:t>
            </w:r>
          </w:p>
        </w:tc>
        <w:tc>
          <w:tcPr>
            <w:tcW w:w="4200" w:type="dxa"/>
            <w:vAlign w:val="bottom"/>
          </w:tcPr>
          <w:p>
            <w:pPr>
              <w:ind w:left="220"/>
              <w:spacing w:after="0"/>
              <w:rPr>
                <w:sz w:val="20"/>
                <w:szCs w:val="20"/>
                <w:color w:val="auto"/>
              </w:rPr>
            </w:pPr>
            <w:r>
              <w:rPr>
                <w:rFonts w:ascii="Arial" w:cs="Arial" w:eastAsia="Arial" w:hAnsi="Arial"/>
                <w:sz w:val="18"/>
                <w:szCs w:val="18"/>
                <w:color w:val="auto"/>
              </w:rPr>
              <w:t>Acquisition—restricted stock vested</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6,300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5/8/2013</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5,000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2/6/2014</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10,000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Acquisition—stock option exercise</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2/6/2014</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10,000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5/15/2014</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4,300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2/13/2015</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10,000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Acquisition—stock option exercise</w:t>
            </w:r>
          </w:p>
        </w:tc>
      </w:tr>
      <w:tr>
        <w:trPr>
          <w:trHeight w:val="211"/>
        </w:trPr>
        <w:tc>
          <w:tcPr>
            <w:tcW w:w="3240" w:type="dxa"/>
            <w:vAlign w:val="bottom"/>
          </w:tcPr>
          <w:p>
            <w:pPr>
              <w:spacing w:after="0"/>
              <w:rPr>
                <w:sz w:val="18"/>
                <w:szCs w:val="18"/>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2/13/2015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10,000</w:t>
            </w:r>
          </w:p>
        </w:tc>
        <w:tc>
          <w:tcPr>
            <w:tcW w:w="4200" w:type="dxa"/>
            <w:vAlign w:val="bottom"/>
          </w:tcPr>
          <w:p>
            <w:pPr>
              <w:ind w:left="220"/>
              <w:spacing w:after="0"/>
              <w:rPr>
                <w:sz w:val="20"/>
                <w:szCs w:val="20"/>
                <w:color w:val="auto"/>
              </w:rPr>
            </w:pPr>
            <w:r>
              <w:rPr>
                <w:rFonts w:ascii="Arial" w:cs="Arial" w:eastAsia="Arial" w:hAnsi="Arial"/>
                <w:sz w:val="18"/>
                <w:szCs w:val="18"/>
                <w:color w:val="auto"/>
              </w:rPr>
              <w:t>Disposition—open market sale</w:t>
            </w:r>
          </w:p>
        </w:tc>
      </w:tr>
      <w:tr>
        <w:trPr>
          <w:trHeight w:val="262"/>
        </w:trPr>
        <w:tc>
          <w:tcPr>
            <w:tcW w:w="3240" w:type="dxa"/>
            <w:vAlign w:val="bottom"/>
          </w:tcPr>
          <w:p>
            <w:pPr>
              <w:spacing w:after="0"/>
              <w:rPr>
                <w:sz w:val="20"/>
                <w:szCs w:val="20"/>
                <w:color w:val="auto"/>
              </w:rPr>
            </w:pPr>
            <w:r>
              <w:rPr>
                <w:rFonts w:ascii="Arial" w:cs="Arial" w:eastAsia="Arial" w:hAnsi="Arial"/>
                <w:sz w:val="18"/>
                <w:szCs w:val="18"/>
                <w:color w:val="auto"/>
              </w:rPr>
              <w:t>D. Boone Wayson</w:t>
            </w: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5/5/2013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2,500</w:t>
            </w:r>
          </w:p>
        </w:tc>
        <w:tc>
          <w:tcPr>
            <w:tcW w:w="4200" w:type="dxa"/>
            <w:vAlign w:val="bottom"/>
          </w:tcPr>
          <w:p>
            <w:pPr>
              <w:ind w:left="220"/>
              <w:spacing w:after="0"/>
              <w:rPr>
                <w:sz w:val="20"/>
                <w:szCs w:val="20"/>
                <w:color w:val="auto"/>
              </w:rPr>
            </w:pPr>
            <w:r>
              <w:rPr>
                <w:rFonts w:ascii="Arial" w:cs="Arial" w:eastAsia="Arial" w:hAnsi="Arial"/>
                <w:sz w:val="18"/>
                <w:szCs w:val="18"/>
                <w:color w:val="auto"/>
              </w:rPr>
              <w:t>Acquisition—restricted stock vested</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6,300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03"/>
        </w:trPr>
        <w:tc>
          <w:tcPr>
            <w:tcW w:w="3240" w:type="dxa"/>
            <w:vAlign w:val="bottom"/>
          </w:tcPr>
          <w:p>
            <w:pPr>
              <w:spacing w:after="0"/>
              <w:rPr>
                <w:sz w:val="17"/>
                <w:szCs w:val="17"/>
                <w:color w:val="auto"/>
              </w:rPr>
            </w:pPr>
          </w:p>
        </w:tc>
        <w:tc>
          <w:tcPr>
            <w:tcW w:w="2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5/15/2014</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4,300</w:t>
            </w:r>
          </w:p>
        </w:tc>
        <w:tc>
          <w:tcPr>
            <w:tcW w:w="420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11"/>
        </w:trPr>
        <w:tc>
          <w:tcPr>
            <w:tcW w:w="3240" w:type="dxa"/>
            <w:vAlign w:val="bottom"/>
          </w:tcPr>
          <w:p>
            <w:pPr>
              <w:spacing w:after="0"/>
              <w:rPr>
                <w:sz w:val="18"/>
                <w:szCs w:val="18"/>
                <w:color w:val="auto"/>
              </w:rPr>
            </w:pPr>
          </w:p>
        </w:tc>
        <w:tc>
          <w:tcPr>
            <w:tcW w:w="2600" w:type="dxa"/>
            <w:vAlign w:val="bottom"/>
          </w:tcPr>
          <w:p>
            <w:pPr>
              <w:jc w:val="right"/>
              <w:ind w:right="132"/>
              <w:spacing w:after="0"/>
              <w:rPr>
                <w:sz w:val="20"/>
                <w:szCs w:val="20"/>
                <w:color w:val="auto"/>
              </w:rPr>
            </w:pPr>
            <w:r>
              <w:rPr>
                <w:rFonts w:ascii="Arial" w:cs="Arial" w:eastAsia="Arial" w:hAnsi="Arial"/>
                <w:sz w:val="18"/>
                <w:szCs w:val="18"/>
                <w:color w:val="auto"/>
              </w:rPr>
              <w:t>11/7/2014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10,000</w:t>
            </w:r>
          </w:p>
        </w:tc>
        <w:tc>
          <w:tcPr>
            <w:tcW w:w="4200" w:type="dxa"/>
            <w:vAlign w:val="bottom"/>
          </w:tcPr>
          <w:p>
            <w:pPr>
              <w:ind w:left="220"/>
              <w:spacing w:after="0"/>
              <w:rPr>
                <w:sz w:val="20"/>
                <w:szCs w:val="20"/>
                <w:color w:val="auto"/>
              </w:rPr>
            </w:pPr>
            <w:r>
              <w:rPr>
                <w:rFonts w:ascii="Arial" w:cs="Arial" w:eastAsia="Arial" w:hAnsi="Arial"/>
                <w:sz w:val="18"/>
                <w:szCs w:val="18"/>
                <w:color w:val="auto"/>
              </w:rPr>
              <w:t>Acquisition—stock option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660"/>
        <w:spacing w:after="0"/>
        <w:rPr>
          <w:sz w:val="20"/>
          <w:szCs w:val="20"/>
          <w:color w:val="auto"/>
        </w:rPr>
      </w:pPr>
      <w:r>
        <w:rPr>
          <w:rFonts w:ascii="Arial" w:cs="Arial" w:eastAsia="Arial" w:hAnsi="Arial"/>
          <w:sz w:val="12"/>
          <w:szCs w:val="1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-62230</wp:posOffset>
            </wp:positionV>
            <wp:extent cx="915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2940" w:type="dxa"/>
            <w:vAlign w:val="bottom"/>
          </w:tcPr>
          <w:p>
            <w:pPr>
              <w:spacing w:after="0"/>
              <w:rPr>
                <w:sz w:val="17"/>
                <w:szCs w:val="17"/>
                <w:color w:val="auto"/>
              </w:rPr>
            </w:pPr>
          </w:p>
        </w:tc>
        <w:tc>
          <w:tcPr>
            <w:tcW w:w="2880" w:type="dxa"/>
            <w:vAlign w:val="bottom"/>
          </w:tcPr>
          <w:p>
            <w:pPr>
              <w:jc w:val="right"/>
              <w:ind w:right="132"/>
              <w:spacing w:after="0"/>
              <w:rPr>
                <w:sz w:val="20"/>
                <w:szCs w:val="20"/>
                <w:color w:val="auto"/>
              </w:rPr>
            </w:pPr>
            <w:r>
              <w:rPr>
                <w:rFonts w:ascii="Arial" w:cs="Arial" w:eastAsia="Arial" w:hAnsi="Arial"/>
                <w:sz w:val="18"/>
                <w:szCs w:val="18"/>
                <w:b w:val="1"/>
                <w:bCs w:val="1"/>
                <w:color w:val="614A3D"/>
              </w:rPr>
              <w:t>Transaction</w:t>
            </w:r>
          </w:p>
        </w:tc>
        <w:tc>
          <w:tcPr>
            <w:tcW w:w="13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21"/>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2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Date</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 of Shares</w:t>
            </w:r>
          </w:p>
        </w:tc>
        <w:tc>
          <w:tcPr>
            <w:tcW w:w="422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614A3D"/>
                <w:w w:val="96"/>
              </w:rPr>
              <w:t>Transaction Description</w:t>
            </w:r>
          </w:p>
        </w:tc>
      </w:tr>
      <w:tr>
        <w:trPr>
          <w:trHeight w:val="253"/>
        </w:trPr>
        <w:tc>
          <w:tcPr>
            <w:tcW w:w="2940" w:type="dxa"/>
            <w:vAlign w:val="bottom"/>
          </w:tcPr>
          <w:p>
            <w:pPr>
              <w:spacing w:after="0"/>
              <w:rPr>
                <w:sz w:val="20"/>
                <w:szCs w:val="20"/>
                <w:color w:val="auto"/>
              </w:rPr>
            </w:pPr>
            <w:r>
              <w:rPr>
                <w:rFonts w:ascii="Arial" w:cs="Arial" w:eastAsia="Arial" w:hAnsi="Arial"/>
                <w:sz w:val="18"/>
                <w:szCs w:val="18"/>
                <w:color w:val="auto"/>
              </w:rPr>
              <w:t>Robert J. Miller</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4/30/2013</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5,000</w:t>
            </w:r>
          </w:p>
        </w:tc>
        <w:tc>
          <w:tcPr>
            <w:tcW w:w="4220" w:type="dxa"/>
            <w:vAlign w:val="bottom"/>
          </w:tcPr>
          <w:p>
            <w:pPr>
              <w:ind w:left="220"/>
              <w:spacing w:after="0"/>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5/5/2013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2,500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Acquisition—restricted stock vested</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6,300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Grant—stock options granted (subject to vesting)</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2/3/2014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11"/>
        </w:trPr>
        <w:tc>
          <w:tcPr>
            <w:tcW w:w="2940" w:type="dxa"/>
            <w:vAlign w:val="bottom"/>
          </w:tcPr>
          <w:p>
            <w:pPr>
              <w:spacing w:after="0"/>
              <w:rPr>
                <w:sz w:val="18"/>
                <w:szCs w:val="18"/>
                <w:color w:val="auto"/>
              </w:rPr>
            </w:pP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5/15/2014</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4,300</w:t>
            </w:r>
          </w:p>
        </w:tc>
        <w:tc>
          <w:tcPr>
            <w:tcW w:w="4220" w:type="dxa"/>
            <w:vAlign w:val="bottom"/>
          </w:tcPr>
          <w:p>
            <w:pPr>
              <w:ind w:left="220"/>
              <w:spacing w:after="0"/>
              <w:rPr>
                <w:sz w:val="20"/>
                <w:szCs w:val="20"/>
                <w:color w:val="auto"/>
              </w:rPr>
            </w:pPr>
            <w:r>
              <w:rPr>
                <w:rFonts w:ascii="Arial" w:cs="Arial" w:eastAsia="Arial" w:hAnsi="Arial"/>
                <w:sz w:val="18"/>
                <w:szCs w:val="18"/>
                <w:color w:val="auto"/>
              </w:rPr>
              <w:t>Grant—stock options granted (subject to vesting)</w:t>
            </w:r>
          </w:p>
        </w:tc>
      </w:tr>
      <w:tr>
        <w:trPr>
          <w:trHeight w:val="262"/>
        </w:trPr>
        <w:tc>
          <w:tcPr>
            <w:tcW w:w="2940" w:type="dxa"/>
            <w:vAlign w:val="bottom"/>
          </w:tcPr>
          <w:p>
            <w:pPr>
              <w:spacing w:after="0"/>
              <w:rPr>
                <w:sz w:val="20"/>
                <w:szCs w:val="20"/>
                <w:color w:val="auto"/>
              </w:rPr>
            </w:pPr>
            <w:r>
              <w:rPr>
                <w:rFonts w:ascii="Arial" w:cs="Arial" w:eastAsia="Arial" w:hAnsi="Arial"/>
                <w:sz w:val="18"/>
                <w:szCs w:val="18"/>
                <w:color w:val="auto"/>
              </w:rPr>
              <w:t>Matt Maddox</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5/6/2013</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30,000</w:t>
            </w:r>
          </w:p>
        </w:tc>
        <w:tc>
          <w:tcPr>
            <w:tcW w:w="4220" w:type="dxa"/>
            <w:vAlign w:val="bottom"/>
          </w:tcPr>
          <w:p>
            <w:pPr>
              <w:ind w:left="220"/>
              <w:spacing w:after="0"/>
              <w:rPr>
                <w:sz w:val="20"/>
                <w:szCs w:val="20"/>
                <w:color w:val="auto"/>
              </w:rPr>
            </w:pPr>
            <w:r>
              <w:rPr>
                <w:rFonts w:ascii="Arial" w:cs="Arial" w:eastAsia="Arial" w:hAnsi="Arial"/>
                <w:sz w:val="18"/>
                <w:szCs w:val="18"/>
                <w:color w:val="auto"/>
              </w:rPr>
              <w:t>Acquisition—stock option exercise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18,600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11/18/2013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Grant—common stock granted</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11/18/2013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4,195</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9"/>
              </w:rPr>
              <w:t>Taxes—shares withheld by the Company (and not</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delivered to the Participant) for the satisfaction of</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taxes upon vesting of common stock</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2/3/2014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30,000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5/12/2014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30,000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Acquisition—stock option exercise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5/12/2014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16,688</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1/15/2015</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10,159</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Grant—common stock granted</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1/15/2015</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4,262</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9"/>
              </w:rPr>
              <w:t>Taxes—shares withheld by the Company (and not</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delivered to the Participant) for the satisfaction of</w:t>
            </w:r>
          </w:p>
        </w:tc>
      </w:tr>
      <w:tr>
        <w:trPr>
          <w:trHeight w:val="211"/>
        </w:trPr>
        <w:tc>
          <w:tcPr>
            <w:tcW w:w="2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taxes upon vesting of common stock</w:t>
            </w:r>
          </w:p>
        </w:tc>
      </w:t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Stephen Cootey</w:t>
            </w:r>
          </w:p>
        </w:tc>
        <w:tc>
          <w:tcPr>
            <w:tcW w:w="28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No Purchases or Sales</w:t>
            </w:r>
          </w:p>
        </w:tc>
      </w:tr>
      <w:tr>
        <w:trPr>
          <w:trHeight w:val="262"/>
        </w:trPr>
        <w:tc>
          <w:tcPr>
            <w:tcW w:w="2940" w:type="dxa"/>
            <w:vAlign w:val="bottom"/>
          </w:tcPr>
          <w:p>
            <w:pPr>
              <w:spacing w:after="0"/>
              <w:rPr>
                <w:sz w:val="20"/>
                <w:szCs w:val="20"/>
                <w:color w:val="auto"/>
              </w:rPr>
            </w:pPr>
            <w:r>
              <w:rPr>
                <w:rFonts w:ascii="Arial" w:cs="Arial" w:eastAsia="Arial" w:hAnsi="Arial"/>
                <w:sz w:val="18"/>
                <w:szCs w:val="18"/>
                <w:color w:val="auto"/>
              </w:rPr>
              <w:t>Kim Sinatra</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5/6/2013</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25,000</w:t>
            </w:r>
          </w:p>
        </w:tc>
        <w:tc>
          <w:tcPr>
            <w:tcW w:w="4220" w:type="dxa"/>
            <w:vAlign w:val="bottom"/>
          </w:tcPr>
          <w:p>
            <w:pPr>
              <w:ind w:left="220"/>
              <w:spacing w:after="0"/>
              <w:rPr>
                <w:sz w:val="20"/>
                <w:szCs w:val="20"/>
                <w:color w:val="auto"/>
              </w:rPr>
            </w:pPr>
            <w:r>
              <w:rPr>
                <w:rFonts w:ascii="Arial" w:cs="Arial" w:eastAsia="Arial" w:hAnsi="Arial"/>
                <w:sz w:val="18"/>
                <w:szCs w:val="18"/>
                <w:color w:val="auto"/>
              </w:rPr>
              <w:t>Acquisition—stock option exercise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15,600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11/14/2013</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5/5/2014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7,500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Grant—common stock granted</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5/5/2014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2,473</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9"/>
              </w:rPr>
              <w:t>Taxes—shares withheld by the Company (and not</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delivered to the Participant) for the satisfaction of</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taxes upon vesting of common stock</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5/9/2014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25,000</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Acquisition—stock option exercise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5/9/2014</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13,907</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Disposition—open market sale</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1/15/2015</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5,756</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Grant—common stock granted</w:t>
            </w:r>
          </w:p>
        </w:tc>
      </w:tr>
      <w:tr>
        <w:trPr>
          <w:trHeight w:val="203"/>
        </w:trPr>
        <w:tc>
          <w:tcPr>
            <w:tcW w:w="2940" w:type="dxa"/>
            <w:vAlign w:val="bottom"/>
          </w:tcPr>
          <w:p>
            <w:pPr>
              <w:spacing w:after="0"/>
              <w:rPr>
                <w:sz w:val="17"/>
                <w:szCs w:val="17"/>
                <w:color w:val="auto"/>
              </w:rPr>
            </w:pPr>
          </w:p>
        </w:tc>
        <w:tc>
          <w:tcPr>
            <w:tcW w:w="2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1/15/2015</w:t>
            </w:r>
          </w:p>
        </w:tc>
        <w:tc>
          <w:tcPr>
            <w:tcW w:w="13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2,262</w:t>
            </w: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9"/>
              </w:rPr>
              <w:t>Taxes—shares withheld by the Company (and not</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delivered to the Participant) for the satisfaction of</w:t>
            </w:r>
          </w:p>
        </w:tc>
      </w:tr>
      <w:tr>
        <w:trPr>
          <w:trHeight w:val="203"/>
        </w:trPr>
        <w:tc>
          <w:tcPr>
            <w:tcW w:w="2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taxes upon vesting of common stock</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Mark Strawn</w:t>
            </w:r>
          </w:p>
        </w:tc>
        <w:tc>
          <w:tcPr>
            <w:tcW w:w="2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No Purchases or Sales</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Miscellaneous Information Regarding Participants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Except as described herein or otherwise disclosed in the Proxy Statement, to the Company’s knowledge:</w:t>
      </w:r>
    </w:p>
    <w:p>
      <w:pPr>
        <w:spacing w:after="0" w:line="198" w:lineRule="exact"/>
        <w:rPr>
          <w:sz w:val="20"/>
          <w:szCs w:val="20"/>
          <w:color w:val="auto"/>
        </w:rPr>
      </w:pPr>
    </w:p>
    <w:p>
      <w:pPr>
        <w:ind w:left="1020" w:hanging="215"/>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Participant owns any securities of the Company of record that such Participant does not own beneficially.</w:t>
      </w:r>
    </w:p>
    <w:p>
      <w:pPr>
        <w:spacing w:after="0" w:line="76"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Participant has any substantial interest, direct or indirect, by security holdings or otherwise, in any matter to be acted upon at the Annual Meeting.</w:t>
      </w:r>
    </w:p>
    <w:p>
      <w:pPr>
        <w:spacing w:after="0" w:line="73" w:lineRule="exact"/>
        <w:rPr>
          <w:rFonts w:ascii="Arial" w:cs="Arial" w:eastAsia="Arial" w:hAnsi="Arial"/>
          <w:sz w:val="18"/>
          <w:szCs w:val="18"/>
          <w:color w:val="auto"/>
        </w:rPr>
      </w:pPr>
    </w:p>
    <w:p>
      <w:pPr>
        <w:jc w:val="both"/>
        <w:ind w:left="1020" w:hanging="215"/>
        <w:spacing w:after="0" w:line="238"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Participant is, or was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660"/>
        <w:spacing w:after="0"/>
        <w:rPr>
          <w:sz w:val="20"/>
          <w:szCs w:val="20"/>
          <w:color w:val="auto"/>
        </w:rPr>
      </w:pPr>
      <w:r>
        <w:rPr>
          <w:rFonts w:ascii="Arial" w:cs="Arial" w:eastAsia="Arial" w:hAnsi="Arial"/>
          <w:sz w:val="12"/>
          <w:szCs w:val="1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-62230</wp:posOffset>
            </wp:positionV>
            <wp:extent cx="9150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6" w:lineRule="exact"/>
        <w:rPr>
          <w:sz w:val="20"/>
          <w:szCs w:val="20"/>
          <w:color w:val="auto"/>
        </w:rPr>
      </w:pPr>
    </w:p>
    <w:p>
      <w:pPr>
        <w:ind w:left="1020" w:hanging="215"/>
        <w:spacing w:after="0" w:line="239"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associate of any Participant owns beneficially, directly or indirectly, any securities of the Company. No Participant owns beneficially, directly or indirectly, any securities of any parent or subsidiary of the Company.</w:t>
      </w:r>
    </w:p>
    <w:p>
      <w:pPr>
        <w:spacing w:after="0" w:line="73"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Participant nor any associate of a Participant is a party to any transaction, since the beginning of the Company’s last fiscal year, or any currently proposed transaction, required to be disclosed under Item 404 of SEC Regulation S-K in which (i) the Company was or is to be a participant, (ii) the amount involved exceeds $120,000, and (iii) any Participant or any related person thereof had or will have a direct or indirect material interest.</w:t>
      </w:r>
    </w:p>
    <w:p>
      <w:pPr>
        <w:spacing w:after="0" w:line="73" w:lineRule="exact"/>
        <w:rPr>
          <w:rFonts w:ascii="Arial" w:cs="Arial" w:eastAsia="Arial" w:hAnsi="Arial"/>
          <w:sz w:val="18"/>
          <w:szCs w:val="18"/>
          <w:color w:val="auto"/>
        </w:rPr>
      </w:pPr>
    </w:p>
    <w:p>
      <w:pPr>
        <w:jc w:val="both"/>
        <w:ind w:left="1020" w:hanging="215"/>
        <w:spacing w:after="0" w:line="238"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Participant, nor any associate of a Participant, has any arrangement or understanding with any person (i) with respect to any future employment by the Company or its affiliates or (ii) with respect to any future transactions to which the Company or any of its affiliates will or may be a party, except that Mark Strawn is party to an employment agreement with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Proxy Solicitation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disclosed in the Proxy Statement, we have hired D.F. King &amp; Co., Inc. to solicit proxies. For these services, the Company will pay to D.F. King a fee estimated not to exceed $150,000, plus expenses. Our aggregate expenses, including our fee to D.F. King, related to the solicitation in excess of those normally spent for an annual meeting as a result of the potential proxy contest and excluding salaries and wages of our officers and regular employees, are expected to be approximately $850,000, of which approximately $150,000 has been spent to date. All expenses incurred in connection with the solicitation of proxies will be borne by us. The Company has agreed to indemnify D.F. King against certain liabilities relating to or arising out of their engagement. D.F. King estimates that approximately 40 of its employees will assist in this proxy solicitation, which they may conduct personally, by mail, telephone, fax, e-mail, press releases and/or press interviews or through the Company’s Investor Relations website.</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Your vote is important. Whether you own a few shares or many, and whether or not you plan to attend the Annual Meeting in person, it is important that your shares be represented and voted at the Annual Meeting. If you have any questions or require any assistance with voting your shares, please contact our proxy solicitor, D.F. King, toll free at (877) 732-3619.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660"/>
        <w:spacing w:after="0"/>
        <w:rPr>
          <w:sz w:val="20"/>
          <w:szCs w:val="20"/>
          <w:color w:val="auto"/>
        </w:rPr>
      </w:pPr>
      <w:r>
        <w:rPr>
          <w:rFonts w:ascii="Arial" w:cs="Arial" w:eastAsia="Arial" w:hAnsi="Arial"/>
          <w:sz w:val="12"/>
          <w:szCs w:val="1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A-4</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lvl w:ilvl="1">
      <w:lvlJc w:val="left"/>
      <w:lvlText w:val="(%2)"/>
      <w:numFmt w:val="decimal"/>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4"/>
    </w:lvl>
  </w:abstractNum>
  <w:abstractNum w:abstractNumId="7">
    <w:nsid w:val="6CEAF087"/>
    <w:multiLevelType w:val="hybridMultilevel"/>
    <w:lvl w:ilvl="0">
      <w:lvlJc w:val="left"/>
      <w:lvlText w:val="(%1)"/>
      <w:numFmt w:val="lowerLetter"/>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7"/>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4"/>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lvl w:ilvl="1">
      <w:lvlJc w:val="left"/>
      <w:lvlText w:val="(%2)"/>
      <w:numFmt w:val="lowerRoman"/>
      <w:start w:val="1"/>
    </w:lvl>
  </w:abstractNum>
  <w:abstractNum w:abstractNumId="25">
    <w:nsid w:val="153EA438"/>
    <w:multiLevelType w:val="hybridMultilevel"/>
    <w:lvl w:ilvl="0">
      <w:lvlJc w:val="left"/>
      <w:lvlText w:val="(%1)"/>
      <w:numFmt w:val="lowerRoman"/>
      <w:start w:val="1"/>
    </w:lvl>
  </w:abstractNum>
  <w:abstractNum w:abstractNumId="26">
    <w:nsid w:val="3855585C"/>
    <w:multiLevelType w:val="hybridMultilevel"/>
    <w:lvl w:ilvl="0">
      <w:lvlJc w:val="left"/>
      <w:lvlText w:val="(%1)"/>
      <w:numFmt w:val="lowerRoman"/>
      <w:start w:val="1"/>
    </w:lvl>
  </w:abstractNum>
  <w:abstractNum w:abstractNumId="27">
    <w:nsid w:val="70A64E2A"/>
    <w:multiLevelType w:val="hybridMultilevel"/>
    <w:lvl w:ilvl="0">
      <w:lvlJc w:val="left"/>
      <w:lvlText w:val="(%1)"/>
      <w:numFmt w:val="lowerRoman"/>
      <w:start w:val="1"/>
    </w:lvl>
  </w:abstractNum>
  <w:abstractNum w:abstractNumId="28">
    <w:nsid w:val="6A2342EC"/>
    <w:multiLevelType w:val="hybridMultilevel"/>
    <w:lvl w:ilvl="0">
      <w:lvlJc w:val="left"/>
      <w:lvlText w:val="(%1)"/>
      <w:numFmt w:val="lowerRoman"/>
      <w:start w:val="1"/>
    </w:lvl>
  </w:abstractNum>
  <w:abstractNum w:abstractNumId="29">
    <w:nsid w:val="2A487CB0"/>
    <w:multiLevelType w:val="hybridMultilevel"/>
    <w:lvl w:ilvl="0">
      <w:lvlJc w:val="left"/>
      <w:lvlText w:val="%1"/>
      <w:numFmt w:val="decimal"/>
      <w:start w:val="1"/>
    </w:lvl>
    <w:lvl w:ilvl="1">
      <w:lvlJc w:val="left"/>
      <w:lvlText w:val="(%2)"/>
      <w:numFmt w:val="lowerRoman"/>
      <w:start w:val="1"/>
    </w:lvl>
  </w:abstractNum>
  <w:abstractNum w:abstractNumId="30">
    <w:nsid w:val="1D4ED43B"/>
    <w:multiLevelType w:val="hybridMultilevel"/>
    <w:lvl w:ilvl="0">
      <w:lvlJc w:val="left"/>
      <w:lvlText w:val="(%1)"/>
      <w:numFmt w:val="decimal"/>
      <w:start w:val="4"/>
    </w:lvl>
    <w:lvl w:ilvl="1">
      <w:lvlJc w:val="left"/>
      <w:lvlText w:val="%2"/>
      <w:numFmt w:val="lowerRoman"/>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2"/>
    </w:lvl>
  </w:abstractNum>
  <w:abstractNum w:abstractNumId="34">
    <w:nsid w:val="7A6D8D3C"/>
    <w:multiLevelType w:val="hybridMultilevel"/>
    <w:lvl w:ilvl="0">
      <w:lvlJc w:val="left"/>
      <w:lvlText w:val="(%1)"/>
      <w:numFmt w:val="decimal"/>
      <w:start w:val="1"/>
    </w:lvl>
    <w:lvl w:ilvl="1">
      <w:lvlJc w:val="left"/>
      <w:lvlText w:val="%2."/>
      <w:numFmt w:val="lowerLetter"/>
      <w:start w:val="1"/>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Roman"/>
      <w:start w:val="1"/>
    </w:lvl>
  </w:abstractNum>
  <w:abstractNum w:abstractNumId="40">
    <w:nsid w:val="32FFF902"/>
    <w:multiLevelType w:val="hybridMultilevel"/>
    <w:lvl w:ilvl="0">
      <w:lvlJc w:val="left"/>
      <w:lvlText w:val="%1."/>
      <w:numFmt w:val="lowerLetter"/>
      <w:start w:val="2"/>
    </w:lvl>
  </w:abstractNum>
  <w:abstractNum w:abstractNumId="41">
    <w:nsid w:val="684A481A"/>
    <w:multiLevelType w:val="hybridMultilevel"/>
    <w:lvl w:ilvl="0">
      <w:lvlJc w:val="left"/>
      <w:lvlText w:val="%1"/>
      <w:numFmt w:val="decimal"/>
      <w:start w:val="1"/>
    </w:lvl>
    <w:lvl w:ilvl="1">
      <w:lvlJc w:val="left"/>
      <w:lvlText w:val="(%2)"/>
      <w:numFmt w:val="lowerRoman"/>
      <w:start w:val="1"/>
    </w:lvl>
  </w:abstractNum>
  <w:abstractNum w:abstractNumId="42">
    <w:nsid w:val="579478FE"/>
    <w:multiLevelType w:val="hybridMultilevel"/>
    <w:lvl w:ilvl="0">
      <w:lvlJc w:val="left"/>
      <w:lvlText w:val="(%1)"/>
      <w:numFmt w:val="decimal"/>
      <w:start w:val="2"/>
    </w:lvl>
    <w:lvl w:ilvl="1">
      <w:lvlJc w:val="left"/>
      <w:lvlText w:val="%2"/>
      <w:numFmt w:val="lowerRoman"/>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decimal"/>
      <w:start w:val="1"/>
    </w:lvl>
    <w:lvl w:ilvl="1">
      <w:lvlJc w:val="left"/>
      <w:lvlText w:val="(%2)"/>
      <w:numFmt w:val="lowerRoman"/>
      <w:start w:val="1"/>
    </w:lvl>
  </w:abstractNum>
  <w:abstractNum w:abstractNumId="47">
    <w:nsid w:val="75C6C33A"/>
    <w:multiLevelType w:val="hybridMultilevel"/>
    <w:lvl w:ilvl="0">
      <w:lvlJc w:val="left"/>
      <w:lvlText w:val="(%1)"/>
      <w:numFmt w:val="decimal"/>
      <w:start w:val="2"/>
    </w:lvl>
    <w:lvl w:ilvl="1">
      <w:lvlJc w:val="left"/>
      <w:lvlText w:val="%2"/>
      <w:numFmt w:val="lowerRoman"/>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2019-12-08T01:48:14Z</dcterms:created>
  <dcterms:modified xsi:type="dcterms:W3CDTF">2019-12-08T01:48:14Z</dcterms:modified>
</cp:coreProperties>
</file>