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26,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513"/>
        <w:spacing w:after="0" w:line="273" w:lineRule="auto"/>
        <w:rPr>
          <w:sz w:val="20"/>
          <w:szCs w:val="20"/>
          <w:color w:val="auto"/>
        </w:rPr>
      </w:pPr>
      <w:r>
        <w:rPr>
          <w:rFonts w:ascii="Arial" w:cs="Arial" w:eastAsia="Arial" w:hAnsi="Arial"/>
          <w:sz w:val="17"/>
          <w:szCs w:val="17"/>
          <w:color w:val="auto"/>
        </w:rPr>
        <w:t>On January 26, 2018, the Board of Directors (the “Board”) of Wynn Resorts, Limited (the "Company") announced that it formed a Special Committee of the Board comprised solely of independent directors to investigate allegations contained in a January 26, 2018 Wall Street Journal article. The Special Committee is chaired by Ms. Patricia Mulroy, a member of the Board’s Corporate Governance and Compliance Committees and a former member of the Nevada Gaming Commission. 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340"/>
          </w:cols>
          <w:pgMar w:left="240" w:top="1229" w:right="31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January 29,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2019-12-06T20:02:53Z</dcterms:created>
  <dcterms:modified xsi:type="dcterms:W3CDTF">2019-12-06T20:02:53Z</dcterms:modified>
</cp:coreProperties>
</file>