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October 14, 2008</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20"/>
          </w:cols>
          <w:pgMar w:left="240" w:top="225" w:right="239" w:bottom="1440" w:gutter="0" w:footer="0" w:header="0"/>
        </w:sectPr>
      </w:pPr>
    </w:p>
    <w:p>
      <w:pPr>
        <w:spacing w:after="0" w:line="221" w:lineRule="exact"/>
        <w:rPr>
          <w:sz w:val="24"/>
          <w:szCs w:val="24"/>
          <w:color w:val="auto"/>
        </w:rPr>
      </w:pPr>
    </w:p>
    <w:p>
      <w:pPr>
        <w:jc w:val="center"/>
        <w:ind w:right="120"/>
        <w:spacing w:after="0"/>
        <w:rPr>
          <w:sz w:val="20"/>
          <w:szCs w:val="20"/>
          <w:color w:val="auto"/>
        </w:rPr>
      </w:pPr>
      <w:r>
        <w:rPr>
          <w:rFonts w:ascii="Arial" w:cs="Arial" w:eastAsia="Arial" w:hAnsi="Arial"/>
          <w:sz w:val="20"/>
          <w:szCs w:val="20"/>
          <w:b w:val="1"/>
          <w:bCs w:val="1"/>
          <w:color w:val="auto"/>
        </w:rPr>
        <w:t>Nevada</w:t>
      </w:r>
    </w:p>
    <w:p>
      <w:pPr>
        <w:spacing w:after="0" w:line="22"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560"/>
        <w:spacing w:after="0"/>
        <w:rPr>
          <w:sz w:val="20"/>
          <w:szCs w:val="20"/>
          <w:color w:val="auto"/>
        </w:rPr>
      </w:pPr>
      <w:r>
        <w:rPr>
          <w:rFonts w:ascii="Arial" w:cs="Arial" w:eastAsia="Arial" w:hAnsi="Arial"/>
          <w:sz w:val="20"/>
          <w:szCs w:val="20"/>
          <w:b w:val="1"/>
          <w:bCs w:val="1"/>
          <w:color w:val="auto"/>
        </w:rPr>
        <w:t>000-50028</w:t>
      </w:r>
    </w:p>
    <w:p>
      <w:pPr>
        <w:spacing w:after="0" w:line="22"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440"/>
        <w:spacing w:after="0"/>
        <w:rPr>
          <w:sz w:val="20"/>
          <w:szCs w:val="20"/>
          <w:color w:val="auto"/>
        </w:rPr>
      </w:pPr>
      <w:r>
        <w:rPr>
          <w:rFonts w:ascii="Arial" w:cs="Arial" w:eastAsia="Arial" w:hAnsi="Arial"/>
          <w:sz w:val="20"/>
          <w:szCs w:val="20"/>
          <w:b w:val="1"/>
          <w:bCs w:val="1"/>
          <w:color w:val="auto"/>
        </w:rPr>
        <w:t>46-0484987</w:t>
      </w:r>
    </w:p>
    <w:p>
      <w:pPr>
        <w:spacing w:after="0" w:line="22"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(I.R.S. Employer Identification No.)</w:t>
      </w:r>
    </w:p>
    <w:p>
      <w:pPr>
        <w:spacing w:after="0" w:line="27" w:lineRule="exact"/>
        <w:rPr>
          <w:sz w:val="24"/>
          <w:szCs w:val="24"/>
          <w:color w:val="auto"/>
        </w:rPr>
      </w:pPr>
    </w:p>
    <w:p>
      <w:pPr>
        <w:sectPr>
          <w:pgSz w:w="11900" w:h="16838" w:orient="portrait"/>
          <w:cols w:equalWidth="0" w:num="3">
            <w:col w:w="3900" w:space="720"/>
            <w:col w:w="2760" w:space="720"/>
            <w:col w:w="3320"/>
          </w:cols>
          <w:pgMar w:left="240" w:top="225" w:right="23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ectPr>
          <w:pgSz w:w="11900" w:h="16838" w:orient="portrait"/>
          <w:cols w:equalWidth="0" w:num="1">
            <w:col w:w="11420"/>
          </w:cols>
          <w:pgMar w:left="240" w:top="225" w:right="239" w:bottom="1440" w:gutter="0" w:footer="0" w:header="0"/>
          <w:type w:val="continuous"/>
        </w:sectPr>
      </w:pPr>
    </w:p>
    <w:p>
      <w:pPr>
        <w:spacing w:after="0" w:line="239" w:lineRule="exact"/>
        <w:rPr>
          <w:sz w:val="24"/>
          <w:szCs w:val="24"/>
          <w:color w:val="auto"/>
        </w:rPr>
      </w:pPr>
    </w:p>
    <w:p>
      <w:pPr>
        <w:jc w:val="center"/>
        <w:ind w:right="1700"/>
        <w:spacing w:after="0"/>
        <w:rPr>
          <w:sz w:val="20"/>
          <w:szCs w:val="20"/>
          <w:color w:val="auto"/>
        </w:rPr>
      </w:pPr>
      <w:r>
        <w:rPr>
          <w:rFonts w:ascii="Arial" w:cs="Arial" w:eastAsia="Arial" w:hAnsi="Arial"/>
          <w:sz w:val="20"/>
          <w:szCs w:val="20"/>
          <w:b w:val="1"/>
          <w:bCs w:val="1"/>
          <w:color w:val="auto"/>
        </w:rPr>
        <w:t>3131 Las Vegas Boulevard South</w:t>
      </w:r>
    </w:p>
    <w:p>
      <w:pPr>
        <w:spacing w:after="0" w:line="21" w:lineRule="exact"/>
        <w:rPr>
          <w:sz w:val="24"/>
          <w:szCs w:val="24"/>
          <w:color w:val="auto"/>
        </w:rPr>
      </w:pPr>
    </w:p>
    <w:p>
      <w:pPr>
        <w:jc w:val="center"/>
        <w:ind w:right="1700"/>
        <w:spacing w:after="0"/>
        <w:rPr>
          <w:sz w:val="20"/>
          <w:szCs w:val="20"/>
          <w:color w:val="auto"/>
        </w:rPr>
      </w:pPr>
      <w:r>
        <w:rPr>
          <w:rFonts w:ascii="Arial" w:cs="Arial" w:eastAsia="Arial" w:hAnsi="Arial"/>
          <w:sz w:val="20"/>
          <w:szCs w:val="20"/>
          <w:b w:val="1"/>
          <w:bCs w:val="1"/>
          <w:color w:val="auto"/>
        </w:rPr>
        <w:t>Las Vegas, Nevada</w:t>
      </w:r>
    </w:p>
    <w:p>
      <w:pPr>
        <w:jc w:val="center"/>
        <w:ind w:right="1700"/>
        <w:spacing w:after="0"/>
        <w:rPr>
          <w:sz w:val="20"/>
          <w:szCs w:val="20"/>
          <w:color w:val="auto"/>
        </w:rPr>
      </w:pPr>
      <w:r>
        <w:rPr>
          <w:rFonts w:ascii="Arial" w:cs="Arial" w:eastAsia="Arial" w:hAnsi="Arial"/>
          <w:sz w:val="18"/>
          <w:szCs w:val="18"/>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8" w:lineRule="exact"/>
        <w:rPr>
          <w:sz w:val="24"/>
          <w:szCs w:val="24"/>
          <w:color w:val="auto"/>
        </w:rPr>
      </w:pPr>
    </w:p>
    <w:p>
      <w:pPr>
        <w:jc w:val="center"/>
        <w:ind w:right="2420"/>
        <w:spacing w:after="0"/>
        <w:rPr>
          <w:sz w:val="20"/>
          <w:szCs w:val="20"/>
          <w:color w:val="auto"/>
        </w:rPr>
      </w:pPr>
      <w:r>
        <w:rPr>
          <w:rFonts w:ascii="Arial" w:cs="Arial" w:eastAsia="Arial" w:hAnsi="Arial"/>
          <w:sz w:val="20"/>
          <w:szCs w:val="20"/>
          <w:b w:val="1"/>
          <w:bCs w:val="1"/>
          <w:color w:val="auto"/>
        </w:rPr>
        <w:t>89109</w:t>
      </w:r>
    </w:p>
    <w:p>
      <w:pPr>
        <w:spacing w:after="0" w:line="22" w:lineRule="exact"/>
        <w:rPr>
          <w:sz w:val="24"/>
          <w:szCs w:val="24"/>
          <w:color w:val="auto"/>
        </w:rPr>
      </w:pPr>
    </w:p>
    <w:p>
      <w:pPr>
        <w:jc w:val="center"/>
        <w:ind w:right="242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7420" w:space="720"/>
            <w:col w:w="3280"/>
          </w:cols>
          <w:pgMar w:left="240" w:top="225" w:right="239" w:bottom="1440" w:gutter="0" w:footer="0" w:header="0"/>
          <w:type w:val="continuous"/>
        </w:sectPr>
      </w:pPr>
    </w:p>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225" w:right="239" w:bottom="1440" w:gutter="0" w:footer="0" w:header="0"/>
          <w:type w:val="continuous"/>
        </w:sect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58" w:lineRule="exact"/>
        <w:rPr>
          <w:sz w:val="24"/>
          <w:szCs w:val="24"/>
          <w:color w:val="auto"/>
        </w:rPr>
      </w:pPr>
    </w:p>
    <w:p>
      <w:pPr>
        <w:ind w:left="880" w:hanging="728"/>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20"/>
          <w:szCs w:val="20"/>
          <w:color w:val="auto"/>
        </w:rPr>
        <w:t>Written communication pursuant to Rule 425 under the Securities Act (17 CFR 230.425)</w:t>
      </w:r>
    </w:p>
    <w:p>
      <w:pPr>
        <w:spacing w:after="0" w:line="107" w:lineRule="exact"/>
        <w:rPr>
          <w:rFonts w:ascii="Arial" w:cs="Arial" w:eastAsia="Arial" w:hAnsi="Arial"/>
          <w:sz w:val="18"/>
          <w:szCs w:val="18"/>
          <w:color w:val="auto"/>
        </w:rPr>
      </w:pPr>
    </w:p>
    <w:p>
      <w:pPr>
        <w:ind w:left="880" w:hanging="728"/>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20"/>
          <w:szCs w:val="20"/>
          <w:color w:val="auto"/>
        </w:rPr>
        <w:t>Soliciting material pursuant to Rule 14a-12 under the Exchange Act (17 CFR 240.14a-12)</w:t>
      </w:r>
    </w:p>
    <w:p>
      <w:pPr>
        <w:spacing w:after="0" w:line="107" w:lineRule="exact"/>
        <w:rPr>
          <w:rFonts w:ascii="Arial" w:cs="Arial" w:eastAsia="Arial" w:hAnsi="Arial"/>
          <w:sz w:val="18"/>
          <w:szCs w:val="18"/>
          <w:color w:val="auto"/>
        </w:rPr>
      </w:pPr>
    </w:p>
    <w:p>
      <w:pPr>
        <w:ind w:left="880" w:hanging="728"/>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20"/>
          <w:szCs w:val="20"/>
          <w:color w:val="auto"/>
        </w:rPr>
        <w:t>Pre-commencement communications pursuant to Rule 14d-2(b) under the Exchange Act (17 CFR 240.14d-2(b))</w:t>
      </w:r>
    </w:p>
    <w:p>
      <w:pPr>
        <w:spacing w:after="0" w:line="107" w:lineRule="exact"/>
        <w:rPr>
          <w:rFonts w:ascii="Arial" w:cs="Arial" w:eastAsia="Arial" w:hAnsi="Arial"/>
          <w:sz w:val="18"/>
          <w:szCs w:val="18"/>
          <w:color w:val="auto"/>
        </w:rPr>
      </w:pPr>
    </w:p>
    <w:p>
      <w:pPr>
        <w:ind w:left="880" w:hanging="728"/>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574675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tabs>
          <w:tab w:leader="none" w:pos="204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On October 14, 2008, Marc D. Schorr, Chief Operating Officer of Wynn Resorts, Limited (the “Company”), through his family trust, entered into a Rule 10b5-1 trading plan (the “Trading Plan”) to sell up to 9,200 shares of the Company’s common stock concurrent with the vesting of 25,000 shares of the Company’s common stock which Mr. Schorr’s family trust received pursuant to a Restricted Stock Agreement dated as of February 3, 2005 by and between the Company and Mr. Schorr. Mr. Schorr has advised the Company that the proceeds from the sale of the shares will be used primarily to pay federal tax withholding obligations resulting from the vesting of the 25,000 shares of common stock, and brokerage commissions associated with the sale.</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Trading Plan is intended to comply with Rule 10b5-1 of the Securities Exchange Act of 1934, as amended, and the Company’s insider trading policy. Rule 10b5-1 allows corporate insiders to establish prearranged written plans to buy or sell a specified number of shares of a company’s stock over a set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7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October 15, 2008</w:t>
      </w:r>
    </w:p>
    <w:p>
      <w:pPr>
        <w:spacing w:after="0" w:line="243"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86" w:lineRule="exact"/>
        <w:rPr>
          <w:sz w:val="20"/>
          <w:szCs w:val="20"/>
          <w:color w:val="auto"/>
        </w:rPr>
      </w:pPr>
    </w:p>
    <w:p>
      <w:pPr>
        <w:ind w:left="6300"/>
        <w:spacing w:after="0"/>
        <w:rPr>
          <w:sz w:val="20"/>
          <w:szCs w:val="20"/>
          <w:color w:val="auto"/>
        </w:rPr>
      </w:pPr>
      <w:r>
        <w:rPr>
          <w:rFonts w:ascii="Arial" w:cs="Arial" w:eastAsia="Arial" w:hAnsi="Arial"/>
          <w:sz w:val="20"/>
          <w:szCs w:val="20"/>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10160</wp:posOffset>
            </wp:positionV>
            <wp:extent cx="1157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20"/>
          <w:szCs w:val="20"/>
          <w:color w:val="auto"/>
        </w:rPr>
        <w:t>Matt Maddox</w:t>
      </w:r>
    </w:p>
    <w:p>
      <w:pPr>
        <w:spacing w:after="0" w:line="8"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Chief Financial Officer and</w:t>
      </w:r>
    </w:p>
    <w:p>
      <w:pPr>
        <w:ind w:left="6740"/>
        <w:spacing w:after="0"/>
        <w:rPr>
          <w:sz w:val="20"/>
          <w:szCs w:val="20"/>
          <w:color w:val="auto"/>
        </w:rPr>
      </w:pPr>
      <w:r>
        <w:rPr>
          <w:rFonts w:ascii="Arial" w:cs="Arial" w:eastAsia="Arial" w:hAnsi="Arial"/>
          <w:sz w:val="20"/>
          <w:szCs w:val="20"/>
          <w:color w:val="auto"/>
        </w:rPr>
        <w:t>Treasurer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2019-12-15T06:38:43Z</dcterms:created>
  <dcterms:modified xsi:type="dcterms:W3CDTF">2019-12-15T06:38:43Z</dcterms:modified>
</cp:coreProperties>
</file>