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174625</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59690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May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81280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Nevada</w:t>
            </w:r>
          </w:p>
        </w:tc>
        <w:tc>
          <w:tcPr>
            <w:tcW w:w="3720" w:type="dxa"/>
            <w:vAlign w:val="bottom"/>
            <w:gridSpan w:val="3"/>
          </w:tcPr>
          <w:p>
            <w:pPr>
              <w:ind w:left="1780"/>
              <w:spacing w:after="0"/>
              <w:rPr>
                <w:sz w:val="20"/>
                <w:szCs w:val="20"/>
                <w:color w:val="auto"/>
              </w:rPr>
            </w:pPr>
            <w:r>
              <w:rPr>
                <w:rFonts w:ascii="Arial" w:cs="Arial" w:eastAsia="Arial" w:hAnsi="Arial"/>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46-0484987</w:t>
            </w:r>
          </w:p>
        </w:tc>
        <w:tc>
          <w:tcPr>
            <w:tcW w:w="920" w:type="dxa"/>
            <w:vAlign w:val="bottom"/>
          </w:tcPr>
          <w:p>
            <w:pPr>
              <w:spacing w:after="0"/>
              <w:rPr>
                <w:sz w:val="19"/>
                <w:szCs w:val="19"/>
                <w:color w:val="auto"/>
              </w:rPr>
            </w:pPr>
          </w:p>
        </w:tc>
      </w:tr>
      <w:tr>
        <w:trPr>
          <w:trHeight w:val="141"/>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1" w:lineRule="exact"/>
              <w:rPr>
                <w:sz w:val="20"/>
                <w:szCs w:val="20"/>
                <w:color w:val="auto"/>
              </w:rPr>
            </w:pPr>
            <w:r>
              <w:rPr>
                <w:rFonts w:ascii="Arial" w:cs="Arial" w:eastAsia="Arial" w:hAnsi="Arial"/>
                <w:sz w:val="14"/>
                <w:szCs w:val="14"/>
                <w:b w:val="1"/>
                <w:bCs w:val="1"/>
                <w:color w:val="auto"/>
                <w:w w:val="91"/>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1" w:lineRule="exact"/>
              <w:rPr>
                <w:sz w:val="20"/>
                <w:szCs w:val="20"/>
                <w:color w:val="auto"/>
              </w:rPr>
            </w:pPr>
            <w:r>
              <w:rPr>
                <w:rFonts w:ascii="Arial" w:cs="Arial" w:eastAsia="Arial" w:hAnsi="Arial"/>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w w:val="94"/>
              </w:rPr>
              <w:t>(I.R.S. Employer</w:t>
            </w:r>
          </w:p>
        </w:tc>
      </w:tr>
      <w:tr>
        <w:trPr>
          <w:trHeight w:val="179"/>
        </w:trPr>
        <w:tc>
          <w:tcPr>
            <w:tcW w:w="860" w:type="dxa"/>
            <w:vAlign w:val="bottom"/>
          </w:tcPr>
          <w:p>
            <w:pPr>
              <w:spacing w:after="0"/>
              <w:rPr>
                <w:sz w:val="15"/>
                <w:szCs w:val="15"/>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of incorporation)</w:t>
            </w:r>
          </w:p>
        </w:tc>
        <w:tc>
          <w:tcPr>
            <w:tcW w:w="520" w:type="dxa"/>
            <w:vAlign w:val="bottom"/>
          </w:tcPr>
          <w:p>
            <w:pPr>
              <w:spacing w:after="0"/>
              <w:rPr>
                <w:sz w:val="15"/>
                <w:szCs w:val="15"/>
                <w:color w:val="auto"/>
              </w:rPr>
            </w:pPr>
          </w:p>
        </w:tc>
        <w:tc>
          <w:tcPr>
            <w:tcW w:w="3200" w:type="dxa"/>
            <w:vAlign w:val="bottom"/>
            <w:gridSpan w:val="2"/>
          </w:tcPr>
          <w:p>
            <w:pPr>
              <w:ind w:left="1240"/>
              <w:spacing w:after="0"/>
              <w:rPr>
                <w:sz w:val="20"/>
                <w:szCs w:val="20"/>
                <w:color w:val="auto"/>
              </w:rPr>
            </w:pPr>
            <w:r>
              <w:rPr>
                <w:rFonts w:ascii="Arial" w:cs="Arial" w:eastAsia="Arial" w:hAnsi="Arial"/>
                <w:sz w:val="14"/>
                <w:szCs w:val="14"/>
                <w:b w:val="1"/>
                <w:bCs w:val="1"/>
                <w:color w:val="auto"/>
              </w:rPr>
              <w:t>File Number)</w:t>
            </w: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Identification No.)</w:t>
            </w:r>
          </w:p>
        </w:tc>
      </w:tr>
      <w:tr>
        <w:trPr>
          <w:trHeight w:val="224"/>
        </w:trPr>
        <w:tc>
          <w:tcPr>
            <w:tcW w:w="3340" w:type="dxa"/>
            <w:vAlign w:val="bottom"/>
            <w:gridSpan w:val="3"/>
          </w:tcPr>
          <w:p>
            <w:pPr>
              <w:jc w:val="center"/>
              <w:ind w:left="177"/>
              <w:spacing w:after="0"/>
              <w:rPr>
                <w:sz w:val="20"/>
                <w:szCs w:val="20"/>
                <w:color w:val="auto"/>
              </w:rPr>
            </w:pPr>
            <w:r>
              <w:rPr>
                <w:rFonts w:ascii="Arial" w:cs="Arial" w:eastAsia="Arial" w:hAnsi="Arial"/>
                <w:sz w:val="18"/>
                <w:szCs w:val="18"/>
                <w:b w:val="1"/>
                <w:bCs w:val="1"/>
                <w:color w:val="auto"/>
                <w:w w:val="8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89109</w:t>
            </w:r>
          </w:p>
        </w:tc>
        <w:tc>
          <w:tcPr>
            <w:tcW w:w="920" w:type="dxa"/>
            <w:vAlign w:val="bottom"/>
          </w:tcPr>
          <w:p>
            <w:pPr>
              <w:spacing w:after="0"/>
              <w:rPr>
                <w:sz w:val="19"/>
                <w:szCs w:val="19"/>
                <w:color w:val="auto"/>
              </w:rPr>
            </w:pPr>
          </w:p>
        </w:tc>
      </w:tr>
      <w:tr>
        <w:trPr>
          <w:trHeight w:val="183"/>
        </w:trPr>
        <w:tc>
          <w:tcPr>
            <w:tcW w:w="3340" w:type="dxa"/>
            <w:vAlign w:val="bottom"/>
            <w:gridSpan w:val="3"/>
          </w:tcPr>
          <w:p>
            <w:pPr>
              <w:jc w:val="center"/>
              <w:ind w:left="177"/>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(Zip Code)</w:t>
            </w:r>
          </w:p>
        </w:tc>
      </w:tr>
      <w:tr>
        <w:trPr>
          <w:trHeight w:val="659"/>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Arial" w:cs="Arial" w:eastAsia="Arial" w:hAnsi="Arial"/>
                <w:sz w:val="18"/>
                <w:szCs w:val="18"/>
                <w:b w:val="1"/>
                <w:bCs w:val="1"/>
                <w:color w:val="auto"/>
                <w:w w:val="89"/>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380" w:type="dxa"/>
            <w:vAlign w:val="bottom"/>
            <w:gridSpan w:val="5"/>
          </w:tcPr>
          <w:p>
            <w:pPr>
              <w:jc w:val="center"/>
              <w:ind w:right="3860"/>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r>
        <w:trPr>
          <w:trHeight w:val="396"/>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Arial" w:cs="Arial" w:eastAsia="Arial" w:hAnsi="Arial"/>
                <w:sz w:val="18"/>
                <w:szCs w:val="18"/>
                <w:b w:val="1"/>
                <w:bCs w:val="1"/>
                <w:color w:val="auto"/>
                <w:w w:val="88"/>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900" w:type="dxa"/>
            <w:vAlign w:val="bottom"/>
            <w:gridSpan w:val="6"/>
          </w:tcPr>
          <w:p>
            <w:pPr>
              <w:jc w:val="center"/>
              <w:ind w:right="3340"/>
              <w:spacing w:after="0"/>
              <w:rPr>
                <w:sz w:val="20"/>
                <w:szCs w:val="20"/>
                <w:color w:val="auto"/>
              </w:rPr>
            </w:pPr>
            <w:r>
              <w:rPr>
                <w:rFonts w:ascii="Arial" w:cs="Arial" w:eastAsia="Arial" w:hAnsi="Arial"/>
                <w:sz w:val="14"/>
                <w:szCs w:val="14"/>
                <w:b w:val="1"/>
                <w:bCs w:val="1"/>
                <w:color w:val="auto"/>
                <w:w w:val="90"/>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8"/>
              </w:rPr>
              <w:t>Trading Symbol(s)</w:t>
            </w:r>
          </w:p>
        </w:tc>
        <w:tc>
          <w:tcPr>
            <w:tcW w:w="41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Arial" w:cs="Arial" w:eastAsia="Arial" w:hAnsi="Arial"/>
                <w:sz w:val="18"/>
                <w:szCs w:val="18"/>
                <w:color w:val="auto"/>
                <w:w w:val="98"/>
              </w:rPr>
              <w:t>WYNN</w:t>
            </w:r>
          </w:p>
        </w:tc>
        <w:tc>
          <w:tcPr>
            <w:tcW w:w="4180" w:type="dxa"/>
            <w:vAlign w:val="bottom"/>
            <w:gridSpan w:val="3"/>
          </w:tcPr>
          <w:p>
            <w:pPr>
              <w:jc w:val="center"/>
              <w:ind w:right="940"/>
              <w:spacing w:after="0"/>
              <w:rPr>
                <w:sz w:val="20"/>
                <w:szCs w:val="20"/>
                <w:color w:val="auto"/>
              </w:rPr>
            </w:pPr>
            <w:r>
              <w:rPr>
                <w:rFonts w:ascii="Arial" w:cs="Arial" w:eastAsia="Arial" w:hAnsi="Arial"/>
                <w:sz w:val="18"/>
                <w:szCs w:val="18"/>
                <w:color w:val="auto"/>
                <w:w w:val="88"/>
              </w:rPr>
              <w:t>Nasdaq Global Select Market</w:t>
            </w:r>
          </w:p>
        </w:tc>
      </w:tr>
      <w:tr>
        <w:trPr>
          <w:trHeight w:val="191"/>
        </w:trPr>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bl>
    <w:p>
      <w:pPr>
        <w:spacing w:after="0" w:line="330"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677545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 w:name="page2"/>
    <w:bookmarkEnd w:id="1"/>
    <w:p>
      <w:pPr>
        <w:ind w:left="20"/>
        <w:spacing w:after="0"/>
        <w:tabs>
          <w:tab w:leader="none" w:pos="13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07"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On May 10, 2022, Wynn Resorts, Limited issued a press release announcing its results of operations for the quarter ended March 31, 2022.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20"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8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03"/>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(d) Exhibits.</w:t>
            </w:r>
          </w:p>
        </w:tc>
        <w:tc>
          <w:tcPr>
            <w:tcW w:w="6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8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2"/>
                <w:szCs w:val="22"/>
                <w:color w:val="auto"/>
              </w:rPr>
            </w:pPr>
          </w:p>
        </w:tc>
        <w:tc>
          <w:tcPr>
            <w:tcW w:w="434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May 10, 2022, of Wynn Resorts, Limited.</w:t>
              </w:r>
            </w:hyperlink>
          </w:p>
        </w:tc>
        <w:tc>
          <w:tcPr>
            <w:tcW w:w="5540" w:type="dxa"/>
            <w:vAlign w:val="bottom"/>
          </w:tcPr>
          <w:p>
            <w:pPr>
              <w:spacing w:after="0"/>
              <w:rPr>
                <w:sz w:val="22"/>
                <w:szCs w:val="22"/>
                <w:color w:val="auto"/>
              </w:rPr>
            </w:pPr>
          </w:p>
        </w:tc>
      </w:tr>
      <w:tr>
        <w:trPr>
          <w:trHeight w:val="243"/>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1"/>
                <w:szCs w:val="21"/>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191"/>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1240"/>
          </w:cols>
          <w:pgMar w:left="320" w:top="871" w:right="339" w:bottom="1440" w:gutter="0" w:footer="0" w:header="0"/>
        </w:sectPr>
      </w:pPr>
    </w:p>
    <w:p>
      <w:pPr>
        <w:spacing w:after="0" w:line="7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Dated: May 10, 2022</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tabs>
          <w:tab w:leader="none" w:pos="130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31750</wp:posOffset>
            </wp:positionV>
            <wp:extent cx="2301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1240" cy="825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6240" w:space="720"/>
            <w:col w:w="4280"/>
          </w:cols>
          <w:pgMar w:left="320" w:top="871" w:right="339" w:bottom="1440" w:gutter="0" w:footer="0" w:header="0"/>
          <w:type w:val="continuous"/>
        </w:sectPr>
      </w:pPr>
    </w:p>
    <w:p>
      <w:pPr>
        <w:ind w:left="7080"/>
        <w:spacing w:after="0"/>
        <w:rPr>
          <w:sz w:val="20"/>
          <w:szCs w:val="20"/>
          <w:color w:val="auto"/>
        </w:rPr>
      </w:pPr>
      <w:r>
        <w:rPr>
          <w:rFonts w:ascii="Arial" w:cs="Arial" w:eastAsia="Arial" w:hAnsi="Arial"/>
          <w:sz w:val="18"/>
          <w:szCs w:val="18"/>
          <w:color w:val="auto"/>
        </w:rPr>
        <w:t>Julie Cameron-Doe</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Financial Officer</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871" w:right="33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First Quarter 2022 Results</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LAS VEGAS, May 10, 2022 — Wynn Resorts, Limited (NASDAQ: WYNN) (the "Company") today reported financial results for the quarter ended March 31, 2022.</w:t>
      </w:r>
    </w:p>
    <w:p>
      <w:pPr>
        <w:spacing w:after="0" w:line="20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Operating revenues were $953.3 million for the first quarter of 2022, an increase of $216.7 million, from $736.7 million for the first quarter of 2021. Net loss attributable to Wynn Resorts, Limited was $183.3 million, or $1.59 per diluted share, for the first quarter of 2022, compared to net loss attributable to Wynn Resorts, Limited of $281.0 million, or $2.53 per diluted share, in the first quarter of 2021. Adjusted Property EBITDA</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was $177.6 million for the first quarter of 2022, compared to Adjusted Property EBITDA of $58.9 million in the first quarter of 2021.</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first quarter results reflect continued strength at both Wynn Las Vegas and Encore Boston Harbor where our teams' unrelenting focus on five star hospitality and world class experiences combined with very strong customer demand to deliver a new first quarter record for Adjusted Property EBITDA at both properties," said Craig Billings, CEO of Wynn Resorts, Limited. "In Macau, we remain confident that the market will benefit from the return of visitation when travel restrictions subside."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3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Operating revenues were $953.3 million for the first quarter of 2022, an increase of $216.7 million, from $736.7 million for the first quarter of 2021. For the first quarter of 2022, operating revenues increased $262.5 million and $60.7 million at our Las Vegas Operations and Encore Boston Harbor, respectively, and decreased $74.0 million and $44.6 million at Wynn Palace and Wynn Macau, respectively, from the first quarter of 2021.</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Net loss attributable to Wynn Resorts, Limited was $183.3 million, or $1.59 per diluted share, for the first quarter of 2022, compared to net loss attributable to Wynn Resorts, Limited of $281.0 million, or $2.53 per diluted share, in the first quarter of 2021. Adjusted net loss attributable to Wynn Resorts, Limited</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was $139.6 million, or $1.21 per diluted share, for the first quarter of 2022, compared to adjusted net loss attributable to Wynn Resorts, Limited of $268.0 million, or $2.41 per diluted share, for the first quarter of 2021.</w:t>
      </w:r>
    </w:p>
    <w:p>
      <w:pPr>
        <w:spacing w:after="0" w:line="22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Adjusted Property EBITDA was $177.6 million for the first quarter of 2022, compared to Adjusted Property EBITDA of $58.9 million in the first quarter of 2021. For the first quarter of 2022, Adjusted Property EBITDA increased $131.3 million and $24.9 million at our Las Vegas Operations and Encore Boston Harbor, respectively, and decreased $28.2 million and $21.2 million at Wynn Palace and Wynn Macau, respectively, from the first quarter of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Results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Operations</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results of operations of our Macau Operations for the first quarter of 2022 continued to be negatively impacted by certain travel-related restrictions and conditions, including COVID-19 testing and other mitigation procedures, related to the COVID-19 pandemic.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Palace</w:t>
      </w: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revenues from Wynn Palace were $163.3 million for the first quarter of 2022, a decrease of $74.0 million from $237.3 million for the first quarter of 2021. Adjusted Property EBITDA from Wynn Palace was $(0.9) million for the first quarter of 2022, compared to $27.4 million for the first quarter of 2021. VIP table games win as a percentage of turnover was 2.05%, below the property's expected range of 3.1% to 3.4% and below the 4.38% experienced in the first quarter of 2021. Table games win percentage in mass market operations was 20.9%, below the 21.7% experienced in the first quarter of 2021.</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7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Wynn Macau</w:t>
      </w:r>
    </w:p>
    <w:p>
      <w:pPr>
        <w:spacing w:after="0" w:line="24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revenues from Wynn Macau were $135.1 million for the first quarter of 2022, a decrease of $44.6 million from $179.7 million for the first quarter of 2021. Adjusted Property EBITDA was $(4.7) million for the first quarter of 2022, compared to $16.6 million for the first quarter of 2021. VIP table games win as a percentage of turnover was 3.84%, above the property's expected range of 3.1% to 3.4% and above the 3.25% experienced in the first quarter of 2021. Table games win percentage in mass market operations was 17.5%, slightly below the 17.8% experienced in the first quarter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Las Vegas Operations</w:t>
      </w:r>
    </w:p>
    <w:p>
      <w:pPr>
        <w:spacing w:after="0" w:line="24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Operating revenues from our Las Vegas Operations were $441.2 million for the first quarter of 2022, an increase of $262.5 million from $178.7 million for the first quarter of 2021. Adjusted Property EBITDA from our Las Vegas Operations for the first quarter of 2022 was $159.4 million, compared to $28.1 million for the first quarter of 2021. Table games win percentage for the first quarter of 2022 was 23.6%, within the property's expected range of 22% to 26% and in line with the 23.6% experienced in the first quarter of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Encore Boston Harbor</w:t>
      </w:r>
    </w:p>
    <w:p>
      <w:pPr>
        <w:spacing w:after="0" w:line="24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Operating revenues from Encore Boston Harbor were $190.8 million for the first quarter of 2022, an increase of $60.7 million from $130.1 million for the first quarter of 2021. Adjusted Property EBITDA from Encore Boston Harbor for the first quarter of 2022 was $55.3 million, compared to $30.4 million for the first quarter of 2021. Table games win percentage for the first quarter of 2022 was 22.2%, slightly above the property's expected range of 18% to 22% and above the 21.1% experienced in the first quarter of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Our cash and cash equivalents as of March 31, 2022 totaled $2.32 billion, comprised of approximately $1.29 billion held by Wynn Macau, Limited ("WML") and subsidiaries, approximately $388.5 million held by Wynn Resorts Finance excluding WML, and approximately $641.6 million at Corporate and other.</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March 31, 2022, the available borrowing capacity under the Wynn Resorts Finance Revolver and WM Cayman II Revolver was $835.6 million and $211.9 million, respectively.</w:t>
      </w:r>
    </w:p>
    <w:p>
      <w:pPr>
        <w:spacing w:after="0" w:line="20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Total current and long-term debt outstanding at March 31, 2022 was $11.92 billion, comprised of $5.97 billion of Macau related debt, $3.13 billion of Wynn Las Vegas debt, $2.21 billion of Wynn Resorts Finance debt, and $613.0 million of debt held by the retail joint venture which we consolidate.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Company will hold a conference call to discuss its results, including the results of Wynn Resorts Finance, LLC and Wynn Las Vegas, LLC, on May 10, 2022 at 1:30 p.m. PT (4:30 p.m. ET). Interested parties are invited to join the call by accessing a live audio webcast at http://www.wynnresorts.com.</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or before May 13, 2022, the Company will make Wynn Resorts Finance, LLC and Wynn Las Vegas, LLC financial information for the quarter ended March 31, 2022 available to noteholders, prospective investors, broker-dealers and securities analysts. Please contact our investor relations office at 702-770-7555 or at investorrelations@wynnresorts.com, to obtain access to such financial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the COVID-19 pandemic, and the continued impact of its consequences, extensive regulation of our business, pending or future legal proceedings, ability to maintain gaming licenses and concessions (including with respect to our ability to extend or renew our gaming concession in Macau, which expires on June 26, 2022, and proposed amendments to the Macau gaming law), dependence on key employees, general global political and economic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77" w:right="339" w:bottom="1440" w:gutter="0" w:footer="0" w:header="0"/>
        </w:sectPr>
      </w:pPr>
    </w:p>
    <w:bookmarkStart w:id="5" w:name="page6"/>
    <w:bookmarkEnd w:id="5"/>
    <w:p>
      <w:pPr>
        <w:jc w:val="both"/>
        <w:spacing w:after="0" w:line="299" w:lineRule="auto"/>
        <w:rPr>
          <w:sz w:val="20"/>
          <w:szCs w:val="20"/>
          <w:color w:val="auto"/>
        </w:rPr>
      </w:pPr>
      <w:r>
        <w:rPr>
          <w:rFonts w:ascii="Arial" w:cs="Arial" w:eastAsia="Arial" w:hAnsi="Arial"/>
          <w:sz w:val="16"/>
          <w:szCs w:val="16"/>
          <w:color w:val="auto"/>
        </w:rPr>
        <w:t>could affect the Company's financial results is included in the Company's Annual Report on Form 10-K for the year ended December 31, 2021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 except as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6" w:lineRule="exact"/>
        <w:rPr>
          <w:sz w:val="20"/>
          <w:szCs w:val="20"/>
          <w:color w:val="auto"/>
        </w:rPr>
      </w:pPr>
    </w:p>
    <w:p>
      <w:pPr>
        <w:jc w:val="both"/>
        <w:ind w:firstLine="5"/>
        <w:spacing w:after="0" w:line="277" w:lineRule="auto"/>
        <w:tabs>
          <w:tab w:leader="none" w:pos="264"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We use Adjusted Property EBITDA to manage the operating results of our segments.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loss,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06" w:lineRule="exact"/>
        <w:rPr>
          <w:rFonts w:ascii="Arial" w:cs="Arial" w:eastAsia="Arial" w:hAnsi="Arial"/>
          <w:sz w:val="16"/>
          <w:szCs w:val="16"/>
          <w:color w:val="auto"/>
        </w:rPr>
      </w:pPr>
    </w:p>
    <w:p>
      <w:pPr>
        <w:jc w:val="both"/>
        <w:ind w:firstLine="5"/>
        <w:spacing w:after="0" w:line="281" w:lineRule="auto"/>
        <w:tabs>
          <w:tab w:leader="none" w:pos="257"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net loss attributable to Wynn Resorts, Limited" is net loss attributable to Wynn Resorts, Limited before pre-opening expenses, property charges and other, change in derivatives fair value, loss on extinguishment of debt, and foreign currency remeasurement and other, net of noncontrolling interests. Adjusted net loss attributable to Wynn Resorts, Limited and adjusted net loss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loss and loss per share computed in accordance with GAAP, as an additional basis for assessing period-to-period results of our business. Adjusted net loss attributable to Wynn Resorts, Limited and adjusted net loss attributable to Wynn Resorts, Limited per diluted share may be different from the calculation methods used by other companies and, therefore, comparability may be limited.</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included schedules in the tables that accompany this release that reconcile (i) net loss attributable to Wynn Resorts, Limited to adjusted net loss attributable to Wynn Resorts, Limited, (ii) operating income (loss) to Adjusted Property EBITDA, and (iii) net loss attributable to Wynn Resorts, Limited to Adjusted Property EBITDA.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62"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tcBorders>
              <w:bottom w:val="single" w:sz="8" w:color="CCEEFF"/>
            </w:tcBorders>
          </w:tcPr>
          <w:p>
            <w:pPr>
              <w:spacing w:after="0"/>
              <w:rPr>
                <w:sz w:val="16"/>
                <w:szCs w:val="16"/>
                <w:color w:val="auto"/>
              </w:rPr>
            </w:pPr>
          </w:p>
        </w:tc>
        <w:tc>
          <w:tcPr>
            <w:tcW w:w="34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04"/>
        </w:trPr>
        <w:tc>
          <w:tcPr>
            <w:tcW w:w="48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Operating revenues:</w:t>
            </w:r>
          </w:p>
        </w:tc>
        <w:tc>
          <w:tcPr>
            <w:tcW w:w="3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3"/>
        </w:trPr>
        <w:tc>
          <w:tcPr>
            <w:tcW w:w="4800" w:type="dxa"/>
            <w:vAlign w:val="bottom"/>
          </w:tcPr>
          <w:p>
            <w:pPr>
              <w:ind w:left="340"/>
              <w:spacing w:after="0"/>
              <w:rPr>
                <w:sz w:val="20"/>
                <w:szCs w:val="20"/>
                <w:color w:val="auto"/>
              </w:rPr>
            </w:pPr>
            <w:r>
              <w:rPr>
                <w:rFonts w:ascii="Arial" w:cs="Arial" w:eastAsia="Arial" w:hAnsi="Arial"/>
                <w:sz w:val="18"/>
                <w:szCs w:val="18"/>
                <w:color w:val="auto"/>
              </w:rPr>
              <w:t>Casino</w:t>
            </w:r>
          </w:p>
        </w:tc>
        <w:tc>
          <w:tcPr>
            <w:tcW w:w="38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489,862</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516,218</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3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76,190</w:t>
            </w:r>
          </w:p>
        </w:tc>
      </w:tr>
      <w:tr>
        <w:trPr>
          <w:trHeight w:val="223"/>
        </w:trPr>
        <w:tc>
          <w:tcPr>
            <w:tcW w:w="480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3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68,509</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34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75,765</w:t>
            </w:r>
          </w:p>
        </w:tc>
      </w:tr>
      <w:tr>
        <w:trPr>
          <w:trHeight w:val="217"/>
        </w:trPr>
        <w:tc>
          <w:tcPr>
            <w:tcW w:w="480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Total operating revenues</w:t>
            </w:r>
          </w:p>
        </w:tc>
        <w:tc>
          <w:tcPr>
            <w:tcW w:w="34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953,334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736,682</w:t>
            </w:r>
          </w:p>
        </w:tc>
      </w:tr>
      <w:tr>
        <w:trPr>
          <w:trHeight w:val="204"/>
        </w:trPr>
        <w:tc>
          <w:tcPr>
            <w:tcW w:w="48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Operating expenses:</w:t>
            </w:r>
          </w:p>
        </w:tc>
        <w:tc>
          <w:tcPr>
            <w:tcW w:w="3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3"/>
        </w:trPr>
        <w:tc>
          <w:tcPr>
            <w:tcW w:w="4800" w:type="dxa"/>
            <w:vAlign w:val="bottom"/>
          </w:tcPr>
          <w:p>
            <w:pPr>
              <w:ind w:left="340"/>
              <w:spacing w:after="0"/>
              <w:rPr>
                <w:sz w:val="20"/>
                <w:szCs w:val="20"/>
                <w:color w:val="auto"/>
              </w:rPr>
            </w:pPr>
            <w:r>
              <w:rPr>
                <w:rFonts w:ascii="Arial" w:cs="Arial" w:eastAsia="Arial" w:hAnsi="Arial"/>
                <w:sz w:val="18"/>
                <w:szCs w:val="18"/>
                <w:color w:val="auto"/>
              </w:rPr>
              <w:t>Casino</w:t>
            </w:r>
          </w:p>
        </w:tc>
        <w:tc>
          <w:tcPr>
            <w:tcW w:w="3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324,079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351,966</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3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33,535</w:t>
            </w:r>
          </w:p>
        </w:tc>
      </w:tr>
      <w:tr>
        <w:trPr>
          <w:trHeight w:val="223"/>
        </w:trPr>
        <w:tc>
          <w:tcPr>
            <w:tcW w:w="480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3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146,656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73,948</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3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73,459</w:t>
            </w:r>
          </w:p>
        </w:tc>
      </w:tr>
      <w:tr>
        <w:trPr>
          <w:trHeight w:val="223"/>
        </w:trPr>
        <w:tc>
          <w:tcPr>
            <w:tcW w:w="48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196,780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179,774</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3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7,367</w:t>
            </w:r>
          </w:p>
        </w:tc>
      </w:tr>
      <w:tr>
        <w:trPr>
          <w:trHeight w:val="223"/>
        </w:trPr>
        <w:tc>
          <w:tcPr>
            <w:tcW w:w="4800" w:type="dxa"/>
            <w:vAlign w:val="bottom"/>
          </w:tcPr>
          <w:p>
            <w:pPr>
              <w:ind w:left="340"/>
              <w:spacing w:after="0"/>
              <w:rPr>
                <w:sz w:val="20"/>
                <w:szCs w:val="20"/>
                <w:color w:val="auto"/>
              </w:rPr>
            </w:pPr>
            <w:r>
              <w:rPr>
                <w:rFonts w:ascii="Arial" w:cs="Arial" w:eastAsia="Arial" w:hAnsi="Arial"/>
                <w:sz w:val="18"/>
                <w:szCs w:val="18"/>
                <w:color w:val="auto"/>
              </w:rPr>
              <w:t>Pre-opening</w:t>
            </w:r>
          </w:p>
        </w:tc>
        <w:tc>
          <w:tcPr>
            <w:tcW w:w="3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1,627</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185,121</w:t>
            </w:r>
          </w:p>
        </w:tc>
      </w:tr>
      <w:tr>
        <w:trPr>
          <w:trHeight w:val="223"/>
        </w:trPr>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Property charges and other</w:t>
            </w:r>
          </w:p>
        </w:tc>
        <w:tc>
          <w:tcPr>
            <w:tcW w:w="34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5,617</w:t>
            </w:r>
          </w:p>
        </w:tc>
      </w:tr>
      <w:tr>
        <w:trPr>
          <w:trHeight w:val="217"/>
        </w:trPr>
        <w:tc>
          <w:tcPr>
            <w:tcW w:w="480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operating expenses</w:t>
            </w:r>
          </w:p>
        </w:tc>
        <w:tc>
          <w:tcPr>
            <w:tcW w:w="34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1,048,199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912,414</w:t>
            </w:r>
          </w:p>
        </w:tc>
      </w:tr>
      <w:tr>
        <w:trPr>
          <w:trHeight w:val="217"/>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loss</w:t>
            </w:r>
          </w:p>
        </w:tc>
        <w:tc>
          <w:tcPr>
            <w:tcW w:w="34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(94,865)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(175,732)</w:t>
            </w:r>
          </w:p>
        </w:tc>
      </w:tr>
      <w:tr>
        <w:trPr>
          <w:trHeight w:val="204"/>
        </w:trPr>
        <w:tc>
          <w:tcPr>
            <w:tcW w:w="48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Other income (expense):</w:t>
            </w:r>
          </w:p>
        </w:tc>
        <w:tc>
          <w:tcPr>
            <w:tcW w:w="3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3"/>
        </w:trPr>
        <w:tc>
          <w:tcPr>
            <w:tcW w:w="48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904</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3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(152,852)</w:t>
            </w:r>
          </w:p>
        </w:tc>
      </w:tr>
      <w:tr>
        <w:trPr>
          <w:trHeight w:val="223"/>
        </w:trPr>
        <w:tc>
          <w:tcPr>
            <w:tcW w:w="480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3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4,409</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r>
      <w:tr>
        <w:trPr>
          <w:trHeight w:val="223"/>
        </w:trPr>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4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(11,093)</w:t>
            </w:r>
          </w:p>
        </w:tc>
      </w:tr>
      <w:tr>
        <w:trPr>
          <w:trHeight w:val="217"/>
        </w:trPr>
        <w:tc>
          <w:tcPr>
            <w:tcW w:w="480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Other income (expense), net</w:t>
            </w:r>
          </w:p>
        </w:tc>
        <w:tc>
          <w:tcPr>
            <w:tcW w:w="34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(158,605)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(159,954)</w:t>
            </w:r>
          </w:p>
        </w:tc>
      </w:tr>
      <w:tr>
        <w:trPr>
          <w:trHeight w:val="217"/>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(253,470)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(335,686)</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34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17"/>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(254,610)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(336,179)</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loss attributable to noncontrolling interests</w:t>
            </w:r>
          </w:p>
        </w:tc>
        <w:tc>
          <w:tcPr>
            <w:tcW w:w="34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55,201</w:t>
            </w:r>
          </w:p>
        </w:tc>
      </w:tr>
      <w:tr>
        <w:trPr>
          <w:trHeight w:val="217"/>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Wynn Resorts, Limited</w:t>
            </w:r>
          </w:p>
        </w:tc>
        <w:tc>
          <w:tcPr>
            <w:tcW w:w="346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(183,324)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(280,978)</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0"/>
        </w:trPr>
        <w:tc>
          <w:tcPr>
            <w:tcW w:w="48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Basic and diluted net loss per common share:</w:t>
            </w:r>
          </w:p>
        </w:tc>
        <w:tc>
          <w:tcPr>
            <w:tcW w:w="3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3"/>
        </w:trPr>
        <w:tc>
          <w:tcPr>
            <w:tcW w:w="4800" w:type="dxa"/>
            <w:vAlign w:val="bottom"/>
          </w:tcPr>
          <w:p>
            <w:pPr>
              <w:ind w:left="340"/>
              <w:spacing w:after="0"/>
              <w:rPr>
                <w:sz w:val="20"/>
                <w:szCs w:val="20"/>
                <w:color w:val="auto"/>
              </w:rPr>
            </w:pPr>
            <w:r>
              <w:rPr>
                <w:rFonts w:ascii="Arial" w:cs="Arial" w:eastAsia="Arial" w:hAnsi="Arial"/>
                <w:sz w:val="18"/>
                <w:szCs w:val="18"/>
                <w:color w:val="auto"/>
              </w:rPr>
              <w:t>Net loss attributable to Wynn Resorts, Limited:</w:t>
            </w:r>
          </w:p>
        </w:tc>
        <w:tc>
          <w:tcPr>
            <w:tcW w:w="3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4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38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3"/>
        </w:trPr>
        <w:tc>
          <w:tcPr>
            <w:tcW w:w="4800" w:type="dxa"/>
            <w:vAlign w:val="bottom"/>
          </w:tcPr>
          <w:p>
            <w:pPr>
              <w:ind w:left="660"/>
              <w:spacing w:after="0"/>
              <w:rPr>
                <w:sz w:val="20"/>
                <w:szCs w:val="20"/>
                <w:color w:val="auto"/>
              </w:rPr>
            </w:pPr>
            <w:r>
              <w:rPr>
                <w:rFonts w:ascii="Arial" w:cs="Arial" w:eastAsia="Arial" w:hAnsi="Arial"/>
                <w:sz w:val="18"/>
                <w:szCs w:val="18"/>
                <w:color w:val="auto"/>
              </w:rPr>
              <w:t>Diluted</w:t>
            </w:r>
          </w:p>
        </w:tc>
        <w:tc>
          <w:tcPr>
            <w:tcW w:w="38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24"/>
        </w:trPr>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4800" w:type="dxa"/>
            <w:vAlign w:val="bottom"/>
          </w:tcPr>
          <w:p>
            <w:pPr>
              <w:ind w:left="660"/>
              <w:spacing w:after="0"/>
              <w:rPr>
                <w:sz w:val="20"/>
                <w:szCs w:val="20"/>
                <w:color w:val="auto"/>
              </w:rPr>
            </w:pPr>
            <w:r>
              <w:rPr>
                <w:rFonts w:ascii="Arial" w:cs="Arial" w:eastAsia="Arial" w:hAnsi="Arial"/>
                <w:sz w:val="18"/>
                <w:szCs w:val="18"/>
                <w:color w:val="auto"/>
              </w:rPr>
              <w:t>Basic</w:t>
            </w:r>
          </w:p>
        </w:tc>
        <w:tc>
          <w:tcPr>
            <w:tcW w:w="3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115,030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111,020</w:t>
            </w:r>
          </w:p>
        </w:tc>
      </w:tr>
      <w:tr>
        <w:trPr>
          <w:trHeight w:val="224"/>
        </w:trPr>
        <w:tc>
          <w:tcPr>
            <w:tcW w:w="4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3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111,020</w:t>
            </w:r>
          </w:p>
        </w:tc>
      </w:tr>
      <w:tr>
        <w:trPr>
          <w:trHeight w:val="842"/>
        </w:trPr>
        <w:tc>
          <w:tcPr>
            <w:tcW w:w="4800" w:type="dxa"/>
            <w:vAlign w:val="bottom"/>
          </w:tcPr>
          <w:p>
            <w:pPr>
              <w:spacing w:after="0"/>
              <w:rPr>
                <w:sz w:val="24"/>
                <w:szCs w:val="24"/>
                <w:color w:val="auto"/>
              </w:rPr>
            </w:pPr>
          </w:p>
        </w:tc>
        <w:tc>
          <w:tcPr>
            <w:tcW w:w="3460" w:type="dxa"/>
            <w:vAlign w:val="bottom"/>
          </w:tcPr>
          <w:p>
            <w:pPr>
              <w:jc w:val="right"/>
              <w:ind w:right="2512"/>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40"/>
          </w:cols>
          <w:pgMar w:left="320" w:top="87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ATTRIBUTABLE TO WYNN RESORTS, LIMITED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ADJUSTED NET LOSS ATTRIBUTABLE TO WYNN RESORTS, LIMITED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8"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17"/>
        </w:trPr>
        <w:tc>
          <w:tcPr>
            <w:tcW w:w="82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Net loss attributable to Wynn Resorts, Limited</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(280,978)</w:t>
            </w:r>
          </w:p>
        </w:tc>
      </w:tr>
      <w:tr>
        <w:trPr>
          <w:trHeight w:val="223"/>
        </w:trPr>
        <w:tc>
          <w:tcPr>
            <w:tcW w:w="8260" w:type="dxa"/>
            <w:vAlign w:val="bottom"/>
          </w:tcPr>
          <w:p>
            <w:pPr>
              <w:ind w:left="340"/>
              <w:spacing w:after="0"/>
              <w:rPr>
                <w:sz w:val="20"/>
                <w:szCs w:val="20"/>
                <w:color w:val="auto"/>
              </w:rPr>
            </w:pPr>
            <w:r>
              <w:rPr>
                <w:rFonts w:ascii="Arial" w:cs="Arial" w:eastAsia="Arial" w:hAnsi="Arial"/>
                <w:sz w:val="18"/>
                <w:szCs w:val="18"/>
                <w:color w:val="auto"/>
              </w:rPr>
              <w:t>Pre-opening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1,627</w:t>
            </w:r>
          </w:p>
        </w:tc>
      </w:tr>
      <w:tr>
        <w:trPr>
          <w:trHeight w:val="224"/>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charges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r>
      <w:tr>
        <w:trPr>
          <w:trHeight w:val="223"/>
        </w:trPr>
        <w:tc>
          <w:tcPr>
            <w:tcW w:w="826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(4,409)</w:t>
            </w:r>
          </w:p>
        </w:tc>
      </w:tr>
      <w:tr>
        <w:trPr>
          <w:trHeight w:val="224"/>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r>
      <w:tr>
        <w:trPr>
          <w:trHeight w:val="223"/>
        </w:trPr>
        <w:tc>
          <w:tcPr>
            <w:tcW w:w="8260" w:type="dxa"/>
            <w:vAlign w:val="bottom"/>
          </w:tcPr>
          <w:p>
            <w:pPr>
              <w:ind w:left="340"/>
              <w:spacing w:after="0"/>
              <w:rPr>
                <w:sz w:val="20"/>
                <w:szCs w:val="20"/>
                <w:color w:val="auto"/>
              </w:rPr>
            </w:pPr>
            <w:r>
              <w:rPr>
                <w:rFonts w:ascii="Arial" w:cs="Arial" w:eastAsia="Arial" w:hAnsi="Arial"/>
                <w:sz w:val="18"/>
                <w:szCs w:val="18"/>
                <w:color w:val="auto"/>
              </w:rPr>
              <w:t>Foreign currency remeasurement and 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11,093</w:t>
            </w:r>
          </w:p>
        </w:tc>
      </w:tr>
      <w:tr>
        <w:trPr>
          <w:trHeight w:val="224"/>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 impact 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w:t>
            </w:r>
          </w:p>
        </w:tc>
      </w:tr>
      <w:tr>
        <w:trPr>
          <w:trHeight w:val="21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Adjusted net loss attributable to Wynn Resorts, Limited</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(139,619)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(267,996)</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loss attributable to Wynn Resorts, Limited per diluted share</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7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5"/>
              </w:rPr>
              <w:t>Three Months Ended March 31, 2022</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Pre-opening</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Depreciation and</w:t>
            </w: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Property charges</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Management and</w:t>
            </w: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1"/>
                <w:szCs w:val="11"/>
                <w:color w:val="auto"/>
              </w:rPr>
            </w:pPr>
          </w:p>
        </w:tc>
        <w:tc>
          <w:tcPr>
            <w:tcW w:w="820" w:type="dxa"/>
            <w:vAlign w:val="bottom"/>
          </w:tcPr>
          <w:p>
            <w:pPr>
              <w:jc w:val="right"/>
              <w:ind w:right="150"/>
              <w:spacing w:after="0" w:line="130" w:lineRule="exact"/>
              <w:rPr>
                <w:sz w:val="20"/>
                <w:szCs w:val="20"/>
                <w:color w:val="auto"/>
              </w:rPr>
            </w:pPr>
            <w:r>
              <w:rPr>
                <w:rFonts w:ascii="Arial" w:cs="Arial" w:eastAsia="Arial" w:hAnsi="Arial"/>
                <w:sz w:val="14"/>
                <w:szCs w:val="14"/>
                <w:b w:val="1"/>
                <w:bCs w:val="1"/>
                <w:color w:val="auto"/>
                <w:w w:val="96"/>
              </w:rPr>
              <w:t>Adjusted</w:t>
            </w:r>
          </w:p>
        </w:tc>
        <w:tc>
          <w:tcPr>
            <w:tcW w:w="0" w:type="dxa"/>
            <w:vAlign w:val="bottom"/>
          </w:tcPr>
          <w:p>
            <w:pPr>
              <w:spacing w:after="0"/>
              <w:rPr>
                <w:sz w:val="1"/>
                <w:szCs w:val="1"/>
                <w:color w:val="auto"/>
              </w:rPr>
            </w:pPr>
          </w:p>
        </w:tc>
      </w:tr>
      <w:tr>
        <w:trPr>
          <w:trHeight w:val="132"/>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84"/>
              </w:rPr>
              <w:t>expenses and</w:t>
            </w: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150"/>
              <w:spacing w:after="0" w:line="132"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license fees</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5"/>
                <w:szCs w:val="15"/>
                <w:color w:val="auto"/>
              </w:rPr>
            </w:pPr>
          </w:p>
        </w:tc>
        <w:tc>
          <w:tcPr>
            <w:tcW w:w="820" w:type="dxa"/>
            <w:vAlign w:val="bottom"/>
          </w:tcPr>
          <w:p>
            <w:pPr>
              <w:jc w:val="right"/>
              <w:ind w:right="15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5"/>
        </w:trPr>
        <w:tc>
          <w:tcPr>
            <w:tcW w:w="200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(59,501)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50,462</w:t>
            </w:r>
          </w:p>
        </w:tc>
        <w:tc>
          <w:tcPr>
            <w:tcW w:w="1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138</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5,185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1,543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1,309</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(864)</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(4,682)</w:t>
            </w: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Other Macau</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2,418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(98,264)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71,461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9,509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5,639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4,501</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(5,546)</w:t>
            </w:r>
          </w:p>
        </w:tc>
        <w:tc>
          <w:tcPr>
            <w:tcW w:w="0" w:type="dxa"/>
            <w:vAlign w:val="bottom"/>
          </w:tcPr>
          <w:p>
            <w:pPr>
              <w:spacing w:after="0"/>
              <w:rPr>
                <w:sz w:val="1"/>
                <w:szCs w:val="1"/>
                <w:color w:val="auto"/>
              </w:rPr>
            </w:pPr>
          </w:p>
        </w:tc>
      </w:tr>
      <w:tr>
        <w:trPr>
          <w:trHeight w:val="182"/>
        </w:trPr>
        <w:tc>
          <w:tcPr>
            <w:tcW w:w="20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82,930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1,397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45,602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21,027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159,378</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40,989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55,250</w:t>
            </w:r>
          </w:p>
        </w:tc>
        <w:tc>
          <w:tcPr>
            <w:tcW w:w="0" w:type="dxa"/>
            <w:vAlign w:val="bottom"/>
          </w:tcPr>
          <w:p>
            <w:pPr>
              <w:spacing w:after="0"/>
              <w:rPr>
                <w:sz w:val="1"/>
                <w:szCs w:val="1"/>
                <w:color w:val="auto"/>
              </w:rPr>
            </w:pPr>
          </w:p>
        </w:tc>
      </w:tr>
      <w:tr>
        <w:trPr>
          <w:trHeight w:val="182"/>
        </w:trPr>
        <w:tc>
          <w:tcPr>
            <w:tcW w:w="2000" w:type="dxa"/>
            <w:vAlign w:val="bottom"/>
          </w:tcPr>
          <w:p>
            <w:pPr>
              <w:ind w:left="20"/>
              <w:spacing w:after="0"/>
              <w:rPr>
                <w:sz w:val="20"/>
                <w:szCs w:val="20"/>
                <w:color w:val="auto"/>
              </w:rPr>
            </w:pPr>
            <w:r>
              <w:rPr>
                <w:rFonts w:ascii="Arial" w:cs="Arial" w:eastAsia="Arial" w:hAnsi="Arial"/>
                <w:sz w:val="14"/>
                <w:szCs w:val="14"/>
                <w:color w:val="auto"/>
              </w:rPr>
              <w:t>Wynn Interactive</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(105,035)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24,248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41,961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2,427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3,848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(31,501)</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20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(94,865)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184,556</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45,720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25,823</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13,900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177,581</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4"/>
              </w:rPr>
              <w:t>Three Months Ended March 31, 2021</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Pre-opening</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Depreciation and</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Property charges</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Management and</w:t>
            </w: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2"/>
              </w:rPr>
              <w:t>Corporate</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Stock-based</w:t>
            </w:r>
          </w:p>
        </w:tc>
        <w:tc>
          <w:tcPr>
            <w:tcW w:w="140" w:type="dxa"/>
            <w:vAlign w:val="bottom"/>
          </w:tcPr>
          <w:p>
            <w:pPr>
              <w:spacing w:after="0"/>
              <w:rPr>
                <w:sz w:val="11"/>
                <w:szCs w:val="11"/>
                <w:color w:val="auto"/>
              </w:rPr>
            </w:pPr>
          </w:p>
        </w:tc>
        <w:tc>
          <w:tcPr>
            <w:tcW w:w="820" w:type="dxa"/>
            <w:vAlign w:val="bottom"/>
          </w:tcPr>
          <w:p>
            <w:pPr>
              <w:jc w:val="right"/>
              <w:ind w:right="130"/>
              <w:spacing w:after="0" w:line="130"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2"/>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84"/>
              </w:rPr>
              <w:t>expenses and</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30"/>
              <w:spacing w:after="0" w:line="132"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license fees</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compensation</w:t>
            </w:r>
          </w:p>
        </w:tc>
        <w:tc>
          <w:tcPr>
            <w:tcW w:w="140" w:type="dxa"/>
            <w:vAlign w:val="bottom"/>
          </w:tcPr>
          <w:p>
            <w:pPr>
              <w:spacing w:after="0"/>
              <w:rPr>
                <w:sz w:val="15"/>
                <w:szCs w:val="15"/>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5"/>
        </w:trPr>
        <w:tc>
          <w:tcPr>
            <w:tcW w:w="200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(54,788)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414</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67,010</w:t>
            </w:r>
          </w:p>
        </w:tc>
        <w:tc>
          <w:tcPr>
            <w:tcW w:w="10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2,174</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8,178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1,178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3,203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27,369</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4,578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16,556</w:t>
            </w: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Other Macau</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604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(75,010)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89,582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2,436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14,033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4,085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8,385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43,925</w:t>
            </w:r>
          </w:p>
        </w:tc>
        <w:tc>
          <w:tcPr>
            <w:tcW w:w="0" w:type="dxa"/>
            <w:vAlign w:val="bottom"/>
          </w:tcPr>
          <w:p>
            <w:pPr>
              <w:spacing w:after="0"/>
              <w:rPr>
                <w:sz w:val="1"/>
                <w:szCs w:val="1"/>
                <w:color w:val="auto"/>
              </w:rPr>
            </w:pPr>
          </w:p>
        </w:tc>
      </w:tr>
      <w:tr>
        <w:trPr>
          <w:trHeight w:val="182"/>
        </w:trPr>
        <w:tc>
          <w:tcPr>
            <w:tcW w:w="20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(40,006)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48,103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8,608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3,024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28,081</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622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30,363</w:t>
            </w:r>
          </w:p>
        </w:tc>
        <w:tc>
          <w:tcPr>
            <w:tcW w:w="0" w:type="dxa"/>
            <w:vAlign w:val="bottom"/>
          </w:tcPr>
          <w:p>
            <w:pPr>
              <w:spacing w:after="0"/>
              <w:rPr>
                <w:sz w:val="1"/>
                <w:szCs w:val="1"/>
                <w:color w:val="auto"/>
              </w:rPr>
            </w:pPr>
          </w:p>
        </w:tc>
      </w:tr>
      <w:tr>
        <w:trPr>
          <w:trHeight w:val="182"/>
        </w:trPr>
        <w:tc>
          <w:tcPr>
            <w:tcW w:w="2000" w:type="dxa"/>
            <w:vAlign w:val="bottom"/>
          </w:tcPr>
          <w:p>
            <w:pPr>
              <w:ind w:left="20"/>
              <w:spacing w:after="0"/>
              <w:rPr>
                <w:sz w:val="20"/>
                <w:szCs w:val="20"/>
                <w:color w:val="auto"/>
              </w:rPr>
            </w:pPr>
            <w:r>
              <w:rPr>
                <w:rFonts w:ascii="Arial" w:cs="Arial" w:eastAsia="Arial" w:hAnsi="Arial"/>
                <w:sz w:val="14"/>
                <w:szCs w:val="14"/>
                <w:color w:val="auto"/>
              </w:rPr>
              <w:t>Wynn Interactive</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(54,758)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4,125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(43,469)</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(28,878)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8,190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200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(175,732)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185,121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5,617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17,921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24,346</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58,900</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ATTRIBUTABLE TO WYNN RESORTS, LIMITED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PROPERTY EBITDA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5"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17"/>
        </w:trPr>
        <w:tc>
          <w:tcPr>
            <w:tcW w:w="82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Net loss attributable to Wynn Resorts, Limited</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(280,978)</w:t>
            </w:r>
          </w:p>
        </w:tc>
      </w:tr>
      <w:tr>
        <w:trPr>
          <w:trHeight w:val="223"/>
        </w:trPr>
        <w:tc>
          <w:tcPr>
            <w:tcW w:w="8260" w:type="dxa"/>
            <w:vAlign w:val="bottom"/>
          </w:tcPr>
          <w:p>
            <w:pPr>
              <w:ind w:left="340"/>
              <w:spacing w:after="0"/>
              <w:rPr>
                <w:sz w:val="20"/>
                <w:szCs w:val="20"/>
                <w:color w:val="auto"/>
              </w:rPr>
            </w:pPr>
            <w:r>
              <w:rPr>
                <w:rFonts w:ascii="Arial" w:cs="Arial" w:eastAsia="Arial" w:hAnsi="Arial"/>
                <w:sz w:val="18"/>
                <w:szCs w:val="18"/>
                <w:color w:val="auto"/>
              </w:rPr>
              <w:t>Net loss attributable to noncontrolling interests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(55,201)</w:t>
            </w:r>
          </w:p>
        </w:tc>
      </w:tr>
      <w:tr>
        <w:trPr>
          <w:trHeight w:val="224"/>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r>
      <w:tr>
        <w:trPr>
          <w:trHeight w:val="223"/>
        </w:trPr>
        <w:tc>
          <w:tcPr>
            <w:tcW w:w="82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185,121</w:t>
            </w:r>
          </w:p>
        </w:tc>
      </w:tr>
      <w:tr>
        <w:trPr>
          <w:trHeight w:val="224"/>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charges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w:t>
            </w:r>
          </w:p>
        </w:tc>
      </w:tr>
      <w:tr>
        <w:trPr>
          <w:trHeight w:val="223"/>
        </w:trPr>
        <w:tc>
          <w:tcPr>
            <w:tcW w:w="8260" w:type="dxa"/>
            <w:vAlign w:val="bottom"/>
          </w:tcPr>
          <w:p>
            <w:pPr>
              <w:ind w:left="340"/>
              <w:spacing w:after="0"/>
              <w:rPr>
                <w:sz w:val="20"/>
                <w:szCs w:val="20"/>
                <w:color w:val="auto"/>
              </w:rPr>
            </w:pPr>
            <w:r>
              <w:rPr>
                <w:rFonts w:ascii="Arial" w:cs="Arial" w:eastAsia="Arial" w:hAnsi="Arial"/>
                <w:sz w:val="18"/>
                <w:szCs w:val="18"/>
                <w:color w:val="auto"/>
              </w:rPr>
              <w:t>Corporate expenses and 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17,921</w:t>
            </w:r>
          </w:p>
        </w:tc>
      </w:tr>
      <w:tr>
        <w:trPr>
          <w:trHeight w:val="224"/>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24,346</w:t>
            </w:r>
          </w:p>
        </w:tc>
      </w:tr>
      <w:tr>
        <w:trPr>
          <w:trHeight w:val="223"/>
        </w:trPr>
        <w:tc>
          <w:tcPr>
            <w:tcW w:w="82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(904)</w:t>
            </w:r>
          </w:p>
        </w:tc>
      </w:tr>
      <w:tr>
        <w:trPr>
          <w:trHeight w:val="224"/>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152,852</w:t>
            </w:r>
          </w:p>
        </w:tc>
      </w:tr>
      <w:tr>
        <w:trPr>
          <w:trHeight w:val="223"/>
        </w:trPr>
        <w:tc>
          <w:tcPr>
            <w:tcW w:w="826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(4,409)</w:t>
            </w:r>
          </w:p>
        </w:tc>
      </w:tr>
      <w:tr>
        <w:trPr>
          <w:trHeight w:val="224"/>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r>
      <w:tr>
        <w:trPr>
          <w:trHeight w:val="223"/>
        </w:trPr>
        <w:tc>
          <w:tcPr>
            <w:tcW w:w="8260" w:type="dxa"/>
            <w:vAlign w:val="bottom"/>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11,093</w:t>
            </w:r>
          </w:p>
        </w:tc>
      </w:tr>
      <w:tr>
        <w:trPr>
          <w:trHeight w:val="224"/>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1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177,581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58,900</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7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4"/>
        </w:trPr>
        <w:tc>
          <w:tcPr>
            <w:tcW w:w="6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77"/>
        </w:trPr>
        <w:tc>
          <w:tcPr>
            <w:tcW w:w="67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7"/>
              </w:rPr>
              <w:t>Percent Change</w:t>
            </w:r>
          </w:p>
        </w:tc>
      </w:tr>
      <w:tr>
        <w:trPr>
          <w:trHeight w:val="204"/>
        </w:trPr>
        <w:tc>
          <w:tcPr>
            <w:tcW w:w="67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Wynn Palace Supplemental Information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7"/>
        </w:trPr>
        <w:tc>
          <w:tcPr>
            <w:tcW w:w="676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114,413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185,909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r>
      <w:tr>
        <w:trPr>
          <w:trHeight w:val="207"/>
        </w:trPr>
        <w:tc>
          <w:tcPr>
            <w:tcW w:w="6760" w:type="dxa"/>
            <w:vAlign w:val="bottom"/>
          </w:tcPr>
          <w:p>
            <w:pPr>
              <w:ind w:left="340"/>
              <w:spacing w:after="0"/>
              <w:rPr>
                <w:sz w:val="20"/>
                <w:szCs w:val="20"/>
                <w:color w:val="auto"/>
              </w:rPr>
            </w:pPr>
            <w:r>
              <w:rPr>
                <w:rFonts w:ascii="Arial" w:cs="Arial" w:eastAsia="Arial" w:hAnsi="Arial"/>
                <w:sz w:val="16"/>
                <w:szCs w:val="16"/>
                <w:color w:val="auto"/>
              </w:rPr>
              <w:t>Rooms</w:t>
            </w:r>
          </w:p>
        </w:tc>
        <w:tc>
          <w:tcPr>
            <w:tcW w:w="36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13,831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17,012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14"/>
        </w:trPr>
        <w:tc>
          <w:tcPr>
            <w:tcW w:w="6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11,443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11,672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Entertainment, retail and other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23,638</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22,733</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07"/>
        </w:trPr>
        <w:tc>
          <w:tcPr>
            <w:tcW w:w="67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163,325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237,326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(31.2)</w:t>
            </w:r>
          </w:p>
        </w:tc>
      </w:tr>
      <w:tr>
        <w:trPr>
          <w:trHeight w:val="250"/>
        </w:trPr>
        <w:tc>
          <w:tcPr>
            <w:tcW w:w="6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4"/>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(6)</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(864)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27,369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NM</w:t>
            </w:r>
          </w:p>
        </w:tc>
      </w:tr>
      <w:tr>
        <w:trPr>
          <w:trHeight w:val="250"/>
        </w:trPr>
        <w:tc>
          <w:tcPr>
            <w:tcW w:w="6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1"/>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7"/>
        </w:trPr>
        <w:tc>
          <w:tcPr>
            <w:tcW w:w="6760" w:type="dxa"/>
            <w:vAlign w:val="bottom"/>
          </w:tcPr>
          <w:p>
            <w:pPr>
              <w:ind w:left="340"/>
              <w:spacing w:after="0"/>
              <w:rPr>
                <w:sz w:val="20"/>
                <w:szCs w:val="20"/>
                <w:color w:val="auto"/>
              </w:rPr>
            </w:pPr>
            <w:r>
              <w:rPr>
                <w:rFonts w:ascii="Arial" w:cs="Arial" w:eastAsia="Arial" w:hAnsi="Arial"/>
                <w:sz w:val="16"/>
                <w:szCs w:val="16"/>
                <w:color w:val="auto"/>
              </w:rPr>
              <w:t>VIP:</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07"/>
        </w:trPr>
        <w:tc>
          <w:tcPr>
            <w:tcW w:w="6760" w:type="dxa"/>
            <w:vAlign w:val="bottom"/>
          </w:tcPr>
          <w:p>
            <w:pPr>
              <w:ind w:left="540"/>
              <w:spacing w:after="0"/>
              <w:rPr>
                <w:sz w:val="20"/>
                <w:szCs w:val="20"/>
                <w:color w:val="auto"/>
              </w:rPr>
            </w:pPr>
            <w:r>
              <w:rPr>
                <w:rFonts w:ascii="Arial" w:cs="Arial" w:eastAsia="Arial" w:hAnsi="Arial"/>
                <w:sz w:val="16"/>
                <w:szCs w:val="16"/>
                <w:color w:val="auto"/>
              </w:rPr>
              <w:t>VIP turnover</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965,555</w:t>
            </w:r>
          </w:p>
        </w:tc>
        <w:tc>
          <w:tcPr>
            <w:tcW w:w="100" w:type="dxa"/>
            <w:vAlign w:val="bottom"/>
          </w:tcPr>
          <w:p>
            <w:pPr>
              <w:spacing w:after="0"/>
              <w:rPr>
                <w:sz w:val="18"/>
                <w:szCs w:val="18"/>
                <w:color w:val="auto"/>
              </w:rPr>
            </w:pPr>
          </w:p>
        </w:tc>
        <w:tc>
          <w:tcPr>
            <w:tcW w:w="620" w:type="dxa"/>
            <w:vAlign w:val="bottom"/>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2,200,182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(56.1)</w:t>
            </w:r>
          </w:p>
        </w:tc>
      </w:tr>
      <w:tr>
        <w:trPr>
          <w:trHeight w:val="214"/>
        </w:trPr>
        <w:tc>
          <w:tcPr>
            <w:tcW w:w="6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VIP table games win </w:t>
            </w:r>
            <w:r>
              <w:rPr>
                <w:rFonts w:ascii="Arial" w:cs="Arial" w:eastAsia="Arial" w:hAnsi="Arial"/>
                <w:sz w:val="14"/>
                <w:szCs w:val="14"/>
                <w:color w:val="auto"/>
              </w:rPr>
              <w:t>(1)</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19,753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96,456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07"/>
        </w:trPr>
        <w:tc>
          <w:tcPr>
            <w:tcW w:w="6760" w:type="dxa"/>
            <w:vAlign w:val="bottom"/>
          </w:tcPr>
          <w:p>
            <w:pPr>
              <w:ind w:left="540"/>
              <w:spacing w:after="0"/>
              <w:rPr>
                <w:sz w:val="20"/>
                <w:szCs w:val="20"/>
                <w:color w:val="auto"/>
              </w:rPr>
            </w:pPr>
            <w:r>
              <w:rPr>
                <w:rFonts w:ascii="Arial" w:cs="Arial" w:eastAsia="Arial" w:hAnsi="Arial"/>
                <w:sz w:val="16"/>
                <w:szCs w:val="16"/>
                <w:color w:val="auto"/>
              </w:rPr>
              <w:t>VIP table games win as a % of turnover</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4.38 %</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3,280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10,375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r>
      <w:tr>
        <w:trPr>
          <w:trHeight w:val="207"/>
        </w:trPr>
        <w:tc>
          <w:tcPr>
            <w:tcW w:w="6760" w:type="dxa"/>
            <w:vAlign w:val="bottom"/>
          </w:tcPr>
          <w:p>
            <w:pPr>
              <w:ind w:left="340"/>
              <w:spacing w:after="0"/>
              <w:rPr>
                <w:sz w:val="20"/>
                <w:szCs w:val="20"/>
                <w:color w:val="auto"/>
              </w:rPr>
            </w:pPr>
            <w:r>
              <w:rPr>
                <w:rFonts w:ascii="Arial" w:cs="Arial" w:eastAsia="Arial" w:hAnsi="Arial"/>
                <w:sz w:val="16"/>
                <w:szCs w:val="16"/>
                <w:color w:val="auto"/>
              </w:rPr>
              <w:t>Mass market:</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07"/>
        </w:trPr>
        <w:tc>
          <w:tcPr>
            <w:tcW w:w="6760" w:type="dxa"/>
            <w:vAlign w:val="bottom"/>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531,859</w:t>
            </w:r>
          </w:p>
        </w:tc>
        <w:tc>
          <w:tcPr>
            <w:tcW w:w="100" w:type="dxa"/>
            <w:vAlign w:val="bottom"/>
          </w:tcPr>
          <w:p>
            <w:pPr>
              <w:spacing w:after="0"/>
              <w:rPr>
                <w:sz w:val="18"/>
                <w:szCs w:val="18"/>
                <w:color w:val="auto"/>
              </w:rPr>
            </w:pPr>
          </w:p>
        </w:tc>
        <w:tc>
          <w:tcPr>
            <w:tcW w:w="620" w:type="dxa"/>
            <w:vAlign w:val="bottom"/>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607,518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14"/>
        </w:trPr>
        <w:tc>
          <w:tcPr>
            <w:tcW w:w="6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111,175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131,649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07"/>
        </w:trPr>
        <w:tc>
          <w:tcPr>
            <w:tcW w:w="6760" w:type="dxa"/>
            <w:vAlign w:val="bottom"/>
          </w:tcPr>
          <w:p>
            <w:pPr>
              <w:ind w:left="540"/>
              <w:spacing w:after="0"/>
              <w:rPr>
                <w:sz w:val="20"/>
                <w:szCs w:val="20"/>
                <w:color w:val="auto"/>
              </w:rPr>
            </w:pPr>
            <w:r>
              <w:rPr>
                <w:rFonts w:ascii="Arial" w:cs="Arial" w:eastAsia="Arial" w:hAnsi="Arial"/>
                <w:sz w:val="16"/>
                <w:szCs w:val="16"/>
                <w:color w:val="auto"/>
              </w:rPr>
              <w:t>Table games win %</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20.9 %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21.7 %</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5,282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6,596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07"/>
        </w:trPr>
        <w:tc>
          <w:tcPr>
            <w:tcW w:w="6760" w:type="dxa"/>
            <w:vAlign w:val="bottom"/>
          </w:tcPr>
          <w:p>
            <w:pPr>
              <w:ind w:left="540"/>
              <w:spacing w:after="0"/>
              <w:rPr>
                <w:sz w:val="20"/>
                <w:szCs w:val="20"/>
                <w:color w:val="auto"/>
              </w:rPr>
            </w:pPr>
            <w:r>
              <w:rPr>
                <w:rFonts w:ascii="Arial" w:cs="Arial" w:eastAsia="Arial" w:hAnsi="Arial"/>
                <w:sz w:val="16"/>
                <w:szCs w:val="16"/>
                <w:color w:val="auto"/>
              </w:rPr>
              <w:t>Average number of slot machines</w:t>
            </w:r>
          </w:p>
        </w:tc>
        <w:tc>
          <w:tcPr>
            <w:tcW w:w="36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4"/>
        </w:trPr>
        <w:tc>
          <w:tcPr>
            <w:tcW w:w="6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Slot machine handle</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250,930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358,772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07"/>
        </w:trPr>
        <w:tc>
          <w:tcPr>
            <w:tcW w:w="6760" w:type="dxa"/>
            <w:vAlign w:val="bottom"/>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12,649</w:t>
            </w:r>
          </w:p>
        </w:tc>
        <w:tc>
          <w:tcPr>
            <w:tcW w:w="100" w:type="dxa"/>
            <w:vAlign w:val="bottom"/>
          </w:tcPr>
          <w:p>
            <w:pPr>
              <w:spacing w:after="0"/>
              <w:rPr>
                <w:sz w:val="18"/>
                <w:szCs w:val="18"/>
                <w:color w:val="auto"/>
              </w:rPr>
            </w:pPr>
          </w:p>
        </w:tc>
        <w:tc>
          <w:tcPr>
            <w:tcW w:w="620" w:type="dxa"/>
            <w:vAlign w:val="bottom"/>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14,243</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4"/>
        </w:trPr>
        <w:tc>
          <w:tcPr>
            <w:tcW w:w="6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Slot machine win per unit per day</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07"/>
        </w:trPr>
        <w:tc>
          <w:tcPr>
            <w:tcW w:w="6760" w:type="dxa"/>
            <w:vAlign w:val="bottom"/>
          </w:tcPr>
          <w:p>
            <w:pPr>
              <w:ind w:left="220"/>
              <w:spacing w:after="0"/>
              <w:rPr>
                <w:sz w:val="20"/>
                <w:szCs w:val="20"/>
                <w:color w:val="auto"/>
              </w:rPr>
            </w:pPr>
            <w:r>
              <w:rPr>
                <w:rFonts w:ascii="Arial" w:cs="Arial" w:eastAsia="Arial" w:hAnsi="Arial"/>
                <w:sz w:val="16"/>
                <w:szCs w:val="16"/>
                <w:color w:val="auto"/>
              </w:rPr>
              <w:t>Room statistics: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60.4%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7"/>
        </w:trPr>
        <w:tc>
          <w:tcPr>
            <w:tcW w:w="6760" w:type="dxa"/>
            <w:vAlign w:val="bottom"/>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620" w:type="dxa"/>
            <w:vAlign w:val="bottom"/>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4"/>
        </w:trPr>
        <w:tc>
          <w:tcPr>
            <w:tcW w:w="67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Note: The results of operations of Wynn Palace for the three months ended March 31, 2022 and 2021 were negatively impacted by certain travel-related restrictions and conditions, including COVID-19 testing and other mitigation procedures, related to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7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(continued)</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4"/>
        </w:trPr>
        <w:tc>
          <w:tcPr>
            <w:tcW w:w="66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77"/>
        </w:trPr>
        <w:tc>
          <w:tcPr>
            <w:tcW w:w="66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7"/>
              </w:rPr>
              <w:t>Percent Change</w:t>
            </w:r>
          </w:p>
        </w:tc>
      </w:tr>
      <w:tr>
        <w:trPr>
          <w:trHeight w:val="204"/>
        </w:trPr>
        <w:tc>
          <w:tcPr>
            <w:tcW w:w="66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Wynn Macau Supplemental Information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7"/>
        </w:trPr>
        <w:tc>
          <w:tcPr>
            <w:tcW w:w="668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102,430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138,927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07"/>
        </w:trPr>
        <w:tc>
          <w:tcPr>
            <w:tcW w:w="6680" w:type="dxa"/>
            <w:vAlign w:val="bottom"/>
          </w:tcPr>
          <w:p>
            <w:pPr>
              <w:ind w:left="340"/>
              <w:spacing w:after="0"/>
              <w:rPr>
                <w:sz w:val="20"/>
                <w:szCs w:val="20"/>
                <w:color w:val="auto"/>
              </w:rPr>
            </w:pPr>
            <w:r>
              <w:rPr>
                <w:rFonts w:ascii="Arial" w:cs="Arial" w:eastAsia="Arial" w:hAnsi="Arial"/>
                <w:sz w:val="16"/>
                <w:szCs w:val="16"/>
                <w:color w:val="auto"/>
              </w:rPr>
              <w:t>Rooms</w:t>
            </w:r>
          </w:p>
        </w:tc>
        <w:tc>
          <w:tcPr>
            <w:tcW w:w="36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9,390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14,702</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14"/>
        </w:trPr>
        <w:tc>
          <w:tcPr>
            <w:tcW w:w="6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8,386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7,433</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w:t>
            </w:r>
          </w:p>
        </w:tc>
      </w:tr>
      <w:tr>
        <w:trPr>
          <w:trHeight w:val="207"/>
        </w:trPr>
        <w:tc>
          <w:tcPr>
            <w:tcW w:w="66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Entertainment, retail and other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14,894</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18,589</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r>
      <w:tr>
        <w:trPr>
          <w:trHeight w:val="207"/>
        </w:trPr>
        <w:tc>
          <w:tcPr>
            <w:tcW w:w="66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135,100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179,651</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(24.8)</w:t>
            </w:r>
          </w:p>
        </w:tc>
      </w:tr>
      <w:tr>
        <w:trPr>
          <w:trHeight w:val="263"/>
        </w:trPr>
        <w:tc>
          <w:tcPr>
            <w:tcW w:w="6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4"/>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(6)</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(4,682)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16,556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NM</w:t>
            </w:r>
          </w:p>
        </w:tc>
      </w:tr>
      <w:tr>
        <w:trPr>
          <w:trHeight w:val="263"/>
        </w:trPr>
        <w:tc>
          <w:tcPr>
            <w:tcW w:w="6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1"/>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7"/>
        </w:trPr>
        <w:tc>
          <w:tcPr>
            <w:tcW w:w="6680" w:type="dxa"/>
            <w:vAlign w:val="bottom"/>
          </w:tcPr>
          <w:p>
            <w:pPr>
              <w:ind w:left="340"/>
              <w:spacing w:after="0"/>
              <w:rPr>
                <w:sz w:val="20"/>
                <w:szCs w:val="20"/>
                <w:color w:val="auto"/>
              </w:rPr>
            </w:pPr>
            <w:r>
              <w:rPr>
                <w:rFonts w:ascii="Arial" w:cs="Arial" w:eastAsia="Arial" w:hAnsi="Arial"/>
                <w:sz w:val="16"/>
                <w:szCs w:val="16"/>
                <w:color w:val="auto"/>
              </w:rPr>
              <w:t>VIP:</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Average number of table games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r>
      <w:tr>
        <w:trPr>
          <w:trHeight w:val="207"/>
        </w:trPr>
        <w:tc>
          <w:tcPr>
            <w:tcW w:w="6680" w:type="dxa"/>
            <w:vAlign w:val="bottom"/>
          </w:tcPr>
          <w:p>
            <w:pPr>
              <w:ind w:left="520"/>
              <w:spacing w:after="0"/>
              <w:rPr>
                <w:sz w:val="20"/>
                <w:szCs w:val="20"/>
                <w:color w:val="auto"/>
              </w:rPr>
            </w:pPr>
            <w:r>
              <w:rPr>
                <w:rFonts w:ascii="Arial" w:cs="Arial" w:eastAsia="Arial" w:hAnsi="Arial"/>
                <w:sz w:val="16"/>
                <w:szCs w:val="16"/>
                <w:color w:val="auto"/>
              </w:rPr>
              <w:t>VIP turnover</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887,051</w:t>
            </w:r>
          </w:p>
        </w:tc>
        <w:tc>
          <w:tcPr>
            <w:tcW w:w="120" w:type="dxa"/>
            <w:vAlign w:val="bottom"/>
          </w:tcPr>
          <w:p>
            <w:pPr>
              <w:spacing w:after="0"/>
              <w:rPr>
                <w:sz w:val="18"/>
                <w:szCs w:val="18"/>
                <w:color w:val="auto"/>
              </w:rPr>
            </w:pP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1,804,382</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(50.8)</w:t>
            </w:r>
          </w:p>
        </w:tc>
      </w:tr>
      <w:tr>
        <w:trPr>
          <w:trHeight w:val="214"/>
        </w:trPr>
        <w:tc>
          <w:tcPr>
            <w:tcW w:w="6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 xml:space="preserve">VIP table games win </w:t>
            </w:r>
            <w:r>
              <w:rPr>
                <w:rFonts w:ascii="Arial" w:cs="Arial" w:eastAsia="Arial" w:hAnsi="Arial"/>
                <w:sz w:val="14"/>
                <w:szCs w:val="14"/>
                <w:color w:val="auto"/>
              </w:rPr>
              <w:t>(1)</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34,029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58,635</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r>
      <w:tr>
        <w:trPr>
          <w:trHeight w:val="207"/>
        </w:trPr>
        <w:tc>
          <w:tcPr>
            <w:tcW w:w="6680" w:type="dxa"/>
            <w:vAlign w:val="bottom"/>
          </w:tcPr>
          <w:p>
            <w:pPr>
              <w:ind w:left="520"/>
              <w:spacing w:after="0"/>
              <w:rPr>
                <w:sz w:val="20"/>
                <w:szCs w:val="20"/>
                <w:color w:val="auto"/>
              </w:rPr>
            </w:pPr>
            <w:r>
              <w:rPr>
                <w:rFonts w:ascii="Arial" w:cs="Arial" w:eastAsia="Arial" w:hAnsi="Arial"/>
                <w:sz w:val="16"/>
                <w:szCs w:val="16"/>
                <w:color w:val="auto"/>
              </w:rPr>
              <w:t>VIP table games win as a % of turnover</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3.84 %</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3.25 %</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Table games win per unit per day</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10,823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7,239</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49.5</w:t>
            </w:r>
          </w:p>
        </w:tc>
      </w:tr>
      <w:tr>
        <w:trPr>
          <w:trHeight w:val="207"/>
        </w:trPr>
        <w:tc>
          <w:tcPr>
            <w:tcW w:w="6680" w:type="dxa"/>
            <w:vAlign w:val="bottom"/>
          </w:tcPr>
          <w:p>
            <w:pPr>
              <w:ind w:left="340"/>
              <w:spacing w:after="0"/>
              <w:rPr>
                <w:sz w:val="20"/>
                <w:szCs w:val="20"/>
                <w:color w:val="auto"/>
              </w:rPr>
            </w:pPr>
            <w:r>
              <w:rPr>
                <w:rFonts w:ascii="Arial" w:cs="Arial" w:eastAsia="Arial" w:hAnsi="Arial"/>
                <w:sz w:val="16"/>
                <w:szCs w:val="16"/>
                <w:color w:val="auto"/>
              </w:rPr>
              <w:t>Mass market:</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Average number of table games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r>
      <w:tr>
        <w:trPr>
          <w:trHeight w:val="207"/>
        </w:trPr>
        <w:tc>
          <w:tcPr>
            <w:tcW w:w="6680" w:type="dxa"/>
            <w:vAlign w:val="bottom"/>
          </w:tcPr>
          <w:p>
            <w:pPr>
              <w:ind w:left="52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469,138</w:t>
            </w:r>
          </w:p>
        </w:tc>
        <w:tc>
          <w:tcPr>
            <w:tcW w:w="120" w:type="dxa"/>
            <w:vAlign w:val="bottom"/>
          </w:tcPr>
          <w:p>
            <w:pPr>
              <w:spacing w:after="0"/>
              <w:rPr>
                <w:sz w:val="18"/>
                <w:szCs w:val="18"/>
                <w:color w:val="auto"/>
              </w:rPr>
            </w:pP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590,890</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4"/>
        </w:trPr>
        <w:tc>
          <w:tcPr>
            <w:tcW w:w="6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82,259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105,183</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07"/>
        </w:trPr>
        <w:tc>
          <w:tcPr>
            <w:tcW w:w="6680" w:type="dxa"/>
            <w:vAlign w:val="bottom"/>
          </w:tcPr>
          <w:p>
            <w:pPr>
              <w:ind w:left="520"/>
              <w:spacing w:after="0"/>
              <w:rPr>
                <w:sz w:val="20"/>
                <w:szCs w:val="20"/>
                <w:color w:val="auto"/>
              </w:rPr>
            </w:pPr>
            <w:r>
              <w:rPr>
                <w:rFonts w:ascii="Arial" w:cs="Arial" w:eastAsia="Arial" w:hAnsi="Arial"/>
                <w:sz w:val="16"/>
                <w:szCs w:val="16"/>
                <w:color w:val="auto"/>
              </w:rPr>
              <w:t>Table games win %</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17.5 %</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17.8 %</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Table games win per unit per day</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3,680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4,871</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07"/>
        </w:trPr>
        <w:tc>
          <w:tcPr>
            <w:tcW w:w="6680" w:type="dxa"/>
            <w:vAlign w:val="bottom"/>
          </w:tcPr>
          <w:p>
            <w:pPr>
              <w:ind w:left="520"/>
              <w:spacing w:after="0"/>
              <w:rPr>
                <w:sz w:val="20"/>
                <w:szCs w:val="20"/>
                <w:color w:val="auto"/>
              </w:rPr>
            </w:pPr>
            <w:r>
              <w:rPr>
                <w:rFonts w:ascii="Arial" w:cs="Arial" w:eastAsia="Arial" w:hAnsi="Arial"/>
                <w:sz w:val="16"/>
                <w:szCs w:val="16"/>
                <w:color w:val="auto"/>
              </w:rPr>
              <w:t>Average number of slot machines</w:t>
            </w:r>
          </w:p>
        </w:tc>
        <w:tc>
          <w:tcPr>
            <w:tcW w:w="360" w:type="dxa"/>
            <w:vAlign w:val="bottom"/>
          </w:tcPr>
          <w:p>
            <w:pPr>
              <w:spacing w:after="0"/>
              <w:rPr>
                <w:sz w:val="18"/>
                <w:szCs w:val="18"/>
                <w:color w:val="auto"/>
              </w:rPr>
            </w:pP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2.8</w:t>
            </w:r>
          </w:p>
        </w:tc>
      </w:tr>
      <w:tr>
        <w:trPr>
          <w:trHeight w:val="214"/>
        </w:trPr>
        <w:tc>
          <w:tcPr>
            <w:tcW w:w="6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Slot machine handle</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283,539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301,271</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07"/>
        </w:trPr>
        <w:tc>
          <w:tcPr>
            <w:tcW w:w="6680" w:type="dxa"/>
            <w:vAlign w:val="bottom"/>
          </w:tcPr>
          <w:p>
            <w:pPr>
              <w:ind w:left="52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10,611</w:t>
            </w:r>
          </w:p>
        </w:tc>
        <w:tc>
          <w:tcPr>
            <w:tcW w:w="120" w:type="dxa"/>
            <w:vAlign w:val="bottom"/>
          </w:tcPr>
          <w:p>
            <w:pPr>
              <w:spacing w:after="0"/>
              <w:rPr>
                <w:sz w:val="18"/>
                <w:szCs w:val="18"/>
                <w:color w:val="auto"/>
              </w:rPr>
            </w:pP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10,208</w:t>
            </w:r>
          </w:p>
        </w:tc>
        <w:tc>
          <w:tcPr>
            <w:tcW w:w="1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3.9</w:t>
            </w:r>
          </w:p>
        </w:tc>
      </w:tr>
      <w:tr>
        <w:trPr>
          <w:trHeight w:val="214"/>
        </w:trPr>
        <w:tc>
          <w:tcPr>
            <w:tcW w:w="6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Slot machine win per unit per day</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r>
      <w:tr>
        <w:trPr>
          <w:trHeight w:val="207"/>
        </w:trPr>
        <w:tc>
          <w:tcPr>
            <w:tcW w:w="6680" w:type="dxa"/>
            <w:vAlign w:val="bottom"/>
          </w:tcPr>
          <w:p>
            <w:pPr>
              <w:ind w:left="220"/>
              <w:spacing w:after="0"/>
              <w:rPr>
                <w:sz w:val="20"/>
                <w:szCs w:val="20"/>
                <w:color w:val="auto"/>
              </w:rPr>
            </w:pPr>
            <w:r>
              <w:rPr>
                <w:rFonts w:ascii="Arial" w:cs="Arial" w:eastAsia="Arial" w:hAnsi="Arial"/>
                <w:sz w:val="16"/>
                <w:szCs w:val="16"/>
                <w:color w:val="auto"/>
              </w:rPr>
              <w:t>Room statistics: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Occupancy</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49.8%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7"/>
        </w:trPr>
        <w:tc>
          <w:tcPr>
            <w:tcW w:w="6680" w:type="dxa"/>
            <w:vAlign w:val="bottom"/>
          </w:tcPr>
          <w:p>
            <w:pPr>
              <w:ind w:left="52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2"/>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8"/>
                <w:szCs w:val="18"/>
                <w:color w:val="auto"/>
              </w:rPr>
            </w:pP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14"/>
        </w:trPr>
        <w:tc>
          <w:tcPr>
            <w:tcW w:w="66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Note: The results of operations of Wynn Macau for the three months ended March 31, 2022 and 2021 were negatively impacted by certain travel-related restrictions and conditions, including COVID-19 testing and other mitigation procedures, related to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7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(continued)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4"/>
                <w:szCs w:val="14"/>
                <w:color w:val="auto"/>
              </w:rPr>
            </w:pPr>
          </w:p>
        </w:tc>
      </w:tr>
      <w:tr>
        <w:trPr>
          <w:trHeight w:val="184"/>
        </w:trPr>
        <w:tc>
          <w:tcPr>
            <w:tcW w:w="6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7"/>
        </w:trPr>
        <w:tc>
          <w:tcPr>
            <w:tcW w:w="69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9"/>
              </w:rPr>
              <w:t>Percent Change</w:t>
            </w:r>
          </w:p>
        </w:tc>
      </w:tr>
      <w:tr>
        <w:trPr>
          <w:trHeight w:val="204"/>
        </w:trPr>
        <w:tc>
          <w:tcPr>
            <w:tcW w:w="69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Las Vegas Operations Supplemental Information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7"/>
        </w:trPr>
        <w:tc>
          <w:tcPr>
            <w:tcW w:w="696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124,271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79,903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r>
      <w:tr>
        <w:trPr>
          <w:trHeight w:val="207"/>
        </w:trPr>
        <w:tc>
          <w:tcPr>
            <w:tcW w:w="6960" w:type="dxa"/>
            <w:vAlign w:val="bottom"/>
          </w:tcPr>
          <w:p>
            <w:pPr>
              <w:ind w:left="340"/>
              <w:spacing w:after="0"/>
              <w:rPr>
                <w:sz w:val="20"/>
                <w:szCs w:val="20"/>
                <w:color w:val="auto"/>
              </w:rPr>
            </w:pPr>
            <w:r>
              <w:rPr>
                <w:rFonts w:ascii="Arial" w:cs="Arial" w:eastAsia="Arial" w:hAnsi="Arial"/>
                <w:sz w:val="16"/>
                <w:szCs w:val="16"/>
                <w:color w:val="auto"/>
              </w:rPr>
              <w:t>Rooms</w:t>
            </w:r>
          </w:p>
        </w:tc>
        <w:tc>
          <w:tcPr>
            <w:tcW w:w="34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131,466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39,761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230.6</w:t>
            </w:r>
          </w:p>
        </w:tc>
      </w:tr>
      <w:tr>
        <w:trPr>
          <w:trHeight w:val="214"/>
        </w:trPr>
        <w:tc>
          <w:tcPr>
            <w:tcW w:w="6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136,029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40,077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w:t>
            </w:r>
          </w:p>
        </w:tc>
      </w:tr>
      <w:tr>
        <w:trPr>
          <w:trHeight w:val="207"/>
        </w:trPr>
        <w:tc>
          <w:tcPr>
            <w:tcW w:w="69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Entertainment, retail and 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49,420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18,975</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w:t>
            </w:r>
          </w:p>
        </w:tc>
      </w:tr>
      <w:tr>
        <w:trPr>
          <w:trHeight w:val="207"/>
        </w:trPr>
        <w:tc>
          <w:tcPr>
            <w:tcW w:w="69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441,186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178,716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146.9</w:t>
            </w:r>
          </w:p>
        </w:tc>
      </w:tr>
      <w:tr>
        <w:trPr>
          <w:trHeight w:val="263"/>
        </w:trPr>
        <w:tc>
          <w:tcPr>
            <w:tcW w:w="6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1"/>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14"/>
                <w:szCs w:val="14"/>
                <w:b w:val="1"/>
                <w:bCs w:val="1"/>
                <w:color w:val="auto"/>
              </w:rPr>
              <w:t>(6)</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159,378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28,081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467.6</w:t>
            </w:r>
          </w:p>
        </w:tc>
      </w:tr>
      <w:tr>
        <w:trPr>
          <w:trHeight w:val="263"/>
        </w:trPr>
        <w:tc>
          <w:tcPr>
            <w:tcW w:w="6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1"/>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6960" w:type="dxa"/>
            <w:vAlign w:val="bottom"/>
          </w:tcPr>
          <w:p>
            <w:pPr>
              <w:ind w:left="540"/>
              <w:spacing w:after="0"/>
              <w:rPr>
                <w:sz w:val="20"/>
                <w:szCs w:val="20"/>
                <w:color w:val="auto"/>
              </w:rPr>
            </w:pPr>
            <w:r>
              <w:rPr>
                <w:rFonts w:ascii="Arial" w:cs="Arial" w:eastAsia="Arial" w:hAnsi="Arial"/>
                <w:sz w:val="16"/>
                <w:szCs w:val="16"/>
                <w:color w:val="auto"/>
              </w:rPr>
              <w:t>Average number of table games</w:t>
            </w:r>
          </w:p>
        </w:tc>
        <w:tc>
          <w:tcPr>
            <w:tcW w:w="34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14"/>
        </w:trPr>
        <w:tc>
          <w:tcPr>
            <w:tcW w:w="6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547,916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324,531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r>
      <w:tr>
        <w:trPr>
          <w:trHeight w:val="207"/>
        </w:trPr>
        <w:tc>
          <w:tcPr>
            <w:tcW w:w="6960" w:type="dxa"/>
            <w:vAlign w:val="bottom"/>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129,164</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76,653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68.5</w:t>
            </w:r>
          </w:p>
        </w:tc>
      </w:tr>
      <w:tr>
        <w:trPr>
          <w:trHeight w:val="214"/>
        </w:trPr>
        <w:tc>
          <w:tcPr>
            <w:tcW w:w="6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6960" w:type="dxa"/>
            <w:vAlign w:val="bottom"/>
          </w:tcPr>
          <w:p>
            <w:pPr>
              <w:ind w:left="540"/>
              <w:spacing w:after="0"/>
              <w:rPr>
                <w:sz w:val="20"/>
                <w:szCs w:val="20"/>
                <w:color w:val="auto"/>
              </w:rPr>
            </w:pPr>
            <w:r>
              <w:rPr>
                <w:rFonts w:ascii="Arial" w:cs="Arial" w:eastAsia="Arial" w:hAnsi="Arial"/>
                <w:sz w:val="16"/>
                <w:szCs w:val="16"/>
                <w:color w:val="auto"/>
              </w:rPr>
              <w:t>Table games win per unit per day</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6,300</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4,957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27.1</w:t>
            </w:r>
          </w:p>
        </w:tc>
      </w:tr>
      <w:tr>
        <w:trPr>
          <w:trHeight w:val="214"/>
        </w:trPr>
        <w:tc>
          <w:tcPr>
            <w:tcW w:w="6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slot machines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1,728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1,547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07"/>
        </w:trPr>
        <w:tc>
          <w:tcPr>
            <w:tcW w:w="6960" w:type="dxa"/>
            <w:vAlign w:val="bottom"/>
          </w:tcPr>
          <w:p>
            <w:pPr>
              <w:ind w:left="540"/>
              <w:spacing w:after="0"/>
              <w:rPr>
                <w:sz w:val="20"/>
                <w:szCs w:val="20"/>
                <w:color w:val="auto"/>
              </w:rPr>
            </w:pPr>
            <w:r>
              <w:rPr>
                <w:rFonts w:ascii="Arial" w:cs="Arial" w:eastAsia="Arial" w:hAnsi="Arial"/>
                <w:sz w:val="16"/>
                <w:szCs w:val="16"/>
                <w:color w:val="auto"/>
              </w:rPr>
              <w:t>Slot machine handle</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1,177,985</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791,260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48.9</w:t>
            </w:r>
          </w:p>
        </w:tc>
      </w:tr>
      <w:tr>
        <w:trPr>
          <w:trHeight w:val="214"/>
        </w:trPr>
        <w:tc>
          <w:tcPr>
            <w:tcW w:w="6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80,831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50,489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r>
      <w:tr>
        <w:trPr>
          <w:trHeight w:val="207"/>
        </w:trPr>
        <w:tc>
          <w:tcPr>
            <w:tcW w:w="6960" w:type="dxa"/>
            <w:vAlign w:val="bottom"/>
          </w:tcPr>
          <w:p>
            <w:pPr>
              <w:ind w:left="540"/>
              <w:spacing w:after="0"/>
              <w:rPr>
                <w:sz w:val="20"/>
                <w:szCs w:val="20"/>
                <w:color w:val="auto"/>
              </w:rPr>
            </w:pPr>
            <w:r>
              <w:rPr>
                <w:rFonts w:ascii="Arial" w:cs="Arial" w:eastAsia="Arial" w:hAnsi="Arial"/>
                <w:sz w:val="16"/>
                <w:szCs w:val="16"/>
                <w:color w:val="auto"/>
              </w:rPr>
              <w:t>Slot machine win per unit per day</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43.3</w:t>
            </w:r>
          </w:p>
        </w:tc>
      </w:tr>
      <w:tr>
        <w:trPr>
          <w:trHeight w:val="214"/>
        </w:trPr>
        <w:tc>
          <w:tcPr>
            <w:tcW w:w="6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Poker rake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3,861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1,867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w:t>
            </w:r>
          </w:p>
        </w:tc>
      </w:tr>
      <w:tr>
        <w:trPr>
          <w:trHeight w:val="207"/>
        </w:trPr>
        <w:tc>
          <w:tcPr>
            <w:tcW w:w="6960" w:type="dxa"/>
            <w:vAlign w:val="bottom"/>
          </w:tcPr>
          <w:p>
            <w:pPr>
              <w:ind w:left="220"/>
              <w:spacing w:after="0"/>
              <w:rPr>
                <w:sz w:val="20"/>
                <w:szCs w:val="20"/>
                <w:color w:val="auto"/>
              </w:rPr>
            </w:pPr>
            <w:r>
              <w:rPr>
                <w:rFonts w:ascii="Arial" w:cs="Arial" w:eastAsia="Arial" w:hAnsi="Arial"/>
                <w:sz w:val="16"/>
                <w:szCs w:val="16"/>
                <w:color w:val="auto"/>
              </w:rPr>
              <w:t>Room statistics: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76.9%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6960" w:type="dxa"/>
            <w:vAlign w:val="bottom"/>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14"/>
        </w:trPr>
        <w:tc>
          <w:tcPr>
            <w:tcW w:w="6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w:t>
            </w:r>
          </w:p>
        </w:tc>
      </w:tr>
    </w:tbl>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Note: The results of our Las Vegas Operations for the three months ended March 31, 2021 were impacted by certain COVID-19 pandemic related protective measures and operating schedule modifications.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71" w:right="339" w:bottom="1440" w:gutter="0" w:footer="0" w:header="0"/>
        </w:sectPr>
      </w:pPr>
    </w:p>
    <w:bookmarkStart w:id="13" w:name="page14"/>
    <w:bookmarkEnd w:id="13"/>
    <w:p>
      <w:pPr>
        <w:jc w:val="center"/>
        <w:ind w:left="340" w:right="2800"/>
        <w:spacing w:after="0" w:line="25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4"/>
                <w:szCs w:val="14"/>
                <w:color w:val="auto"/>
              </w:rPr>
            </w:pPr>
          </w:p>
        </w:tc>
      </w:tr>
      <w:tr>
        <w:trPr>
          <w:trHeight w:val="184"/>
        </w:trPr>
        <w:tc>
          <w:tcPr>
            <w:tcW w:w="6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7"/>
        </w:trPr>
        <w:tc>
          <w:tcPr>
            <w:tcW w:w="69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99"/>
              </w:rPr>
              <w:t>Percent Change</w:t>
            </w:r>
          </w:p>
        </w:tc>
      </w:tr>
      <w:tr>
        <w:trPr>
          <w:trHeight w:val="191"/>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Encore Boston Harbor Supplemental Information</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696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148,748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111,479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r>
      <w:tr>
        <w:trPr>
          <w:trHeight w:val="207"/>
        </w:trPr>
        <w:tc>
          <w:tcPr>
            <w:tcW w:w="6960" w:type="dxa"/>
            <w:vAlign w:val="bottom"/>
          </w:tcPr>
          <w:p>
            <w:pPr>
              <w:ind w:left="340"/>
              <w:spacing w:after="0"/>
              <w:rPr>
                <w:sz w:val="20"/>
                <w:szCs w:val="20"/>
                <w:color w:val="auto"/>
              </w:rPr>
            </w:pPr>
            <w:r>
              <w:rPr>
                <w:rFonts w:ascii="Arial" w:cs="Arial" w:eastAsia="Arial" w:hAnsi="Arial"/>
                <w:sz w:val="16"/>
                <w:szCs w:val="16"/>
                <w:color w:val="auto"/>
              </w:rPr>
              <w:t>Rooms</w:t>
            </w:r>
          </w:p>
        </w:tc>
        <w:tc>
          <w:tcPr>
            <w:tcW w:w="34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15,689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4,715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232.7</w:t>
            </w:r>
          </w:p>
        </w:tc>
      </w:tr>
      <w:tr>
        <w:trPr>
          <w:trHeight w:val="214"/>
        </w:trPr>
        <w:tc>
          <w:tcPr>
            <w:tcW w:w="6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18,162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9,327</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r>
      <w:tr>
        <w:trPr>
          <w:trHeight w:val="207"/>
        </w:trPr>
        <w:tc>
          <w:tcPr>
            <w:tcW w:w="69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Entertainment, retail and 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8,197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4,569</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r>
      <w:tr>
        <w:trPr>
          <w:trHeight w:val="207"/>
        </w:trPr>
        <w:tc>
          <w:tcPr>
            <w:tcW w:w="69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190,796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130,090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46.7</w:t>
            </w:r>
          </w:p>
        </w:tc>
      </w:tr>
      <w:tr>
        <w:trPr>
          <w:trHeight w:val="158"/>
        </w:trPr>
        <w:tc>
          <w:tcPr>
            <w:tcW w:w="6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1"/>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14"/>
                <w:szCs w:val="14"/>
                <w:b w:val="1"/>
                <w:bCs w:val="1"/>
                <w:color w:val="auto"/>
              </w:rPr>
              <w:t>(6)</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55,250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30,363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82.0</w:t>
            </w:r>
          </w:p>
        </w:tc>
      </w:tr>
      <w:tr>
        <w:trPr>
          <w:trHeight w:val="158"/>
        </w:trPr>
        <w:tc>
          <w:tcPr>
            <w:tcW w:w="6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1"/>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6960" w:type="dxa"/>
            <w:vAlign w:val="bottom"/>
          </w:tcPr>
          <w:p>
            <w:pPr>
              <w:ind w:left="540"/>
              <w:spacing w:after="0"/>
              <w:rPr>
                <w:sz w:val="20"/>
                <w:szCs w:val="20"/>
                <w:color w:val="auto"/>
              </w:rPr>
            </w:pPr>
            <w:r>
              <w:rPr>
                <w:rFonts w:ascii="Arial" w:cs="Arial" w:eastAsia="Arial" w:hAnsi="Arial"/>
                <w:sz w:val="16"/>
                <w:szCs w:val="16"/>
                <w:color w:val="auto"/>
              </w:rPr>
              <w:t>Average number of table games</w:t>
            </w:r>
          </w:p>
        </w:tc>
        <w:tc>
          <w:tcPr>
            <w:tcW w:w="34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4"/>
        </w:trPr>
        <w:tc>
          <w:tcPr>
            <w:tcW w:w="6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346,195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234,562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r>
      <w:tr>
        <w:trPr>
          <w:trHeight w:val="207"/>
        </w:trPr>
        <w:tc>
          <w:tcPr>
            <w:tcW w:w="6960" w:type="dxa"/>
            <w:vAlign w:val="bottom"/>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76,792</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49,377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214"/>
        </w:trPr>
        <w:tc>
          <w:tcPr>
            <w:tcW w:w="6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6960" w:type="dxa"/>
            <w:vAlign w:val="bottom"/>
          </w:tcPr>
          <w:p>
            <w:pPr>
              <w:ind w:left="540"/>
              <w:spacing w:after="0"/>
              <w:rPr>
                <w:sz w:val="20"/>
                <w:szCs w:val="20"/>
                <w:color w:val="auto"/>
              </w:rPr>
            </w:pPr>
            <w:r>
              <w:rPr>
                <w:rFonts w:ascii="Arial" w:cs="Arial" w:eastAsia="Arial" w:hAnsi="Arial"/>
                <w:sz w:val="16"/>
                <w:szCs w:val="16"/>
                <w:color w:val="auto"/>
              </w:rPr>
              <w:t>Table games win per unit per day</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4,637</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2,752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68.5</w:t>
            </w:r>
          </w:p>
        </w:tc>
      </w:tr>
      <w:tr>
        <w:trPr>
          <w:trHeight w:val="214"/>
        </w:trPr>
        <w:tc>
          <w:tcPr>
            <w:tcW w:w="6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slot machines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2,776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1,889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r>
      <w:tr>
        <w:trPr>
          <w:trHeight w:val="207"/>
        </w:trPr>
        <w:tc>
          <w:tcPr>
            <w:tcW w:w="6960" w:type="dxa"/>
            <w:vAlign w:val="bottom"/>
          </w:tcPr>
          <w:p>
            <w:pPr>
              <w:ind w:left="540"/>
              <w:spacing w:after="0"/>
              <w:rPr>
                <w:sz w:val="20"/>
                <w:szCs w:val="20"/>
                <w:color w:val="auto"/>
              </w:rPr>
            </w:pPr>
            <w:r>
              <w:rPr>
                <w:rFonts w:ascii="Arial" w:cs="Arial" w:eastAsia="Arial" w:hAnsi="Arial"/>
                <w:sz w:val="16"/>
                <w:szCs w:val="16"/>
                <w:color w:val="auto"/>
              </w:rPr>
              <w:t>Slot machine handle</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1,183,314</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913,795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14"/>
        </w:trPr>
        <w:tc>
          <w:tcPr>
            <w:tcW w:w="6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95,296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74,820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07"/>
        </w:trPr>
        <w:tc>
          <w:tcPr>
            <w:tcW w:w="6960" w:type="dxa"/>
            <w:vAlign w:val="bottom"/>
          </w:tcPr>
          <w:p>
            <w:pPr>
              <w:ind w:left="540"/>
              <w:spacing w:after="0"/>
              <w:rPr>
                <w:sz w:val="20"/>
                <w:szCs w:val="20"/>
                <w:color w:val="auto"/>
              </w:rPr>
            </w:pPr>
            <w:r>
              <w:rPr>
                <w:rFonts w:ascii="Arial" w:cs="Arial" w:eastAsia="Arial" w:hAnsi="Arial"/>
                <w:sz w:val="16"/>
                <w:szCs w:val="16"/>
                <w:color w:val="auto"/>
              </w:rPr>
              <w:t>Slot machine win per unit per day</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14"/>
        </w:trPr>
        <w:tc>
          <w:tcPr>
            <w:tcW w:w="6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Poker rake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784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960" w:type="dxa"/>
            <w:vAlign w:val="bottom"/>
          </w:tcPr>
          <w:p>
            <w:pPr>
              <w:ind w:left="340"/>
              <w:spacing w:after="0"/>
              <w:rPr>
                <w:sz w:val="20"/>
                <w:szCs w:val="20"/>
                <w:color w:val="auto"/>
              </w:rPr>
            </w:pPr>
            <w:r>
              <w:rPr>
                <w:rFonts w:ascii="Arial" w:cs="Arial" w:eastAsia="Arial" w:hAnsi="Arial"/>
                <w:sz w:val="16"/>
                <w:szCs w:val="16"/>
                <w:color w:val="auto"/>
              </w:rPr>
              <w:t>Room statistics: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80.5%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6960" w:type="dxa"/>
            <w:vAlign w:val="bottom"/>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14"/>
        </w:trPr>
        <w:tc>
          <w:tcPr>
            <w:tcW w:w="6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r>
    </w:tbl>
    <w:p>
      <w:pPr>
        <w:spacing w:after="0" w:line="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Note: The results of Encore Boston Harbor for the three months ended March 31, 2021 were impacted by certain COVID-19 pandemic related protective measures and operating schedule modifications. Encore Boston Harbor's room statistics have been computed based on 36 days of operations for the three months ended March 31, 2021, representing the actual number of days the hotel was open.</w:t>
      </w:r>
    </w:p>
    <w:p>
      <w:pPr>
        <w:spacing w:after="0" w:line="204" w:lineRule="exact"/>
        <w:rPr>
          <w:sz w:val="20"/>
          <w:szCs w:val="20"/>
          <w:color w:val="auto"/>
        </w:rPr>
      </w:pPr>
    </w:p>
    <w:p>
      <w:pPr>
        <w:ind w:left="240" w:hanging="235"/>
        <w:spacing w:after="0" w:line="244" w:lineRule="auto"/>
        <w:tabs>
          <w:tab w:leader="none" w:pos="212" w:val="left"/>
        </w:tabs>
        <w:numPr>
          <w:ilvl w:val="0"/>
          <w:numId w:val="3"/>
        </w:numPr>
        <w:rPr>
          <w:rFonts w:ascii="Arial" w:cs="Arial" w:eastAsia="Arial" w:hAnsi="Arial"/>
          <w:sz w:val="14"/>
          <w:szCs w:val="14"/>
          <w:color w:val="auto"/>
        </w:rPr>
      </w:pPr>
      <w:r>
        <w:rPr>
          <w:rFonts w:ascii="Arial" w:cs="Arial" w:eastAsia="Arial" w:hAnsi="Arial"/>
          <w:sz w:val="14"/>
          <w:szCs w:val="14"/>
          <w:color w:val="auto"/>
        </w:rPr>
        <w:t>Table games win is shown before discounts, commissions and the allocation of casino revenues to rooms, food and beverage and other revenues for services provided to casino customers on a complimentary basis.</w:t>
      </w:r>
    </w:p>
    <w:p>
      <w:pPr>
        <w:ind w:left="240" w:hanging="235"/>
        <w:spacing w:after="0" w:line="253" w:lineRule="auto"/>
        <w:tabs>
          <w:tab w:leader="none" w:pos="201"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w:t>
      </w:r>
    </w:p>
    <w:p>
      <w:pPr>
        <w:ind w:left="200" w:hanging="195"/>
        <w:spacing w:after="0" w:line="235" w:lineRule="auto"/>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Slot machine win is calculated as gross slot machine win minus progressive accruals and free play.</w:t>
      </w:r>
    </w:p>
    <w:p>
      <w:pPr>
        <w:ind w:left="200" w:hanging="195"/>
        <w:spacing w:after="0" w:line="235" w:lineRule="auto"/>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complimentaries (less service charges, if any) by total rooms occupied.</w:t>
      </w:r>
    </w:p>
    <w:p>
      <w:pPr>
        <w:ind w:left="200" w:hanging="195"/>
        <w:spacing w:after="0" w:line="235" w:lineRule="auto"/>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complimentaries (less service charges, if any) by total rooms available.</w:t>
      </w:r>
    </w:p>
    <w:p>
      <w:pPr>
        <w:ind w:left="200" w:hanging="195"/>
        <w:spacing w:after="0"/>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Refer to accompanying reconciliations of Operating Income (Loss) to Adjusted Property EBITDA and Net Loss Attributable to Wynn Resorts, Limited to Adjusted Property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7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SOURCE: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Vincent Zahn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12</w:t>
      </w:r>
    </w:p>
    <w:sectPr>
      <w:pgSz w:w="11900" w:h="16838" w:orient="portrait"/>
      <w:cols w:equalWidth="0" w:num="1">
        <w:col w:w="10139"/>
      </w:cols>
      <w:pgMar w:left="320" w:top="10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2022-05-10T15:21:48Z</dcterms:created>
  <dcterms:modified xsi:type="dcterms:W3CDTF">2022-05-10T15:21:48Z</dcterms:modified>
</cp:coreProperties>
</file>