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415925</wp:posOffset>
            </wp:positionV>
            <wp:extent cx="2118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247015</wp:posOffset>
            </wp:positionV>
            <wp:extent cx="2118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August 18,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259715</wp:posOffset>
            </wp:positionV>
            <wp:extent cx="2118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300" w:type="dxa"/>
        <w:tblCellMar>
          <w:top w:w="0" w:type="dxa"/>
          <w:left w:w="0" w:type="dxa"/>
          <w:bottom w:w="0" w:type="dxa"/>
          <w:right w:w="0" w:type="dxa"/>
        </w:tblCellMar>
      </w:tblPr>
      <w:tr>
        <w:trPr>
          <w:trHeight w:val="234"/>
        </w:trPr>
        <w:tc>
          <w:tcPr>
            <w:tcW w:w="2000" w:type="dxa"/>
            <w:vAlign w:val="bottom"/>
          </w:tcPr>
          <w:p>
            <w:pPr>
              <w:jc w:val="center"/>
              <w:ind w:right="62"/>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4080" w:type="dxa"/>
            <w:vAlign w:val="bottom"/>
            <w:gridSpan w:val="2"/>
          </w:tcPr>
          <w:p>
            <w:pPr>
              <w:jc w:val="right"/>
              <w:ind w:right="1228"/>
              <w:spacing w:after="0"/>
              <w:rPr>
                <w:sz w:val="20"/>
                <w:szCs w:val="20"/>
                <w:color w:val="auto"/>
              </w:rPr>
            </w:pPr>
            <w:r>
              <w:rPr>
                <w:rFonts w:ascii="Arial" w:cs="Arial" w:eastAsia="Arial" w:hAnsi="Arial"/>
                <w:sz w:val="18"/>
                <w:szCs w:val="18"/>
                <w:b w:val="1"/>
                <w:bCs w:val="1"/>
                <w:color w:val="auto"/>
              </w:rPr>
              <w:t>000-50028</w:t>
            </w:r>
          </w:p>
        </w:tc>
        <w:tc>
          <w:tcPr>
            <w:tcW w:w="920" w:type="dxa"/>
            <w:vAlign w:val="bottom"/>
          </w:tcPr>
          <w:p>
            <w:pPr>
              <w:spacing w:after="0"/>
              <w:rPr>
                <w:sz w:val="20"/>
                <w:szCs w:val="20"/>
                <w:color w:val="auto"/>
              </w:rPr>
            </w:pPr>
          </w:p>
        </w:tc>
        <w:tc>
          <w:tcPr>
            <w:tcW w:w="1420" w:type="dxa"/>
            <w:vAlign w:val="bottom"/>
          </w:tcPr>
          <w:p>
            <w:pPr>
              <w:jc w:val="center"/>
              <w:ind w:left="202"/>
              <w:spacing w:after="0"/>
              <w:rPr>
                <w:sz w:val="20"/>
                <w:szCs w:val="20"/>
                <w:color w:val="auto"/>
              </w:rPr>
            </w:pPr>
            <w:r>
              <w:rPr>
                <w:rFonts w:ascii="Arial" w:cs="Arial" w:eastAsia="Arial" w:hAnsi="Arial"/>
                <w:sz w:val="18"/>
                <w:szCs w:val="18"/>
                <w:b w:val="1"/>
                <w:bCs w:val="1"/>
                <w:color w:val="auto"/>
                <w:w w:val="89"/>
              </w:rPr>
              <w:t>46-0484987</w:t>
            </w:r>
          </w:p>
        </w:tc>
        <w:tc>
          <w:tcPr>
            <w:tcW w:w="0" w:type="dxa"/>
            <w:vAlign w:val="bottom"/>
          </w:tcPr>
          <w:p>
            <w:pPr>
              <w:spacing w:after="0"/>
              <w:rPr>
                <w:sz w:val="1"/>
                <w:szCs w:val="1"/>
                <w:color w:val="auto"/>
              </w:rPr>
            </w:pPr>
          </w:p>
        </w:tc>
      </w:tr>
      <w:tr>
        <w:trPr>
          <w:trHeight w:val="180"/>
        </w:trPr>
        <w:tc>
          <w:tcPr>
            <w:tcW w:w="2000" w:type="dxa"/>
            <w:vAlign w:val="bottom"/>
          </w:tcPr>
          <w:p>
            <w:pPr>
              <w:jc w:val="center"/>
              <w:ind w:right="62"/>
              <w:spacing w:after="0"/>
              <w:rPr>
                <w:sz w:val="20"/>
                <w:szCs w:val="20"/>
                <w:color w:val="auto"/>
              </w:rPr>
            </w:pPr>
            <w:r>
              <w:rPr>
                <w:rFonts w:ascii="Arial" w:cs="Arial" w:eastAsia="Arial" w:hAnsi="Arial"/>
                <w:sz w:val="14"/>
                <w:szCs w:val="14"/>
                <w:b w:val="1"/>
                <w:bCs w:val="1"/>
                <w:color w:val="auto"/>
                <w:w w:val="92"/>
              </w:rPr>
              <w:t>(State or other jurisdiction of</w:t>
            </w:r>
          </w:p>
        </w:tc>
        <w:tc>
          <w:tcPr>
            <w:tcW w:w="740" w:type="dxa"/>
            <w:vAlign w:val="bottom"/>
          </w:tcPr>
          <w:p>
            <w:pPr>
              <w:spacing w:after="0"/>
              <w:rPr>
                <w:sz w:val="15"/>
                <w:szCs w:val="15"/>
                <w:color w:val="auto"/>
              </w:rPr>
            </w:pPr>
          </w:p>
        </w:tc>
        <w:tc>
          <w:tcPr>
            <w:tcW w:w="4260" w:type="dxa"/>
            <w:vAlign w:val="bottom"/>
            <w:gridSpan w:val="2"/>
            <w:vMerge w:val="restart"/>
          </w:tcPr>
          <w:p>
            <w:pPr>
              <w:jc w:val="center"/>
              <w:ind w:right="980"/>
              <w:spacing w:after="0"/>
              <w:rPr>
                <w:sz w:val="20"/>
                <w:szCs w:val="20"/>
                <w:color w:val="auto"/>
              </w:rPr>
            </w:pPr>
            <w:r>
              <w:rPr>
                <w:rFonts w:ascii="Arial" w:cs="Arial" w:eastAsia="Arial" w:hAnsi="Arial"/>
                <w:sz w:val="14"/>
                <w:szCs w:val="14"/>
                <w:b w:val="1"/>
                <w:bCs w:val="1"/>
                <w:color w:val="auto"/>
                <w:w w:val="94"/>
              </w:rPr>
              <w:t>(Commission File Number)</w:t>
            </w:r>
          </w:p>
        </w:tc>
        <w:tc>
          <w:tcPr>
            <w:tcW w:w="1420" w:type="dxa"/>
            <w:vAlign w:val="bottom"/>
          </w:tcPr>
          <w:p>
            <w:pPr>
              <w:jc w:val="center"/>
              <w:ind w:left="222"/>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00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incorporation or organization)</w:t>
            </w:r>
          </w:p>
        </w:tc>
        <w:tc>
          <w:tcPr>
            <w:tcW w:w="740" w:type="dxa"/>
            <w:vAlign w:val="bottom"/>
          </w:tcPr>
          <w:p>
            <w:pPr>
              <w:spacing w:after="0"/>
              <w:rPr>
                <w:sz w:val="16"/>
                <w:szCs w:val="16"/>
                <w:color w:val="auto"/>
              </w:rPr>
            </w:pPr>
          </w:p>
        </w:tc>
        <w:tc>
          <w:tcPr>
            <w:tcW w:w="4260" w:type="dxa"/>
            <w:vAlign w:val="bottom"/>
            <w:gridSpan w:val="2"/>
            <w:vMerge w:val="continue"/>
          </w:tcPr>
          <w:p>
            <w:pPr>
              <w:spacing w:after="0"/>
              <w:rPr>
                <w:sz w:val="16"/>
                <w:szCs w:val="16"/>
                <w:color w:val="auto"/>
              </w:rPr>
            </w:pPr>
          </w:p>
        </w:tc>
        <w:tc>
          <w:tcPr>
            <w:tcW w:w="1420" w:type="dxa"/>
            <w:vAlign w:val="bottom"/>
          </w:tcPr>
          <w:p>
            <w:pPr>
              <w:jc w:val="center"/>
              <w:ind w:left="202"/>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530"/>
        </w:trPr>
        <w:tc>
          <w:tcPr>
            <w:tcW w:w="2000" w:type="dxa"/>
            <w:vAlign w:val="bottom"/>
          </w:tcPr>
          <w:p>
            <w:pPr>
              <w:spacing w:after="0"/>
              <w:rPr>
                <w:sz w:val="24"/>
                <w:szCs w:val="24"/>
                <w:color w:val="auto"/>
              </w:rPr>
            </w:pPr>
          </w:p>
        </w:tc>
        <w:tc>
          <w:tcPr>
            <w:tcW w:w="50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3131 Las Vegas Boulevard South - Las Vegas, Nevada 89109</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000" w:type="dxa"/>
            <w:vAlign w:val="bottom"/>
          </w:tcPr>
          <w:p>
            <w:pPr>
              <w:spacing w:after="0"/>
              <w:rPr>
                <w:sz w:val="21"/>
                <w:szCs w:val="21"/>
                <w:color w:val="auto"/>
              </w:rPr>
            </w:pPr>
          </w:p>
        </w:tc>
        <w:tc>
          <w:tcPr>
            <w:tcW w:w="408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90"/>
              </w:rPr>
              <w:t>(702) 770-7555</w:t>
            </w:r>
          </w:p>
        </w:tc>
        <w:tc>
          <w:tcPr>
            <w:tcW w:w="9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6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90805</wp:posOffset>
            </wp:positionV>
            <wp:extent cx="21183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733" w:right="35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On August 18, 2016, Wynn Macau, Limited (“WML”), an indirect subsidiary of Wynn Resorts, Limited (the “Registrant”) with ordinary shares of its common stock listed on The Stock Exchange of Hong Kong Limited, filed its preliminary results in respect of the six months ended June 30, 2016 (the “Semi-Annual Results Announcement”) with The Stock Exchange of Hong Kong Limited. The Registrant owns approximately 72% of WML’s ordinary shares of common stock. The Semi-Annual Results Announcement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ectPr>
          <w:pgSz w:w="11900" w:h="16838" w:orient="portrait"/>
          <w:cols w:equalWidth="0" w:num="1">
            <w:col w:w="11400"/>
          </w:cols>
          <w:pgMar w:left="240" w:top="958" w:right="259" w:bottom="1440" w:gutter="0" w:footer="0" w:header="0"/>
        </w:sectPr>
      </w:pPr>
    </w:p>
    <w:p>
      <w:pPr>
        <w:spacing w:after="0" w:line="10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9.01.</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Statements and Exhibits</w:t>
      </w:r>
    </w:p>
    <w:p>
      <w:pPr>
        <w:spacing w:after="0" w:line="63" w:lineRule="exact"/>
        <w:rPr>
          <w:sz w:val="20"/>
          <w:szCs w:val="20"/>
          <w:color w:val="auto"/>
        </w:rPr>
      </w:pPr>
    </w:p>
    <w:p>
      <w:pPr>
        <w:sectPr>
          <w:pgSz w:w="11900" w:h="16838" w:orient="portrait"/>
          <w:cols w:equalWidth="0" w:num="2">
            <w:col w:w="800" w:space="620"/>
            <w:col w:w="9980"/>
          </w:cols>
          <w:pgMar w:left="240" w:top="958" w:right="259" w:bottom="1440" w:gutter="0" w:footer="0" w:header="0"/>
          <w:type w:val="continuous"/>
        </w:sectPr>
      </w:pPr>
    </w:p>
    <w:p>
      <w:pPr>
        <w:ind w:left="220"/>
        <w:spacing w:after="0"/>
        <w:rPr>
          <w:sz w:val="20"/>
          <w:szCs w:val="20"/>
          <w:color w:val="auto"/>
        </w:rPr>
      </w:pPr>
      <w:r>
        <w:rPr>
          <w:rFonts w:ascii="Arial" w:cs="Arial" w:eastAsia="Arial" w:hAnsi="Arial"/>
          <w:sz w:val="18"/>
          <w:szCs w:val="18"/>
          <w:color w:val="auto"/>
        </w:rPr>
        <w:t>(d) Exhibits.</w:t>
      </w:r>
    </w:p>
    <w:p>
      <w:pPr>
        <w:sectPr>
          <w:pgSz w:w="11900" w:h="16838" w:orient="portrait"/>
          <w:cols w:equalWidth="0" w:num="1">
            <w:col w:w="11400"/>
          </w:cols>
          <w:pgMar w:left="240" w:top="958" w:right="259" w:bottom="1440" w:gutter="0" w:footer="0" w:header="0"/>
          <w:type w:val="continuous"/>
        </w:sectPr>
      </w:pP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Exhibit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211" w:lineRule="exact"/>
        <w:rPr>
          <w:sz w:val="20"/>
          <w:szCs w:val="20"/>
          <w:color w:val="auto"/>
        </w:rPr>
      </w:pPr>
    </w:p>
    <w:p>
      <w:pPr>
        <w:sectPr>
          <w:pgSz w:w="11900" w:h="16838" w:orient="portrait"/>
          <w:cols w:equalWidth="0" w:num="2">
            <w:col w:w="2060" w:space="720"/>
            <w:col w:w="8620"/>
          </w:cols>
          <w:pgMar w:left="240" w:top="958" w:right="259" w:bottom="1440" w:gutter="0" w:footer="0" w:header="0"/>
          <w:type w:val="continuous"/>
        </w:sectPr>
      </w:pPr>
    </w:p>
    <w:p>
      <w:pPr>
        <w:spacing w:after="0" w:line="1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99.1</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Semi-Annual Results Announcement of Wynn Macau, Limited for the six months ended June 30, 2016.</w:t>
      </w:r>
    </w:p>
    <w:p>
      <w:pPr>
        <w:sectPr>
          <w:pgSz w:w="11900" w:h="16838" w:orient="portrait"/>
          <w:cols w:equalWidth="0" w:num="2">
            <w:col w:w="2060" w:space="720"/>
            <w:col w:w="8620"/>
          </w:cols>
          <w:pgMar w:left="240" w:top="958" w:right="259" w:bottom="1440" w:gutter="0" w:footer="0" w:header="0"/>
          <w:type w:val="continuous"/>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02"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August 18,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Stephen Cootey</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20"/>
          </w:cols>
          <w:pgMar w:left="240" w:top="58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8200" w:type="dxa"/>
            <w:vAlign w:val="bottom"/>
          </w:tcPr>
          <w:p>
            <w:pPr>
              <w:ind w:left="31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801"/>
        </w:trPr>
        <w:tc>
          <w:tcPr>
            <w:tcW w:w="1160" w:type="dxa"/>
            <w:vAlign w:val="bottom"/>
          </w:tcPr>
          <w:p>
            <w:pPr>
              <w:jc w:val="center"/>
              <w:ind w:right="622"/>
              <w:spacing w:after="0"/>
              <w:rPr>
                <w:sz w:val="20"/>
                <w:szCs w:val="20"/>
                <w:color w:val="auto"/>
              </w:rPr>
            </w:pPr>
            <w:r>
              <w:rPr>
                <w:rFonts w:ascii="Arial" w:cs="Arial" w:eastAsia="Arial" w:hAnsi="Arial"/>
                <w:sz w:val="14"/>
                <w:szCs w:val="14"/>
                <w:b w:val="1"/>
                <w:bCs w:val="1"/>
                <w:color w:val="auto"/>
                <w:w w:val="98"/>
              </w:rPr>
              <w:t>Exhibit</w:t>
            </w:r>
          </w:p>
        </w:tc>
        <w:tc>
          <w:tcPr>
            <w:tcW w:w="8200" w:type="dxa"/>
            <w:vAlign w:val="bottom"/>
            <w:vMerge w:val="restart"/>
          </w:tcPr>
          <w:p>
            <w:pPr>
              <w:ind w:left="47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160" w:type="dxa"/>
            <w:vAlign w:val="bottom"/>
          </w:tcPr>
          <w:p>
            <w:pPr>
              <w:jc w:val="center"/>
              <w:ind w:right="622"/>
              <w:spacing w:after="0"/>
              <w:rPr>
                <w:sz w:val="20"/>
                <w:szCs w:val="20"/>
                <w:color w:val="auto"/>
              </w:rPr>
            </w:pPr>
            <w:r>
              <w:rPr>
                <w:rFonts w:ascii="Arial" w:cs="Arial" w:eastAsia="Arial" w:hAnsi="Arial"/>
                <w:sz w:val="14"/>
                <w:szCs w:val="14"/>
                <w:b w:val="1"/>
                <w:bCs w:val="1"/>
                <w:color w:val="auto"/>
                <w:w w:val="97"/>
              </w:rPr>
              <w:t>No.</w:t>
            </w:r>
          </w:p>
        </w:tc>
        <w:tc>
          <w:tcPr>
            <w:tcW w:w="8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79"/>
        </w:trPr>
        <w:tc>
          <w:tcPr>
            <w:tcW w:w="1160" w:type="dxa"/>
            <w:vAlign w:val="bottom"/>
          </w:tcPr>
          <w:p>
            <w:pPr>
              <w:jc w:val="center"/>
              <w:ind w:right="642"/>
              <w:spacing w:after="0"/>
              <w:rPr>
                <w:sz w:val="20"/>
                <w:szCs w:val="20"/>
                <w:color w:val="auto"/>
              </w:rPr>
            </w:pPr>
            <w:r>
              <w:rPr>
                <w:rFonts w:ascii="Arial" w:cs="Arial" w:eastAsia="Arial" w:hAnsi="Arial"/>
                <w:sz w:val="18"/>
                <w:szCs w:val="18"/>
                <w:color w:val="auto"/>
                <w:w w:val="91"/>
              </w:rPr>
              <w:t>99.1</w:t>
            </w:r>
          </w:p>
        </w:tc>
        <w:tc>
          <w:tcPr>
            <w:tcW w:w="8200" w:type="dxa"/>
            <w:vAlign w:val="bottom"/>
          </w:tcPr>
          <w:p>
            <w:pPr>
              <w:ind w:left="680"/>
              <w:spacing w:after="0"/>
              <w:rPr>
                <w:sz w:val="20"/>
                <w:szCs w:val="20"/>
                <w:color w:val="auto"/>
              </w:rPr>
            </w:pPr>
            <w:r>
              <w:rPr>
                <w:rFonts w:ascii="Arial" w:cs="Arial" w:eastAsia="Arial" w:hAnsi="Arial"/>
                <w:sz w:val="18"/>
                <w:szCs w:val="18"/>
                <w:color w:val="auto"/>
                <w:w w:val="91"/>
              </w:rPr>
              <w:t>Semi-Annual Results Announcement of Wynn Macau, Limited, for the six months ended June 30, 2016.</w:t>
            </w:r>
          </w:p>
        </w:tc>
        <w:tc>
          <w:tcPr>
            <w:tcW w:w="0" w:type="dxa"/>
            <w:vAlign w:val="bottom"/>
          </w:tcPr>
          <w:p>
            <w:pPr>
              <w:spacing w:after="0"/>
              <w:rPr>
                <w:sz w:val="1"/>
                <w:szCs w:val="1"/>
                <w:color w:val="auto"/>
              </w:rPr>
            </w:pPr>
          </w:p>
        </w:tc>
      </w:tr>
    </w:tbl>
    <w:p>
      <w:pPr>
        <w:sectPr>
          <w:pgSz w:w="11900" w:h="16838" w:orient="portrait"/>
          <w:cols w:equalWidth="0" w:num="1">
            <w:col w:w="9519"/>
          </w:cols>
          <w:pgMar w:left="940" w:top="1013"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363220</wp:posOffset>
            </wp:positionV>
            <wp:extent cx="6667500" cy="9589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606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7500"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606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67500"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6069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67500"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6069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67500"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6069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67500"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6069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67500"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10103485</wp:posOffset>
            </wp:positionV>
            <wp:extent cx="666750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6750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10094595</wp:posOffset>
            </wp:positionV>
            <wp:extent cx="666750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6750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6069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67500"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6069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67500"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6069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67500"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2019-12-07T16:20:10Z</dcterms:created>
  <dcterms:modified xsi:type="dcterms:W3CDTF">2019-12-07T16:20:10Z</dcterms:modified>
</cp:coreProperties>
</file>