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333-214505</w:t>
      </w:r>
    </w:p>
    <w:p>
      <w:pPr>
        <w:spacing w:after="0" w:line="13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54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12"/>
        </w:trPr>
        <w:tc>
          <w:tcPr>
            <w:tcW w:w="20" w:type="dxa"/>
            <w:vAlign w:val="bottom"/>
          </w:tcPr>
          <w:p>
            <w:pPr>
              <w:spacing w:after="0"/>
              <w:rPr>
                <w:sz w:val="9"/>
                <w:szCs w:val="9"/>
                <w:color w:val="auto"/>
              </w:rPr>
            </w:pPr>
          </w:p>
        </w:tc>
        <w:tc>
          <w:tcPr>
            <w:tcW w:w="354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Proposed</w:t>
            </w:r>
          </w:p>
        </w:tc>
        <w:tc>
          <w:tcPr>
            <w:tcW w:w="1860" w:type="dxa"/>
            <w:vAlign w:val="bottom"/>
            <w:tcBorders>
              <w:right w:val="single" w:sz="8" w:color="auto"/>
            </w:tcBorders>
          </w:tcPr>
          <w:p>
            <w:pPr>
              <w:jc w:val="center"/>
              <w:ind w:left="10"/>
              <w:spacing w:after="0" w:line="113" w:lineRule="exact"/>
              <w:rPr>
                <w:sz w:val="20"/>
                <w:szCs w:val="20"/>
                <w:color w:val="auto"/>
              </w:rPr>
            </w:pPr>
            <w:r>
              <w:rPr>
                <w:rFonts w:ascii="Arial" w:cs="Arial" w:eastAsia="Arial" w:hAnsi="Arial"/>
                <w:sz w:val="12"/>
                <w:szCs w:val="12"/>
                <w:b w:val="1"/>
                <w:bCs w:val="1"/>
                <w:color w:val="auto"/>
              </w:rPr>
              <w:t>Proposed</w:t>
            </w:r>
          </w:p>
        </w:tc>
        <w:tc>
          <w:tcPr>
            <w:tcW w:w="186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354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4"/>
              </w:rPr>
              <w:t>Amount</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5"/>
              </w:rPr>
              <w:t>Maximum</w:t>
            </w:r>
          </w:p>
        </w:tc>
        <w:tc>
          <w:tcPr>
            <w:tcW w:w="1860" w:type="dxa"/>
            <w:vAlign w:val="bottom"/>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354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6"/>
              </w:rPr>
              <w:t>Title of Each Class of</w:t>
            </w:r>
          </w:p>
        </w:tc>
        <w:tc>
          <w:tcPr>
            <w:tcW w:w="190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5"/>
              </w:rPr>
              <w:t>to be</w:t>
            </w:r>
          </w:p>
        </w:tc>
        <w:tc>
          <w:tcPr>
            <w:tcW w:w="18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4"/>
              </w:rPr>
              <w:t>Offering Price</w:t>
            </w:r>
          </w:p>
        </w:tc>
        <w:tc>
          <w:tcPr>
            <w:tcW w:w="18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8"/>
              </w:rPr>
              <w:t>Aggregate</w:t>
            </w:r>
          </w:p>
        </w:tc>
        <w:tc>
          <w:tcPr>
            <w:tcW w:w="1860" w:type="dxa"/>
            <w:vAlign w:val="bottom"/>
          </w:tcPr>
          <w:p>
            <w:pPr>
              <w:ind w:left="220"/>
              <w:spacing w:after="0" w:line="152" w:lineRule="exact"/>
              <w:rPr>
                <w:sz w:val="20"/>
                <w:szCs w:val="20"/>
                <w:color w:val="auto"/>
              </w:rPr>
            </w:pPr>
            <w:r>
              <w:rPr>
                <w:rFonts w:ascii="Arial" w:cs="Arial" w:eastAsia="Arial" w:hAnsi="Arial"/>
                <w:sz w:val="14"/>
                <w:szCs w:val="14"/>
                <w:b w:val="1"/>
                <w:bCs w:val="1"/>
                <w:color w:val="auto"/>
              </w:rPr>
              <w:t>Amount of Registration</w:t>
            </w:r>
          </w:p>
        </w:tc>
      </w:tr>
      <w:tr>
        <w:trPr>
          <w:trHeight w:val="176"/>
        </w:trPr>
        <w:tc>
          <w:tcPr>
            <w:tcW w:w="20" w:type="dxa"/>
            <w:vAlign w:val="bottom"/>
          </w:tcPr>
          <w:p>
            <w:pPr>
              <w:spacing w:after="0"/>
              <w:rPr>
                <w:sz w:val="15"/>
                <w:szCs w:val="15"/>
                <w:color w:val="auto"/>
              </w:rPr>
            </w:pPr>
          </w:p>
        </w:tc>
        <w:tc>
          <w:tcPr>
            <w:tcW w:w="3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Securities to be Registered</w:t>
            </w:r>
          </w:p>
        </w:tc>
        <w:tc>
          <w:tcPr>
            <w:tcW w:w="19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96"/>
              </w:rPr>
              <w:t>Registered</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Per Share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Fee(1)</w:t>
            </w:r>
          </w:p>
        </w:tc>
      </w:tr>
      <w:tr>
        <w:trPr>
          <w:trHeight w:val="210"/>
        </w:trPr>
        <w:tc>
          <w:tcPr>
            <w:tcW w:w="3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19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97"/>
              </w:rPr>
              <w:t>5,300,000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$175</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$927,500,000</w:t>
            </w:r>
          </w:p>
        </w:tc>
        <w:tc>
          <w:tcPr>
            <w:tcW w:w="1860" w:type="dxa"/>
            <w:vAlign w:val="bottom"/>
            <w:tcBorders>
              <w:bottom w:val="single" w:sz="8" w:color="auto"/>
            </w:tcBorders>
          </w:tcPr>
          <w:p>
            <w:pPr>
              <w:jc w:val="right"/>
              <w:ind w:right="326"/>
              <w:spacing w:after="0"/>
              <w:rPr>
                <w:sz w:val="20"/>
                <w:szCs w:val="20"/>
                <w:color w:val="auto"/>
              </w:rPr>
            </w:pPr>
            <w:r>
              <w:rPr>
                <w:rFonts w:ascii="Arial" w:cs="Arial" w:eastAsia="Arial" w:hAnsi="Arial"/>
                <w:sz w:val="18"/>
                <w:szCs w:val="18"/>
                <w:color w:val="auto"/>
              </w:rPr>
              <w:t>$115,473.75</w:t>
            </w: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98" w:lineRule="exact"/>
        <w:rPr>
          <w:sz w:val="24"/>
          <w:szCs w:val="24"/>
          <w:color w:val="auto"/>
        </w:rPr>
      </w:pPr>
    </w:p>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457(o) solely for purposes of calculating the registration fee.</w:t>
      </w:r>
    </w:p>
    <w:p>
      <w:pPr>
        <w:sectPr>
          <w:pgSz w:w="11900" w:h="16838" w:orient="portrait"/>
          <w:cols w:equalWidth="0" w:num="1">
            <w:col w:w="11040"/>
          </w:cols>
          <w:pgMar w:left="440" w:top="229"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November 8, 2016</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5,300,000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255270</wp:posOffset>
            </wp:positionV>
            <wp:extent cx="2958465" cy="128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5846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243840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We are offering 5,300,000 shares of our common stock (“Common Stock”), par value $0.01 per share, with an aggregate offering price of $927,500,000.</w:t>
      </w:r>
    </w:p>
    <w:p>
      <w:pPr>
        <w:spacing w:after="0" w:line="170"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Our Common Stock is listed on the Nasdaq Global Select Market under the symbol “WYNN.” The last reported sale price of our Common Stock on the Nasdaq Global Select Market on March 22, 2018 was $175.54 per share. You are urged to obtain current market data and should not use the market price as of March 21, 2018 as a prediction of the future market price of our Common Stock.</w:t>
      </w:r>
    </w:p>
    <w:p>
      <w:pPr>
        <w:spacing w:after="0" w:line="18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The underwriters have agreed to purchase shares of our Common Stock at a price of $172.7925 per share, which will result in proceeds to us of $915,800,250, after deducting underwriting discounts and excluding estimated offering expenses payable by us.</w:t>
      </w:r>
    </w:p>
    <w:p>
      <w:pPr>
        <w:spacing w:after="0" w:line="17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6"/>
              <w:spacing w:after="0"/>
              <w:rPr>
                <w:sz w:val="20"/>
                <w:szCs w:val="20"/>
                <w:color w:val="auto"/>
              </w:rPr>
            </w:pPr>
            <w:r>
              <w:rPr>
                <w:rFonts w:ascii="Arial" w:cs="Arial" w:eastAsia="Arial" w:hAnsi="Arial"/>
                <w:sz w:val="14"/>
                <w:szCs w:val="14"/>
                <w:b w:val="1"/>
                <w:bCs w:val="1"/>
                <w:color w:val="auto"/>
                <w:w w:val="94"/>
              </w:rPr>
              <w:t>Underwriting</w:t>
            </w:r>
          </w:p>
        </w:tc>
        <w:tc>
          <w:tcPr>
            <w:tcW w:w="56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Proceeds, before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Price to Public</w:t>
            </w:r>
          </w:p>
        </w:tc>
        <w:tc>
          <w:tcPr>
            <w:tcW w:w="54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Discounts and</w:t>
            </w:r>
          </w:p>
        </w:tc>
        <w:tc>
          <w:tcPr>
            <w:tcW w:w="560" w:type="dxa"/>
            <w:vAlign w:val="bottom"/>
          </w:tcPr>
          <w:p>
            <w:pPr>
              <w:spacing w:after="0"/>
              <w:rPr>
                <w:sz w:val="12"/>
                <w:szCs w:val="12"/>
                <w:color w:val="auto"/>
              </w:rPr>
            </w:pP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expenses, to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0"/>
              </w:rPr>
              <w:t>Commissions (1)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2.2075</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172.7925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Total</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927,500,000</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11,699,750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915,800,250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40" w:right="580" w:hanging="436"/>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(Conflicts of Interest)—Commissions and Discounts” in this prospectus supplement for additional discussion regarding 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211455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300" w:firstLine="441"/>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1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S-7 of this prospectus supplement. You should also consider the risk factors described in the documents incorporated by reference into this prospectus supplement and the accompanying prospectus.</w:t>
      </w:r>
    </w:p>
    <w:p>
      <w:pPr>
        <w:spacing w:after="0" w:line="186" w:lineRule="exact"/>
        <w:rPr>
          <w:sz w:val="20"/>
          <w:szCs w:val="20"/>
          <w:color w:val="auto"/>
        </w:rPr>
      </w:pPr>
    </w:p>
    <w:p>
      <w:pPr>
        <w:ind w:right="180" w:firstLine="441"/>
        <w:spacing w:after="0" w:line="266" w:lineRule="auto"/>
        <w:rPr>
          <w:sz w:val="20"/>
          <w:szCs w:val="20"/>
          <w:color w:val="auto"/>
        </w:rPr>
      </w:pPr>
      <w:r>
        <w:rPr>
          <w:rFonts w:ascii="Arial" w:cs="Arial" w:eastAsia="Arial" w:hAnsi="Arial"/>
          <w:sz w:val="18"/>
          <w:szCs w:val="18"/>
          <w:b w:val="1"/>
          <w:bCs w:val="1"/>
          <w:color w:val="auto"/>
        </w:rPr>
        <w:t>Neither the Securities and Exchange Commission (“SEC”)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underwriters expect to deliver the shares of our Common Stock to purchasers on April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238125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Sole Bookrunner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Deutsche Bank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Co-Managers</w:t>
      </w:r>
    </w:p>
    <w:p>
      <w:pPr>
        <w:spacing w:after="0" w:line="118" w:lineRule="exact"/>
        <w:rPr>
          <w:sz w:val="20"/>
          <w:szCs w:val="20"/>
          <w:color w:val="auto"/>
        </w:rPr>
      </w:pPr>
    </w:p>
    <w:p>
      <w:pPr>
        <w:spacing w:after="0"/>
        <w:tabs>
          <w:tab w:leader="none" w:pos="3680" w:val="left"/>
          <w:tab w:leader="none" w:pos="7540" w:val="left"/>
          <w:tab w:leader="none" w:pos="9760" w:val="left"/>
        </w:tabs>
        <w:rPr>
          <w:sz w:val="20"/>
          <w:szCs w:val="20"/>
          <w:color w:val="auto"/>
        </w:rPr>
      </w:pPr>
      <w:r>
        <w:rPr>
          <w:rFonts w:ascii="Arial" w:cs="Arial" w:eastAsia="Arial" w:hAnsi="Arial"/>
          <w:sz w:val="22"/>
          <w:szCs w:val="22"/>
          <w:b w:val="1"/>
          <w:bCs w:val="1"/>
          <w:color w:val="auto"/>
        </w:rPr>
        <w:t>BNP PARIBAS</w:t>
      </w:r>
      <w:r>
        <w:rPr>
          <w:sz w:val="20"/>
          <w:szCs w:val="20"/>
          <w:color w:val="auto"/>
        </w:rPr>
        <w:tab/>
      </w: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22"/>
          <w:szCs w:val="22"/>
          <w:b w:val="1"/>
          <w:bCs w:val="1"/>
          <w:color w:val="auto"/>
        </w:rPr>
        <w:t>Scotiabank</w:t>
      </w:r>
      <w:r>
        <w:rPr>
          <w:sz w:val="20"/>
          <w:szCs w:val="20"/>
          <w:color w:val="auto"/>
        </w:rPr>
        <w:tab/>
      </w:r>
      <w:r>
        <w:rPr>
          <w:rFonts w:ascii="Arial" w:cs="Arial" w:eastAsia="Arial" w:hAnsi="Arial"/>
          <w:sz w:val="19"/>
          <w:szCs w:val="19"/>
          <w:b w:val="1"/>
          <w:bCs w:val="1"/>
          <w:color w:val="auto"/>
        </w:rPr>
        <w:t>SMBC Nikko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March 22, 2018.</w:t>
      </w:r>
    </w:p>
    <w:p>
      <w:pPr>
        <w:sectPr>
          <w:pgSz w:w="11900" w:h="16838" w:orient="portrait"/>
          <w:cols w:equalWidth="0" w:num="1">
            <w:col w:w="11020"/>
          </w:cols>
          <w:pgMar w:left="440" w:top="418" w:right="439" w:bottom="1440" w:gutter="0" w:footer="0" w:header="0"/>
        </w:sectPr>
      </w:pPr>
    </w:p>
    <w:bookmarkStart w:id="2" w:name="page3"/>
    <w:bookmarkEnd w:id="2"/>
    <w:p>
      <w:pPr>
        <w:ind w:firstLine="441"/>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not authorized anyone to provide any information or make any representations other than those contained or incorporated by reference in this prospectus supplement, the accompanying prospectus or any free writing prospectus that we have authorized for use in connection with this offering. We take no responsibility for, and can provide no assurance as to the reliability of, any other information that others may give you. This prospectus supplement and the accompanying prospectus is an offer to sell only the Common Stock offered hereby, but only under circumstances and in jurisdictions where it is lawful to do so. The information contained in this prospectus supplement, the accompanying prospectus and any free writing prospectus that we have authorized for use in connection with this offering is current only as of their respective dates. Our business, financial condition, results of operations and prospects may have changed since those dates. You should read this prospectus supplement, the accompanying prospectus, the documents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in the section of this prospectus supplement entitled “Where You Can Find More Information.”</w:t>
      </w:r>
    </w:p>
    <w:p>
      <w:pPr>
        <w:spacing w:after="0" w:line="139" w:lineRule="exact"/>
        <w:rPr>
          <w:sz w:val="20"/>
          <w:szCs w:val="20"/>
          <w:color w:val="auto"/>
        </w:rPr>
      </w:pPr>
    </w:p>
    <w:p>
      <w:pPr>
        <w:jc w:val="both"/>
        <w:ind w:right="60" w:firstLine="441"/>
        <w:spacing w:after="0" w:line="249" w:lineRule="auto"/>
        <w:rPr>
          <w:sz w:val="20"/>
          <w:szCs w:val="20"/>
          <w:color w:val="auto"/>
        </w:rPr>
      </w:pPr>
      <w:r>
        <w:rPr>
          <w:rFonts w:ascii="Arial" w:cs="Arial" w:eastAsia="Arial" w:hAnsi="Arial"/>
          <w:sz w:val="18"/>
          <w:szCs w:val="18"/>
          <w:b w:val="1"/>
          <w:bCs w:val="1"/>
          <w:color w:val="auto"/>
        </w:rPr>
        <w:t>Certain persons participating in this offering may engage in transactions that stabilize, maintain or otherwise affect the price of the Common Stock. Such transactions may include stabilizing and the purchase of Common Stock to cover short positions. For a description of these activities, see “Underwriting (Conflicts of Interest).”</w:t>
      </w:r>
    </w:p>
    <w:p>
      <w:pPr>
        <w:spacing w:after="0" w:line="126" w:lineRule="exact"/>
        <w:rPr>
          <w:sz w:val="20"/>
          <w:szCs w:val="20"/>
          <w:color w:val="auto"/>
        </w:rPr>
      </w:pPr>
    </w:p>
    <w:p>
      <w:pPr>
        <w:ind w:right="120" w:firstLine="441"/>
        <w:spacing w:after="0" w:line="249" w:lineRule="auto"/>
        <w:rPr>
          <w:sz w:val="20"/>
          <w:szCs w:val="20"/>
          <w:color w:val="auto"/>
        </w:rPr>
      </w:pPr>
      <w:r>
        <w:rPr>
          <w:rFonts w:ascii="Arial" w:cs="Arial" w:eastAsia="Arial" w:hAnsi="Arial"/>
          <w:sz w:val="18"/>
          <w:szCs w:val="18"/>
          <w:b w:val="1"/>
          <w:bCs w:val="1"/>
          <w:color w:val="auto"/>
        </w:rPr>
        <w:t>No state gaming commission or any other gaming authority or other regulatory agency (including, without limitation, the Nevada Gaming Commission and the Nevada State Gaming Control Board) has approved or disapproved of the Common Stock or determined if this prospectus supplement is truthful or complete. Any representation to the contrary is unlawful.</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0960"/>
          </w:cols>
          <w:pgMar w:left="440" w:top="291" w:right="4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YOU CAN FIND MORE INFORMATION</w:t>
      </w:r>
    </w:p>
    <w:p>
      <w:pPr>
        <w:spacing w:after="0" w:line="180" w:lineRule="exact"/>
        <w:rPr>
          <w:sz w:val="20"/>
          <w:szCs w:val="20"/>
          <w:color w:val="auto"/>
        </w:rPr>
      </w:pPr>
    </w:p>
    <w:p>
      <w:pPr>
        <w:ind w:firstLine="441"/>
        <w:spacing w:after="0" w:line="236" w:lineRule="auto"/>
        <w:rPr>
          <w:sz w:val="20"/>
          <w:szCs w:val="20"/>
          <w:color w:val="auto"/>
        </w:rPr>
      </w:pPr>
      <w:r>
        <w:rPr>
          <w:rFonts w:ascii="Arial" w:cs="Arial" w:eastAsia="Arial" w:hAnsi="Arial"/>
          <w:sz w:val="18"/>
          <w:szCs w:val="18"/>
          <w:color w:val="auto"/>
        </w:rPr>
        <w:t xml:space="preserve">Wynn Resorts, Limited (“Wynn Resorts”) files periodic reports and other information with the SEC. You may read and copy any document that Wynn Resorts files with the SEC at the SEC’s Public Reference Room at 100 F Street, N.E., Washington, DC 20549. You may obtain further information on the operation of the Public Reference Room by calling the SEC at 1-800-SEC-0330. The SEC filings of Wynn Resorts also are available to the public over the Internet at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You may find additional information about Wynn Resorts and its subsidiaries on its website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The information contained on or that can be accessed through the Wynn Resorts website (other than the specified SEC filings incorporated by reference in this prospectus supplement) is not incorporated by reference in this prospectus supplement. You should not consider such information contained on the Wynn Resorts website or that can be accessed through such websites to be part of this prospectus supplement.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EXTENDED SETTLEMENT</w:t>
      </w:r>
    </w:p>
    <w:p>
      <w:pPr>
        <w:spacing w:after="0" w:line="180" w:lineRule="exact"/>
        <w:rPr>
          <w:sz w:val="20"/>
          <w:szCs w:val="20"/>
          <w:color w:val="auto"/>
        </w:rPr>
      </w:pPr>
    </w:p>
    <w:p>
      <w:pPr>
        <w:ind w:right="160" w:firstLine="441"/>
        <w:spacing w:after="0" w:line="229" w:lineRule="auto"/>
        <w:rPr>
          <w:sz w:val="20"/>
          <w:szCs w:val="20"/>
          <w:color w:val="auto"/>
        </w:rPr>
      </w:pPr>
      <w:r>
        <w:rPr>
          <w:rFonts w:ascii="Arial" w:cs="Arial" w:eastAsia="Arial" w:hAnsi="Arial"/>
          <w:sz w:val="18"/>
          <w:szCs w:val="18"/>
          <w:color w:val="auto"/>
        </w:rPr>
        <w:t>We expect that delivery of the Common Stock will be made against payment therefor on or about April 3, 2018, which will be the 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business day following the date of pricing, or ‘‘T+7.’’ Under Rule 15c6-1 of the Exchange Act, trades in the secondary market generally are required to settle in two business days, unless the parties to any such trade expressly agree otherwise. Accordingly, purchasers who wish to trade the Common Stock on the date of pricing or the next four succeeding business days will be required, by virtue of the fact that the Common Stock initially settle in T+7, to specify an alternate settlement arrangement at the time of any such trade to prevent a failed settlement. Purchasers of the Common Stock who wish to trade the Common Stock prior to their date of delivery hereunder should consult their own advisors.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020"/>
          </w:cols>
          <w:pgMar w:left="440" w:top="269" w:right="4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This Prospectus Supplement</w:t>
      </w:r>
    </w:p>
    <w:p>
      <w:pPr>
        <w:spacing w:after="0" w:line="180" w:lineRule="exact"/>
        <w:rPr>
          <w:sz w:val="20"/>
          <w:szCs w:val="20"/>
          <w:color w:val="auto"/>
        </w:rPr>
      </w:pPr>
    </w:p>
    <w:p>
      <w:pPr>
        <w:jc w:val="both"/>
        <w:ind w:right="260" w:firstLine="441"/>
        <w:spacing w:after="0" w:line="238" w:lineRule="auto"/>
        <w:rPr>
          <w:sz w:val="20"/>
          <w:szCs w:val="20"/>
          <w:color w:val="auto"/>
        </w:rPr>
      </w:pPr>
      <w:r>
        <w:rPr>
          <w:rFonts w:ascii="Arial" w:cs="Arial" w:eastAsia="Arial" w:hAnsi="Arial"/>
          <w:sz w:val="18"/>
          <w:szCs w:val="18"/>
          <w:color w:val="auto"/>
        </w:rPr>
        <w:t>On November 8, 2016, we filed with the SEC a registration statement on Form S-3 utilizing a shelf registration process relating to the securities described in this prospectus supplement, which became effective upon filing. Under this shelf registration process, we may, from time to time, offer and sell securities in one or more offerings.</w:t>
      </w:r>
    </w:p>
    <w:p>
      <w:pPr>
        <w:spacing w:after="0" w:line="154" w:lineRule="exact"/>
        <w:rPr>
          <w:sz w:val="20"/>
          <w:szCs w:val="20"/>
          <w:color w:val="auto"/>
        </w:rPr>
      </w:pPr>
    </w:p>
    <w:p>
      <w:pPr>
        <w:ind w:right="120" w:firstLine="441"/>
        <w:spacing w:after="0" w:line="235"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the offering of our Common Stock and also adds to and updates information contained in the accompanying prospectus. The second part is the accompanying prospectus, which gives more general information. If information varies between this prospectus supplement and the accompanying prospectus, you should rely on the information in this prospectus supplement. The rules of the SEC allow us to incorporate by reference information into this prospectus supplement. This information incorporated by reference is considered to be a part of this prospectus supplement, and information that we file later with the SEC, to the extent incorporated by reference, will automatically update and supersede this information. See “Incorporation By Reference.” You should read both this prospectus supplement and the accompanying prospectus together with additional information described under the heading “Where You Can Find More Information” before investing in our Common Stock.</w:t>
      </w:r>
    </w:p>
    <w:p>
      <w:pPr>
        <w:spacing w:after="0" w:line="161" w:lineRule="exact"/>
        <w:rPr>
          <w:sz w:val="20"/>
          <w:szCs w:val="20"/>
          <w:color w:val="auto"/>
        </w:rPr>
      </w:pPr>
    </w:p>
    <w:p>
      <w:pPr>
        <w:ind w:firstLine="441"/>
        <w:spacing w:after="0" w:line="235" w:lineRule="auto"/>
        <w:rPr>
          <w:sz w:val="20"/>
          <w:szCs w:val="20"/>
          <w:color w:val="auto"/>
        </w:rPr>
      </w:pPr>
      <w:r>
        <w:rPr>
          <w:rFonts w:ascii="Arial" w:cs="Arial" w:eastAsia="Arial" w:hAnsi="Arial"/>
          <w:sz w:val="18"/>
          <w:szCs w:val="18"/>
          <w:color w:val="auto"/>
        </w:rPr>
        <w:t>We have not authorized any dealer, salesman or other person to give any information or to make any representation other than those contained in or incorporated by reference into this prospectus supplement or the accompanying prospectus. You must not rely upon any information or representation not contained in or incorporated by reference into this prospectus supplement or the accompanying prospectus. This prospectus supplement and accompanying prospectus do not constitute an offer to sell or the solicitation of an offer to buy any securities other than our Common Stock offered hereby, nor do this prospectus supplement and accompanying prospectus constitute an offer to sell or the solicitation of an offer to buy securities in any jurisdiction to any person to whom it is unlawful to make such offer or solicitation in such jurisdiction. You should not assume that the information contained in this prospectus supplement and accompanying prospectus is accurate on any date subsequent to the date set forth on the front of the document or that any information we have incorporated by reference is correct on any date subsequent to the date of the document incorporated by reference, even though this prospectus supplement and accompanying prospectus is delivered or securities are sold on a later date.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000"/>
          </w:cols>
          <w:pgMar w:left="440" w:top="269" w:right="459" w:bottom="1440" w:gutter="0" w:footer="0" w:header="0"/>
        </w:sectPr>
      </w:pPr>
    </w:p>
    <w:bookmarkStart w:id="5" w:name="page6"/>
    <w:bookmarkEnd w:id="5"/>
    <w:p>
      <w:pPr>
        <w:ind w:left="4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INCORPORATION BY REFERENCE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760" w:hanging="32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 supplement;</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760" w:right="120" w:hanging="324"/>
        <w:spacing w:after="0" w:line="239"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information that we file in the future prior to the closing of this offering with the SEC automatically will update and supersede earlier information contained or incorporated by reference in this prospectus supplement.</w:t>
      </w:r>
    </w:p>
    <w:p>
      <w:pPr>
        <w:spacing w:after="0" w:line="141" w:lineRule="exact"/>
        <w:rPr>
          <w:sz w:val="20"/>
          <w:szCs w:val="20"/>
          <w:color w:val="auto"/>
        </w:rPr>
      </w:pPr>
    </w:p>
    <w:p>
      <w:pPr>
        <w:ind w:right="40" w:firstLine="441"/>
        <w:spacing w:after="0" w:line="237" w:lineRule="auto"/>
        <w:rPr>
          <w:sz w:val="20"/>
          <w:szCs w:val="20"/>
          <w:color w:val="auto"/>
        </w:rPr>
      </w:pPr>
      <w:r>
        <w:rPr>
          <w:rFonts w:ascii="Arial" w:cs="Arial" w:eastAsia="Arial" w:hAnsi="Arial"/>
          <w:sz w:val="18"/>
          <w:szCs w:val="18"/>
          <w:color w:val="auto"/>
        </w:rPr>
        <w:t>We incorporate by reference into this prospectus supplement the documents listed below and any future filings that Wynn Resorts, Limited makes with the SEC under Section 13(a), 13(c), 14 or 15(d) of the Securities Exchange Act of 1934, as amended (the “Exchange Act”), prior to the closing of this offering (other than current reports or the portions thereof furnished under Item 2.02 or Item 7.01 of Form 8-K, including the related exhibits under Item 9.01):</w:t>
      </w:r>
    </w:p>
    <w:p>
      <w:pPr>
        <w:spacing w:after="0" w:line="74" w:lineRule="exact"/>
        <w:rPr>
          <w:sz w:val="20"/>
          <w:szCs w:val="20"/>
          <w:color w:val="auto"/>
        </w:rPr>
      </w:pPr>
    </w:p>
    <w:p>
      <w:pPr>
        <w:ind w:left="760" w:right="160" w:hanging="324"/>
        <w:spacing w:after="0" w:line="23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Report of Wynn Resorts, Limited on Form 10-K for the year ended December 31, 2017, filed with the SEC on February 28, 2018;</w:t>
      </w:r>
    </w:p>
    <w:p>
      <w:pPr>
        <w:spacing w:after="0" w:line="73" w:lineRule="exact"/>
        <w:rPr>
          <w:rFonts w:ascii="Arial" w:cs="Arial" w:eastAsia="Arial" w:hAnsi="Arial"/>
          <w:sz w:val="18"/>
          <w:szCs w:val="18"/>
          <w:color w:val="auto"/>
        </w:rPr>
      </w:pPr>
    </w:p>
    <w:p>
      <w:pPr>
        <w:ind w:left="760" w:right="60" w:hanging="324"/>
        <w:spacing w:after="0" w:line="23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Reports of Wynn Resorts, Limited on Form 8-K, filed with the SEC on January 22, 2018 (solely relating to Item 8.01), February 7, 2018 (solely relating to Item 5.02), February 16, 2018 (Film #: 18619596), February 16, 2018 (Film #: 18621520), February 28, 2018, March 7, 2018 (Film #: 18673457), March 9, 2018, March 15, 2018 (Film #: 18690814), March 15, 2018 (Film #: 18691158) and March 21, 2018;</w:t>
      </w:r>
    </w:p>
    <w:p>
      <w:pPr>
        <w:spacing w:after="0" w:line="73" w:lineRule="exact"/>
        <w:rPr>
          <w:rFonts w:ascii="Arial" w:cs="Arial" w:eastAsia="Arial" w:hAnsi="Arial"/>
          <w:sz w:val="18"/>
          <w:szCs w:val="18"/>
          <w:color w:val="auto"/>
        </w:rPr>
      </w:pPr>
    </w:p>
    <w:p>
      <w:pPr>
        <w:ind w:left="760" w:right="40" w:hanging="324"/>
        <w:spacing w:after="0" w:line="23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portions of our Definitive Proxy Statement on Schedule 14A, filed with the SEC on March 10, 2017 incorporated by reference in our Annual Report on Form 10-K for the year ended December 31, 2016; and</w:t>
      </w:r>
    </w:p>
    <w:p>
      <w:pPr>
        <w:spacing w:after="0" w:line="73" w:lineRule="exact"/>
        <w:rPr>
          <w:rFonts w:ascii="Arial" w:cs="Arial" w:eastAsia="Arial" w:hAnsi="Arial"/>
          <w:sz w:val="18"/>
          <w:szCs w:val="18"/>
          <w:color w:val="auto"/>
        </w:rPr>
      </w:pPr>
    </w:p>
    <w:p>
      <w:pPr>
        <w:ind w:left="760" w:hanging="32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our common stock included in our registration statement on Form 8-A filed with the SEC on October 7, 2002.</w:t>
      </w:r>
    </w:p>
    <w:p>
      <w:pPr>
        <w:spacing w:after="0" w:line="144" w:lineRule="exact"/>
        <w:rPr>
          <w:sz w:val="20"/>
          <w:szCs w:val="20"/>
          <w:color w:val="auto"/>
        </w:rPr>
      </w:pPr>
    </w:p>
    <w:p>
      <w:pPr>
        <w:ind w:firstLine="441"/>
        <w:spacing w:after="0" w:line="271"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We have not authorized anyone to provide you with any additional information. Any statement contained in this prospectus supplement, or a document incorporated or deemed to be incorporated by reference in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spacing w:after="0" w:line="118" w:lineRule="exact"/>
        <w:rPr>
          <w:sz w:val="20"/>
          <w:szCs w:val="20"/>
          <w:color w:val="auto"/>
        </w:rPr>
      </w:pPr>
    </w:p>
    <w:p>
      <w:pPr>
        <w:ind w:right="140" w:firstLine="441"/>
        <w:spacing w:after="0" w:line="237" w:lineRule="auto"/>
        <w:rPr>
          <w:sz w:val="20"/>
          <w:szCs w:val="20"/>
          <w:color w:val="auto"/>
        </w:rPr>
      </w:pPr>
      <w:r>
        <w:rPr>
          <w:rFonts w:ascii="Arial" w:cs="Arial" w:eastAsia="Arial" w:hAnsi="Arial"/>
          <w:sz w:val="18"/>
          <w:szCs w:val="18"/>
          <w:color w:val="auto"/>
        </w:rPr>
        <w:t>The documents incorporated by reference in this prospectus supplement are available from us upon request. We will provide a copy of any and all of the information that is incorporated by reference in this prospectus supplement to any person, without charge, upon written or oral request. Exhibits to SEC filings will not be sent, however, unless those exhibits have specifically been incorporated by reference in this prospectus supplement. Requests for such copies should be directed to the following:</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Wynn Resorts, Limited</w:t>
      </w:r>
    </w:p>
    <w:p>
      <w:pPr>
        <w:jc w:val="center"/>
        <w:ind w:right="-39"/>
        <w:spacing w:after="0" w:line="234" w:lineRule="auto"/>
        <w:rPr>
          <w:sz w:val="20"/>
          <w:szCs w:val="20"/>
          <w:color w:val="auto"/>
        </w:rPr>
      </w:pPr>
      <w:r>
        <w:rPr>
          <w:rFonts w:ascii="Arial" w:cs="Arial" w:eastAsia="Arial" w:hAnsi="Arial"/>
          <w:sz w:val="18"/>
          <w:szCs w:val="18"/>
          <w:color w:val="auto"/>
        </w:rPr>
        <w:t>3131 Las Vegas Boulevard South</w:t>
      </w:r>
    </w:p>
    <w:p>
      <w:pPr>
        <w:jc w:val="center"/>
        <w:ind w:right="-39"/>
        <w:spacing w:after="0" w:line="235" w:lineRule="auto"/>
        <w:rPr>
          <w:sz w:val="20"/>
          <w:szCs w:val="20"/>
          <w:color w:val="auto"/>
        </w:rPr>
      </w:pPr>
      <w:r>
        <w:rPr>
          <w:rFonts w:ascii="Arial" w:cs="Arial" w:eastAsia="Arial" w:hAnsi="Arial"/>
          <w:sz w:val="18"/>
          <w:szCs w:val="18"/>
          <w:color w:val="auto"/>
        </w:rPr>
        <w:t>Las Vegas, Nevada 89109</w:t>
      </w:r>
    </w:p>
    <w:p>
      <w:pPr>
        <w:ind w:left="5380" w:hanging="466"/>
        <w:spacing w:after="0" w:line="235" w:lineRule="auto"/>
        <w:tabs>
          <w:tab w:leader="none" w:pos="5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770-7555</w:t>
      </w:r>
    </w:p>
    <w:p>
      <w:pPr>
        <w:ind w:left="442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58" w:lineRule="exact"/>
        <w:rPr>
          <w:sz w:val="20"/>
          <w:szCs w:val="20"/>
          <w:color w:val="auto"/>
        </w:rPr>
      </w:pPr>
    </w:p>
    <w:p>
      <w:pPr>
        <w:ind w:right="540" w:firstLine="441"/>
        <w:spacing w:after="0" w:line="239" w:lineRule="auto"/>
        <w:rPr>
          <w:sz w:val="20"/>
          <w:szCs w:val="20"/>
          <w:color w:val="auto"/>
        </w:rPr>
      </w:pPr>
      <w:r>
        <w:rPr>
          <w:rFonts w:ascii="Arial" w:cs="Arial" w:eastAsia="Arial" w:hAnsi="Arial"/>
          <w:sz w:val="18"/>
          <w:szCs w:val="18"/>
          <w:color w:val="auto"/>
        </w:rPr>
        <w:t>Except as provided above, no other information, including information on or that can be accessed through Wynn Resorts’ website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is incorporated by reference in this prospectus supplement.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000"/>
          </w:cols>
          <w:pgMar w:left="440" w:top="269" w:right="4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NOTE REGARDING FORWARD-LOOKING STATEMENTS</w:t>
      </w:r>
    </w:p>
    <w:p>
      <w:pPr>
        <w:spacing w:after="0" w:line="180" w:lineRule="exact"/>
        <w:rPr>
          <w:sz w:val="20"/>
          <w:szCs w:val="20"/>
          <w:color w:val="auto"/>
        </w:rPr>
      </w:pPr>
    </w:p>
    <w:p>
      <w:pPr>
        <w:ind w:right="120" w:firstLine="441"/>
        <w:spacing w:after="0" w:line="236" w:lineRule="auto"/>
        <w:rPr>
          <w:sz w:val="20"/>
          <w:szCs w:val="20"/>
          <w:color w:val="auto"/>
        </w:rPr>
      </w:pPr>
      <w:r>
        <w:rPr>
          <w:rFonts w:ascii="Arial" w:cs="Arial" w:eastAsia="Arial" w:hAnsi="Arial"/>
          <w:sz w:val="18"/>
          <w:szCs w:val="18"/>
          <w:color w:val="auto"/>
        </w:rPr>
        <w:t>This prospectus supplement, including the documents incorporated by reference herein, contains statements that are “forward-looking” statements within the meaning of Section 27A of the Securities Act of 1933, as amended (the “Securities Act”) and Section 21E of the Exchange Act,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w:t>
      </w:r>
    </w:p>
    <w:p>
      <w:pPr>
        <w:spacing w:after="0" w:line="157" w:lineRule="exact"/>
        <w:rPr>
          <w:sz w:val="20"/>
          <w:szCs w:val="20"/>
          <w:color w:val="auto"/>
        </w:rPr>
      </w:pPr>
    </w:p>
    <w:p>
      <w:pPr>
        <w:ind w:firstLine="441"/>
        <w:spacing w:after="0" w:line="270" w:lineRule="auto"/>
        <w:rPr>
          <w:sz w:val="20"/>
          <w:szCs w:val="20"/>
          <w:color w:val="auto"/>
        </w:rPr>
      </w:pPr>
      <w:r>
        <w:rPr>
          <w:rFonts w:ascii="Arial" w:cs="Arial" w:eastAsia="Arial" w:hAnsi="Arial"/>
          <w:sz w:val="16"/>
          <w:szCs w:val="16"/>
          <w:color w:val="auto"/>
        </w:rPr>
        <w:t>Any statements contained in this prospectus supplement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set forth under “Risk Factors” in this prospectus supplement and the risks incorporated by reference herein, including those in our Annual Report on Form 10-K for the year ended December 31, 2017.</w:t>
      </w:r>
    </w:p>
    <w:p>
      <w:pPr>
        <w:spacing w:after="0" w:line="131" w:lineRule="exact"/>
        <w:rPr>
          <w:sz w:val="20"/>
          <w:szCs w:val="20"/>
          <w:color w:val="auto"/>
        </w:rPr>
      </w:pPr>
    </w:p>
    <w:p>
      <w:pPr>
        <w:ind w:right="120" w:firstLine="441"/>
        <w:spacing w:after="0" w:line="237" w:lineRule="auto"/>
        <w:rPr>
          <w:sz w:val="20"/>
          <w:szCs w:val="20"/>
          <w:color w:val="auto"/>
        </w:rPr>
      </w:pPr>
      <w:r>
        <w:rPr>
          <w:rFonts w:ascii="Arial" w:cs="Arial" w:eastAsia="Arial" w:hAnsi="Arial"/>
          <w:sz w:val="18"/>
          <w:szCs w:val="18"/>
          <w:color w:val="auto"/>
        </w:rPr>
        <w:t>For a more detailed discussion of these and other risk factors, please read carefully the information under the caption “Risk Factors.”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 supplement.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DATA</w:t>
      </w:r>
    </w:p>
    <w:p>
      <w:pPr>
        <w:spacing w:after="0" w:line="180" w:lineRule="exact"/>
        <w:rPr>
          <w:sz w:val="20"/>
          <w:szCs w:val="20"/>
          <w:color w:val="auto"/>
        </w:rPr>
      </w:pPr>
    </w:p>
    <w:p>
      <w:pPr>
        <w:ind w:right="300" w:firstLine="441"/>
        <w:spacing w:after="0" w:line="238" w:lineRule="auto"/>
        <w:rPr>
          <w:sz w:val="20"/>
          <w:szCs w:val="20"/>
          <w:color w:val="auto"/>
        </w:rPr>
      </w:pPr>
      <w:r>
        <w:rPr>
          <w:rFonts w:ascii="Arial" w:cs="Arial" w:eastAsia="Arial" w:hAnsi="Arial"/>
          <w:sz w:val="18"/>
          <w:szCs w:val="18"/>
          <w:color w:val="auto"/>
        </w:rPr>
        <w:t>Industry data used throughout this prospectus supplement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S-v</w:t>
      </w:r>
    </w:p>
    <w:p>
      <w:pPr>
        <w:sectPr>
          <w:pgSz w:w="11900" w:h="16838" w:orient="portrait"/>
          <w:cols w:equalWidth="0" w:num="1">
            <w:col w:w="11000"/>
          </w:cols>
          <w:pgMar w:left="440" w:top="269" w:right="4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267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267325"/>
                    </a:xfrm>
                    <a:prstGeom prst="rect">
                      <a:avLst/>
                    </a:prstGeom>
                    <a:noFill/>
                  </pic:spPr>
                </pic:pic>
              </a:graphicData>
            </a:graphic>
          </wp:anchor>
        </w:drawing>
        <w:t>SUMMARY</w:t>
      </w:r>
    </w:p>
    <w:p>
      <w:pPr>
        <w:spacing w:after="0" w:line="162" w:lineRule="exact"/>
        <w:rPr>
          <w:sz w:val="20"/>
          <w:szCs w:val="20"/>
          <w:color w:val="auto"/>
        </w:rPr>
      </w:pPr>
    </w:p>
    <w:p>
      <w:pPr>
        <w:ind w:right="20" w:firstLine="426"/>
        <w:spacing w:after="0" w:line="238" w:lineRule="auto"/>
        <w:rPr>
          <w:sz w:val="20"/>
          <w:szCs w:val="20"/>
          <w:color w:val="auto"/>
        </w:rPr>
      </w:pPr>
      <w:r>
        <w:rPr>
          <w:rFonts w:ascii="Arial" w:cs="Arial" w:eastAsia="Arial" w:hAnsi="Arial"/>
          <w:sz w:val="18"/>
          <w:szCs w:val="18"/>
          <w:i w:val="1"/>
          <w:iCs w:val="1"/>
          <w:color w:val="auto"/>
        </w:rPr>
        <w:t>The following summary should be read together with the information contained in other parts of this prospectus supplement and the accompanying prospectus or incorporated by reference herein or therein. This summary highlights selected information about the Company, including important information from this prospectus supplement and the accompanying prospectus regarding the offering of the Common Stock. You should read this prospectus supplement and the accompanying prospectus, including the documents we incorporate by reference, carefully to understand fully the terms of the offering as well as other considerations that are important to you in making a decision to invest in the Common Stock. You should pay special attention to the “Risk Factors” section of this prospectus supplement, and the “Risk Factors” section in our Annual Report on Form 10-K for the fiscal year ended December 31, 2017 to determine whether an investment in the shares is appropriate for you. This prospectus supplement and the accompanying prospectus include and incorporate forward-looking statements that involve risks and uncertainties.</w:t>
      </w:r>
    </w:p>
    <w:p>
      <w:pPr>
        <w:spacing w:after="0" w:line="138" w:lineRule="exact"/>
        <w:rPr>
          <w:sz w:val="20"/>
          <w:szCs w:val="20"/>
          <w:color w:val="auto"/>
        </w:rPr>
      </w:pPr>
    </w:p>
    <w:p>
      <w:pPr>
        <w:ind w:right="120" w:firstLine="426"/>
        <w:spacing w:after="0" w:line="243" w:lineRule="auto"/>
        <w:rPr>
          <w:sz w:val="20"/>
          <w:szCs w:val="20"/>
          <w:color w:val="auto"/>
        </w:rPr>
      </w:pPr>
      <w:r>
        <w:rPr>
          <w:rFonts w:ascii="Arial" w:cs="Arial" w:eastAsia="Arial" w:hAnsi="Arial"/>
          <w:sz w:val="18"/>
          <w:szCs w:val="18"/>
          <w:i w:val="1"/>
          <w:iCs w:val="1"/>
          <w:color w:val="auto"/>
        </w:rPr>
        <w:t>The Common Stock will be issued by Wynn Resorts, Limited, a Nevada Corporation. Wynn Resorts, Limited is hereinafter referred to as the “Issuer.” Unless otherwise indicated or the context otherwise requires, all references in this prospectus supplement to the “Company” refers to Wynn Resorts, Limited and all references to “we,” “us” or “our,” or similar terms, refer to Wynn Resorts, Limited and its consolidated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99" w:lineRule="exact"/>
        <w:rPr>
          <w:sz w:val="20"/>
          <w:szCs w:val="20"/>
          <w:color w:val="auto"/>
        </w:rPr>
      </w:pPr>
    </w:p>
    <w:p>
      <w:pPr>
        <w:ind w:right="80" w:firstLine="426"/>
        <w:spacing w:after="0" w:line="236" w:lineRule="auto"/>
        <w:rPr>
          <w:sz w:val="20"/>
          <w:szCs w:val="20"/>
          <w:color w:val="auto"/>
        </w:rPr>
      </w:pPr>
      <w:r>
        <w:rPr>
          <w:rFonts w:ascii="Arial" w:cs="Arial" w:eastAsia="Arial" w:hAnsi="Arial"/>
          <w:sz w:val="18"/>
          <w:szCs w:val="18"/>
          <w:color w:val="auto"/>
        </w:rPr>
        <w:t>We are a developer, owner and operator of destination casino resorts (integrated resorts). In the Macau Special Administrative Region of the People’s Republic of China (“Macau”), we own approximately 72% of Wynn Macau, Limited, which includes the operations of the Wynn Macau and Wynn Palace resorts, which we refer to as our Macau Operations. In Las Vegas, Nevada, we operate and, with the exception of certain retail space, own 100% of Wynn Las Vegas, which we also refer to as our Las Vegas Operations. We are currently constructing Wynn Boston Harbor, an integrated casino resort in Everett, Massachusetts.</w:t>
      </w:r>
    </w:p>
    <w:p>
      <w:pPr>
        <w:spacing w:after="0" w:line="216"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Recent Developments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Settlement Agreement and Mutual Release and Related Updates</w:t>
      </w:r>
    </w:p>
    <w:p>
      <w:pPr>
        <w:spacing w:after="0" w:line="99" w:lineRule="exact"/>
        <w:rPr>
          <w:sz w:val="20"/>
          <w:szCs w:val="20"/>
          <w:color w:val="auto"/>
        </w:rPr>
      </w:pPr>
    </w:p>
    <w:p>
      <w:pPr>
        <w:ind w:right="80" w:firstLine="426"/>
        <w:spacing w:after="0" w:line="236" w:lineRule="auto"/>
        <w:rPr>
          <w:sz w:val="20"/>
          <w:szCs w:val="20"/>
          <w:color w:val="auto"/>
        </w:rPr>
      </w:pPr>
      <w:r>
        <w:rPr>
          <w:rFonts w:ascii="Arial" w:cs="Arial" w:eastAsia="Arial" w:hAnsi="Arial"/>
          <w:sz w:val="18"/>
          <w:szCs w:val="18"/>
          <w:color w:val="auto"/>
        </w:rPr>
        <w:t>On March 8, 2018, Wynn Resorts announced that it has entered into a Settlement Agreement and Mutual Release (the “Settlement Agreement”) by and between the Company, Stephen A. Wynn (“Mr. Wynn”), Linda Chen, Russell Goldsmith, Ray R. Irani, Robert J. Miller, John A. Moran, Marc D. Schorr, Alvin V. Shoemaker, D. Boone Wayson, Allan Zeman, and Kimmarie Sinatra (collectively, the “Wynn Parties”), and Universal Entertainment Corp. and Aruze USA, Inc. (“Aruze” and, collectively with Universal Entertainment Corp., the “Universal Parties”). The Settlement Agreement resolves legal proceedings pending in the Eighth Judicial District Court in Clark County, Nevada (the “Nevada Litigation”) as well as other claims.</w:t>
      </w:r>
    </w:p>
    <w:p>
      <w:pPr>
        <w:spacing w:after="0" w:line="156" w:lineRule="exact"/>
        <w:rPr>
          <w:sz w:val="20"/>
          <w:szCs w:val="20"/>
          <w:color w:val="auto"/>
        </w:rPr>
      </w:pPr>
    </w:p>
    <w:p>
      <w:pPr>
        <w:ind w:firstLine="426"/>
        <w:spacing w:after="0" w:line="238" w:lineRule="auto"/>
        <w:rPr>
          <w:sz w:val="20"/>
          <w:szCs w:val="20"/>
          <w:color w:val="auto"/>
        </w:rPr>
      </w:pPr>
      <w:r>
        <w:rPr>
          <w:rFonts w:ascii="Arial" w:cs="Arial" w:eastAsia="Arial" w:hAnsi="Arial"/>
          <w:sz w:val="18"/>
          <w:szCs w:val="18"/>
          <w:color w:val="auto"/>
        </w:rPr>
        <w:t>Pursuant to the Settlement Agreement, the Company agreed to pay on or before March 31, 2018 the principal amount of the $1.936 billion promissory note issued in connection with the redemption of all shares of the Company’s stock held by Aruze as of February 18, 2012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660"/>
          </w:cols>
          <w:pgMar w:left="620" w:top="458" w:right="619" w:bottom="1440" w:gutter="0" w:footer="0" w:header="0"/>
        </w:sectPr>
      </w:pPr>
    </w:p>
    <w:bookmarkStart w:id="8" w:name="page9"/>
    <w:bookmarkEnd w:id="8"/>
    <w:p>
      <w:pPr>
        <w:ind w:right="2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58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958715"/>
                    </a:xfrm>
                    <a:prstGeom prst="rect">
                      <a:avLst/>
                    </a:prstGeom>
                    <a:noFill/>
                  </pic:spPr>
                </pic:pic>
              </a:graphicData>
            </a:graphic>
          </wp:anchor>
        </w:drawing>
        <w:t>“Redemption Note”). The Company also agreed to pay an additional $463.6 million with respect to the Universal Parties’ claims related to the allegedly below-market interest rate of the Redemption Note (the “Additional Redemption Note Amount”) and agreed to release to Aruze $232.4 million in accrued interest currently held in escrow. During the three months ended March 31, 2018, the Company expects to record an estimated expense of $520.9 million related to payments made pursuant to the Settlement Agreement.</w:t>
      </w:r>
    </w:p>
    <w:p>
      <w:pPr>
        <w:spacing w:after="0" w:line="129" w:lineRule="exact"/>
        <w:rPr>
          <w:sz w:val="20"/>
          <w:szCs w:val="20"/>
          <w:color w:val="auto"/>
        </w:rPr>
      </w:pPr>
    </w:p>
    <w:p>
      <w:pPr>
        <w:ind w:right="60" w:firstLine="426"/>
        <w:spacing w:after="0" w:line="236" w:lineRule="auto"/>
        <w:rPr>
          <w:sz w:val="20"/>
          <w:szCs w:val="20"/>
          <w:color w:val="auto"/>
        </w:rPr>
      </w:pPr>
      <w:r>
        <w:rPr>
          <w:rFonts w:ascii="Arial" w:cs="Arial" w:eastAsia="Arial" w:hAnsi="Arial"/>
          <w:sz w:val="18"/>
          <w:szCs w:val="18"/>
          <w:color w:val="auto"/>
        </w:rPr>
        <w:t>Under the Settlement Agreement, the Wynn Parties and the Universal Parties mutually agreed to unconditionally release all claims against each other relating to or arising out of the Nevada Litigation, as well as any claims which relate to or arise out of any other litigation or claims in any other jurisdiction. As a result, the Universal Parties will not claim that Aruze remains a party to the Amended and Restated Stockholders Agreement (the “Stockholders Agreement”) among Aruze, Mr. Wynn, and Elaine P. Wynn (Mr. Wynn’s former spouse), dated January 6, 2010. The Universal Parties further released any claims against the Wynn Parties and their affiliates in any other jurisdiction, including but not limited to the proceeding pending in Macau against Wynn Resorts (Macau) S.A. and certain related individuals (the “Macau Litigation”).</w:t>
      </w:r>
    </w:p>
    <w:p>
      <w:pPr>
        <w:spacing w:after="0" w:line="155" w:lineRule="exact"/>
        <w:rPr>
          <w:sz w:val="20"/>
          <w:szCs w:val="20"/>
          <w:color w:val="auto"/>
        </w:rPr>
      </w:pPr>
    </w:p>
    <w:p>
      <w:pPr>
        <w:ind w:right="60" w:firstLine="426"/>
        <w:spacing w:after="0" w:line="236" w:lineRule="auto"/>
        <w:rPr>
          <w:sz w:val="20"/>
          <w:szCs w:val="20"/>
          <w:color w:val="auto"/>
        </w:rPr>
      </w:pPr>
      <w:r>
        <w:rPr>
          <w:rFonts w:ascii="Arial" w:cs="Arial" w:eastAsia="Arial" w:hAnsi="Arial"/>
          <w:sz w:val="18"/>
          <w:szCs w:val="18"/>
          <w:color w:val="auto"/>
        </w:rPr>
        <w:t>As a result of the Settlement Agreement, the parties to the agreement dismissed all litigation between the Universal Parties and the Company and its then-directors and executives with respect to the redemption, including the Nevada Litigation and the Macau Litigation, but the Settlement Agreement did not release claims against any parties to such litigation who are not parties to the Settlement Agreement, including but not limited to Kazuo Okada and Elaine P. Wynn. The foregoing summary of the Settlement Agreement is qualified by reference to the Settlement Agreement, which was filed as Exhibit 10.1. of our Current Report on Form 8-K, filed with the SEC on March 9, 2018.</w:t>
      </w:r>
    </w:p>
    <w:p>
      <w:pPr>
        <w:spacing w:after="0" w:line="156" w:lineRule="exact"/>
        <w:rPr>
          <w:sz w:val="20"/>
          <w:szCs w:val="20"/>
          <w:color w:val="auto"/>
        </w:rPr>
      </w:pPr>
    </w:p>
    <w:p>
      <w:pPr>
        <w:ind w:right="120" w:firstLine="426"/>
        <w:spacing w:after="0" w:line="239" w:lineRule="auto"/>
        <w:rPr>
          <w:sz w:val="20"/>
          <w:szCs w:val="20"/>
          <w:color w:val="auto"/>
        </w:rPr>
      </w:pPr>
      <w:r>
        <w:rPr>
          <w:rFonts w:ascii="Arial" w:cs="Arial" w:eastAsia="Arial" w:hAnsi="Arial"/>
          <w:sz w:val="18"/>
          <w:szCs w:val="18"/>
          <w:color w:val="auto"/>
        </w:rPr>
        <w:t>On March 12, 2018, the Company voluntarily dismissed its claim for breach of fiduciary duty against Mr. Okada, which was the last and only remaining claim between the Company, Mr. Okada and the Universal Parties in the Nevada Litigation.</w:t>
      </w:r>
    </w:p>
    <w:p>
      <w:pPr>
        <w:spacing w:after="0" w:line="155" w:lineRule="exact"/>
        <w:rPr>
          <w:sz w:val="20"/>
          <w:szCs w:val="20"/>
          <w:color w:val="auto"/>
        </w:rPr>
      </w:pPr>
    </w:p>
    <w:p>
      <w:pPr>
        <w:ind w:firstLine="426"/>
        <w:spacing w:after="0" w:line="238" w:lineRule="auto"/>
        <w:rPr>
          <w:sz w:val="20"/>
          <w:szCs w:val="20"/>
          <w:color w:val="auto"/>
        </w:rPr>
      </w:pPr>
      <w:r>
        <w:rPr>
          <w:rFonts w:ascii="Arial" w:cs="Arial" w:eastAsia="Arial" w:hAnsi="Arial"/>
          <w:sz w:val="18"/>
          <w:szCs w:val="18"/>
          <w:color w:val="auto"/>
        </w:rPr>
        <w:t>On March 14, 2018, Mr. Wynn and Elaine P. Wynn entered into a stipulation declaring that the Stockholders Agreement is now invalid and unenforceable, thereby terminating some but not all of the claims asserted by Elaine P. Wynn against Mr. Wynn, the Company and certain officers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364-Day Term Loan Bridge Commitment</w:t>
      </w:r>
    </w:p>
    <w:p>
      <w:pPr>
        <w:spacing w:after="0" w:line="99" w:lineRule="exact"/>
        <w:rPr>
          <w:sz w:val="20"/>
          <w:szCs w:val="20"/>
          <w:color w:val="auto"/>
        </w:rPr>
      </w:pPr>
    </w:p>
    <w:p>
      <w:pPr>
        <w:ind w:right="60" w:firstLine="426"/>
        <w:spacing w:after="0" w:line="235" w:lineRule="auto"/>
        <w:rPr>
          <w:sz w:val="20"/>
          <w:szCs w:val="20"/>
          <w:color w:val="auto"/>
        </w:rPr>
      </w:pPr>
      <w:r>
        <w:rPr>
          <w:rFonts w:ascii="Arial" w:cs="Arial" w:eastAsia="Arial" w:hAnsi="Arial"/>
          <w:sz w:val="18"/>
          <w:szCs w:val="18"/>
          <w:color w:val="auto"/>
        </w:rPr>
        <w:t>On March 9, 2018, the Company entered into a commitment letter with an affiliate of Deutsche Bank Securities for a 364-day term loan facility to the Company in an aggregate principal amount of up to $800 million (the “Bridge Facility”). The annual interest rate applicable to the Bridge Facility is, at the option of the Company, (i) LIBOR plus the Applicable Margin or the (ii) the Base Rate plus the Applicable Margin (with LIBOR and Base Rate having customary definitions for financings of this type). Applicable Margin in turn means 1.75% per annum in the case of Base Rate loans and 2.75% per annum in the case of LIBOR loans. The Company intends to use the net proceeds of the Bridge Facility, along with cash on hand and approximately $250 million of borrowings under our U.S. credit facilities, which consist of $875 million and $125 million fully funded senior term loan facilities and a $375 million senior secured revolving credit facility (together, the “Wynn America Credit Facilities”), to repay the Redemption Note and to pay the Additional Redemption Note Amount and the fees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660"/>
          </w:cols>
          <w:pgMar w:left="620" w:top="480" w:right="619" w:bottom="1440" w:gutter="0" w:footer="0" w:header="0"/>
        </w:sectPr>
      </w:pPr>
    </w:p>
    <w:bookmarkStart w:id="9" w:name="page10"/>
    <w:bookmarkEnd w:id="9"/>
    <w:p>
      <w:pPr>
        <w:ind w:right="50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312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312160"/>
                    </a:xfrm>
                    <a:prstGeom prst="rect">
                      <a:avLst/>
                    </a:prstGeom>
                    <a:noFill/>
                  </pic:spPr>
                </pic:pic>
              </a:graphicData>
            </a:graphic>
          </wp:anchor>
        </w:drawing>
        <w:t>expenses incurred in connection therewith. The proceeds of the Common Stock offered hereby are anticipated to be used to repay amounts to be borrowed under the Bridge Facility. See “Use of Proceeds.”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2023 Indenture</w:t>
      </w:r>
    </w:p>
    <w:p>
      <w:pPr>
        <w:spacing w:after="0" w:line="99" w:lineRule="exact"/>
        <w:rPr>
          <w:sz w:val="20"/>
          <w:szCs w:val="20"/>
          <w:color w:val="auto"/>
        </w:rPr>
      </w:pPr>
    </w:p>
    <w:p>
      <w:pPr>
        <w:ind w:right="100" w:firstLine="426"/>
        <w:spacing w:after="0" w:line="236" w:lineRule="auto"/>
        <w:rPr>
          <w:sz w:val="20"/>
          <w:szCs w:val="20"/>
          <w:color w:val="auto"/>
        </w:rPr>
      </w:pPr>
      <w:r>
        <w:rPr>
          <w:rFonts w:ascii="Arial" w:cs="Arial" w:eastAsia="Arial" w:hAnsi="Arial"/>
          <w:sz w:val="18"/>
          <w:szCs w:val="18"/>
          <w:color w:val="auto"/>
        </w:rPr>
        <w:t>On March 20, 2018, the Company announced that its indirect wholly owned subsidiaries, Wynn Las Vegas, LLC and Wynn Las Vegas Capital Corp. (the “WLV Issuers”), had received the requisite consents to approve an amendment to the indenture (the “2023 Indenture”) governing the WLV Issuers’ 4.25% Senior Notes due 2023 (the “2023 WLV Notes”). The amendment conforms the definition of “change of control” relating to ownership of equity interests in the Company in the 2023 Indenture to the terms of the indentures governing the WLV Issuers’ other outstanding notes.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 and Prospectus Supplement</w:t>
      </w:r>
    </w:p>
    <w:p>
      <w:pPr>
        <w:spacing w:after="0" w:line="99" w:lineRule="exact"/>
        <w:rPr>
          <w:sz w:val="20"/>
          <w:szCs w:val="20"/>
          <w:color w:val="auto"/>
        </w:rPr>
      </w:pPr>
    </w:p>
    <w:p>
      <w:pPr>
        <w:ind w:firstLine="426"/>
        <w:spacing w:after="0" w:line="236" w:lineRule="auto"/>
        <w:rPr>
          <w:sz w:val="20"/>
          <w:szCs w:val="20"/>
          <w:color w:val="auto"/>
        </w:rPr>
      </w:pPr>
      <w:r>
        <w:rPr>
          <w:rFonts w:ascii="Arial" w:cs="Arial" w:eastAsia="Arial" w:hAnsi="Arial"/>
          <w:sz w:val="18"/>
          <w:szCs w:val="18"/>
          <w:color w:val="auto"/>
        </w:rPr>
        <w:t>On March 20, 2018, the Company entered into a Registration Rights Agreement with Mr. Wynn, the Wynn Family Limited Partnership, a Delaware limited partnership (“WFLP” and together with Mr. Wynn, the “Selling Stockholder”) and each holder from time to time a party thereto (the “Registration Rights Agreement”), pursuant to the Separation Agreement by and among the Company, Mr. Wynn, and Wynn Resorts Holdings, LLC, dated February 15, 2018 (the “Separation Agreement”). Further, the Registration Rights Agreement provides for mutual indemnification and expense reimbursement.</w:t>
      </w:r>
    </w:p>
    <w:p>
      <w:pPr>
        <w:spacing w:after="0" w:line="157" w:lineRule="exact"/>
        <w:rPr>
          <w:sz w:val="20"/>
          <w:szCs w:val="20"/>
          <w:color w:val="auto"/>
        </w:rPr>
      </w:pPr>
    </w:p>
    <w:p>
      <w:pPr>
        <w:ind w:right="20" w:firstLine="426"/>
        <w:spacing w:after="0" w:line="236" w:lineRule="auto"/>
        <w:rPr>
          <w:sz w:val="20"/>
          <w:szCs w:val="20"/>
          <w:color w:val="auto"/>
        </w:rPr>
      </w:pPr>
      <w:r>
        <w:rPr>
          <w:rFonts w:ascii="Arial" w:cs="Arial" w:eastAsia="Arial" w:hAnsi="Arial"/>
          <w:sz w:val="18"/>
          <w:szCs w:val="18"/>
          <w:color w:val="auto"/>
        </w:rPr>
        <w:t>On March 21, 2018, the Selling Stockholder sold an aggregate of 4,104,999 shares of Common Stock at a price of $180.00 per share in open market transactions pursuant to Rule 144 under the Securities Act. Additionally, following the Rule 144 open market transactions, on March 22, 2018, the Selling Stockholder entered into agreements to sell 8,026,708 shares of Common Stock in privately negotiated transactions, representing all of his remaining holdings of our Common Stock. The sale of such Common Stock is not being made pursuant to the terms of this prospectus supplement but solely pursuant to the terms set forth in the prospectus supplement dated March 20, 2018 filed pursuant to the Registration Rights Agreement.</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620"/>
          </w:cols>
          <w:pgMar w:left="620" w:top="480" w:right="6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56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556125"/>
                    </a:xfrm>
                    <a:prstGeom prst="rect">
                      <a:avLst/>
                    </a:prstGeom>
                    <a:noFill/>
                  </pic:spPr>
                </pic:pic>
              </a:graphicData>
            </a:graphic>
          </wp:anchor>
        </w:drawing>
        <w:t>SUMMARY CONSOLIDATED FINANCIAL DATA</w:t>
      </w:r>
    </w:p>
    <w:p>
      <w:pPr>
        <w:spacing w:after="0" w:line="180" w:lineRule="exact"/>
        <w:rPr>
          <w:sz w:val="20"/>
          <w:szCs w:val="20"/>
          <w:color w:val="auto"/>
        </w:rPr>
      </w:pPr>
    </w:p>
    <w:p>
      <w:pPr>
        <w:ind w:right="160" w:firstLine="426"/>
        <w:spacing w:after="0" w:line="239" w:lineRule="auto"/>
        <w:rPr>
          <w:sz w:val="20"/>
          <w:szCs w:val="20"/>
          <w:color w:val="auto"/>
        </w:rPr>
      </w:pPr>
      <w:r>
        <w:rPr>
          <w:rFonts w:ascii="Arial" w:cs="Arial" w:eastAsia="Arial" w:hAnsi="Arial"/>
          <w:sz w:val="18"/>
          <w:szCs w:val="18"/>
          <w:color w:val="auto"/>
        </w:rPr>
        <w:t>The selected data presented below as of and for the years ended December 31, 2017, 2016 and 2015 is derived from our audited consolidated financial statements.</w:t>
      </w:r>
    </w:p>
    <w:p>
      <w:pPr>
        <w:spacing w:after="0" w:line="155" w:lineRule="exact"/>
        <w:rPr>
          <w:sz w:val="20"/>
          <w:szCs w:val="20"/>
          <w:color w:val="auto"/>
        </w:rPr>
      </w:pPr>
    </w:p>
    <w:p>
      <w:pPr>
        <w:ind w:right="320" w:firstLine="426"/>
        <w:spacing w:after="0" w:line="238" w:lineRule="auto"/>
        <w:rPr>
          <w:sz w:val="20"/>
          <w:szCs w:val="20"/>
          <w:color w:val="auto"/>
        </w:rPr>
      </w:pPr>
      <w:r>
        <w:rPr>
          <w:rFonts w:ascii="Arial" w:cs="Arial" w:eastAsia="Arial" w:hAnsi="Arial"/>
          <w:sz w:val="18"/>
          <w:szCs w:val="18"/>
          <w:color w:val="auto"/>
        </w:rPr>
        <w:t>This data should be read together with our consolidated financial statements and notes thereto, “Management’s Discussion and Analysis of Financial Condition and Results of Operations” and the other information incorporated by reference or contained in this prospectus supplement.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2017(1)</w:t>
            </w:r>
          </w:p>
        </w:tc>
        <w:tc>
          <w:tcPr>
            <w:tcW w:w="4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2016(2)</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gridSpan w:val="2"/>
          </w:tcPr>
          <w:p>
            <w:pPr>
              <w:ind w:left="320"/>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6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Consolidated Statements of Income Data:</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Net revenues</w:t>
            </w:r>
          </w:p>
        </w:tc>
        <w:tc>
          <w:tcPr>
            <w:tcW w:w="1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$6,306,368</w:t>
            </w:r>
          </w:p>
        </w:tc>
        <w:tc>
          <w:tcPr>
            <w:tcW w:w="1440" w:type="dxa"/>
            <w:vAlign w:val="bottom"/>
            <w:gridSpan w:val="2"/>
          </w:tcPr>
          <w:p>
            <w:pPr>
              <w:jc w:val="right"/>
              <w:ind w:right="114"/>
              <w:spacing w:after="0" w:line="202" w:lineRule="exact"/>
              <w:rPr>
                <w:sz w:val="20"/>
                <w:szCs w:val="20"/>
                <w:color w:val="auto"/>
              </w:rPr>
            </w:pPr>
            <w:r>
              <w:rPr>
                <w:rFonts w:ascii="Arial" w:cs="Arial" w:eastAsia="Arial" w:hAnsi="Arial"/>
                <w:sz w:val="18"/>
                <w:szCs w:val="18"/>
                <w:color w:val="auto"/>
              </w:rPr>
              <w:t>$4,466,297</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4"/>
              </w:rPr>
              <w:t>4,075,883</w:t>
            </w:r>
          </w:p>
        </w:tc>
        <w:tc>
          <w:tcPr>
            <w:tcW w:w="40" w:type="dxa"/>
            <w:vAlign w:val="bottom"/>
          </w:tcPr>
          <w:p>
            <w:pPr>
              <w:spacing w:after="0"/>
              <w:rPr>
                <w:sz w:val="17"/>
                <w:szCs w:val="17"/>
                <w:color w:val="auto"/>
              </w:rPr>
            </w:pPr>
          </w:p>
        </w:tc>
      </w:tr>
      <w:tr>
        <w:trPr>
          <w:trHeight w:val="203"/>
        </w:trPr>
        <w:tc>
          <w:tcPr>
            <w:tcW w:w="6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Pre-opening expenses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26,692</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154,717</w:t>
            </w: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77,623</w:t>
            </w:r>
          </w:p>
        </w:tc>
        <w:tc>
          <w:tcPr>
            <w:tcW w:w="40" w:type="dxa"/>
            <w:vAlign w:val="bottom"/>
            <w:shd w:val="clear" w:color="auto" w:fill="CCEEFF"/>
          </w:tcPr>
          <w:p>
            <w:pPr>
              <w:spacing w:after="0"/>
              <w:rPr>
                <w:sz w:val="17"/>
                <w:szCs w:val="17"/>
                <w:color w:val="auto"/>
              </w:rPr>
            </w:pP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w w:val="94"/>
              </w:rPr>
              <w:t>1,055,565</w:t>
            </w:r>
          </w:p>
        </w:tc>
        <w:tc>
          <w:tcPr>
            <w:tcW w:w="480" w:type="dxa"/>
            <w:vAlign w:val="bottom"/>
          </w:tcPr>
          <w:p>
            <w:pPr>
              <w:spacing w:after="0"/>
              <w:rPr>
                <w:sz w:val="17"/>
                <w:szCs w:val="17"/>
                <w:color w:val="auto"/>
              </w:rPr>
            </w:pPr>
          </w:p>
        </w:tc>
        <w:tc>
          <w:tcPr>
            <w:tcW w:w="9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521,662</w:t>
            </w:r>
          </w:p>
        </w:tc>
        <w:tc>
          <w:tcPr>
            <w:tcW w:w="3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658,814</w:t>
            </w:r>
          </w:p>
        </w:tc>
        <w:tc>
          <w:tcPr>
            <w:tcW w:w="40" w:type="dxa"/>
            <w:vAlign w:val="bottom"/>
          </w:tcPr>
          <w:p>
            <w:pPr>
              <w:spacing w:after="0"/>
              <w:rPr>
                <w:sz w:val="17"/>
                <w:szCs w:val="17"/>
                <w:color w:val="auto"/>
              </w:rPr>
            </w:pPr>
          </w:p>
        </w:tc>
      </w:tr>
      <w:tr>
        <w:trPr>
          <w:trHeight w:val="203"/>
        </w:trPr>
        <w:tc>
          <w:tcPr>
            <w:tcW w:w="6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889,254</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302,469</w:t>
            </w: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281,524</w:t>
            </w:r>
          </w:p>
        </w:tc>
        <w:tc>
          <w:tcPr>
            <w:tcW w:w="40" w:type="dxa"/>
            <w:vAlign w:val="bottom"/>
            <w:shd w:val="clear" w:color="auto" w:fill="CCEEFF"/>
          </w:tcPr>
          <w:p>
            <w:pPr>
              <w:spacing w:after="0"/>
              <w:rPr>
                <w:sz w:val="17"/>
                <w:szCs w:val="17"/>
                <w:color w:val="auto"/>
              </w:rPr>
            </w:pP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Less: net income attributable to noncontrolling interest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(142,073)</w:t>
            </w:r>
          </w:p>
        </w:tc>
        <w:tc>
          <w:tcPr>
            <w:tcW w:w="480" w:type="dxa"/>
            <w:vAlign w:val="bottom"/>
          </w:tcPr>
          <w:p>
            <w:pPr>
              <w:spacing w:after="0"/>
              <w:rPr>
                <w:sz w:val="17"/>
                <w:szCs w:val="17"/>
                <w:color w:val="auto"/>
              </w:rPr>
            </w:pPr>
          </w:p>
        </w:tc>
        <w:tc>
          <w:tcPr>
            <w:tcW w:w="9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(60,494)</w:t>
            </w:r>
          </w:p>
        </w:tc>
        <w:tc>
          <w:tcPr>
            <w:tcW w:w="320" w:type="dxa"/>
            <w:vAlign w:val="bottom"/>
          </w:tcPr>
          <w:p>
            <w:pPr>
              <w:spacing w:after="0"/>
              <w:rPr>
                <w:sz w:val="17"/>
                <w:szCs w:val="17"/>
                <w:color w:val="auto"/>
              </w:rPr>
            </w:pPr>
          </w:p>
        </w:tc>
        <w:tc>
          <w:tcPr>
            <w:tcW w:w="8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(86,234)</w:t>
            </w:r>
          </w:p>
        </w:tc>
      </w:tr>
      <w:tr>
        <w:trPr>
          <w:trHeight w:val="203"/>
        </w:trPr>
        <w:tc>
          <w:tcPr>
            <w:tcW w:w="6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income attributable to Wynn Resorts, Limited</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747,181</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241,975</w:t>
            </w:r>
          </w:p>
        </w:tc>
        <w:tc>
          <w:tcPr>
            <w:tcW w:w="3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195,290</w:t>
            </w:r>
          </w:p>
        </w:tc>
        <w:tc>
          <w:tcPr>
            <w:tcW w:w="40" w:type="dxa"/>
            <w:vAlign w:val="bottom"/>
            <w:shd w:val="clear" w:color="auto" w:fill="CCEEFF"/>
          </w:tcPr>
          <w:p>
            <w:pPr>
              <w:spacing w:after="0"/>
              <w:rPr>
                <w:sz w:val="17"/>
                <w:szCs w:val="17"/>
                <w:color w:val="auto"/>
              </w:rPr>
            </w:pP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Basic income per share</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7.32</w:t>
            </w:r>
          </w:p>
        </w:tc>
        <w:tc>
          <w:tcPr>
            <w:tcW w:w="48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2.39</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1.93</w:t>
            </w:r>
          </w:p>
        </w:tc>
        <w:tc>
          <w:tcPr>
            <w:tcW w:w="40" w:type="dxa"/>
            <w:vAlign w:val="bottom"/>
          </w:tcPr>
          <w:p>
            <w:pPr>
              <w:spacing w:after="0"/>
              <w:rPr>
                <w:sz w:val="17"/>
                <w:szCs w:val="17"/>
                <w:color w:val="auto"/>
              </w:rPr>
            </w:pPr>
          </w:p>
        </w:tc>
      </w:tr>
      <w:tr>
        <w:trPr>
          <w:trHeight w:val="203"/>
        </w:trPr>
        <w:tc>
          <w:tcPr>
            <w:tcW w:w="6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 income per share</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7.28</w:t>
            </w:r>
          </w:p>
        </w:tc>
        <w:tc>
          <w:tcPr>
            <w:tcW w:w="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2.38</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1.92</w:t>
            </w:r>
          </w:p>
        </w:tc>
        <w:tc>
          <w:tcPr>
            <w:tcW w:w="40" w:type="dxa"/>
            <w:vAlign w:val="bottom"/>
            <w:shd w:val="clear" w:color="auto" w:fill="CCEEFF"/>
          </w:tcPr>
          <w:p>
            <w:pPr>
              <w:spacing w:after="0"/>
              <w:rPr>
                <w:sz w:val="17"/>
                <w:szCs w:val="17"/>
                <w:color w:val="auto"/>
              </w:rPr>
            </w:pPr>
          </w:p>
        </w:tc>
      </w:tr>
      <w:tr>
        <w:trPr>
          <w:trHeight w:val="351"/>
        </w:trPr>
        <w:tc>
          <w:tcPr>
            <w:tcW w:w="66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74"/>
              <w:spacing w:after="0"/>
              <w:rPr>
                <w:sz w:val="20"/>
                <w:szCs w:val="20"/>
                <w:color w:val="auto"/>
              </w:rPr>
            </w:pPr>
            <w:r>
              <w:rPr>
                <w:rFonts w:ascii="Arial" w:cs="Arial" w:eastAsia="Arial" w:hAnsi="Arial"/>
                <w:sz w:val="14"/>
                <w:szCs w:val="14"/>
                <w:b w:val="1"/>
                <w:bCs w:val="1"/>
                <w:color w:val="auto"/>
                <w:w w:val="95"/>
              </w:rPr>
              <w:t>As of December 31,</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6680" w:type="dxa"/>
            <w:vAlign w:val="bottom"/>
          </w:tcPr>
          <w:p>
            <w:pPr>
              <w:spacing w:after="0"/>
              <w:rPr>
                <w:sz w:val="12"/>
                <w:szCs w:val="12"/>
                <w:color w:val="auto"/>
              </w:rPr>
            </w:pPr>
          </w:p>
        </w:tc>
        <w:tc>
          <w:tcPr>
            <w:tcW w:w="1320" w:type="dxa"/>
            <w:vAlign w:val="bottom"/>
            <w:tcBorders>
              <w:bottom w:val="single" w:sz="8" w:color="auto"/>
            </w:tcBorders>
            <w:gridSpan w:val="3"/>
          </w:tcPr>
          <w:p>
            <w:pPr>
              <w:jc w:val="right"/>
              <w:ind w:right="497"/>
              <w:spacing w:after="0" w:line="142" w:lineRule="exact"/>
              <w:rPr>
                <w:sz w:val="20"/>
                <w:szCs w:val="20"/>
                <w:color w:val="auto"/>
              </w:rPr>
            </w:pPr>
            <w:r>
              <w:rPr>
                <w:rFonts w:ascii="Arial" w:cs="Arial" w:eastAsia="Arial" w:hAnsi="Arial"/>
                <w:sz w:val="14"/>
                <w:szCs w:val="14"/>
                <w:b w:val="1"/>
                <w:bCs w:val="1"/>
                <w:color w:val="auto"/>
              </w:rPr>
              <w:t>2017(1)</w:t>
            </w:r>
          </w:p>
        </w:tc>
        <w:tc>
          <w:tcPr>
            <w:tcW w:w="1440" w:type="dxa"/>
            <w:vAlign w:val="bottom"/>
            <w:tcBorders>
              <w:bottom w:val="single" w:sz="8" w:color="auto"/>
            </w:tcBorders>
            <w:gridSpan w:val="2"/>
          </w:tcPr>
          <w:p>
            <w:pPr>
              <w:jc w:val="center"/>
              <w:ind w:right="74"/>
              <w:spacing w:after="0" w:line="142" w:lineRule="exact"/>
              <w:rPr>
                <w:sz w:val="20"/>
                <w:szCs w:val="20"/>
                <w:color w:val="auto"/>
              </w:rPr>
            </w:pPr>
            <w:r>
              <w:rPr>
                <w:rFonts w:ascii="Arial" w:cs="Arial" w:eastAsia="Arial" w:hAnsi="Arial"/>
                <w:sz w:val="14"/>
                <w:szCs w:val="14"/>
                <w:b w:val="1"/>
                <w:bCs w:val="1"/>
                <w:color w:val="auto"/>
                <w:w w:val="99"/>
              </w:rPr>
              <w:t>2016(2)</w:t>
            </w: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gridSpan w:val="2"/>
          </w:tcPr>
          <w:p>
            <w:pPr>
              <w:jc w:val="center"/>
              <w:ind w:right="74"/>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6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1320" w:type="dxa"/>
            <w:vAlign w:val="bottom"/>
            <w:gridSpan w:val="3"/>
          </w:tcPr>
          <w:p>
            <w:pPr>
              <w:jc w:val="right"/>
              <w:ind w:right="237"/>
              <w:spacing w:after="0" w:line="202" w:lineRule="exact"/>
              <w:rPr>
                <w:sz w:val="20"/>
                <w:szCs w:val="20"/>
                <w:color w:val="auto"/>
              </w:rPr>
            </w:pPr>
            <w:r>
              <w:rPr>
                <w:rFonts w:ascii="Arial" w:cs="Arial" w:eastAsia="Arial" w:hAnsi="Arial"/>
                <w:sz w:val="18"/>
                <w:szCs w:val="18"/>
                <w:color w:val="auto"/>
                <w:w w:val="97"/>
              </w:rPr>
              <w:t>$  2,804,474</w:t>
            </w:r>
          </w:p>
        </w:tc>
        <w:tc>
          <w:tcPr>
            <w:tcW w:w="1440" w:type="dxa"/>
            <w:vAlign w:val="bottom"/>
            <w:gridSpan w:val="2"/>
          </w:tcPr>
          <w:p>
            <w:pPr>
              <w:jc w:val="right"/>
              <w:ind w:right="214"/>
              <w:spacing w:after="0" w:line="202" w:lineRule="exact"/>
              <w:rPr>
                <w:sz w:val="20"/>
                <w:szCs w:val="20"/>
                <w:color w:val="auto"/>
              </w:rPr>
            </w:pPr>
            <w:r>
              <w:rPr>
                <w:rFonts w:ascii="Arial" w:cs="Arial" w:eastAsia="Arial" w:hAnsi="Arial"/>
                <w:sz w:val="18"/>
                <w:szCs w:val="18"/>
                <w:color w:val="auto"/>
              </w:rPr>
              <w:t>$  2,453,122</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2,080,089</w:t>
            </w:r>
          </w:p>
        </w:tc>
      </w:tr>
      <w:tr>
        <w:trPr>
          <w:trHeight w:val="203"/>
        </w:trPr>
        <w:tc>
          <w:tcPr>
            <w:tcW w:w="6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1320" w:type="dxa"/>
            <w:vAlign w:val="bottom"/>
            <w:gridSpan w:val="3"/>
            <w:shd w:val="clear" w:color="auto" w:fill="CCEEFF"/>
          </w:tcPr>
          <w:p>
            <w:pPr>
              <w:jc w:val="right"/>
              <w:ind w:right="237"/>
              <w:spacing w:after="0" w:line="202" w:lineRule="exact"/>
              <w:rPr>
                <w:sz w:val="20"/>
                <w:szCs w:val="20"/>
                <w:color w:val="auto"/>
              </w:rPr>
            </w:pPr>
            <w:r>
              <w:rPr>
                <w:rFonts w:ascii="Arial" w:cs="Arial" w:eastAsia="Arial" w:hAnsi="Arial"/>
                <w:sz w:val="18"/>
                <w:szCs w:val="18"/>
                <w:color w:val="auto"/>
              </w:rPr>
              <w:t>1,016,207</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w w:val="98"/>
              </w:rPr>
              <w:t>299,686</w:t>
            </w:r>
          </w:p>
        </w:tc>
        <w:tc>
          <w:tcPr>
            <w:tcW w:w="3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3,217,117</w:t>
            </w: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Total assets</w:t>
            </w:r>
          </w:p>
        </w:tc>
        <w:tc>
          <w:tcPr>
            <w:tcW w:w="1320" w:type="dxa"/>
            <w:vAlign w:val="bottom"/>
            <w:gridSpan w:val="3"/>
          </w:tcPr>
          <w:p>
            <w:pPr>
              <w:jc w:val="right"/>
              <w:ind w:right="237"/>
              <w:spacing w:after="0" w:line="202" w:lineRule="exact"/>
              <w:rPr>
                <w:sz w:val="20"/>
                <w:szCs w:val="20"/>
                <w:color w:val="auto"/>
              </w:rPr>
            </w:pPr>
            <w:r>
              <w:rPr>
                <w:rFonts w:ascii="Arial" w:cs="Arial" w:eastAsia="Arial" w:hAnsi="Arial"/>
                <w:sz w:val="18"/>
                <w:szCs w:val="18"/>
                <w:color w:val="auto"/>
              </w:rPr>
              <w:t>12,681,739</w:t>
            </w:r>
          </w:p>
        </w:tc>
        <w:tc>
          <w:tcPr>
            <w:tcW w:w="1440" w:type="dxa"/>
            <w:vAlign w:val="bottom"/>
            <w:gridSpan w:val="2"/>
          </w:tcPr>
          <w:p>
            <w:pPr>
              <w:jc w:val="right"/>
              <w:ind w:right="214"/>
              <w:spacing w:after="0" w:line="202" w:lineRule="exact"/>
              <w:rPr>
                <w:sz w:val="20"/>
                <w:szCs w:val="20"/>
                <w:color w:val="auto"/>
              </w:rPr>
            </w:pPr>
            <w:r>
              <w:rPr>
                <w:rFonts w:ascii="Arial" w:cs="Arial" w:eastAsia="Arial" w:hAnsi="Arial"/>
                <w:sz w:val="18"/>
                <w:szCs w:val="18"/>
                <w:color w:val="auto"/>
              </w:rPr>
              <w:t>11,953,557</w:t>
            </w:r>
          </w:p>
        </w:tc>
        <w:tc>
          <w:tcPr>
            <w:tcW w:w="12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10,459,159</w:t>
            </w:r>
          </w:p>
        </w:tc>
      </w:tr>
      <w:tr>
        <w:trPr>
          <w:trHeight w:val="203"/>
        </w:trPr>
        <w:tc>
          <w:tcPr>
            <w:tcW w:w="6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long-term obligations(3)</w:t>
            </w:r>
          </w:p>
        </w:tc>
        <w:tc>
          <w:tcPr>
            <w:tcW w:w="1320" w:type="dxa"/>
            <w:vAlign w:val="bottom"/>
            <w:gridSpan w:val="3"/>
            <w:shd w:val="clear" w:color="auto" w:fill="CCEEFF"/>
          </w:tcPr>
          <w:p>
            <w:pPr>
              <w:jc w:val="right"/>
              <w:ind w:right="237"/>
              <w:spacing w:after="0" w:line="202" w:lineRule="exact"/>
              <w:rPr>
                <w:sz w:val="20"/>
                <w:szCs w:val="20"/>
                <w:color w:val="auto"/>
              </w:rPr>
            </w:pPr>
            <w:r>
              <w:rPr>
                <w:rFonts w:ascii="Arial" w:cs="Arial" w:eastAsia="Arial" w:hAnsi="Arial"/>
                <w:sz w:val="18"/>
                <w:szCs w:val="18"/>
                <w:color w:val="auto"/>
              </w:rPr>
              <w:t>9,673,099</w:t>
            </w:r>
          </w:p>
        </w:tc>
        <w:tc>
          <w:tcPr>
            <w:tcW w:w="1440" w:type="dxa"/>
            <w:vAlign w:val="bottom"/>
            <w:gridSpan w:val="2"/>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10,279,375</w:t>
            </w:r>
          </w:p>
        </w:tc>
        <w:tc>
          <w:tcPr>
            <w:tcW w:w="3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9,327,143</w:t>
            </w:r>
          </w:p>
        </w:tc>
      </w:tr>
      <w:tr>
        <w:trPr>
          <w:trHeight w:val="214"/>
        </w:trPr>
        <w:tc>
          <w:tcPr>
            <w:tcW w:w="66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320" w:type="dxa"/>
            <w:vAlign w:val="bottom"/>
            <w:gridSpan w:val="3"/>
          </w:tcPr>
          <w:p>
            <w:pPr>
              <w:jc w:val="right"/>
              <w:ind w:right="237"/>
              <w:spacing w:after="0"/>
              <w:rPr>
                <w:sz w:val="20"/>
                <w:szCs w:val="20"/>
                <w:color w:val="auto"/>
              </w:rPr>
            </w:pPr>
            <w:r>
              <w:rPr>
                <w:rFonts w:ascii="Arial" w:cs="Arial" w:eastAsia="Arial" w:hAnsi="Arial"/>
                <w:sz w:val="18"/>
                <w:szCs w:val="18"/>
                <w:color w:val="auto"/>
              </w:rPr>
              <w:t>1,078,350</w:t>
            </w:r>
          </w:p>
        </w:tc>
        <w:tc>
          <w:tcPr>
            <w:tcW w:w="480" w:type="dxa"/>
            <w:vAlign w:val="bottom"/>
          </w:tcPr>
          <w:p>
            <w:pPr>
              <w:spacing w:after="0"/>
              <w:rPr>
                <w:sz w:val="18"/>
                <w:szCs w:val="18"/>
                <w:color w:val="auto"/>
              </w:rPr>
            </w:pPr>
          </w:p>
        </w:tc>
        <w:tc>
          <w:tcPr>
            <w:tcW w:w="960" w:type="dxa"/>
            <w:vAlign w:val="bottom"/>
          </w:tcPr>
          <w:p>
            <w:pPr>
              <w:jc w:val="right"/>
              <w:ind w:right="214"/>
              <w:spacing w:after="0"/>
              <w:rPr>
                <w:sz w:val="20"/>
                <w:szCs w:val="20"/>
                <w:color w:val="auto"/>
              </w:rPr>
            </w:pPr>
            <w:r>
              <w:rPr>
                <w:rFonts w:ascii="Arial" w:cs="Arial" w:eastAsia="Arial" w:hAnsi="Arial"/>
                <w:sz w:val="18"/>
                <w:szCs w:val="18"/>
                <w:color w:val="auto"/>
                <w:w w:val="98"/>
              </w:rPr>
              <w:t>257,881</w:t>
            </w:r>
          </w:p>
        </w:tc>
        <w:tc>
          <w:tcPr>
            <w:tcW w:w="3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21,845</w:t>
            </w:r>
          </w:p>
        </w:tc>
      </w:tr>
    </w:tbl>
    <w:p>
      <w:pPr>
        <w:spacing w:after="0" w:line="123" w:lineRule="exact"/>
        <w:rPr>
          <w:sz w:val="20"/>
          <w:szCs w:val="20"/>
          <w:color w:val="auto"/>
        </w:rPr>
      </w:pPr>
    </w:p>
    <w:p>
      <w:pPr>
        <w:ind w:left="420" w:right="300" w:hanging="414"/>
        <w:spacing w:after="0" w:line="221"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During the fourth quarter of 2017, we recorded a provisional income tax benefit of $339.9 million related to the enactment of U.S. tax reform. See Item 8—“Financial Statements and Supplementary Data,” Note 13, “Income Taxes” in our Annual Report on Form 10-K for the year ended December 31, 2017, incorporated by reference herein.</w:t>
      </w:r>
    </w:p>
    <w:p>
      <w:pPr>
        <w:ind w:left="420" w:hanging="414"/>
        <w:spacing w:after="0" w:line="221"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Wynn Palace opened on August 22, 2016.</w:t>
      </w:r>
    </w:p>
    <w:p>
      <w:pPr>
        <w:ind w:left="420" w:hanging="414"/>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long-term debt, other long-term liabilities and deferred income tax liabilities, net.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640"/>
          </w:cols>
          <w:pgMar w:left="620" w:top="458" w:right="6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33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933315"/>
                    </a:xfrm>
                    <a:prstGeom prst="rect">
                      <a:avLst/>
                    </a:prstGeom>
                    <a:noFill/>
                  </pic:spPr>
                </pic:pic>
              </a:graphicData>
            </a:graphic>
          </wp:anchor>
        </w:drawing>
        <w:t>THE OFFERING</w:t>
      </w:r>
    </w:p>
    <w:p>
      <w:pPr>
        <w:spacing w:after="0" w:line="81" w:lineRule="exact"/>
        <w:rPr>
          <w:sz w:val="20"/>
          <w:szCs w:val="20"/>
          <w:color w:val="auto"/>
        </w:rPr>
      </w:pPr>
    </w:p>
    <w:p>
      <w:pPr>
        <w:ind w:left="180" w:right="360" w:firstLine="426"/>
        <w:spacing w:after="0" w:line="243" w:lineRule="auto"/>
        <w:rPr>
          <w:sz w:val="20"/>
          <w:szCs w:val="20"/>
          <w:color w:val="auto"/>
        </w:rPr>
      </w:pPr>
      <w:r>
        <w:rPr>
          <w:rFonts w:ascii="Arial" w:cs="Arial" w:eastAsia="Arial" w:hAnsi="Arial"/>
          <w:sz w:val="18"/>
          <w:szCs w:val="18"/>
          <w:i w:val="1"/>
          <w:iCs w:val="1"/>
          <w:color w:val="auto"/>
        </w:rPr>
        <w:t>The following summary contains basic information about this offering. This summary is not intended to be complete. You should read the full text and more specific details contained elsewhere in this prospectus supplement and the accompanying prospectus. For a more complete description of the shares of Common Stock, see the description of our Common Stock set forth in our Registration Statement on Form 8-A, filed on October 7, 2002, and incorporated by reference herein.</w:t>
      </w:r>
    </w:p>
    <w:p>
      <w:pPr>
        <w:sectPr>
          <w:pgSz w:w="11900" w:h="16838" w:orient="portrait"/>
          <w:cols w:equalWidth="0" w:num="1">
            <w:col w:w="11040"/>
          </w:cols>
          <w:pgMar w:left="440" w:top="458" w:right="419" w:bottom="1440" w:gutter="0" w:footer="0" w:header="0"/>
        </w:sectPr>
      </w:pPr>
    </w:p>
    <w:p>
      <w:pPr>
        <w:spacing w:after="0" w:line="17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3220"/>
        <w:spacing w:after="0"/>
        <w:rPr>
          <w:sz w:val="20"/>
          <w:szCs w:val="20"/>
          <w:color w:val="auto"/>
        </w:rPr>
      </w:pPr>
      <w:r>
        <w:rPr>
          <w:rFonts w:ascii="Arial" w:cs="Arial" w:eastAsia="Arial" w:hAnsi="Arial"/>
          <w:sz w:val="16"/>
          <w:szCs w:val="16"/>
          <w:color w:val="auto"/>
        </w:rPr>
        <w:t>Wynn Resorts, Limited, a Nevada corporation.</w:t>
      </w:r>
    </w:p>
    <w:p>
      <w:pPr>
        <w:spacing w:after="0" w:line="200" w:lineRule="exact"/>
        <w:rPr>
          <w:sz w:val="20"/>
          <w:szCs w:val="20"/>
          <w:color w:val="auto"/>
        </w:rPr>
      </w:pPr>
    </w:p>
    <w:p>
      <w:pPr>
        <w:sectPr>
          <w:pgSz w:w="11900" w:h="16838" w:orient="portrait"/>
          <w:cols w:equalWidth="0" w:num="2">
            <w:col w:w="3500" w:space="720"/>
            <w:col w:w="6820"/>
          </w:cols>
          <w:pgMar w:left="440" w:top="458" w:right="419"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Common Stock Offered</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5,300,000 shares.</w:t>
      </w:r>
    </w:p>
    <w:p>
      <w:pPr>
        <w:spacing w:after="0" w:line="200" w:lineRule="exact"/>
        <w:rPr>
          <w:sz w:val="20"/>
          <w:szCs w:val="20"/>
          <w:color w:val="auto"/>
        </w:rPr>
      </w:pPr>
    </w:p>
    <w:p>
      <w:pPr>
        <w:sectPr>
          <w:pgSz w:w="11900" w:h="16838" w:orient="portrait"/>
          <w:cols w:equalWidth="0" w:num="2">
            <w:col w:w="3500" w:space="720"/>
            <w:col w:w="6820"/>
          </w:cols>
          <w:pgMar w:left="440" w:top="458" w:right="419"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Common Stock to be Outstanding Immediately  </w:t>
      </w:r>
      <w:r>
        <w:rPr>
          <w:rFonts w:ascii="Arial" w:cs="Arial" w:eastAsia="Arial" w:hAnsi="Arial"/>
          <w:sz w:val="18"/>
          <w:szCs w:val="18"/>
          <w:color w:val="auto"/>
        </w:rPr>
        <w:t>108,457,093 shares (based on shares outstanding on March 15, 2018).</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Following this Offering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8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7160" w:type="dxa"/>
            <w:vAlign w:val="bottom"/>
          </w:tcPr>
          <w:p>
            <w:pPr>
              <w:ind w:left="340"/>
              <w:spacing w:after="0"/>
              <w:rPr>
                <w:sz w:val="20"/>
                <w:szCs w:val="20"/>
                <w:color w:val="auto"/>
              </w:rPr>
            </w:pPr>
            <w:r>
              <w:rPr>
                <w:rFonts w:ascii="Arial" w:cs="Arial" w:eastAsia="Arial" w:hAnsi="Arial"/>
                <w:sz w:val="18"/>
                <w:szCs w:val="18"/>
                <w:color w:val="auto"/>
              </w:rPr>
              <w:t>We estimate that the net proceeds from this offering will be approximately</w:t>
            </w:r>
          </w:p>
        </w:tc>
      </w:tr>
      <w:tr>
        <w:trPr>
          <w:trHeight w:val="203"/>
        </w:trPr>
        <w:tc>
          <w:tcPr>
            <w:tcW w:w="3880" w:type="dxa"/>
            <w:vAlign w:val="bottom"/>
          </w:tcPr>
          <w:p>
            <w:pPr>
              <w:spacing w:after="0"/>
              <w:rPr>
                <w:sz w:val="17"/>
                <w:szCs w:val="17"/>
                <w:color w:val="auto"/>
              </w:rPr>
            </w:pPr>
          </w:p>
        </w:tc>
        <w:tc>
          <w:tcPr>
            <w:tcW w:w="7160" w:type="dxa"/>
            <w:vAlign w:val="bottom"/>
          </w:tcPr>
          <w:p>
            <w:pPr>
              <w:ind w:left="340"/>
              <w:spacing w:after="0" w:line="202" w:lineRule="exact"/>
              <w:rPr>
                <w:sz w:val="20"/>
                <w:szCs w:val="20"/>
                <w:color w:val="auto"/>
              </w:rPr>
            </w:pPr>
            <w:r>
              <w:rPr>
                <w:rFonts w:ascii="Arial" w:cs="Arial" w:eastAsia="Arial" w:hAnsi="Arial"/>
                <w:sz w:val="18"/>
                <w:szCs w:val="18"/>
                <w:color w:val="auto"/>
              </w:rPr>
              <w:t>$915,800,250 after deducting underwriting discounts, and excluding estimated</w:t>
            </w:r>
          </w:p>
        </w:tc>
      </w:tr>
      <w:tr>
        <w:trPr>
          <w:trHeight w:val="203"/>
        </w:trPr>
        <w:tc>
          <w:tcPr>
            <w:tcW w:w="3880" w:type="dxa"/>
            <w:vAlign w:val="bottom"/>
          </w:tcPr>
          <w:p>
            <w:pPr>
              <w:spacing w:after="0"/>
              <w:rPr>
                <w:sz w:val="17"/>
                <w:szCs w:val="17"/>
                <w:color w:val="auto"/>
              </w:rPr>
            </w:pPr>
          </w:p>
        </w:tc>
        <w:tc>
          <w:tcPr>
            <w:tcW w:w="7160" w:type="dxa"/>
            <w:vAlign w:val="bottom"/>
          </w:tcPr>
          <w:p>
            <w:pPr>
              <w:ind w:left="340"/>
              <w:spacing w:after="0" w:line="202" w:lineRule="exact"/>
              <w:rPr>
                <w:sz w:val="20"/>
                <w:szCs w:val="20"/>
                <w:color w:val="auto"/>
              </w:rPr>
            </w:pPr>
            <w:r>
              <w:rPr>
                <w:rFonts w:ascii="Arial" w:cs="Arial" w:eastAsia="Arial" w:hAnsi="Arial"/>
                <w:sz w:val="18"/>
                <w:szCs w:val="18"/>
                <w:color w:val="auto"/>
              </w:rPr>
              <w:t>offering expenses payable by us. We expect to use the net proceeds from the sale of</w:t>
            </w:r>
          </w:p>
        </w:tc>
      </w:tr>
      <w:tr>
        <w:trPr>
          <w:trHeight w:val="203"/>
        </w:trPr>
        <w:tc>
          <w:tcPr>
            <w:tcW w:w="3880" w:type="dxa"/>
            <w:vAlign w:val="bottom"/>
          </w:tcPr>
          <w:p>
            <w:pPr>
              <w:spacing w:after="0"/>
              <w:rPr>
                <w:sz w:val="17"/>
                <w:szCs w:val="17"/>
                <w:color w:val="auto"/>
              </w:rPr>
            </w:pPr>
          </w:p>
        </w:tc>
        <w:tc>
          <w:tcPr>
            <w:tcW w:w="7160" w:type="dxa"/>
            <w:vAlign w:val="bottom"/>
          </w:tcPr>
          <w:p>
            <w:pPr>
              <w:ind w:left="340"/>
              <w:spacing w:after="0" w:line="202" w:lineRule="exact"/>
              <w:rPr>
                <w:sz w:val="20"/>
                <w:szCs w:val="20"/>
                <w:color w:val="auto"/>
              </w:rPr>
            </w:pPr>
            <w:r>
              <w:rPr>
                <w:rFonts w:ascii="Arial" w:cs="Arial" w:eastAsia="Arial" w:hAnsi="Arial"/>
                <w:sz w:val="18"/>
                <w:szCs w:val="18"/>
                <w:color w:val="auto"/>
              </w:rPr>
              <w:t>the shares, to repay amounts to be borrowed under the Bridge Facility and repay</w:t>
            </w:r>
          </w:p>
        </w:tc>
      </w:tr>
      <w:tr>
        <w:trPr>
          <w:trHeight w:val="211"/>
        </w:trPr>
        <w:tc>
          <w:tcPr>
            <w:tcW w:w="388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certain other indebtedness. See “Use of Proceeds.”</w:t>
            </w:r>
          </w:p>
        </w:tc>
      </w:tr>
      <w:tr>
        <w:trPr>
          <w:trHeight w:val="397"/>
        </w:trPr>
        <w:tc>
          <w:tcPr>
            <w:tcW w:w="3880" w:type="dxa"/>
            <w:vAlign w:val="bottom"/>
          </w:tcPr>
          <w:p>
            <w:pPr>
              <w:ind w:left="180"/>
              <w:spacing w:after="0"/>
              <w:rPr>
                <w:sz w:val="20"/>
                <w:szCs w:val="20"/>
                <w:color w:val="auto"/>
              </w:rPr>
            </w:pPr>
            <w:r>
              <w:rPr>
                <w:rFonts w:ascii="Arial" w:cs="Arial" w:eastAsia="Arial" w:hAnsi="Arial"/>
                <w:sz w:val="18"/>
                <w:szCs w:val="18"/>
                <w:b w:val="1"/>
                <w:bCs w:val="1"/>
                <w:color w:val="auto"/>
              </w:rPr>
              <w:t>Trading Symbol for our Common Stock</w:t>
            </w:r>
          </w:p>
        </w:tc>
        <w:tc>
          <w:tcPr>
            <w:tcW w:w="7160" w:type="dxa"/>
            <w:vAlign w:val="bottom"/>
          </w:tcPr>
          <w:p>
            <w:pPr>
              <w:ind w:left="340"/>
              <w:spacing w:after="0"/>
              <w:rPr>
                <w:sz w:val="20"/>
                <w:szCs w:val="20"/>
                <w:color w:val="auto"/>
              </w:rPr>
            </w:pPr>
            <w:r>
              <w:rPr>
                <w:rFonts w:ascii="Arial" w:cs="Arial" w:eastAsia="Arial" w:hAnsi="Arial"/>
                <w:sz w:val="18"/>
                <w:szCs w:val="18"/>
                <w:color w:val="auto"/>
              </w:rPr>
              <w:t>Our common stock is listed on the Nasdaq Global Select Market under the symbol</w:t>
            </w:r>
          </w:p>
        </w:tc>
      </w:tr>
      <w:tr>
        <w:trPr>
          <w:trHeight w:val="211"/>
        </w:trPr>
        <w:tc>
          <w:tcPr>
            <w:tcW w:w="388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“WYNN.”</w:t>
            </w:r>
          </w:p>
        </w:tc>
      </w:tr>
      <w:tr>
        <w:trPr>
          <w:trHeight w:val="397"/>
        </w:trPr>
        <w:tc>
          <w:tcPr>
            <w:tcW w:w="3880" w:type="dxa"/>
            <w:vAlign w:val="bottom"/>
          </w:tcPr>
          <w:p>
            <w:pPr>
              <w:ind w:left="180"/>
              <w:spacing w:after="0"/>
              <w:rPr>
                <w:sz w:val="20"/>
                <w:szCs w:val="20"/>
                <w:color w:val="auto"/>
              </w:rPr>
            </w:pPr>
            <w:r>
              <w:rPr>
                <w:rFonts w:ascii="Arial" w:cs="Arial" w:eastAsia="Arial" w:hAnsi="Arial"/>
                <w:sz w:val="18"/>
                <w:szCs w:val="18"/>
                <w:b w:val="1"/>
                <w:bCs w:val="1"/>
                <w:color w:val="auto"/>
              </w:rPr>
              <w:t>U.S. Federal Income Tax Considerations</w:t>
            </w:r>
          </w:p>
        </w:tc>
        <w:tc>
          <w:tcPr>
            <w:tcW w:w="7160" w:type="dxa"/>
            <w:vAlign w:val="bottom"/>
          </w:tcPr>
          <w:p>
            <w:pPr>
              <w:ind w:left="340"/>
              <w:spacing w:after="0"/>
              <w:rPr>
                <w:sz w:val="20"/>
                <w:szCs w:val="20"/>
                <w:color w:val="auto"/>
              </w:rPr>
            </w:pPr>
            <w:r>
              <w:rPr>
                <w:rFonts w:ascii="Arial" w:cs="Arial" w:eastAsia="Arial" w:hAnsi="Arial"/>
                <w:sz w:val="18"/>
                <w:szCs w:val="18"/>
                <w:color w:val="auto"/>
              </w:rPr>
              <w:t>For a discussion of material U.S. federal income tax consequences to non-U.S.</w:t>
            </w:r>
          </w:p>
        </w:tc>
      </w:tr>
      <w:tr>
        <w:trPr>
          <w:trHeight w:val="203"/>
        </w:trPr>
        <w:tc>
          <w:tcPr>
            <w:tcW w:w="3880" w:type="dxa"/>
            <w:vAlign w:val="bottom"/>
          </w:tcPr>
          <w:p>
            <w:pPr>
              <w:spacing w:after="0"/>
              <w:rPr>
                <w:sz w:val="17"/>
                <w:szCs w:val="17"/>
                <w:color w:val="auto"/>
              </w:rPr>
            </w:pPr>
          </w:p>
        </w:tc>
        <w:tc>
          <w:tcPr>
            <w:tcW w:w="7160" w:type="dxa"/>
            <w:vAlign w:val="bottom"/>
          </w:tcPr>
          <w:p>
            <w:pPr>
              <w:ind w:left="340"/>
              <w:spacing w:after="0" w:line="202" w:lineRule="exact"/>
              <w:rPr>
                <w:sz w:val="20"/>
                <w:szCs w:val="20"/>
                <w:color w:val="auto"/>
              </w:rPr>
            </w:pPr>
            <w:r>
              <w:rPr>
                <w:rFonts w:ascii="Arial" w:cs="Arial" w:eastAsia="Arial" w:hAnsi="Arial"/>
                <w:sz w:val="18"/>
                <w:szCs w:val="18"/>
                <w:color w:val="auto"/>
              </w:rPr>
              <w:t>holders of holding and disposing of shares of our Common Stock, see “Material U.S.</w:t>
            </w:r>
          </w:p>
        </w:tc>
      </w:tr>
      <w:tr>
        <w:trPr>
          <w:trHeight w:val="211"/>
        </w:trPr>
        <w:tc>
          <w:tcPr>
            <w:tcW w:w="388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Federal Income Tax Consequences to Non-U.S. Holders.”</w:t>
            </w:r>
          </w:p>
        </w:tc>
      </w:tr>
      <w:tr>
        <w:trPr>
          <w:trHeight w:val="397"/>
        </w:trPr>
        <w:tc>
          <w:tcPr>
            <w:tcW w:w="3880" w:type="dxa"/>
            <w:vAlign w:val="bottom"/>
          </w:tcPr>
          <w:p>
            <w:pPr>
              <w:ind w:left="180"/>
              <w:spacing w:after="0"/>
              <w:rPr>
                <w:sz w:val="20"/>
                <w:szCs w:val="20"/>
                <w:color w:val="auto"/>
              </w:rPr>
            </w:pPr>
            <w:r>
              <w:rPr>
                <w:rFonts w:ascii="Arial" w:cs="Arial" w:eastAsia="Arial" w:hAnsi="Arial"/>
                <w:sz w:val="18"/>
                <w:szCs w:val="18"/>
                <w:b w:val="1"/>
                <w:bCs w:val="1"/>
                <w:color w:val="auto"/>
              </w:rPr>
              <w:t>Conflicts of interest</w:t>
            </w:r>
          </w:p>
        </w:tc>
        <w:tc>
          <w:tcPr>
            <w:tcW w:w="7160" w:type="dxa"/>
            <w:vAlign w:val="bottom"/>
          </w:tcPr>
          <w:p>
            <w:pPr>
              <w:ind w:left="340"/>
              <w:spacing w:after="0"/>
              <w:rPr>
                <w:sz w:val="20"/>
                <w:szCs w:val="20"/>
                <w:color w:val="auto"/>
              </w:rPr>
            </w:pPr>
            <w:r>
              <w:rPr>
                <w:rFonts w:ascii="Arial" w:cs="Arial" w:eastAsia="Arial" w:hAnsi="Arial"/>
                <w:sz w:val="18"/>
                <w:szCs w:val="18"/>
                <w:color w:val="auto"/>
              </w:rPr>
              <w:t>Because affiliates of certain of the underwriters are lenders under the senior secured</w:t>
            </w:r>
          </w:p>
        </w:tc>
      </w:tr>
      <w:tr>
        <w:trPr>
          <w:trHeight w:val="203"/>
        </w:trPr>
        <w:tc>
          <w:tcPr>
            <w:tcW w:w="3880" w:type="dxa"/>
            <w:vAlign w:val="bottom"/>
          </w:tcPr>
          <w:p>
            <w:pPr>
              <w:spacing w:after="0"/>
              <w:rPr>
                <w:sz w:val="17"/>
                <w:szCs w:val="17"/>
                <w:color w:val="auto"/>
              </w:rPr>
            </w:pPr>
          </w:p>
        </w:tc>
        <w:tc>
          <w:tcPr>
            <w:tcW w:w="7160" w:type="dxa"/>
            <w:vAlign w:val="bottom"/>
          </w:tcPr>
          <w:p>
            <w:pPr>
              <w:ind w:left="340"/>
              <w:spacing w:after="0" w:line="202" w:lineRule="exact"/>
              <w:rPr>
                <w:sz w:val="20"/>
                <w:szCs w:val="20"/>
                <w:color w:val="auto"/>
              </w:rPr>
            </w:pPr>
            <w:r>
              <w:rPr>
                <w:rFonts w:ascii="Arial" w:cs="Arial" w:eastAsia="Arial" w:hAnsi="Arial"/>
                <w:sz w:val="18"/>
                <w:szCs w:val="18"/>
                <w:color w:val="auto"/>
              </w:rPr>
              <w:t>credit facilities of our subsidiary Wynn America, LLC, and/or lenders under the senior</w:t>
            </w:r>
          </w:p>
        </w:tc>
      </w:tr>
      <w:tr>
        <w:trPr>
          <w:trHeight w:val="203"/>
        </w:trPr>
        <w:tc>
          <w:tcPr>
            <w:tcW w:w="3880" w:type="dxa"/>
            <w:vAlign w:val="bottom"/>
          </w:tcPr>
          <w:p>
            <w:pPr>
              <w:spacing w:after="0"/>
              <w:rPr>
                <w:sz w:val="17"/>
                <w:szCs w:val="17"/>
                <w:color w:val="auto"/>
              </w:rPr>
            </w:pPr>
          </w:p>
        </w:tc>
        <w:tc>
          <w:tcPr>
            <w:tcW w:w="7160" w:type="dxa"/>
            <w:vAlign w:val="bottom"/>
          </w:tcPr>
          <w:p>
            <w:pPr>
              <w:ind w:left="340"/>
              <w:spacing w:after="0" w:line="202" w:lineRule="exact"/>
              <w:rPr>
                <w:sz w:val="20"/>
                <w:szCs w:val="20"/>
                <w:color w:val="auto"/>
              </w:rPr>
            </w:pPr>
            <w:r>
              <w:rPr>
                <w:rFonts w:ascii="Arial" w:cs="Arial" w:eastAsia="Arial" w:hAnsi="Arial"/>
                <w:sz w:val="18"/>
                <w:szCs w:val="18"/>
                <w:color w:val="auto"/>
              </w:rPr>
              <w:t>secured credit facilities of our subsidiary Wynn Resorts (Macau) S.A., and/or are</w:t>
            </w:r>
          </w:p>
        </w:tc>
      </w:tr>
      <w:tr>
        <w:trPr>
          <w:trHeight w:val="203"/>
        </w:trPr>
        <w:tc>
          <w:tcPr>
            <w:tcW w:w="3880" w:type="dxa"/>
            <w:vAlign w:val="bottom"/>
          </w:tcPr>
          <w:p>
            <w:pPr>
              <w:spacing w:after="0"/>
              <w:rPr>
                <w:sz w:val="17"/>
                <w:szCs w:val="17"/>
                <w:color w:val="auto"/>
              </w:rPr>
            </w:pPr>
          </w:p>
        </w:tc>
        <w:tc>
          <w:tcPr>
            <w:tcW w:w="7160" w:type="dxa"/>
            <w:vAlign w:val="bottom"/>
          </w:tcPr>
          <w:p>
            <w:pPr>
              <w:ind w:left="340"/>
              <w:spacing w:after="0" w:line="202" w:lineRule="exact"/>
              <w:rPr>
                <w:sz w:val="20"/>
                <w:szCs w:val="20"/>
                <w:color w:val="auto"/>
              </w:rPr>
            </w:pPr>
            <w:r>
              <w:rPr>
                <w:rFonts w:ascii="Arial" w:cs="Arial" w:eastAsia="Arial" w:hAnsi="Arial"/>
                <w:sz w:val="18"/>
                <w:szCs w:val="18"/>
                <w:color w:val="auto"/>
              </w:rPr>
              <w:t>expected to be lenders under the Bridge Facility, and could receive at least 5% of the</w:t>
            </w:r>
          </w:p>
        </w:tc>
      </w:tr>
      <w:tr>
        <w:trPr>
          <w:trHeight w:val="203"/>
        </w:trPr>
        <w:tc>
          <w:tcPr>
            <w:tcW w:w="3880" w:type="dxa"/>
            <w:vAlign w:val="bottom"/>
          </w:tcPr>
          <w:p>
            <w:pPr>
              <w:spacing w:after="0"/>
              <w:rPr>
                <w:sz w:val="17"/>
                <w:szCs w:val="17"/>
                <w:color w:val="auto"/>
              </w:rPr>
            </w:pPr>
          </w:p>
        </w:tc>
        <w:tc>
          <w:tcPr>
            <w:tcW w:w="7160" w:type="dxa"/>
            <w:vAlign w:val="bottom"/>
          </w:tcPr>
          <w:p>
            <w:pPr>
              <w:ind w:left="340"/>
              <w:spacing w:after="0" w:line="202" w:lineRule="exact"/>
              <w:rPr>
                <w:sz w:val="20"/>
                <w:szCs w:val="20"/>
                <w:color w:val="auto"/>
              </w:rPr>
            </w:pPr>
            <w:r>
              <w:rPr>
                <w:rFonts w:ascii="Arial" w:cs="Arial" w:eastAsia="Arial" w:hAnsi="Arial"/>
                <w:sz w:val="18"/>
                <w:szCs w:val="18"/>
                <w:color w:val="auto"/>
              </w:rPr>
              <w:t>net proceeds from this offering, certain of the underwriters could be deemed to have</w:t>
            </w:r>
          </w:p>
        </w:tc>
      </w:tr>
      <w:tr>
        <w:trPr>
          <w:trHeight w:val="203"/>
        </w:trPr>
        <w:tc>
          <w:tcPr>
            <w:tcW w:w="3880" w:type="dxa"/>
            <w:vAlign w:val="bottom"/>
          </w:tcPr>
          <w:p>
            <w:pPr>
              <w:spacing w:after="0"/>
              <w:rPr>
                <w:sz w:val="17"/>
                <w:szCs w:val="17"/>
                <w:color w:val="auto"/>
              </w:rPr>
            </w:pPr>
          </w:p>
        </w:tc>
        <w:tc>
          <w:tcPr>
            <w:tcW w:w="7160" w:type="dxa"/>
            <w:vAlign w:val="bottom"/>
          </w:tcPr>
          <w:p>
            <w:pPr>
              <w:ind w:left="340"/>
              <w:spacing w:after="0" w:line="202" w:lineRule="exact"/>
              <w:rPr>
                <w:sz w:val="20"/>
                <w:szCs w:val="20"/>
                <w:color w:val="auto"/>
              </w:rPr>
            </w:pPr>
            <w:r>
              <w:rPr>
                <w:rFonts w:ascii="Arial" w:cs="Arial" w:eastAsia="Arial" w:hAnsi="Arial"/>
                <w:sz w:val="18"/>
                <w:szCs w:val="18"/>
                <w:color w:val="auto"/>
              </w:rPr>
              <w:t>a “conflict of interest” under Rule 5121 of the Financial Industry Regulatory Authority,</w:t>
            </w:r>
          </w:p>
        </w:tc>
      </w:tr>
      <w:tr>
        <w:trPr>
          <w:trHeight w:val="203"/>
        </w:trPr>
        <w:tc>
          <w:tcPr>
            <w:tcW w:w="3880" w:type="dxa"/>
            <w:vAlign w:val="bottom"/>
          </w:tcPr>
          <w:p>
            <w:pPr>
              <w:spacing w:after="0"/>
              <w:rPr>
                <w:sz w:val="17"/>
                <w:szCs w:val="17"/>
                <w:color w:val="auto"/>
              </w:rPr>
            </w:pPr>
          </w:p>
        </w:tc>
        <w:tc>
          <w:tcPr>
            <w:tcW w:w="7160" w:type="dxa"/>
            <w:vAlign w:val="bottom"/>
          </w:tcPr>
          <w:p>
            <w:pPr>
              <w:ind w:left="340"/>
              <w:spacing w:after="0" w:line="202" w:lineRule="exact"/>
              <w:rPr>
                <w:sz w:val="20"/>
                <w:szCs w:val="20"/>
                <w:color w:val="auto"/>
              </w:rPr>
            </w:pPr>
            <w:r>
              <w:rPr>
                <w:rFonts w:ascii="Arial" w:cs="Arial" w:eastAsia="Arial" w:hAnsi="Arial"/>
                <w:sz w:val="18"/>
                <w:szCs w:val="18"/>
                <w:color w:val="auto"/>
              </w:rPr>
              <w:t>Inc. (“Rule 5121”). Accordingly, this offering is being made in compliance with the</w:t>
            </w:r>
          </w:p>
        </w:tc>
      </w:tr>
      <w:tr>
        <w:trPr>
          <w:trHeight w:val="203"/>
        </w:trPr>
        <w:tc>
          <w:tcPr>
            <w:tcW w:w="3880" w:type="dxa"/>
            <w:vAlign w:val="bottom"/>
          </w:tcPr>
          <w:p>
            <w:pPr>
              <w:spacing w:after="0"/>
              <w:rPr>
                <w:sz w:val="17"/>
                <w:szCs w:val="17"/>
                <w:color w:val="auto"/>
              </w:rPr>
            </w:pPr>
          </w:p>
        </w:tc>
        <w:tc>
          <w:tcPr>
            <w:tcW w:w="7160" w:type="dxa"/>
            <w:vAlign w:val="bottom"/>
          </w:tcPr>
          <w:p>
            <w:pPr>
              <w:ind w:left="340"/>
              <w:spacing w:after="0" w:line="202" w:lineRule="exact"/>
              <w:rPr>
                <w:sz w:val="20"/>
                <w:szCs w:val="20"/>
                <w:color w:val="auto"/>
              </w:rPr>
            </w:pPr>
            <w:r>
              <w:rPr>
                <w:rFonts w:ascii="Arial" w:cs="Arial" w:eastAsia="Arial" w:hAnsi="Arial"/>
                <w:sz w:val="18"/>
                <w:szCs w:val="18"/>
                <w:color w:val="auto"/>
              </w:rPr>
              <w:t>requirements of Rule 5121. The appointment of a “qualified independent underwriter”</w:t>
            </w:r>
          </w:p>
        </w:tc>
      </w:tr>
      <w:tr>
        <w:trPr>
          <w:trHeight w:val="203"/>
        </w:trPr>
        <w:tc>
          <w:tcPr>
            <w:tcW w:w="3880" w:type="dxa"/>
            <w:vAlign w:val="bottom"/>
          </w:tcPr>
          <w:p>
            <w:pPr>
              <w:spacing w:after="0"/>
              <w:rPr>
                <w:sz w:val="17"/>
                <w:szCs w:val="17"/>
                <w:color w:val="auto"/>
              </w:rPr>
            </w:pPr>
          </w:p>
        </w:tc>
        <w:tc>
          <w:tcPr>
            <w:tcW w:w="7160" w:type="dxa"/>
            <w:vAlign w:val="bottom"/>
          </w:tcPr>
          <w:p>
            <w:pPr>
              <w:ind w:left="340"/>
              <w:spacing w:after="0" w:line="202" w:lineRule="exact"/>
              <w:rPr>
                <w:sz w:val="20"/>
                <w:szCs w:val="20"/>
                <w:color w:val="auto"/>
              </w:rPr>
            </w:pPr>
            <w:r>
              <w:rPr>
                <w:rFonts w:ascii="Arial" w:cs="Arial" w:eastAsia="Arial" w:hAnsi="Arial"/>
                <w:sz w:val="18"/>
                <w:szCs w:val="18"/>
                <w:color w:val="auto"/>
              </w:rPr>
              <w:t>is not required in connection with this offering because a “bona fide public market,”</w:t>
            </w:r>
          </w:p>
        </w:tc>
      </w:tr>
      <w:tr>
        <w:trPr>
          <w:trHeight w:val="196"/>
        </w:trPr>
        <w:tc>
          <w:tcPr>
            <w:tcW w:w="3880" w:type="dxa"/>
            <w:vAlign w:val="bottom"/>
            <w:tcBorders>
              <w:bottom w:val="single" w:sz="8" w:color="auto"/>
            </w:tcBorders>
          </w:tcPr>
          <w:p>
            <w:pPr>
              <w:spacing w:after="0"/>
              <w:rPr>
                <w:sz w:val="17"/>
                <w:szCs w:val="17"/>
                <w:color w:val="auto"/>
              </w:rPr>
            </w:pPr>
          </w:p>
        </w:tc>
        <w:tc>
          <w:tcPr>
            <w:tcW w:w="7160" w:type="dxa"/>
            <w:vAlign w:val="bottom"/>
            <w:tcBorders>
              <w:bottom w:val="single" w:sz="8" w:color="auto"/>
            </w:tcBorders>
          </w:tcPr>
          <w:p>
            <w:pPr>
              <w:ind w:left="340"/>
              <w:spacing w:after="0" w:line="196" w:lineRule="exact"/>
              <w:rPr>
                <w:sz w:val="20"/>
                <w:szCs w:val="20"/>
                <w:color w:val="auto"/>
              </w:rPr>
            </w:pPr>
            <w:r>
              <w:rPr>
                <w:rFonts w:ascii="Arial" w:cs="Arial" w:eastAsia="Arial" w:hAnsi="Arial"/>
                <w:sz w:val="18"/>
                <w:szCs w:val="18"/>
                <w:color w:val="auto"/>
              </w:rPr>
              <w:t>as defined in Rule 5121, exists</w:t>
            </w:r>
          </w:p>
        </w:tc>
      </w:tr>
      <w:tr>
        <w:trPr>
          <w:trHeight w:val="359"/>
        </w:trPr>
        <w:tc>
          <w:tcPr>
            <w:tcW w:w="3880" w:type="dxa"/>
            <w:vAlign w:val="bottom"/>
          </w:tcPr>
          <w:p>
            <w:pPr>
              <w:spacing w:after="0"/>
              <w:rPr>
                <w:sz w:val="24"/>
                <w:szCs w:val="24"/>
                <w:color w:val="auto"/>
              </w:rPr>
            </w:pPr>
          </w:p>
        </w:tc>
        <w:tc>
          <w:tcPr>
            <w:tcW w:w="7160" w:type="dxa"/>
            <w:vAlign w:val="bottom"/>
          </w:tcPr>
          <w:p>
            <w:pPr>
              <w:ind w:left="150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040"/>
          </w:cols>
          <w:pgMar w:left="440" w:top="458" w:right="419" w:bottom="1440" w:gutter="0" w:footer="0" w:header="0"/>
          <w:type w:val="continuous"/>
        </w:sectPr>
      </w:pPr>
    </w:p>
    <w:bookmarkStart w:id="12" w:name="page13"/>
    <w:bookmarkEnd w:id="12"/>
    <w:p>
      <w:pPr>
        <w:ind w:left="4040" w:right="1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9831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1983105"/>
                    </a:xfrm>
                    <a:prstGeom prst="rect">
                      <a:avLst/>
                    </a:prstGeom>
                    <a:noFill/>
                  </pic:spPr>
                </pic:pic>
              </a:graphicData>
            </a:graphic>
          </wp:anchor>
        </w:drawing>
        <w:t>for our Common Stock. For additional information about these matters, see “Use of Proceeds” and “Underwriting (Conflicts of Interest).”</w:t>
      </w:r>
    </w:p>
    <w:p>
      <w:pPr>
        <w:sectPr>
          <w:pgSz w:w="11900" w:h="16838" w:orient="portrait"/>
          <w:cols w:equalWidth="0" w:num="1">
            <w:col w:w="10600"/>
          </w:cols>
          <w:pgMar w:left="620" w:top="480" w:right="67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You should carefully consider the information set forth in the section of this prospectus supplement entitled “Risk factors” as well as the other information included in or incorporated by reference into this prospectus supplement and the accompanying prospectus before deciding whether to invest in the shares.</w:t>
      </w:r>
    </w:p>
    <w:p>
      <w:pPr>
        <w:spacing w:after="0" w:line="155" w:lineRule="exact"/>
        <w:rPr>
          <w:sz w:val="20"/>
          <w:szCs w:val="20"/>
          <w:color w:val="auto"/>
        </w:rPr>
      </w:pPr>
    </w:p>
    <w:p>
      <w:pPr>
        <w:sectPr>
          <w:pgSz w:w="11900" w:h="16838" w:orient="portrait"/>
          <w:cols w:equalWidth="0" w:num="2">
            <w:col w:w="3320" w:space="720"/>
            <w:col w:w="6560"/>
          </w:cols>
          <w:pgMar w:left="620" w:top="480" w:right="679" w:bottom="1440" w:gutter="0" w:footer="0" w:header="0"/>
          <w:type w:val="continuous"/>
        </w:sectPr>
      </w:pPr>
    </w:p>
    <w:p>
      <w:pPr>
        <w:spacing w:after="0"/>
        <w:rPr>
          <w:sz w:val="20"/>
          <w:szCs w:val="20"/>
          <w:color w:val="auto"/>
        </w:rPr>
      </w:pPr>
      <w:r>
        <w:rPr>
          <w:rFonts w:ascii="Arial" w:cs="Arial" w:eastAsia="Arial" w:hAnsi="Arial"/>
          <w:sz w:val="18"/>
          <w:szCs w:val="18"/>
          <w:color w:val="auto"/>
        </w:rPr>
        <w:t>Except as otherwise indicated, all information in this prospectus supplement:</w:t>
      </w:r>
    </w:p>
    <w:p>
      <w:pPr>
        <w:spacing w:after="0" w:line="77" w:lineRule="exact"/>
        <w:rPr>
          <w:sz w:val="20"/>
          <w:szCs w:val="20"/>
          <w:color w:val="auto"/>
        </w:rPr>
      </w:pPr>
    </w:p>
    <w:p>
      <w:pPr>
        <w:ind w:left="420" w:hanging="414"/>
        <w:spacing w:after="0" w:line="23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564,795 shares issuable upon the exercise of options outstanding as of March 15, 2018 with a weighted average exercise price of $72.82 per share; and</w:t>
      </w:r>
    </w:p>
    <w:p>
      <w:pPr>
        <w:spacing w:after="0" w:line="73" w:lineRule="exact"/>
        <w:rPr>
          <w:rFonts w:ascii="Arial" w:cs="Arial" w:eastAsia="Arial" w:hAnsi="Arial"/>
          <w:sz w:val="18"/>
          <w:szCs w:val="18"/>
          <w:color w:val="auto"/>
        </w:rPr>
      </w:pPr>
    </w:p>
    <w:p>
      <w:pPr>
        <w:ind w:left="420" w:right="540" w:hanging="414"/>
        <w:spacing w:after="0" w:line="239"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an estimated 3,109,569 shares reserved for issuance pursuant to future grants of awards under our 2014 Omnibus Incentive Plan as of March 15, 2018.</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600"/>
          </w:cols>
          <w:pgMar w:left="620" w:top="480" w:right="67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 FACTORS</w:t>
      </w:r>
    </w:p>
    <w:p>
      <w:pPr>
        <w:spacing w:after="0" w:line="162" w:lineRule="exact"/>
        <w:rPr>
          <w:sz w:val="20"/>
          <w:szCs w:val="20"/>
          <w:color w:val="auto"/>
        </w:rPr>
      </w:pPr>
    </w:p>
    <w:p>
      <w:pPr>
        <w:ind w:right="20" w:firstLine="441"/>
        <w:spacing w:after="0" w:line="239" w:lineRule="auto"/>
        <w:rPr>
          <w:sz w:val="20"/>
          <w:szCs w:val="20"/>
          <w:color w:val="auto"/>
        </w:rPr>
      </w:pPr>
      <w:r>
        <w:rPr>
          <w:rFonts w:ascii="Arial" w:cs="Arial" w:eastAsia="Arial" w:hAnsi="Arial"/>
          <w:sz w:val="18"/>
          <w:szCs w:val="18"/>
          <w:i w:val="1"/>
          <w:iCs w:val="1"/>
          <w:color w:val="auto"/>
        </w:rPr>
        <w:t>You should carefully consider the risks described below, together with our consolidated financial statements and the risks described in our Annual Report on Form 10-K for the year ended December 31, 2017 incorporated by reference herein, before making an investment decision. The risks and uncertainties described below are not the only ones that we face. Additional risks and uncertainties not presently known to us or that we currently deem immaterial may also impair our business operations. If any of these risks actually occur, our business, financial condition and results of operations could be materially adversely affected. In that case, the value of the Common Stock could decline substantially, and you may lose part or all of your investment.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15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color w:val="auto"/>
        </w:rPr>
        <w:t>The controversy, regulatory action, litigation and investigations related to Stephen A. Wynn and his separation from the Company could significantly harm our business.</w:t>
      </w:r>
    </w:p>
    <w:p>
      <w:pPr>
        <w:spacing w:after="0" w:line="53" w:lineRule="exact"/>
        <w:rPr>
          <w:sz w:val="20"/>
          <w:szCs w:val="20"/>
          <w:color w:val="auto"/>
        </w:rPr>
      </w:pPr>
    </w:p>
    <w:p>
      <w:pPr>
        <w:ind w:right="20" w:firstLine="441"/>
        <w:spacing w:after="0" w:line="238" w:lineRule="auto"/>
        <w:rPr>
          <w:sz w:val="20"/>
          <w:szCs w:val="20"/>
          <w:color w:val="auto"/>
        </w:rPr>
      </w:pPr>
      <w:r>
        <w:rPr>
          <w:rFonts w:ascii="Arial" w:cs="Arial" w:eastAsia="Arial" w:hAnsi="Arial"/>
          <w:sz w:val="18"/>
          <w:szCs w:val="18"/>
          <w:color w:val="auto"/>
        </w:rPr>
        <w:t>Our business, reputation, and competitive position may suffer as a result of our association with Mr. Wynn, additional allegations against Mr. Wynn and/or the Company, or as a result of his separation from the Company. Prior to February 6, 2018, Mr. Wynn was our CEO and Chairman of the Board of Directors.</w:t>
      </w:r>
    </w:p>
    <w:p>
      <w:pPr>
        <w:spacing w:after="0" w:line="73" w:lineRule="exact"/>
        <w:rPr>
          <w:sz w:val="20"/>
          <w:szCs w:val="20"/>
          <w:color w:val="auto"/>
        </w:rPr>
      </w:pPr>
    </w:p>
    <w:p>
      <w:pPr>
        <w:ind w:firstLine="441"/>
        <w:spacing w:after="0" w:line="269" w:lineRule="auto"/>
        <w:rPr>
          <w:sz w:val="20"/>
          <w:szCs w:val="20"/>
          <w:color w:val="auto"/>
        </w:rPr>
      </w:pPr>
      <w:r>
        <w:rPr>
          <w:rFonts w:ascii="Arial" w:cs="Arial" w:eastAsia="Arial" w:hAnsi="Arial"/>
          <w:sz w:val="16"/>
          <w:szCs w:val="16"/>
          <w:color w:val="auto"/>
        </w:rPr>
        <w:t>On February 6, 2018, Mr. Wynn resigned as CEO and Chairman of the Board of Directors after allegations of inappropriate personal conduct by Mr. Wynn in the workplace were reported in a January 26, 2018 Wall Street Journal article. Further articles regarding alleged inappropriate personal conduct by Mr. Wynn have been, and could in the future be, reported in the news. The controversy related to Mr. Wynn and his separation from the Company could significantly harm our business in numerous ways, including in ways that we cannot predict. As discussed in our Annual Report on Form 10-K, which is incorporated by reference herein, gaming regulators in Macau, Massachusetts and Nevada are reviewing the situation. Each of these regulatory authorities has extensive power to license and oversee the operations of our casino resorts and could take action against the Company and its related licensees or Mr. Wynn, including actions that could affect the ability or terms upon which our subsidiaries hold their gaming licenses and concessions, the suitability of the Company to continue as a stockholder of those subsidiaries, and/or the suitability of Mr. Wynn to continue as a stockholder of the Company.</w:t>
      </w:r>
    </w:p>
    <w:p>
      <w:pPr>
        <w:spacing w:after="0" w:line="336" w:lineRule="exact"/>
        <w:rPr>
          <w:sz w:val="20"/>
          <w:szCs w:val="20"/>
          <w:color w:val="auto"/>
        </w:rPr>
      </w:pPr>
    </w:p>
    <w:p>
      <w:pPr>
        <w:ind w:right="160" w:firstLine="441"/>
        <w:spacing w:after="0" w:line="237" w:lineRule="auto"/>
        <w:rPr>
          <w:sz w:val="20"/>
          <w:szCs w:val="20"/>
          <w:color w:val="auto"/>
        </w:rPr>
      </w:pPr>
      <w:r>
        <w:rPr>
          <w:rFonts w:ascii="Arial" w:cs="Arial" w:eastAsia="Arial" w:hAnsi="Arial"/>
          <w:sz w:val="18"/>
          <w:szCs w:val="18"/>
          <w:color w:val="auto"/>
        </w:rPr>
        <w:t>A number of lawsuits have been filed against the Company and our Board of Directors arising out of the allegations against Mr. Wynn, and such claims present a number of risks, including distraction of management, assertions that could affect our reputation, and potential legal liabilities. Additional allegations may in the future be asserted against Mr. Wynn and/or the Company, and additional regulatory or legal proceedings involving the Company may be commenced in the future.</w:t>
      </w:r>
    </w:p>
    <w:p>
      <w:pPr>
        <w:spacing w:after="0" w:line="155" w:lineRule="exact"/>
        <w:rPr>
          <w:sz w:val="20"/>
          <w:szCs w:val="20"/>
          <w:color w:val="auto"/>
        </w:rPr>
      </w:pPr>
    </w:p>
    <w:p>
      <w:pPr>
        <w:ind w:firstLine="441"/>
        <w:spacing w:after="0" w:line="273" w:lineRule="auto"/>
        <w:rPr>
          <w:sz w:val="20"/>
          <w:szCs w:val="20"/>
          <w:color w:val="auto"/>
        </w:rPr>
      </w:pPr>
      <w:r>
        <w:rPr>
          <w:rFonts w:ascii="Arial" w:cs="Arial" w:eastAsia="Arial" w:hAnsi="Arial"/>
          <w:sz w:val="16"/>
          <w:szCs w:val="16"/>
          <w:color w:val="auto"/>
        </w:rPr>
        <w:t>The developments regarding Mr. Wynn have and may in the future affect the course of proceedings and the parties’ positions in litigation in which Elaine P. Wynn, Mr. Wynn’s former spouse, submitted a cross claim seeking to void the Stockholders Agreement and alleging breaches of such agreement. Such claims have and may continue to bring adverse publicity and harm our reputation. On March 14, 2018, Mr. Wynn and Elaine P. Wynn entered into a stipulation declaring that the Stockholders Agreement is now invalid and unenforceable, thereby terminating some but not all of the claims asserted by Elaine P. Wynn against Mr. Wynn, the Company and certain officers of the Company.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00"/>
          </w:cols>
          <w:pgMar w:left="440" w:top="269" w:right="459" w:bottom="1440" w:gutter="0" w:footer="0" w:header="0"/>
        </w:sectPr>
      </w:pPr>
    </w:p>
    <w:bookmarkStart w:id="14" w:name="page15"/>
    <w:bookmarkEnd w:id="14"/>
    <w:p>
      <w:pPr>
        <w:ind w:firstLine="441"/>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March 20, 2018, the Company entered into a Registration Rights Agreement with the Selling Stockholder, pursuant to the terms of the Separation Agreement. On March 21, 2018, the Selling Stockholder sold an aggregate of 4,104,999 shares of Common Stock at a price of $180.00 per share in open market transactions pursuant to Rule 144 under the Securities Act. Additionally, following the Rule 144 open market transactions, on March 22, 2018, the Selling Stockholder entered into agreements to sell 8,026,708 shares of Common Stock in privately negotiated transactions, representing all of his remaining holdings of our Common Stock. The separation of Mr. Wynn from the Company and the sale of all his shares of Common Stock has been the subject of numerous press articles which could in turn have a significant negative impact on our business, reputation and competitive position.</w:t>
      </w:r>
    </w:p>
    <w:p>
      <w:pPr>
        <w:spacing w:after="0" w:line="21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color w:val="auto"/>
        </w:rPr>
        <w:t>Ongoing investigations, litigation and other disputes could distract management and result in negative publicity and additional scrutiny from regulators.</w:t>
      </w:r>
    </w:p>
    <w:p>
      <w:pPr>
        <w:spacing w:after="0" w:line="53" w:lineRule="exact"/>
        <w:rPr>
          <w:sz w:val="20"/>
          <w:szCs w:val="20"/>
          <w:color w:val="auto"/>
        </w:rPr>
      </w:pPr>
    </w:p>
    <w:p>
      <w:pPr>
        <w:ind w:right="100" w:firstLine="441"/>
        <w:spacing w:after="0" w:line="236" w:lineRule="auto"/>
        <w:rPr>
          <w:sz w:val="20"/>
          <w:szCs w:val="20"/>
          <w:color w:val="auto"/>
        </w:rPr>
      </w:pPr>
      <w:r>
        <w:rPr>
          <w:rFonts w:ascii="Arial" w:cs="Arial" w:eastAsia="Arial" w:hAnsi="Arial"/>
          <w:sz w:val="18"/>
          <w:szCs w:val="18"/>
          <w:color w:val="auto"/>
        </w:rPr>
        <w:t>There has been widespread publicity of the findings in the February 2012 report from Freeh, Sparkin &amp; Sullivan, LLP of prima facie violations of law by Mr. Okada and his affiliates, the Board of Directors’ unsuitability finding, the redemption of shares and related litigation. In addition, Elaine P. Wynn has asserted various claims against Mr. Wynn, the Company and various Company officers. On March 14, 2018, Mr. Wynn and Elaine Wynn entered into a stipulation declaring that the Stockholders’ Agreement is now invalid and unenforceable, thereby terminating some but not all of the claims asserted by Elaine P. Wynn against Mr. Wynn, the Company and certain officers of the Company. Such claims have and may continue to draw adverse publicity or impugn our reputation.</w:t>
      </w:r>
    </w:p>
    <w:p>
      <w:pPr>
        <w:spacing w:after="0" w:line="156" w:lineRule="exact"/>
        <w:rPr>
          <w:sz w:val="20"/>
          <w:szCs w:val="20"/>
          <w:color w:val="auto"/>
        </w:rPr>
      </w:pPr>
    </w:p>
    <w:p>
      <w:pPr>
        <w:ind w:right="100" w:firstLine="441"/>
        <w:spacing w:after="0" w:line="271" w:lineRule="auto"/>
        <w:rPr>
          <w:sz w:val="20"/>
          <w:szCs w:val="20"/>
          <w:color w:val="auto"/>
        </w:rPr>
      </w:pPr>
      <w:r>
        <w:rPr>
          <w:rFonts w:ascii="Arial" w:cs="Arial" w:eastAsia="Arial" w:hAnsi="Arial"/>
          <w:sz w:val="16"/>
          <w:szCs w:val="16"/>
          <w:color w:val="auto"/>
        </w:rPr>
        <w:t>On January 26, 2018, the Company’s Board of Directors formed a Special Committee comprised solely of independent directors to investigate allegations of inappropriate personal conduct by Mr. Wynn in the workplace. On February 12, 2018, the Special Committee announced that its review was expanded to include a comprehensive review of the Company’s internal policies and procedures with the goal of employing best practices to maintain a safe and respectful workplace for all employees. Gaming regulators in Massachusetts and Nevada are reviewing these matters, including suitability with respect to the Company and its related licensees, and the Company is cooperating with these regulatory reviews. The gaming regulator in Macau is monitoring and reviewing the situation, and the Company is cooperating.</w:t>
      </w:r>
    </w:p>
    <w:p>
      <w:pPr>
        <w:spacing w:after="0" w:line="131" w:lineRule="exact"/>
        <w:rPr>
          <w:sz w:val="20"/>
          <w:szCs w:val="20"/>
          <w:color w:val="auto"/>
        </w:rPr>
      </w:pPr>
    </w:p>
    <w:p>
      <w:pPr>
        <w:ind w:right="20" w:firstLine="441"/>
        <w:spacing w:after="0" w:line="236" w:lineRule="auto"/>
        <w:rPr>
          <w:sz w:val="20"/>
          <w:szCs w:val="20"/>
          <w:color w:val="auto"/>
        </w:rPr>
      </w:pPr>
      <w:r>
        <w:rPr>
          <w:rFonts w:ascii="Arial" w:cs="Arial" w:eastAsia="Arial" w:hAnsi="Arial"/>
          <w:sz w:val="18"/>
          <w:szCs w:val="18"/>
          <w:color w:val="auto"/>
        </w:rPr>
        <w:t>The foregoing investigations, litigation and other disputes and any additional such matters that may arise in the future, can be expensive and may divert management’s attention from the operations of our businesses. The investigations, litigation and other disputes may also lead to additional scrutiny from regulators, which could lead to investigations relating to, and possibly a negative impact on, the Company’s gaming licenses and the Company’s ability to bid successfully for new gaming market opportunities. In addition, the actions, litigation and publicity could negatively impact our business, reputation and competitive position and could reduce demand for shares of Wynn Resorts and WML and thereby have a negative impact on the trading prices of their respective shares.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Indebtedness</w:t>
      </w:r>
    </w:p>
    <w:p>
      <w:pPr>
        <w:spacing w:after="0" w:line="15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color w:val="auto"/>
        </w:rPr>
        <w:t>We are highly leveraged and future cash flow may not be sufficient for us to meet our obligations, and we might have difficulty obtaining more financing.</w:t>
      </w:r>
    </w:p>
    <w:p>
      <w:pPr>
        <w:spacing w:after="0" w:line="53" w:lineRule="exact"/>
        <w:rPr>
          <w:sz w:val="20"/>
          <w:szCs w:val="20"/>
          <w:color w:val="auto"/>
        </w:rPr>
      </w:pPr>
    </w:p>
    <w:p>
      <w:pPr>
        <w:ind w:right="260" w:firstLine="441"/>
        <w:spacing w:after="0" w:line="239" w:lineRule="auto"/>
        <w:rPr>
          <w:sz w:val="20"/>
          <w:szCs w:val="20"/>
          <w:color w:val="auto"/>
        </w:rPr>
      </w:pPr>
      <w:r>
        <w:rPr>
          <w:rFonts w:ascii="Arial" w:cs="Arial" w:eastAsia="Arial" w:hAnsi="Arial"/>
          <w:sz w:val="18"/>
          <w:szCs w:val="18"/>
          <w:color w:val="auto"/>
        </w:rPr>
        <w:t>We have a substantial amount of consolidated debt in relation to our equity. As of December 31, 2017, we had total outstanding debt, net of debt issue costs, of approximately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20"/>
          </w:cols>
          <w:pgMar w:left="440" w:top="291" w:right="439" w:bottom="1440" w:gutter="0" w:footer="0" w:header="0"/>
        </w:sectPr>
      </w:pPr>
    </w:p>
    <w:bookmarkStart w:id="15" w:name="page16"/>
    <w:bookmarkEnd w:id="15"/>
    <w:p>
      <w:pPr>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$9.63 billion, which includes a portion of the funds we expect to need for the development and construction of our current projects. We may, however, incur additional indebtedness in connection with the construction of these projects. In addition, we are permitted to incur additional indebtedness if certain conditions are met, including conditions under our $2.30 billion equivalent fully funded senior secured term loan facility and a $750 million equivalent senior secured revolving credit facility in Macau, our Wynn America Credit Facilities and the indentures pertaining to the notes issued by certain of our subsidiaries in connection with other future potential development plans. On February 18, 2012, we issued the Redemption Note with a principal amount of approximately $1.94 billion in redemption of all of the shares of our Common Stock held by Aruze. As of December 31, 2017, the fair value of the Redemption Note was $1.88 billion. On March 9, 2018, we entered into a commitment letter with an affiliate of Deutsche Bank Securities for the Bridge Facility. The Company intends to use the net proceeds of the Bridge Facility, along with cash on hand and approximately $250 million of borrowings under the senior revolving credit facility under the Wynn America Credit Facilities to repay the Redemption Note and to pay the Additional Redemption Note Amount and the fees and expenses incurred in connection therewith. We intend to use the net proceeds from this offering to repay amounts to be borrowed under the Bridge Facility and repay certain other indebtedness.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indebtedness could have important consequences. For example:</w:t>
      </w:r>
    </w:p>
    <w:p>
      <w:pPr>
        <w:spacing w:after="0" w:line="77" w:lineRule="exact"/>
        <w:rPr>
          <w:sz w:val="20"/>
          <w:szCs w:val="20"/>
          <w:color w:val="auto"/>
        </w:rPr>
      </w:pPr>
    </w:p>
    <w:p>
      <w:pPr>
        <w:ind w:left="760" w:right="240" w:hanging="324"/>
        <w:spacing w:after="0" w:line="239"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meet our payment obligations or other obligations could result in acceleration of our indebtedness, foreclosure upon our assets that serve as collateral or bankruptcy and trigger cross defaults under other agreements;</w:t>
      </w:r>
    </w:p>
    <w:p>
      <w:pPr>
        <w:spacing w:after="0" w:line="73" w:lineRule="exact"/>
        <w:rPr>
          <w:rFonts w:ascii="Arial" w:cs="Arial" w:eastAsia="Arial" w:hAnsi="Arial"/>
          <w:sz w:val="18"/>
          <w:szCs w:val="18"/>
          <w:color w:val="auto"/>
        </w:rPr>
      </w:pPr>
    </w:p>
    <w:p>
      <w:pPr>
        <w:ind w:left="760" w:right="240" w:hanging="324"/>
        <w:spacing w:after="0" w:line="238"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servicing our indebtedness requires a substantial portion of our cash flow from the operations of our Las Vegas and Macau operations and reduces the amount of available cash, if any, to fund working capital and other cash requirements or pay for other capital expenditures;</w:t>
      </w:r>
    </w:p>
    <w:p>
      <w:pPr>
        <w:spacing w:after="0" w:line="72" w:lineRule="exact"/>
        <w:rPr>
          <w:rFonts w:ascii="Arial" w:cs="Arial" w:eastAsia="Arial" w:hAnsi="Arial"/>
          <w:sz w:val="18"/>
          <w:szCs w:val="18"/>
          <w:color w:val="auto"/>
        </w:rPr>
      </w:pPr>
    </w:p>
    <w:p>
      <w:pPr>
        <w:ind w:left="760" w:right="200" w:hanging="324"/>
        <w:spacing w:after="0" w:line="299"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Settlement Agreement pertaining to the Redemption Note could cause a material adverse effect on our financial condition and results of operations and could expose us to additional claims by third parties including current or former investors or regulators.</w:t>
      </w:r>
    </w:p>
    <w:p>
      <w:pPr>
        <w:spacing w:after="0" w:line="27" w:lineRule="exact"/>
        <w:rPr>
          <w:rFonts w:ascii="Arial" w:cs="Arial" w:eastAsia="Arial" w:hAnsi="Arial"/>
          <w:sz w:val="16"/>
          <w:szCs w:val="16"/>
          <w:color w:val="auto"/>
        </w:rPr>
      </w:pPr>
    </w:p>
    <w:p>
      <w:pPr>
        <w:ind w:left="760" w:hanging="32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and</w:t>
      </w:r>
    </w:p>
    <w:p>
      <w:pPr>
        <w:spacing w:after="0" w:line="76" w:lineRule="exact"/>
        <w:rPr>
          <w:rFonts w:ascii="Arial" w:cs="Arial" w:eastAsia="Arial" w:hAnsi="Arial"/>
          <w:sz w:val="18"/>
          <w:szCs w:val="18"/>
          <w:color w:val="auto"/>
        </w:rPr>
      </w:pPr>
    </w:p>
    <w:p>
      <w:pPr>
        <w:ind w:left="760" w:right="540" w:hanging="324"/>
        <w:spacing w:after="0" w:line="239"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rates with respect to a portion of the interest we pay will fluctuate with market rates and, accordingly, our interest expense will increase if market interest rates increase.</w:t>
      </w:r>
    </w:p>
    <w:p>
      <w:pPr>
        <w:spacing w:after="0" w:line="155" w:lineRule="exact"/>
        <w:rPr>
          <w:sz w:val="20"/>
          <w:szCs w:val="20"/>
          <w:color w:val="auto"/>
        </w:rPr>
      </w:pPr>
    </w:p>
    <w:p>
      <w:pPr>
        <w:ind w:right="140" w:firstLine="441"/>
        <w:spacing w:after="0" w:line="239" w:lineRule="auto"/>
        <w:rPr>
          <w:sz w:val="20"/>
          <w:szCs w:val="20"/>
          <w:color w:val="auto"/>
        </w:rPr>
      </w:pPr>
      <w:r>
        <w:rPr>
          <w:rFonts w:ascii="Arial" w:cs="Arial" w:eastAsia="Arial" w:hAnsi="Arial"/>
          <w:sz w:val="18"/>
          <w:szCs w:val="18"/>
          <w:color w:val="auto"/>
        </w:rPr>
        <w:t>Under the terms of the documents governing our debt facilities, subject to certain limitations, we are permitted to incur indebtedness. If we incur additional indebtedness, the risks described above will be exacerbated.</w:t>
      </w:r>
    </w:p>
    <w:p>
      <w:pPr>
        <w:spacing w:after="0" w:line="21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The agreements governing our debt facilities contain certain covenants that restrict our ability to engage in certain transactions and may impair our ability to respond to changing business and economic conditions.</w:t>
      </w:r>
    </w:p>
    <w:p>
      <w:pPr>
        <w:spacing w:after="0" w:line="53" w:lineRule="exact"/>
        <w:rPr>
          <w:sz w:val="20"/>
          <w:szCs w:val="20"/>
          <w:color w:val="auto"/>
        </w:rPr>
      </w:pPr>
    </w:p>
    <w:p>
      <w:pPr>
        <w:ind w:right="80" w:firstLine="441"/>
        <w:spacing w:after="0" w:line="236" w:lineRule="auto"/>
        <w:rPr>
          <w:sz w:val="20"/>
          <w:szCs w:val="20"/>
          <w:color w:val="auto"/>
        </w:rPr>
      </w:pPr>
      <w:r>
        <w:rPr>
          <w:rFonts w:ascii="Arial" w:cs="Arial" w:eastAsia="Arial" w:hAnsi="Arial"/>
          <w:sz w:val="18"/>
          <w:szCs w:val="18"/>
          <w:color w:val="auto"/>
        </w:rPr>
        <w:t>Some of our debt facilities require us to satisfy various financial covenants, which include requirements for minimum interest coverage ratios and leverage ratios pertaining to total debt to earnings before interest, tax, depreciation and amortization and a minimum earnings before interest, tax, depreciation and amortization. 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w:t>
      </w:r>
    </w:p>
    <w:p>
      <w:pPr>
        <w:spacing w:after="0" w:line="76" w:lineRule="exact"/>
        <w:rPr>
          <w:sz w:val="20"/>
          <w:szCs w:val="20"/>
          <w:color w:val="auto"/>
        </w:rPr>
      </w:pPr>
    </w:p>
    <w:p>
      <w:pPr>
        <w:ind w:left="760" w:hanging="32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00"/>
          </w:cols>
          <w:pgMar w:left="440" w:top="291" w:right="459" w:bottom="1440" w:gutter="0" w:footer="0" w:header="0"/>
        </w:sectPr>
      </w:pPr>
    </w:p>
    <w:bookmarkStart w:id="16" w:name="page17"/>
    <w:bookmarkEnd w:id="16"/>
    <w:p>
      <w:pPr>
        <w:ind w:left="760" w:hanging="32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enter into transactions with affiliates;</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undergo a change of control;</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transfer, sell or otherwise dispose of assets;</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58" w:lineRule="exact"/>
        <w:rPr>
          <w:sz w:val="20"/>
          <w:szCs w:val="20"/>
          <w:color w:val="auto"/>
        </w:rPr>
      </w:pPr>
    </w:p>
    <w:p>
      <w:pPr>
        <w:ind w:firstLine="441"/>
        <w:spacing w:after="0" w:line="236" w:lineRule="auto"/>
        <w:rPr>
          <w:sz w:val="20"/>
          <w:szCs w:val="20"/>
          <w:color w:val="auto"/>
        </w:rPr>
      </w:pPr>
      <w:r>
        <w:rPr>
          <w:rFonts w:ascii="Arial" w:cs="Arial" w:eastAsia="Arial" w:hAnsi="Arial"/>
          <w:sz w:val="18"/>
          <w:szCs w:val="18"/>
          <w:color w:val="auto"/>
        </w:rPr>
        <w:t>Our ability to comply with the terms of outstanding facilities may be affected by general economic conditions, industry conditions and other events outside of our control. As a result, we may not be able to maintain compliance with these covenants. If our properties’ operations fail to generate adequate cash flow, we may violate those covenants, causing a default under our agreements, which would materially and adversely affect our operating results and our financial condition or result in our lenders or holders of our debt taking action to enforce their security interests in our various assets or cause all outstanding amounts to be due and payable immediately.</w:t>
      </w:r>
    </w:p>
    <w:p>
      <w:pPr>
        <w:spacing w:after="0" w:line="216"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Risks Related to Share Ownership and Stockholder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largest stockholders are able to exert significant influence over our operations and future direction.</w:t>
      </w:r>
    </w:p>
    <w:p>
      <w:pPr>
        <w:spacing w:after="0" w:line="99" w:lineRule="exact"/>
        <w:rPr>
          <w:sz w:val="20"/>
          <w:szCs w:val="20"/>
          <w:color w:val="auto"/>
        </w:rPr>
      </w:pPr>
    </w:p>
    <w:p>
      <w:pPr>
        <w:ind w:firstLine="441"/>
        <w:spacing w:after="0" w:line="236" w:lineRule="auto"/>
        <w:rPr>
          <w:sz w:val="20"/>
          <w:szCs w:val="20"/>
          <w:color w:val="auto"/>
        </w:rPr>
      </w:pPr>
      <w:r>
        <w:rPr>
          <w:rFonts w:ascii="Arial" w:cs="Arial" w:eastAsia="Arial" w:hAnsi="Arial"/>
          <w:sz w:val="18"/>
          <w:szCs w:val="18"/>
          <w:color w:val="auto"/>
        </w:rPr>
        <w:t>As of March 20, 2018, Elaine P. Wynn owned 9,539,077 shares, or approximately 9.25% of our outstanding Common Stock. As a result, Elaine P. Wynn may be able to exert significant influence over all matters requiring our stockholders’ approval, including the approval of significant corporate transactions. Further, on March 20, 2018, Elaine P. Wynn, indicated in public filings with the SEC that she may engage in discussions with the Company’s shareholders, management and board of directors regarding a variety of matters relating to the Company, including among other things, the Company’s strategy, business, management, capital structure and allocation, corporate governance and board composition. Such involvements by our large shareholders may in turn be disruptive and distract management and our board of directors in the ordinary course of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99" w:lineRule="exact"/>
        <w:rPr>
          <w:sz w:val="20"/>
          <w:szCs w:val="20"/>
          <w:color w:val="auto"/>
        </w:rPr>
      </w:pPr>
    </w:p>
    <w:p>
      <w:pPr>
        <w:ind w:right="40" w:firstLine="441"/>
        <w:spacing w:after="0" w:line="268" w:lineRule="auto"/>
        <w:rPr>
          <w:sz w:val="20"/>
          <w:szCs w:val="20"/>
          <w:color w:val="auto"/>
        </w:rPr>
      </w:pPr>
      <w:r>
        <w:rPr>
          <w:rFonts w:ascii="Arial" w:cs="Arial" w:eastAsia="Arial" w:hAnsi="Arial"/>
          <w:sz w:val="16"/>
          <w:szCs w:val="16"/>
          <w:color w:val="auto"/>
        </w:rPr>
        <w:t>The trading price of our Common Stock has been and may continue to be subject to wide fluctuations. Our stock price may fluctuate in response to a number of events and factors, such as general United States, China, and world economic and financial conditions, our own quarterly variations in operating results, increased competition, changes in financial estimates and recommendations by securities analysts, changes in applicable laws or regulations, and changes affecting the travel industry, including gaming taxes, arrival and departure of key personnel, changes in our capital structure, sales of Common Stock by us or members of our management team, the public’s reaction to our press releases, other public announcements and filings with the SEC, including announcements of sales of stock or stock equivalents by the Company or its stockholders, and other events impacting our business. The stock market in general, and prices for companies in our industry in particular, has experienced extreme volatility that may be unrelated to the operating performance of a particular company. These broad market and industry fluctuations may adversely affect the price of our Common Stock, regardless of our operating performance.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980"/>
          </w:cols>
          <w:pgMar w:left="440" w:top="291" w:right="479" w:bottom="1440" w:gutter="0" w:footer="0" w:header="0"/>
        </w:sectPr>
      </w:pPr>
    </w:p>
    <w:bookmarkStart w:id="17" w:name="page18"/>
    <w:bookmarkEnd w:id="17"/>
    <w:p>
      <w:pPr>
        <w:ind w:right="260"/>
        <w:spacing w:after="0" w:line="26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Non-U.S. holders may be subject to additional U.S. federal income tax and/or withholding tax if we are treated as a United States real property holding corporation.</w:t>
      </w:r>
    </w:p>
    <w:p>
      <w:pPr>
        <w:spacing w:after="0" w:line="53" w:lineRule="exact"/>
        <w:rPr>
          <w:sz w:val="20"/>
          <w:szCs w:val="20"/>
          <w:color w:val="auto"/>
        </w:rPr>
      </w:pPr>
    </w:p>
    <w:p>
      <w:pPr>
        <w:ind w:firstLine="441"/>
        <w:spacing w:after="0" w:line="235" w:lineRule="auto"/>
        <w:rPr>
          <w:sz w:val="20"/>
          <w:szCs w:val="20"/>
          <w:color w:val="auto"/>
        </w:rPr>
      </w:pPr>
      <w:r>
        <w:rPr>
          <w:rFonts w:ascii="Arial" w:cs="Arial" w:eastAsia="Arial" w:hAnsi="Arial"/>
          <w:sz w:val="18"/>
          <w:szCs w:val="18"/>
          <w:color w:val="auto"/>
        </w:rPr>
        <w:t>A non-U.S. holder of our Common Stock may be subject to U.S. federal income and/or withholding tax if we are treated as a “United States real property holding corporation” (a “USRPHC”) for U.S. federal income tax purposes. Although there can be no assurance in this regard, we believe we are not currently a USRPHC and we currently do not anticipate becoming a USRPHC in the future. Because the determination of whether we are a USRPHC depends on the fair market value of our U.S. real property interests relative to the fair market value of our non-U.S. real property interests and other business assets, however, there can be no assurance that we are not or will not become a USRPHC. As a result, non-U.S. holders of our Common Stock may be subject to additional U.S. federal income or withholding tax, or both, in respect of payments in connection with a sale or other taxable disposition of Common Stock or in the case of certain distributions. Non-U.S. holders are urged to consult their tax advisors with respect to the U.S. federal income tax consequences of acquiring, owning, and disposing of our Common Stock. See the discussion under the heading “Material U.S. Federal Income Tax Consequences to Non-U.S. Holders”.</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940"/>
          </w:cols>
          <w:pgMar w:left="440" w:top="269" w:right="51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OF PROCEEDS</w:t>
      </w:r>
    </w:p>
    <w:p>
      <w:pPr>
        <w:spacing w:after="0" w:line="180" w:lineRule="exact"/>
        <w:rPr>
          <w:sz w:val="20"/>
          <w:szCs w:val="20"/>
          <w:color w:val="auto"/>
        </w:rPr>
      </w:pPr>
    </w:p>
    <w:p>
      <w:pPr>
        <w:ind w:right="200" w:firstLine="441"/>
        <w:spacing w:after="0" w:line="238" w:lineRule="auto"/>
        <w:rPr>
          <w:sz w:val="20"/>
          <w:szCs w:val="20"/>
          <w:color w:val="auto"/>
        </w:rPr>
      </w:pPr>
      <w:r>
        <w:rPr>
          <w:rFonts w:ascii="Arial" w:cs="Arial" w:eastAsia="Arial" w:hAnsi="Arial"/>
          <w:sz w:val="18"/>
          <w:szCs w:val="18"/>
          <w:color w:val="auto"/>
        </w:rPr>
        <w:t>We estimate that the net proceeds from this offering will be approximately $915.8 million after deducting underwriting discounts and excluding estimated offering expenses payable by us. We intend to use such net proceeds of this offering to repay amounts to be borrowed under the Bridge Facility and repay certain other indebtedness (as described below).</w:t>
      </w:r>
    </w:p>
    <w:p>
      <w:pPr>
        <w:spacing w:after="0" w:line="154" w:lineRule="exact"/>
        <w:rPr>
          <w:sz w:val="20"/>
          <w:szCs w:val="20"/>
          <w:color w:val="auto"/>
        </w:rPr>
      </w:pPr>
    </w:p>
    <w:p>
      <w:pPr>
        <w:ind w:right="120" w:firstLine="441"/>
        <w:spacing w:after="0" w:line="236" w:lineRule="auto"/>
        <w:rPr>
          <w:sz w:val="20"/>
          <w:szCs w:val="20"/>
          <w:color w:val="auto"/>
        </w:rPr>
      </w:pPr>
      <w:r>
        <w:rPr>
          <w:rFonts w:ascii="Arial" w:cs="Arial" w:eastAsia="Arial" w:hAnsi="Arial"/>
          <w:sz w:val="18"/>
          <w:szCs w:val="18"/>
          <w:color w:val="auto"/>
        </w:rPr>
        <w:t>On March 9, 2018, we entered into a commitment letter with an affiliate of Deutsche Bank Securities for the Bridge Facility. The annual interest rate applicable to the Bridge Facility is, at the option of the Company, (i) LIBOR plus the Applicable Margin or the (ii) the Base Rate plus the Applicable Margin. The Company intends to use the net proceeds of the Bridge Facility, along with cash on hand and approximately $250 million of borrowings under the senior revolving credit facility under the Wynn America Credit Facilities to repay the Redemption Note and to pay the Additional Redemption Note Amount and the fees and expenses incurred in connection therewith.</w:t>
      </w:r>
    </w:p>
    <w:p>
      <w:pPr>
        <w:spacing w:after="0" w:line="157" w:lineRule="exact"/>
        <w:rPr>
          <w:sz w:val="20"/>
          <w:szCs w:val="20"/>
          <w:color w:val="auto"/>
        </w:rPr>
      </w:pPr>
    </w:p>
    <w:p>
      <w:pPr>
        <w:ind w:firstLine="441"/>
        <w:spacing w:after="0" w:line="236" w:lineRule="auto"/>
        <w:rPr>
          <w:sz w:val="20"/>
          <w:szCs w:val="20"/>
          <w:color w:val="auto"/>
        </w:rPr>
      </w:pPr>
      <w:r>
        <w:rPr>
          <w:rFonts w:ascii="Arial" w:cs="Arial" w:eastAsia="Arial" w:hAnsi="Arial"/>
          <w:sz w:val="18"/>
          <w:szCs w:val="18"/>
          <w:color w:val="auto"/>
        </w:rPr>
        <w:t>Affiliates of certain of the underwriters are lenders under the senior secured credit facilities of our subsidiary Wynn America, LLC, and/or lenders under the senior secured credit facilities of our subsidiary Wynn Resorts (Macau) S.A., and/or expected to be lenders under the Bridge Facility, and could receive at least 5% of the net proceeds of this offering due to the repayment of the amounts to be borrowed under the Bridge Facility or certain of our other indebtedness with the proceeds of this offering. For additional information, see “Underwriting (Conflicts of Interest).”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0980"/>
          </w:cols>
          <w:pgMar w:left="440" w:top="269" w:right="47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CAPITALIZATION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our cash, cash equivalents and investment securities, and our capitalization, on a consolidated basis, as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77" w:lineRule="exact"/>
        <w:rPr>
          <w:sz w:val="20"/>
          <w:szCs w:val="20"/>
          <w:color w:val="auto"/>
        </w:rPr>
      </w:pPr>
    </w:p>
    <w:p>
      <w:pPr>
        <w:ind w:left="760" w:hanging="32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adjusted basis after giving effect to:</w:t>
      </w:r>
    </w:p>
    <w:p>
      <w:pPr>
        <w:spacing w:after="0" w:line="76" w:lineRule="exact"/>
        <w:rPr>
          <w:rFonts w:ascii="Arial" w:cs="Arial" w:eastAsia="Arial" w:hAnsi="Arial"/>
          <w:sz w:val="18"/>
          <w:szCs w:val="18"/>
          <w:color w:val="auto"/>
        </w:rPr>
      </w:pPr>
    </w:p>
    <w:p>
      <w:pPr>
        <w:ind w:left="1200" w:right="420" w:hanging="426"/>
        <w:spacing w:after="0" w:line="239" w:lineRule="auto"/>
        <w:tabs>
          <w:tab w:leader="none" w:pos="12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sale of the shares of Common Stock in this offering, including underwriting discounts and excluding estimated offering expenses payable by us;</w:t>
      </w:r>
    </w:p>
    <w:p>
      <w:pPr>
        <w:spacing w:after="0" w:line="73" w:lineRule="exact"/>
        <w:rPr>
          <w:rFonts w:ascii="Arial" w:cs="Arial" w:eastAsia="Arial" w:hAnsi="Arial"/>
          <w:sz w:val="18"/>
          <w:szCs w:val="18"/>
          <w:color w:val="auto"/>
        </w:rPr>
      </w:pPr>
    </w:p>
    <w:p>
      <w:pPr>
        <w:ind w:left="1200" w:right="340" w:hanging="426"/>
        <w:spacing w:after="0" w:line="239" w:lineRule="auto"/>
        <w:tabs>
          <w:tab w:leader="none" w:pos="12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anticipated borrowings under the Bridge Facility and its subsequent repayment from the use of proceeds from this offering, with the remaining net proceeds being used to repay certain other indebtedness;</w:t>
      </w:r>
    </w:p>
    <w:p>
      <w:pPr>
        <w:spacing w:after="0" w:line="73" w:lineRule="exact"/>
        <w:rPr>
          <w:rFonts w:ascii="Arial" w:cs="Arial" w:eastAsia="Arial" w:hAnsi="Arial"/>
          <w:sz w:val="18"/>
          <w:szCs w:val="18"/>
          <w:color w:val="auto"/>
        </w:rPr>
      </w:pPr>
    </w:p>
    <w:p>
      <w:pPr>
        <w:ind w:left="1200" w:hanging="426"/>
        <w:spacing w:after="0"/>
        <w:tabs>
          <w:tab w:leader="none" w:pos="12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anticipated borrowings under the senior revolving credit facility under the Wynn America Credit Facilities; and</w:t>
      </w:r>
    </w:p>
    <w:p>
      <w:pPr>
        <w:spacing w:after="0" w:line="76" w:lineRule="exact"/>
        <w:rPr>
          <w:rFonts w:ascii="Arial" w:cs="Arial" w:eastAsia="Arial" w:hAnsi="Arial"/>
          <w:sz w:val="18"/>
          <w:szCs w:val="18"/>
          <w:color w:val="auto"/>
        </w:rPr>
      </w:pPr>
    </w:p>
    <w:p>
      <w:pPr>
        <w:ind w:left="1200" w:hanging="426"/>
        <w:spacing w:after="0"/>
        <w:tabs>
          <w:tab w:leader="none" w:pos="12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use of proceeds therefrom as described above under “Use of Proceeds”.</w:t>
      </w:r>
    </w:p>
    <w:p>
      <w:pPr>
        <w:spacing w:after="0" w:line="158" w:lineRule="exact"/>
        <w:rPr>
          <w:sz w:val="20"/>
          <w:szCs w:val="20"/>
          <w:color w:val="auto"/>
        </w:rPr>
      </w:pPr>
    </w:p>
    <w:p>
      <w:pPr>
        <w:ind w:right="140" w:firstLine="441"/>
        <w:spacing w:after="0" w:line="299" w:lineRule="auto"/>
        <w:rPr>
          <w:sz w:val="20"/>
          <w:szCs w:val="20"/>
          <w:color w:val="auto"/>
        </w:rPr>
      </w:pPr>
      <w:r>
        <w:rPr>
          <w:rFonts w:ascii="Arial" w:cs="Arial" w:eastAsia="Arial" w:hAnsi="Arial"/>
          <w:sz w:val="16"/>
          <w:szCs w:val="16"/>
          <w:color w:val="auto"/>
        </w:rPr>
        <w:t>The following data in the table should be read in conjunction with “Management’s Discussion and Analysis of Financial Condition and Results of Operations” and the consolidated financial statements and notes thereto incorporated by reference in this prospectus supplement.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Actual</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Adjusted</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Cash, cash equivalents and investment securities(1)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3,131,929</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$ 1,897,729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Long-term debt and capital lease obligations, including current portion: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b w:val="1"/>
                <w:bCs w:val="1"/>
                <w:color w:val="auto"/>
              </w:rPr>
              <w:t>US and Corporate Related:</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Pr>
          <w:p>
            <w:pPr>
              <w:ind w:left="1280"/>
              <w:spacing w:after="0" w:line="202" w:lineRule="exact"/>
              <w:rPr>
                <w:sz w:val="20"/>
                <w:szCs w:val="20"/>
                <w:color w:val="auto"/>
              </w:rPr>
            </w:pPr>
            <w:r>
              <w:rPr>
                <w:rFonts w:ascii="Arial" w:cs="Arial" w:eastAsia="Arial" w:hAnsi="Arial"/>
                <w:sz w:val="18"/>
                <w:szCs w:val="18"/>
                <w:color w:val="auto"/>
              </w:rPr>
              <w:t>Wynn America Credit Facilities(2)</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CCEEFF"/>
          </w:tcPr>
          <w:p>
            <w:pPr>
              <w:ind w:left="1720"/>
              <w:spacing w:after="0" w:line="202" w:lineRule="exact"/>
              <w:rPr>
                <w:sz w:val="20"/>
                <w:szCs w:val="20"/>
                <w:color w:val="auto"/>
              </w:rPr>
            </w:pPr>
            <w:r>
              <w:rPr>
                <w:rFonts w:ascii="Arial" w:cs="Arial" w:eastAsia="Arial" w:hAnsi="Arial"/>
                <w:sz w:val="18"/>
                <w:szCs w:val="18"/>
                <w:color w:val="auto"/>
              </w:rPr>
              <w:t>Senior Term Loan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$ 1,000,000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Pr>
          <w:p>
            <w:pPr>
              <w:ind w:left="1720"/>
              <w:spacing w:after="0" w:line="202" w:lineRule="exact"/>
              <w:rPr>
                <w:sz w:val="20"/>
                <w:szCs w:val="20"/>
                <w:color w:val="auto"/>
              </w:rPr>
            </w:pPr>
            <w:r>
              <w:rPr>
                <w:rFonts w:ascii="Arial" w:cs="Arial" w:eastAsia="Arial" w:hAnsi="Arial"/>
                <w:sz w:val="18"/>
                <w:szCs w:val="18"/>
                <w:color w:val="auto"/>
              </w:rPr>
              <w:t>Senior Revolving Credit Facility(3)</w:t>
            </w:r>
          </w:p>
        </w:tc>
        <w:tc>
          <w:tcPr>
            <w:tcW w:w="12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CCEEFF"/>
          </w:tcPr>
          <w:p>
            <w:pPr>
              <w:ind w:left="1280"/>
              <w:spacing w:after="0" w:line="202" w:lineRule="exact"/>
              <w:rPr>
                <w:sz w:val="20"/>
                <w:szCs w:val="20"/>
                <w:color w:val="auto"/>
              </w:rPr>
            </w:pPr>
            <w:r>
              <w:rPr>
                <w:rFonts w:ascii="Arial" w:cs="Arial" w:eastAsia="Arial" w:hAnsi="Arial"/>
                <w:sz w:val="18"/>
                <w:szCs w:val="18"/>
                <w:color w:val="auto"/>
              </w:rPr>
              <w:t>4.25% Senior Notes due 2023 of Wynn Las Vegas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Pr>
          <w:p>
            <w:pPr>
              <w:ind w:left="1280"/>
              <w:spacing w:after="0" w:line="202" w:lineRule="exact"/>
              <w:rPr>
                <w:sz w:val="20"/>
                <w:szCs w:val="20"/>
                <w:color w:val="auto"/>
              </w:rPr>
            </w:pPr>
            <w:r>
              <w:rPr>
                <w:rFonts w:ascii="Arial" w:cs="Arial" w:eastAsia="Arial" w:hAnsi="Arial"/>
                <w:sz w:val="18"/>
                <w:szCs w:val="18"/>
                <w:color w:val="auto"/>
              </w:rPr>
              <w:t>5.50% Senior Notes due 2025 of Wynn Las Vegas</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1,800,000</w:t>
            </w:r>
          </w:p>
        </w:tc>
        <w:tc>
          <w:tcPr>
            <w:tcW w:w="24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CCEEFF"/>
          </w:tcPr>
          <w:p>
            <w:pPr>
              <w:ind w:left="1280"/>
              <w:spacing w:after="0" w:line="202" w:lineRule="exact"/>
              <w:rPr>
                <w:sz w:val="20"/>
                <w:szCs w:val="20"/>
                <w:color w:val="auto"/>
              </w:rPr>
            </w:pPr>
            <w:r>
              <w:rPr>
                <w:rFonts w:ascii="Arial" w:cs="Arial" w:eastAsia="Arial" w:hAnsi="Arial"/>
                <w:sz w:val="18"/>
                <w:szCs w:val="18"/>
                <w:color w:val="auto"/>
              </w:rPr>
              <w:t>5.25% Senior Notes due 2027 of Wynn Las Vegas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900,000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Pr>
          <w:p>
            <w:pPr>
              <w:ind w:left="1280"/>
              <w:spacing w:after="0" w:line="202" w:lineRule="exact"/>
              <w:rPr>
                <w:sz w:val="20"/>
                <w:szCs w:val="20"/>
                <w:color w:val="auto"/>
              </w:rPr>
            </w:pPr>
            <w:r>
              <w:rPr>
                <w:rFonts w:ascii="Arial" w:cs="Arial" w:eastAsia="Arial" w:hAnsi="Arial"/>
                <w:sz w:val="18"/>
                <w:szCs w:val="18"/>
                <w:color w:val="auto"/>
              </w:rPr>
              <w:t>Capital lease obligations</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16,516</w:t>
            </w:r>
          </w:p>
        </w:tc>
        <w:tc>
          <w:tcPr>
            <w:tcW w:w="24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16,516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CCEEFF"/>
          </w:tcPr>
          <w:p>
            <w:pPr>
              <w:ind w:left="1280"/>
              <w:spacing w:after="0" w:line="202" w:lineRule="exact"/>
              <w:rPr>
                <w:sz w:val="20"/>
                <w:szCs w:val="20"/>
                <w:color w:val="auto"/>
              </w:rPr>
            </w:pPr>
            <w:r>
              <w:rPr>
                <w:rFonts w:ascii="Arial" w:cs="Arial" w:eastAsia="Arial" w:hAnsi="Arial"/>
                <w:sz w:val="18"/>
                <w:szCs w:val="18"/>
                <w:color w:val="auto"/>
              </w:rPr>
              <w:t>Redemption Note</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1,936,443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Pr>
          <w:p>
            <w:pPr>
              <w:ind w:left="420"/>
              <w:spacing w:after="0" w:line="202" w:lineRule="exact"/>
              <w:rPr>
                <w:sz w:val="20"/>
                <w:szCs w:val="20"/>
                <w:color w:val="auto"/>
              </w:rPr>
            </w:pPr>
            <w:r>
              <w:rPr>
                <w:rFonts w:ascii="Arial" w:cs="Arial" w:eastAsia="Arial" w:hAnsi="Arial"/>
                <w:sz w:val="18"/>
                <w:szCs w:val="18"/>
                <w:b w:val="1"/>
                <w:bCs w:val="1"/>
                <w:color w:val="auto"/>
              </w:rPr>
              <w:t>Macau Related:</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CCEEFF"/>
          </w:tcPr>
          <w:p>
            <w:pPr>
              <w:ind w:left="1280"/>
              <w:spacing w:after="0" w:line="202" w:lineRule="exact"/>
              <w:rPr>
                <w:sz w:val="20"/>
                <w:szCs w:val="20"/>
                <w:color w:val="auto"/>
              </w:rPr>
            </w:pPr>
            <w:r>
              <w:rPr>
                <w:rFonts w:ascii="Arial" w:cs="Arial" w:eastAsia="Arial" w:hAnsi="Arial"/>
                <w:sz w:val="18"/>
                <w:szCs w:val="18"/>
                <w:color w:val="auto"/>
              </w:rPr>
              <w:t>Wynn Macau Credit Facilities(4)</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Pr>
          <w:p>
            <w:pPr>
              <w:ind w:left="1720"/>
              <w:spacing w:after="0" w:line="202" w:lineRule="exact"/>
              <w:rPr>
                <w:sz w:val="20"/>
                <w:szCs w:val="20"/>
                <w:color w:val="auto"/>
              </w:rPr>
            </w:pPr>
            <w:r>
              <w:rPr>
                <w:rFonts w:ascii="Arial" w:cs="Arial" w:eastAsia="Arial" w:hAnsi="Arial"/>
                <w:sz w:val="18"/>
                <w:szCs w:val="18"/>
                <w:color w:val="auto"/>
              </w:rPr>
              <w:t>Senior Term Loan Facility</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2,298,798</w:t>
            </w:r>
          </w:p>
        </w:tc>
        <w:tc>
          <w:tcPr>
            <w:tcW w:w="24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2,298,798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CCEEFF"/>
          </w:tcPr>
          <w:p>
            <w:pPr>
              <w:ind w:left="1720"/>
              <w:spacing w:after="0" w:line="202" w:lineRule="exact"/>
              <w:rPr>
                <w:sz w:val="20"/>
                <w:szCs w:val="20"/>
                <w:color w:val="auto"/>
              </w:rPr>
            </w:pPr>
            <w:r>
              <w:rPr>
                <w:rFonts w:ascii="Arial" w:cs="Arial" w:eastAsia="Arial" w:hAnsi="Arial"/>
                <w:sz w:val="18"/>
                <w:szCs w:val="18"/>
                <w:color w:val="auto"/>
              </w:rPr>
              <w:t>Senior Revolving Credit Facility</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Pr>
          <w:p>
            <w:pPr>
              <w:ind w:left="1280"/>
              <w:spacing w:after="0" w:line="202" w:lineRule="exact"/>
              <w:rPr>
                <w:sz w:val="20"/>
                <w:szCs w:val="20"/>
                <w:color w:val="auto"/>
              </w:rPr>
            </w:pPr>
            <w:r>
              <w:rPr>
                <w:rFonts w:ascii="Arial" w:cs="Arial" w:eastAsia="Arial" w:hAnsi="Arial"/>
                <w:sz w:val="18"/>
                <w:szCs w:val="18"/>
                <w:color w:val="auto"/>
              </w:rPr>
              <w:t>4.875% Senior Notes due 2024 of Wynn Macau</w:t>
            </w:r>
          </w:p>
        </w:tc>
        <w:tc>
          <w:tcPr>
            <w:tcW w:w="1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24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CCEEFF"/>
          </w:tcPr>
          <w:p>
            <w:pPr>
              <w:ind w:left="1280"/>
              <w:spacing w:after="0" w:line="202" w:lineRule="exact"/>
              <w:rPr>
                <w:sz w:val="20"/>
                <w:szCs w:val="20"/>
                <w:color w:val="auto"/>
              </w:rPr>
            </w:pPr>
            <w:r>
              <w:rPr>
                <w:rFonts w:ascii="Arial" w:cs="Arial" w:eastAsia="Arial" w:hAnsi="Arial"/>
                <w:sz w:val="18"/>
                <w:szCs w:val="18"/>
                <w:color w:val="auto"/>
              </w:rPr>
              <w:t>5.50% Senior Notes due 2027 of Wynn Macau</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750,000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Pr>
          <w:p>
            <w:pPr>
              <w:ind w:left="1280"/>
              <w:spacing w:after="0" w:line="202" w:lineRule="exact"/>
              <w:rPr>
                <w:sz w:val="20"/>
                <w:szCs w:val="20"/>
                <w:color w:val="auto"/>
              </w:rPr>
            </w:pPr>
            <w:r>
              <w:rPr>
                <w:rFonts w:ascii="Arial" w:cs="Arial" w:eastAsia="Arial" w:hAnsi="Arial"/>
                <w:sz w:val="18"/>
                <w:szCs w:val="18"/>
                <w:color w:val="auto"/>
              </w:rPr>
              <w:t>WML Finance Credit Facility(5)</w:t>
            </w:r>
          </w:p>
        </w:tc>
        <w:tc>
          <w:tcPr>
            <w:tcW w:w="12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Less: Unamortized debt issuance costs and original issue discounts and premium, net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(99,231)</w:t>
            </w:r>
          </w:p>
        </w:tc>
        <w:tc>
          <w:tcPr>
            <w:tcW w:w="12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Pr>
          <w:p>
            <w:pPr>
              <w:ind w:left="420"/>
              <w:spacing w:after="0" w:line="202" w:lineRule="exact"/>
              <w:rPr>
                <w:sz w:val="20"/>
                <w:szCs w:val="20"/>
                <w:color w:val="auto"/>
              </w:rPr>
            </w:pPr>
            <w:r>
              <w:rPr>
                <w:rFonts w:ascii="Arial" w:cs="Arial" w:eastAsia="Arial" w:hAnsi="Arial"/>
                <w:sz w:val="18"/>
                <w:szCs w:val="18"/>
                <w:color w:val="auto"/>
              </w:rPr>
              <w:t>Less: Redemption Note fair value adjustment</w:t>
            </w:r>
          </w:p>
        </w:tc>
        <w:tc>
          <w:tcPr>
            <w:tcW w:w="120" w:type="dxa"/>
            <w:vAlign w:val="bottom"/>
          </w:tcPr>
          <w:p>
            <w:pPr>
              <w:spacing w:after="0"/>
              <w:rPr>
                <w:sz w:val="17"/>
                <w:szCs w:val="17"/>
                <w:color w:val="auto"/>
              </w:rPr>
            </w:pP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(57,384)</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long-term debt and capital lease obligations, including current portion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9,645,142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$ 8,016,083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stockholders’ equity attributable to Wynn Resorts, Limited(6)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947,846</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$ 1,342,705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ind w:left="420"/>
              <w:spacing w:after="0" w:line="202" w:lineRule="exact"/>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130,504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130,504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1,078,350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$ 1,473,209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capitalization:</w:t>
            </w: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10,723,492</w:t>
            </w: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$ 9,489,292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6946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1" w:lineRule="exact"/>
        <w:rPr>
          <w:sz w:val="20"/>
          <w:szCs w:val="20"/>
          <w:color w:val="auto"/>
        </w:rPr>
      </w:pPr>
    </w:p>
    <w:p>
      <w:pPr>
        <w:ind w:left="440" w:hanging="436"/>
        <w:spacing w:after="0"/>
        <w:tabs>
          <w:tab w:leader="none" w:pos="4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February 28, 2018, we had cash, cash equivalents and investment securities of approximately $2.89 billion.</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40"/>
          </w:cols>
          <w:pgMar w:left="440" w:top="269" w:right="419" w:bottom="1440" w:gutter="0" w:footer="0" w:header="0"/>
        </w:sectPr>
      </w:pPr>
    </w:p>
    <w:bookmarkStart w:id="20" w:name="page21"/>
    <w:bookmarkEnd w:id="20"/>
    <w:p>
      <w:pPr>
        <w:ind w:left="436" w:hanging="436"/>
        <w:spacing w:after="0" w:line="221" w:lineRule="auto"/>
        <w:tabs>
          <w:tab w:leader="none" w:pos="436" w:val="left"/>
        </w:tabs>
        <w:numPr>
          <w:ilvl w:val="0"/>
          <w:numId w:val="1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U.S. credit facilities consist of an $875 million fully funded senior secured term loan facility (the “WA Senior Term Loan Facility I”), a $125 million fully funded senior term loan facility (the “WA Senior Term Loan Facility II”) and a $375 million senior secured revolving credit facility (the “WA Senior Revolving Credit Facility,” and collectively, the “Wynn America Credit Facilities”), under which Wynn America, an indirect wholly owned subsidiary of the Company, is the borrower.</w:t>
      </w:r>
    </w:p>
    <w:p>
      <w:pPr>
        <w:ind w:left="436" w:right="100" w:hanging="436"/>
        <w:spacing w:after="0" w:line="221" w:lineRule="auto"/>
        <w:tabs>
          <w:tab w:leader="none" w:pos="4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of February 28, 2018, we had borrowing capacity of approximately $357 million, net of outstanding letters of credit, under the WA Senior Revolving Credit Facility and intend to borrow approximately $250.0 million thereunder to make payments pursuant to the Settlement Agreement.</w:t>
      </w:r>
    </w:p>
    <w:p>
      <w:pPr>
        <w:ind w:left="436" w:right="140" w:hanging="436"/>
        <w:spacing w:after="0" w:line="258" w:lineRule="auto"/>
        <w:tabs>
          <w:tab w:leader="none" w:pos="436"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Macau credit facilities include a $2.30 billion equivalent fully funded senior secured term loan facility (the “Wynn Macau Senior Term Loan Facility”) and a $750 million equivalent senior secured revolving credit facility (the “Wynn Macau Senior Revolving Credit Facility,” and together with the Wynn Macau Senior Term Loan Facility, the “Wynn Macau Credit Facilities”). The borrower is Wynn Macau SA, an indirect wholly owned subsidiary of WML, and borrowings consist of both United States dollar and Hong Kong dollar tranches. Wynn Macau SA has the ability to upsize the Wynn Macau Credit Facilities by an additional $1 billion in equivalent senior secured loans upon its satisfaction of various conditions. As of February 28, 2018, we had borrowing capacity of approximately $748 million under the Wynn Macau Senior Revolving Credit Facility.</w:t>
      </w:r>
    </w:p>
    <w:p>
      <w:pPr>
        <w:spacing w:after="0" w:line="1" w:lineRule="exact"/>
        <w:rPr>
          <w:rFonts w:ascii="Arial" w:cs="Arial" w:eastAsia="Arial" w:hAnsi="Arial"/>
          <w:sz w:val="12"/>
          <w:szCs w:val="12"/>
          <w:color w:val="auto"/>
        </w:rPr>
      </w:pPr>
    </w:p>
    <w:p>
      <w:pPr>
        <w:ind w:left="436" w:right="100" w:hanging="436"/>
        <w:spacing w:after="0" w:line="221" w:lineRule="auto"/>
        <w:tabs>
          <w:tab w:leader="none" w:pos="4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Macau credit facilities include a HK$3.87 billion (approximately $495.2 million) cash-collateralized revolving credit facility (“WML Finance Credit Facility”) under which WML Finance I, Limited, an indirect wholly owned subsidiary of WML, is the borrower.</w:t>
      </w:r>
    </w:p>
    <w:p>
      <w:pPr>
        <w:ind w:left="436" w:right="100" w:hanging="436"/>
        <w:spacing w:after="0" w:line="231" w:lineRule="auto"/>
        <w:tabs>
          <w:tab w:leader="none" w:pos="4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change in total stockholders’ equity attributable to Wynn Resorts, Limited includes the estimated expense related to payments made pursuant to the Settlement Agreement of $520.9 million.</w:t>
      </w:r>
    </w:p>
    <w:p>
      <w:pPr>
        <w:spacing w:after="0" w:line="140"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0996"/>
          </w:cols>
          <w:pgMar w:left="444" w:top="287" w:right="45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PRICE RANGE OF OUR COMMON STOCK</w:t>
      </w:r>
    </w:p>
    <w:p>
      <w:pPr>
        <w:spacing w:after="0" w:line="180" w:lineRule="exact"/>
        <w:rPr>
          <w:sz w:val="20"/>
          <w:szCs w:val="20"/>
          <w:color w:val="auto"/>
        </w:rPr>
      </w:pPr>
    </w:p>
    <w:p>
      <w:pPr>
        <w:ind w:right="200" w:firstLine="441"/>
        <w:spacing w:after="0" w:line="239" w:lineRule="auto"/>
        <w:rPr>
          <w:sz w:val="20"/>
          <w:szCs w:val="20"/>
          <w:color w:val="auto"/>
        </w:rPr>
      </w:pPr>
      <w:r>
        <w:rPr>
          <w:rFonts w:ascii="Arial" w:cs="Arial" w:eastAsia="Arial" w:hAnsi="Arial"/>
          <w:sz w:val="18"/>
          <w:szCs w:val="18"/>
          <w:color w:val="auto"/>
        </w:rPr>
        <w:t>Our Common Stock trades on the Nasdaq Global Select Market under the symbol “WYNN.” The following table sets forth the high and low sale prices for the indicated periods, as reported by the Nasdaq Global Select Market.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r>
      <w:tr>
        <w:trPr>
          <w:trHeight w:val="183"/>
        </w:trPr>
        <w:tc>
          <w:tcPr>
            <w:tcW w:w="20" w:type="dxa"/>
            <w:vAlign w:val="bottom"/>
          </w:tcPr>
          <w:p>
            <w:pPr>
              <w:spacing w:after="0"/>
              <w:rPr>
                <w:sz w:val="15"/>
                <w:szCs w:val="15"/>
                <w:color w:val="auto"/>
              </w:rPr>
            </w:pPr>
          </w:p>
        </w:tc>
        <w:tc>
          <w:tcPr>
            <w:tcW w:w="6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2018</w:t>
            </w:r>
          </w:p>
        </w:tc>
        <w:tc>
          <w:tcPr>
            <w:tcW w:w="29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420"/>
              <w:spacing w:after="0" w:line="202" w:lineRule="exact"/>
              <w:rPr>
                <w:sz w:val="20"/>
                <w:szCs w:val="20"/>
                <w:color w:val="auto"/>
              </w:rPr>
            </w:pPr>
            <w:r>
              <w:rPr>
                <w:rFonts w:ascii="Arial" w:cs="Arial" w:eastAsia="Arial" w:hAnsi="Arial"/>
                <w:sz w:val="18"/>
                <w:szCs w:val="18"/>
                <w:color w:val="auto"/>
              </w:rPr>
              <w:t>First Quarter (through March 22, 2018)</w:t>
            </w:r>
          </w:p>
        </w:tc>
        <w:tc>
          <w:tcPr>
            <w:tcW w:w="3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4"/>
              </w:rPr>
              <w:t>203.63</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156.54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2017</w:t>
            </w:r>
          </w:p>
        </w:tc>
        <w:tc>
          <w:tcPr>
            <w:tcW w:w="2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420"/>
              <w:spacing w:after="0" w:line="202" w:lineRule="exact"/>
              <w:rPr>
                <w:sz w:val="20"/>
                <w:szCs w:val="20"/>
                <w:color w:val="auto"/>
              </w:rPr>
            </w:pPr>
            <w:r>
              <w:rPr>
                <w:rFonts w:ascii="Arial" w:cs="Arial" w:eastAsia="Arial" w:hAnsi="Arial"/>
                <w:sz w:val="18"/>
                <w:szCs w:val="18"/>
                <w:color w:val="auto"/>
              </w:rPr>
              <w:t>First Quarter</w:t>
            </w:r>
          </w:p>
        </w:tc>
        <w:tc>
          <w:tcPr>
            <w:tcW w:w="3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4"/>
              </w:rPr>
              <w:t>116.19</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86.20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Second Quarter</w:t>
            </w:r>
          </w:p>
        </w:tc>
        <w:tc>
          <w:tcPr>
            <w:tcW w:w="3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139.67</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112.91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420"/>
              <w:spacing w:after="0" w:line="202" w:lineRule="exact"/>
              <w:rPr>
                <w:sz w:val="20"/>
                <w:szCs w:val="20"/>
                <w:color w:val="auto"/>
              </w:rPr>
            </w:pPr>
            <w:r>
              <w:rPr>
                <w:rFonts w:ascii="Arial" w:cs="Arial" w:eastAsia="Arial" w:hAnsi="Arial"/>
                <w:sz w:val="18"/>
                <w:szCs w:val="18"/>
                <w:color w:val="auto"/>
              </w:rPr>
              <w:t>Third Quarter</w:t>
            </w:r>
          </w:p>
        </w:tc>
        <w:tc>
          <w:tcPr>
            <w:tcW w:w="3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4"/>
              </w:rPr>
              <w:t>150.15</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124.11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Fourth Quarter</w:t>
            </w:r>
          </w:p>
        </w:tc>
        <w:tc>
          <w:tcPr>
            <w:tcW w:w="3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171.06</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139.20</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60" w:type="dxa"/>
            <w:vAlign w:val="bottom"/>
          </w:tcPr>
          <w:p>
            <w:pPr>
              <w:spacing w:after="0" w:line="202" w:lineRule="exact"/>
              <w:rPr>
                <w:sz w:val="20"/>
                <w:szCs w:val="20"/>
                <w:color w:val="auto"/>
              </w:rPr>
            </w:pPr>
            <w:r>
              <w:rPr>
                <w:rFonts w:ascii="Arial" w:cs="Arial" w:eastAsia="Arial" w:hAnsi="Arial"/>
                <w:sz w:val="18"/>
                <w:szCs w:val="18"/>
                <w:b w:val="1"/>
                <w:bCs w:val="1"/>
                <w:color w:val="auto"/>
              </w:rPr>
              <w:t>2016</w:t>
            </w: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First Quarter</w:t>
            </w:r>
          </w:p>
        </w:tc>
        <w:tc>
          <w:tcPr>
            <w:tcW w:w="3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96.60</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49.95</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420"/>
              <w:spacing w:after="0" w:line="202" w:lineRule="exact"/>
              <w:rPr>
                <w:sz w:val="20"/>
                <w:szCs w:val="20"/>
                <w:color w:val="auto"/>
              </w:rPr>
            </w:pPr>
            <w:r>
              <w:rPr>
                <w:rFonts w:ascii="Arial" w:cs="Arial" w:eastAsia="Arial" w:hAnsi="Arial"/>
                <w:sz w:val="18"/>
                <w:szCs w:val="18"/>
                <w:color w:val="auto"/>
              </w:rPr>
              <w:t>Second Quarter</w:t>
            </w:r>
          </w:p>
        </w:tc>
        <w:tc>
          <w:tcPr>
            <w:tcW w:w="3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4"/>
              </w:rPr>
              <w:t>105.69</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85.72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Third Quarter</w:t>
            </w:r>
          </w:p>
        </w:tc>
        <w:tc>
          <w:tcPr>
            <w:tcW w:w="3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109.50</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87.26</w:t>
            </w:r>
          </w:p>
        </w:tc>
        <w:tc>
          <w:tcPr>
            <w:tcW w:w="6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104.90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82.51</w:t>
            </w:r>
          </w:p>
        </w:tc>
        <w:tc>
          <w:tcPr>
            <w:tcW w:w="60" w:type="dxa"/>
            <w:vAlign w:val="bottom"/>
          </w:tcPr>
          <w:p>
            <w:pPr>
              <w:spacing w:after="0"/>
              <w:rPr>
                <w:sz w:val="18"/>
                <w:szCs w:val="18"/>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approximately 164 holders of record of our Common Stock as of March 22, 2018.</w:t>
      </w: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180" w:lineRule="exact"/>
        <w:rPr>
          <w:sz w:val="20"/>
          <w:szCs w:val="20"/>
          <w:color w:val="auto"/>
        </w:rPr>
      </w:pPr>
    </w:p>
    <w:p>
      <w:pPr>
        <w:ind w:right="240" w:firstLine="441"/>
        <w:spacing w:after="0" w:line="236" w:lineRule="auto"/>
        <w:rPr>
          <w:sz w:val="20"/>
          <w:szCs w:val="20"/>
          <w:color w:val="auto"/>
        </w:rPr>
      </w:pPr>
      <w:r>
        <w:rPr>
          <w:rFonts w:ascii="Arial" w:cs="Arial" w:eastAsia="Arial" w:hAnsi="Arial"/>
          <w:sz w:val="18"/>
          <w:szCs w:val="18"/>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certain key subsidiaries, including Wynn America and Wynn Macau SA, from making dividends or distributions to Wynn Resorts. These restrictions are subject to certain exceptions for affiliated overhead expenses as defined in the agreements governing the debt instruments, unless certain financial and non-financial criteria have been satisfied.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each quarter of 2017 and 2016, we paid a cash dividend of $0.50 per share, for annual cash dividends of $2.00 per share.</w:t>
      </w:r>
    </w:p>
    <w:p>
      <w:pPr>
        <w:spacing w:after="0" w:line="158" w:lineRule="exact"/>
        <w:rPr>
          <w:sz w:val="20"/>
          <w:szCs w:val="20"/>
          <w:color w:val="auto"/>
        </w:rPr>
      </w:pPr>
    </w:p>
    <w:p>
      <w:pPr>
        <w:ind w:right="80" w:firstLine="441"/>
        <w:spacing w:after="0" w:line="239" w:lineRule="auto"/>
        <w:rPr>
          <w:sz w:val="20"/>
          <w:szCs w:val="20"/>
          <w:color w:val="auto"/>
        </w:rPr>
      </w:pPr>
      <w:r>
        <w:rPr>
          <w:rFonts w:ascii="Arial" w:cs="Arial" w:eastAsia="Arial" w:hAnsi="Arial"/>
          <w:sz w:val="18"/>
          <w:szCs w:val="18"/>
          <w:color w:val="auto"/>
        </w:rPr>
        <w:t>On January 22, 2018, we announced a cash dividend of $0.50 per share, payable on February 27, 2018, to stockholders of record as of February 15, 2018.</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March 7, 2018, we announced an increase to our cash dividend to $0.75 per share per quarter.</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Board of Directors will continue to periodically assess the level and appropriateness of any cash dividends.</w:t>
      </w:r>
    </w:p>
    <w:p>
      <w:pPr>
        <w:spacing w:after="0" w:line="14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040"/>
          </w:cols>
          <w:pgMar w:left="440" w:top="269" w:right="419" w:bottom="1440" w:gutter="0" w:footer="0" w:header="0"/>
        </w:sectPr>
      </w:pPr>
    </w:p>
    <w:bookmarkStart w:id="22" w:name="page23"/>
    <w:bookmarkEnd w:id="2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DESCRIPTION OF OUR CAPITAL STOCK</w:t>
      </w:r>
    </w:p>
    <w:p>
      <w:pPr>
        <w:spacing w:after="0" w:line="180"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You should consider the description of our capital stock as set forth in our Current Report on Form 8-A filed with the SEC on October 7,</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2002.</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0900"/>
          </w:cols>
          <w:pgMar w:left="440" w:top="269" w:right="5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U.S. FEDERAL INCOME TAX CONSEQUENCES TO NON-U.S. HOLDERS</w:t>
      </w:r>
    </w:p>
    <w:p>
      <w:pPr>
        <w:spacing w:after="0" w:line="99" w:lineRule="exact"/>
        <w:rPr>
          <w:sz w:val="20"/>
          <w:szCs w:val="20"/>
          <w:color w:val="auto"/>
        </w:rPr>
      </w:pPr>
    </w:p>
    <w:p>
      <w:pPr>
        <w:ind w:firstLine="441"/>
        <w:spacing w:after="0" w:line="236"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U.S. federal income tax effects. The effects of other U.S. federal tax laws, such as estate and gift tax laws, and any applicable state, local or non-U.S. tax laws are not discussed. Non-U.S. Holders should consult their tax advisors about the potential significant estate tax consequences with respect to investment in our Common Stock.</w:t>
      </w:r>
    </w:p>
    <w:p>
      <w:pPr>
        <w:spacing w:after="0" w:line="157" w:lineRule="exact"/>
        <w:rPr>
          <w:sz w:val="20"/>
          <w:szCs w:val="20"/>
          <w:color w:val="auto"/>
        </w:rPr>
      </w:pPr>
    </w:p>
    <w:p>
      <w:pPr>
        <w:ind w:right="40" w:firstLine="441"/>
        <w:spacing w:after="0" w:line="271" w:lineRule="auto"/>
        <w:rPr>
          <w:sz w:val="20"/>
          <w:szCs w:val="20"/>
          <w:color w:val="auto"/>
        </w:rPr>
      </w:pPr>
      <w:r>
        <w:rPr>
          <w:rFonts w:ascii="Arial" w:cs="Arial" w:eastAsia="Arial" w:hAnsi="Arial"/>
          <w:sz w:val="16"/>
          <w:szCs w:val="16"/>
          <w:color w:val="auto"/>
        </w:rPr>
        <w:t>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31" w:lineRule="exact"/>
        <w:rPr>
          <w:sz w:val="20"/>
          <w:szCs w:val="20"/>
          <w:color w:val="auto"/>
        </w:rPr>
      </w:pPr>
    </w:p>
    <w:p>
      <w:pPr>
        <w:ind w:right="180" w:firstLine="441"/>
        <w:spacing w:after="0" w:line="275" w:lineRule="auto"/>
        <w:rPr>
          <w:sz w:val="20"/>
          <w:szCs w:val="20"/>
          <w:color w:val="auto"/>
        </w:rPr>
      </w:pPr>
      <w:r>
        <w:rPr>
          <w:rFonts w:ascii="Arial" w:cs="Arial" w:eastAsia="Arial" w:hAnsi="Arial"/>
          <w:sz w:val="16"/>
          <w:szCs w:val="16"/>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48" w:lineRule="exact"/>
        <w:rPr>
          <w:sz w:val="20"/>
          <w:szCs w:val="20"/>
          <w:color w:val="auto"/>
        </w:rPr>
      </w:pPr>
    </w:p>
    <w:p>
      <w:pPr>
        <w:ind w:left="760" w:hanging="32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76" w:lineRule="exact"/>
        <w:rPr>
          <w:rFonts w:ascii="Arial" w:cs="Arial" w:eastAsia="Arial" w:hAnsi="Arial"/>
          <w:sz w:val="18"/>
          <w:szCs w:val="18"/>
          <w:color w:val="auto"/>
        </w:rPr>
      </w:pPr>
    </w:p>
    <w:p>
      <w:pPr>
        <w:ind w:left="760" w:right="840" w:hanging="324"/>
        <w:spacing w:after="0" w:line="239"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73" w:lineRule="exact"/>
        <w:rPr>
          <w:rFonts w:ascii="Arial" w:cs="Arial" w:eastAsia="Arial" w:hAnsi="Arial"/>
          <w:sz w:val="18"/>
          <w:szCs w:val="18"/>
          <w:color w:val="auto"/>
        </w:rPr>
      </w:pPr>
    </w:p>
    <w:p>
      <w:pPr>
        <w:ind w:left="760" w:hanging="32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76" w:lineRule="exact"/>
        <w:rPr>
          <w:rFonts w:ascii="Arial" w:cs="Arial" w:eastAsia="Arial" w:hAnsi="Arial"/>
          <w:sz w:val="18"/>
          <w:szCs w:val="18"/>
          <w:color w:val="auto"/>
        </w:rPr>
      </w:pPr>
    </w:p>
    <w:p>
      <w:pPr>
        <w:ind w:left="760" w:right="120" w:hanging="324"/>
        <w:spacing w:after="0" w:line="239"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3" w:lineRule="exact"/>
        <w:rPr>
          <w:rFonts w:ascii="Arial" w:cs="Arial" w:eastAsia="Arial" w:hAnsi="Arial"/>
          <w:sz w:val="18"/>
          <w:szCs w:val="18"/>
          <w:color w:val="auto"/>
        </w:rPr>
      </w:pPr>
    </w:p>
    <w:p>
      <w:pPr>
        <w:ind w:left="760" w:hanging="32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entities or arrangements treated as partnerships for U.S. federal income tax purposes (and investors therein);</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tax-exempt entities or governmental organizations;</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76" w:lineRule="exact"/>
        <w:rPr>
          <w:rFonts w:ascii="Arial" w:cs="Arial" w:eastAsia="Arial" w:hAnsi="Arial"/>
          <w:sz w:val="18"/>
          <w:szCs w:val="18"/>
          <w:color w:val="auto"/>
        </w:rPr>
      </w:pPr>
    </w:p>
    <w:p>
      <w:pPr>
        <w:ind w:left="760" w:right="1020" w:hanging="324"/>
        <w:spacing w:after="0" w:line="239"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73" w:lineRule="exact"/>
        <w:rPr>
          <w:rFonts w:ascii="Arial" w:cs="Arial" w:eastAsia="Arial" w:hAnsi="Arial"/>
          <w:sz w:val="18"/>
          <w:szCs w:val="18"/>
          <w:color w:val="auto"/>
        </w:rPr>
      </w:pPr>
    </w:p>
    <w:p>
      <w:pPr>
        <w:ind w:left="760" w:right="520" w:hanging="324"/>
        <w:spacing w:after="0" w:line="239"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subject to special U.S. federal income tax accounting rules as a result of any item of gross income with respect to the Common Stock being taken into account in an applicable financial statement;</w:t>
      </w:r>
    </w:p>
    <w:p>
      <w:pPr>
        <w:spacing w:after="0" w:line="73" w:lineRule="exact"/>
        <w:rPr>
          <w:rFonts w:ascii="Arial" w:cs="Arial" w:eastAsia="Arial" w:hAnsi="Arial"/>
          <w:sz w:val="18"/>
          <w:szCs w:val="18"/>
          <w:color w:val="auto"/>
        </w:rPr>
      </w:pPr>
    </w:p>
    <w:p>
      <w:pPr>
        <w:ind w:left="760" w:hanging="32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76" w:lineRule="exact"/>
        <w:rPr>
          <w:rFonts w:ascii="Arial" w:cs="Arial" w:eastAsia="Arial" w:hAnsi="Arial"/>
          <w:sz w:val="18"/>
          <w:szCs w:val="18"/>
          <w:color w:val="auto"/>
        </w:rPr>
      </w:pPr>
    </w:p>
    <w:p>
      <w:pPr>
        <w:ind w:left="760" w:right="440" w:hanging="324"/>
        <w:spacing w:after="0" w:line="239"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020"/>
          </w:cols>
          <w:pgMar w:left="440" w:top="269" w:right="439" w:bottom="1440" w:gutter="0" w:footer="0" w:header="0"/>
        </w:sectPr>
      </w:pPr>
    </w:p>
    <w:bookmarkStart w:id="24" w:name="page25"/>
    <w:bookmarkEnd w:id="24"/>
    <w:p>
      <w:pPr>
        <w:ind w:right="100" w:firstLine="441"/>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33"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OTHER U.S. FEDERAL TAX LAWS) OR UNDER THE LAWS OF ANY STATE, LOCAL OR NON-U.S. TAXING JURISDICTION OR UNDER ANY APPLICABLE INCOME TAX TREATY.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99"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73" w:lineRule="exact"/>
        <w:rPr>
          <w:sz w:val="20"/>
          <w:szCs w:val="20"/>
          <w:color w:val="auto"/>
        </w:rPr>
      </w:pPr>
    </w:p>
    <w:p>
      <w:pPr>
        <w:ind w:left="760" w:hanging="32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76" w:lineRule="exact"/>
        <w:rPr>
          <w:rFonts w:ascii="Arial" w:cs="Arial" w:eastAsia="Arial" w:hAnsi="Arial"/>
          <w:sz w:val="18"/>
          <w:szCs w:val="18"/>
          <w:color w:val="auto"/>
        </w:rPr>
      </w:pPr>
    </w:p>
    <w:p>
      <w:pPr>
        <w:ind w:left="760" w:hanging="324"/>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76" w:lineRule="exact"/>
        <w:rPr>
          <w:rFonts w:ascii="Arial" w:cs="Arial" w:eastAsia="Arial" w:hAnsi="Arial"/>
          <w:sz w:val="18"/>
          <w:szCs w:val="18"/>
          <w:color w:val="auto"/>
        </w:rPr>
      </w:pPr>
    </w:p>
    <w:p>
      <w:pPr>
        <w:ind w:left="760" w:right="20" w:hanging="324"/>
        <w:spacing w:after="0" w:line="238"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9" w:lineRule="exact"/>
        <w:rPr>
          <w:sz w:val="20"/>
          <w:szCs w:val="20"/>
          <w:color w:val="auto"/>
        </w:rPr>
      </w:pPr>
    </w:p>
    <w:p>
      <w:pPr>
        <w:ind w:right="60" w:firstLine="441"/>
        <w:spacing w:after="0" w:line="236" w:lineRule="auto"/>
        <w:rPr>
          <w:sz w:val="20"/>
          <w:szCs w:val="20"/>
          <w:color w:val="auto"/>
        </w:rPr>
      </w:pPr>
      <w:r>
        <w:rPr>
          <w:rFonts w:ascii="Arial" w:cs="Arial" w:eastAsia="Arial" w:hAnsi="Arial"/>
          <w:sz w:val="18"/>
          <w:szCs w:val="18"/>
          <w:color w:val="auto"/>
        </w:rPr>
        <w:t>If we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(determined separately for each share), but not below zero. Any excess will be treated as capital gain and will be treated as described below under “—Sale or Other Taxable Disposition.”</w:t>
      </w:r>
    </w:p>
    <w:p>
      <w:pPr>
        <w:spacing w:after="0" w:line="157" w:lineRule="exact"/>
        <w:rPr>
          <w:sz w:val="20"/>
          <w:szCs w:val="20"/>
          <w:color w:val="auto"/>
        </w:rPr>
      </w:pPr>
    </w:p>
    <w:p>
      <w:pPr>
        <w:ind w:right="220" w:firstLine="441"/>
        <w:spacing w:after="0" w:line="236"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020"/>
          </w:cols>
          <w:pgMar w:left="440" w:top="291" w:right="439" w:bottom="1440" w:gutter="0" w:footer="0" w:header="0"/>
        </w:sectPr>
      </w:pPr>
    </w:p>
    <w:bookmarkStart w:id="25" w:name="page26"/>
    <w:bookmarkEnd w:id="25"/>
    <w:p>
      <w:pPr>
        <w:jc w:val="both"/>
        <w:ind w:right="320" w:firstLine="441"/>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dividends paid to a Non-U.S. Holder are effectively connected with the Non-U.S. Holder’s conduct of a trade or business within the United States, the Non-U.S. Holder will be exempt from the U.S. federal withholding tax described above, unless an applicable income tax treaty provides otherwise. To claim the exemption, the Non-U.S. Holder must furnish to the applicable withholding agent a valid IRS</w:t>
      </w:r>
    </w:p>
    <w:p>
      <w:pPr>
        <w:spacing w:after="0" w:line="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Form W-8ECI (or other applicable form), certifying that the dividends are effectively connected with the Non-U.S. Holder’s conduct of a trade or business within the United States.</w:t>
      </w:r>
    </w:p>
    <w:p>
      <w:pPr>
        <w:spacing w:after="0" w:line="155" w:lineRule="exact"/>
        <w:rPr>
          <w:sz w:val="20"/>
          <w:szCs w:val="20"/>
          <w:color w:val="auto"/>
        </w:rPr>
      </w:pPr>
    </w:p>
    <w:p>
      <w:pPr>
        <w:ind w:right="140" w:firstLine="441"/>
        <w:spacing w:after="0" w:line="236" w:lineRule="auto"/>
        <w:rPr>
          <w:sz w:val="20"/>
          <w:szCs w:val="20"/>
          <w:color w:val="auto"/>
        </w:rPr>
      </w:pPr>
      <w:r>
        <w:rPr>
          <w:rFonts w:ascii="Arial" w:cs="Arial" w:eastAsia="Arial" w:hAnsi="Arial"/>
          <w:sz w:val="18"/>
          <w:szCs w:val="18"/>
          <w:color w:val="auto"/>
        </w:rPr>
        <w:t>Unless an applicable income tax treaty provides otherwise, 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Non-U.S. Holder’s effectively connected earnings and profits, as adjusted for certain items. Non-U.S. Holders should consult their tax advisors regarding any applicable tax treaties that may provide for different rules.</w:t>
      </w:r>
    </w:p>
    <w:p>
      <w:pPr>
        <w:spacing w:after="0" w:line="157" w:lineRule="exact"/>
        <w:rPr>
          <w:sz w:val="20"/>
          <w:szCs w:val="20"/>
          <w:color w:val="auto"/>
        </w:rPr>
      </w:pPr>
    </w:p>
    <w:p>
      <w:pPr>
        <w:ind w:right="20" w:firstLine="441"/>
        <w:spacing w:after="0" w:line="270" w:lineRule="auto"/>
        <w:rPr>
          <w:sz w:val="20"/>
          <w:szCs w:val="20"/>
          <w:color w:val="auto"/>
        </w:rPr>
      </w:pPr>
      <w:r>
        <w:rPr>
          <w:rFonts w:ascii="Arial" w:cs="Arial" w:eastAsia="Arial" w:hAnsi="Arial"/>
          <w:sz w:val="16"/>
          <w:szCs w:val="16"/>
          <w:color w:val="auto"/>
        </w:rPr>
        <w:t>In addition, if we are a USRPHC (as discussed below) and any distribution on our Common Stock exceeds our current and accumulated earnings and profits, we will need to choose to satisfy our withholding requirements either by treating the entire distribution as a dividend, subject to U.S. federal withholding tax at a rate of 30% or a lower applicable treaty rate as described above (and withhold at a minimum rate of 15% or such lower rate as may be specified by an applicable income tax treaty for distributions from a USRPHC), or by treating only the amount of the distribution equal to our reasonable estimate of our current and accumulated earnings and profits as a dividend, with the excess portion of the distribution being subject to withholding at a rate of 15% or such lower rate as may be specified by an applicable income tax treaty as if such excess were the result of a sale of shares in a USRPHC (discussed below under “—Sale or Other Taxable Disposition”).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Non-U.S. Holder will not be subject to U.S. federal income tax on any gain recognized upon the sale or other taxable disposition of our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Common Stock unless:</w:t>
      </w:r>
    </w:p>
    <w:p>
      <w:pPr>
        <w:spacing w:after="0" w:line="77" w:lineRule="exact"/>
        <w:rPr>
          <w:sz w:val="20"/>
          <w:szCs w:val="20"/>
          <w:color w:val="auto"/>
        </w:rPr>
      </w:pPr>
    </w:p>
    <w:p>
      <w:pPr>
        <w:ind w:left="760" w:hanging="324"/>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w:t>
      </w:r>
    </w:p>
    <w:p>
      <w:pPr>
        <w:spacing w:after="0" w:line="76" w:lineRule="exact"/>
        <w:rPr>
          <w:rFonts w:ascii="Arial" w:cs="Arial" w:eastAsia="Arial" w:hAnsi="Arial"/>
          <w:sz w:val="18"/>
          <w:szCs w:val="18"/>
          <w:color w:val="auto"/>
        </w:rPr>
      </w:pPr>
    </w:p>
    <w:p>
      <w:pPr>
        <w:ind w:left="760" w:right="280" w:hanging="324"/>
        <w:spacing w:after="0" w:line="239"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3" w:lineRule="exact"/>
        <w:rPr>
          <w:rFonts w:ascii="Arial" w:cs="Arial" w:eastAsia="Arial" w:hAnsi="Arial"/>
          <w:sz w:val="18"/>
          <w:szCs w:val="18"/>
          <w:color w:val="auto"/>
        </w:rPr>
      </w:pPr>
    </w:p>
    <w:p>
      <w:pPr>
        <w:ind w:left="760" w:right="600" w:hanging="324"/>
        <w:spacing w:after="0" w:line="239"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155" w:lineRule="exact"/>
        <w:rPr>
          <w:sz w:val="20"/>
          <w:szCs w:val="20"/>
          <w:color w:val="auto"/>
        </w:rPr>
      </w:pPr>
    </w:p>
    <w:p>
      <w:pPr>
        <w:ind w:right="120" w:firstLine="441"/>
        <w:spacing w:after="0" w:line="237"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unless an applicable income tax treaty provides otherwise. A Non-U.S. Holder that is a corporation also may be subject to a branch profits tax at a rate of 30% (or such lower rate specified by an applicable income tax treaty) on such Non-U.S. Holder’s effectively connected earnings and profits, as adjusted for certain items.</w:t>
      </w:r>
    </w:p>
    <w:p>
      <w:pPr>
        <w:spacing w:after="0" w:line="155"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and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020"/>
          </w:cols>
          <w:pgMar w:left="440" w:top="291" w:right="439" w:bottom="1440" w:gutter="0" w:footer="0" w:header="0"/>
        </w:sectPr>
      </w:pPr>
    </w:p>
    <w:bookmarkStart w:id="26" w:name="page27"/>
    <w:bookmarkEnd w:id="26"/>
    <w:p>
      <w:pPr>
        <w:ind w:right="40" w:firstLine="441"/>
        <w:spacing w:after="0" w:line="26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the third bullet point above, although there can be no assurance in this regard, we believe we currently are not, and currently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no more than 5% of our Common Stock throughout the shorter of the five-year period ending on the date of the sale or other taxable disposition or the Non-U.S. Holder’s holding period. If the disposition of our Common Stock were subject to taxation under the rules governing USRPHCs, a Non-U.S. Holder would be required to file a U.S. federal income tax return and generally would be subject to the same treatment as a U.S. holder with respect to such gain. In addition, if we are or become a USRPHC and our Common Stock are not considered to be regularly traded on an established securities market, a transferee of Common Stock could be required to withhold 15% of the proceeds paid to a Non-U.S. Holder for the Common Stock and remit such amount to the IRS.</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w:t>
      </w:r>
    </w:p>
    <w:p>
      <w:pPr>
        <w:spacing w:after="0"/>
        <w:rPr>
          <w:sz w:val="20"/>
          <w:szCs w:val="20"/>
          <w:color w:val="auto"/>
        </w:rPr>
      </w:pPr>
      <w:r>
        <w:rPr>
          <w:rFonts w:ascii="Arial" w:cs="Arial" w:eastAsia="Arial" w:hAnsi="Arial"/>
          <w:sz w:val="18"/>
          <w:szCs w:val="18"/>
          <w:color w:val="auto"/>
        </w:rPr>
        <w:t>rules.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9" w:lineRule="exact"/>
        <w:rPr>
          <w:sz w:val="20"/>
          <w:szCs w:val="20"/>
          <w:color w:val="auto"/>
        </w:rPr>
      </w:pPr>
    </w:p>
    <w:p>
      <w:pPr>
        <w:jc w:val="both"/>
        <w:ind w:firstLine="441"/>
        <w:spacing w:after="0" w:line="237" w:lineRule="auto"/>
        <w:rPr>
          <w:sz w:val="20"/>
          <w:szCs w:val="20"/>
          <w:color w:val="auto"/>
        </w:rPr>
      </w:pPr>
      <w:r>
        <w:rPr>
          <w:rFonts w:ascii="Arial" w:cs="Arial" w:eastAsia="Arial" w:hAnsi="Arial"/>
          <w:sz w:val="18"/>
          <w:szCs w:val="18"/>
          <w:color w:val="auto"/>
        </w:rPr>
        <w:t>Payments of dividends on our Common Stock will not be subject to backup withholding, provided the holder either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w:t>
      </w:r>
    </w:p>
    <w:p>
      <w:pPr>
        <w:spacing w:after="0" w:line="155" w:lineRule="exact"/>
        <w:rPr>
          <w:sz w:val="20"/>
          <w:szCs w:val="20"/>
          <w:color w:val="auto"/>
        </w:rPr>
      </w:pPr>
    </w:p>
    <w:p>
      <w:pPr>
        <w:ind w:right="60" w:firstLine="441"/>
        <w:spacing w:after="0" w:line="237" w:lineRule="auto"/>
        <w:rPr>
          <w:sz w:val="20"/>
          <w:szCs w:val="20"/>
          <w:color w:val="auto"/>
        </w:rPr>
      </w:pPr>
      <w:r>
        <w:rPr>
          <w:rFonts w:ascii="Arial" w:cs="Arial" w:eastAsia="Arial" w:hAnsi="Arial"/>
          <w:sz w:val="18"/>
          <w:szCs w:val="18"/>
          <w:color w:val="auto"/>
        </w:rPr>
        <w:t>Proceeds of the sale or other taxable disposition of our Common Stock generally will be subject to backup withholding or information reporting unless the applicable withholding agent receives the certification of the holder’s non-U.S. status, or the holder otherwise establishes an exemption. However, proceeds of a disposition of our Common Stock conducted through a non-U.S. office of a non-U.S. broker generally will not be subject to backup withholding or information reporting.</w:t>
      </w:r>
    </w:p>
    <w:p>
      <w:pPr>
        <w:spacing w:after="0" w:line="155" w:lineRule="exact"/>
        <w:rPr>
          <w:sz w:val="20"/>
          <w:szCs w:val="20"/>
          <w:color w:val="auto"/>
        </w:rPr>
      </w:pPr>
    </w:p>
    <w:p>
      <w:pPr>
        <w:ind w:right="480" w:firstLine="441"/>
        <w:spacing w:after="0" w:line="239"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organized.</w:t>
      </w:r>
    </w:p>
    <w:p>
      <w:pPr>
        <w:spacing w:after="0" w:line="155" w:lineRule="exact"/>
        <w:rPr>
          <w:sz w:val="20"/>
          <w:szCs w:val="20"/>
          <w:color w:val="auto"/>
        </w:rPr>
      </w:pPr>
    </w:p>
    <w:p>
      <w:pPr>
        <w:ind w:right="140" w:firstLine="441"/>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20"/>
          </w:cols>
          <w:pgMar w:left="440" w:top="291"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Withholding Tax on Payments Made to Foreign Accounts</w:t>
      </w:r>
    </w:p>
    <w:p>
      <w:pPr>
        <w:spacing w:after="0" w:line="99" w:lineRule="exact"/>
        <w:rPr>
          <w:sz w:val="20"/>
          <w:szCs w:val="20"/>
          <w:color w:val="auto"/>
        </w:rPr>
      </w:pPr>
    </w:p>
    <w:p>
      <w:pPr>
        <w:ind w:firstLine="441"/>
        <w:spacing w:after="0" w:line="235"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(regardless of whether such institutions or entities receive the payments as a beneficial owner or intermediary). Specifically, a 30% withholding tax may be imposed on dividends on, or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61" w:lineRule="exact"/>
        <w:rPr>
          <w:sz w:val="20"/>
          <w:szCs w:val="20"/>
          <w:color w:val="auto"/>
        </w:rPr>
      </w:pPr>
    </w:p>
    <w:p>
      <w:pPr>
        <w:ind w:right="100" w:firstLine="441"/>
        <w:spacing w:after="0" w:line="238"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currently to payments of dividends on our Common Stock, and, beginning on January 1, 2019 will apply to payments of gross proceeds from the sale or other disposition of such stock.</w:t>
      </w:r>
    </w:p>
    <w:p>
      <w:pPr>
        <w:spacing w:after="0" w:line="154" w:lineRule="exact"/>
        <w:rPr>
          <w:sz w:val="20"/>
          <w:szCs w:val="20"/>
          <w:color w:val="auto"/>
        </w:rPr>
      </w:pPr>
    </w:p>
    <w:p>
      <w:pPr>
        <w:ind w:right="760" w:firstLine="441"/>
        <w:spacing w:after="0" w:line="239"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0920"/>
          </w:cols>
          <w:pgMar w:left="440" w:top="269" w:right="539" w:bottom="1440" w:gutter="0" w:footer="0" w:header="0"/>
        </w:sectPr>
      </w:pPr>
    </w:p>
    <w:bookmarkStart w:id="28" w:name="page29"/>
    <w:bookmarkEnd w:id="2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UNDERWRITING (CONFLICTS OF INTEREST)</w:t>
      </w:r>
    </w:p>
    <w:p>
      <w:pPr>
        <w:spacing w:after="0" w:line="180" w:lineRule="exact"/>
        <w:rPr>
          <w:sz w:val="20"/>
          <w:szCs w:val="20"/>
          <w:color w:val="auto"/>
        </w:rPr>
      </w:pPr>
    </w:p>
    <w:p>
      <w:pPr>
        <w:ind w:right="100" w:firstLine="441"/>
        <w:spacing w:after="0" w:line="237" w:lineRule="auto"/>
        <w:rPr>
          <w:sz w:val="20"/>
          <w:szCs w:val="20"/>
          <w:color w:val="auto"/>
        </w:rPr>
      </w:pPr>
      <w:r>
        <w:rPr>
          <w:rFonts w:ascii="Arial" w:cs="Arial" w:eastAsia="Arial" w:hAnsi="Arial"/>
          <w:sz w:val="18"/>
          <w:szCs w:val="18"/>
          <w:color w:val="auto"/>
        </w:rPr>
        <w:t>Deutsche Bank Securities Inc. is acting as representative (the “Representative”) of each of the underwriters. Subject to the terms and conditions set forth in an underwriting agreement among us and the Representative, we have agreed to sell to the underwriters, and each of the underwriters has agreed, severally and not jointly, to purchase from us, the number of shares of Common Stock set forth opposite its name below:</w:t>
      </w:r>
    </w:p>
    <w:p>
      <w:pPr>
        <w:spacing w:after="0" w:line="166" w:lineRule="exact"/>
        <w:rPr>
          <w:sz w:val="20"/>
          <w:szCs w:val="20"/>
          <w:color w:val="auto"/>
        </w:rPr>
      </w:pPr>
    </w:p>
    <w:tbl>
      <w:tblPr>
        <w:tblLayout w:type="fixed"/>
        <w:tblInd w:w="1780" w:type="dxa"/>
        <w:tblCellMar>
          <w:top w:w="0" w:type="dxa"/>
          <w:left w:w="0" w:type="dxa"/>
          <w:bottom w:w="0" w:type="dxa"/>
          <w:right w:w="0" w:type="dxa"/>
        </w:tblCellMar>
      </w:tblPr>
      <w:tr>
        <w:trPr>
          <w:trHeight w:val="181"/>
        </w:trPr>
        <w:tc>
          <w:tcPr>
            <w:tcW w:w="2460" w:type="dxa"/>
            <w:vAlign w:val="bottom"/>
          </w:tcPr>
          <w:p>
            <w:pPr>
              <w:spacing w:after="0"/>
              <w:rPr>
                <w:sz w:val="15"/>
                <w:szCs w:val="15"/>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740" w:type="dxa"/>
            <w:vAlign w:val="bottom"/>
          </w:tcPr>
          <w:p>
            <w:pPr>
              <w:spacing w:after="0"/>
              <w:rPr>
                <w:sz w:val="15"/>
                <w:szCs w:val="15"/>
                <w:color w:val="auto"/>
              </w:rPr>
            </w:pPr>
          </w:p>
        </w:tc>
        <w:tc>
          <w:tcPr>
            <w:tcW w:w="2900" w:type="dxa"/>
            <w:vAlign w:val="bottom"/>
            <w:gridSpan w:val="3"/>
          </w:tcPr>
          <w:p>
            <w:pPr>
              <w:ind w:left="1680"/>
              <w:spacing w:after="0"/>
              <w:rPr>
                <w:sz w:val="20"/>
                <w:szCs w:val="20"/>
                <w:color w:val="auto"/>
              </w:rPr>
            </w:pPr>
            <w:r>
              <w:rPr>
                <w:rFonts w:ascii="Arial" w:cs="Arial" w:eastAsia="Arial" w:hAnsi="Arial"/>
                <w:sz w:val="14"/>
                <w:szCs w:val="14"/>
                <w:b w:val="1"/>
                <w:bCs w:val="1"/>
                <w:color w:val="auto"/>
              </w:rPr>
              <w:t>Number of shares</w:t>
            </w:r>
          </w:p>
        </w:tc>
      </w:tr>
      <w:tr>
        <w:trPr>
          <w:trHeight w:val="190"/>
        </w:trPr>
        <w:tc>
          <w:tcPr>
            <w:tcW w:w="45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Deutsche Bank Securities Inc.</w:t>
            </w:r>
          </w:p>
        </w:tc>
        <w:tc>
          <w:tcPr>
            <w:tcW w:w="16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4,529,916</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BNP Paribas Securities Corp.</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192,521</w:t>
            </w:r>
          </w:p>
        </w:tc>
        <w:tc>
          <w:tcPr>
            <w:tcW w:w="60" w:type="dxa"/>
            <w:vAlign w:val="bottom"/>
          </w:tcPr>
          <w:p>
            <w:pPr>
              <w:spacing w:after="0"/>
              <w:rPr>
                <w:sz w:val="18"/>
                <w:szCs w:val="18"/>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192,521</w:t>
            </w:r>
          </w:p>
        </w:tc>
        <w:tc>
          <w:tcPr>
            <w:tcW w:w="60" w:type="dxa"/>
            <w:vAlign w:val="bottom"/>
            <w:shd w:val="clear" w:color="auto" w:fill="CCEEFF"/>
          </w:tcPr>
          <w:p>
            <w:pPr>
              <w:spacing w:after="0"/>
              <w:rPr>
                <w:sz w:val="18"/>
                <w:szCs w:val="18"/>
                <w:color w:val="auto"/>
              </w:rPr>
            </w:pPr>
          </w:p>
        </w:tc>
      </w:tr>
      <w:tr>
        <w:trPr>
          <w:trHeight w:val="203"/>
        </w:trPr>
        <w:tc>
          <w:tcPr>
            <w:tcW w:w="4580" w:type="dxa"/>
            <w:vAlign w:val="bottom"/>
            <w:gridSpan w:val="3"/>
          </w:tcPr>
          <w:p>
            <w:pPr>
              <w:spacing w:after="0" w:line="202" w:lineRule="exact"/>
              <w:rPr>
                <w:sz w:val="20"/>
                <w:szCs w:val="20"/>
                <w:color w:val="auto"/>
              </w:rPr>
            </w:pPr>
            <w:r>
              <w:rPr>
                <w:rFonts w:ascii="Arial" w:cs="Arial" w:eastAsia="Arial" w:hAnsi="Arial"/>
                <w:sz w:val="18"/>
                <w:szCs w:val="18"/>
                <w:color w:val="auto"/>
              </w:rPr>
              <w:t>Scotia Capital (USA) Inc.</w:t>
            </w: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192,521</w:t>
            </w:r>
          </w:p>
        </w:tc>
        <w:tc>
          <w:tcPr>
            <w:tcW w:w="60" w:type="dxa"/>
            <w:vAlign w:val="bottom"/>
          </w:tcPr>
          <w:p>
            <w:pPr>
              <w:spacing w:after="0"/>
              <w:rPr>
                <w:sz w:val="17"/>
                <w:szCs w:val="17"/>
                <w:color w:val="auto"/>
              </w:rPr>
            </w:pPr>
          </w:p>
        </w:tc>
      </w:tr>
      <w:tr>
        <w:trPr>
          <w:trHeight w:val="203"/>
        </w:trPr>
        <w:tc>
          <w:tcPr>
            <w:tcW w:w="4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SMBC Nikko Securities America, Inc.</w:t>
            </w:r>
          </w:p>
        </w:tc>
        <w:tc>
          <w:tcPr>
            <w:tcW w:w="168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192,521</w:t>
            </w:r>
          </w:p>
        </w:tc>
        <w:tc>
          <w:tcPr>
            <w:tcW w:w="60" w:type="dxa"/>
            <w:vAlign w:val="bottom"/>
            <w:shd w:val="clear" w:color="auto" w:fill="CCEEFF"/>
          </w:tcPr>
          <w:p>
            <w:pPr>
              <w:spacing w:after="0"/>
              <w:rPr>
                <w:sz w:val="17"/>
                <w:szCs w:val="17"/>
                <w:color w:val="auto"/>
              </w:rPr>
            </w:pPr>
          </w:p>
        </w:tc>
      </w:tr>
      <w:tr>
        <w:trPr>
          <w:trHeight w:val="210"/>
        </w:trPr>
        <w:tc>
          <w:tcPr>
            <w:tcW w:w="4580" w:type="dxa"/>
            <w:vAlign w:val="bottom"/>
            <w:gridSpan w:val="3"/>
          </w:tcPr>
          <w:p>
            <w:pPr>
              <w:ind w:left="420"/>
              <w:spacing w:after="0"/>
              <w:rPr>
                <w:sz w:val="20"/>
                <w:szCs w:val="20"/>
                <w:color w:val="auto"/>
              </w:rPr>
            </w:pPr>
            <w:r>
              <w:rPr>
                <w:rFonts w:ascii="Arial" w:cs="Arial" w:eastAsia="Arial" w:hAnsi="Arial"/>
                <w:sz w:val="18"/>
                <w:szCs w:val="18"/>
                <w:b w:val="1"/>
                <w:bCs w:val="1"/>
                <w:color w:val="auto"/>
              </w:rPr>
              <w:t>Total</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5,300,000</w:t>
            </w:r>
          </w:p>
        </w:tc>
        <w:tc>
          <w:tcPr>
            <w:tcW w:w="60" w:type="dxa"/>
            <w:vAlign w:val="bottom"/>
          </w:tcPr>
          <w:p>
            <w:pPr>
              <w:spacing w:after="0"/>
              <w:rPr>
                <w:sz w:val="18"/>
                <w:szCs w:val="18"/>
                <w:color w:val="auto"/>
              </w:rPr>
            </w:pPr>
          </w:p>
        </w:tc>
      </w:tr>
      <w:tr>
        <w:trPr>
          <w:trHeight w:val="20"/>
        </w:trPr>
        <w:tc>
          <w:tcPr>
            <w:tcW w:w="2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40" w:firstLine="441"/>
        <w:spacing w:after="0" w:line="238" w:lineRule="auto"/>
        <w:rPr>
          <w:sz w:val="20"/>
          <w:szCs w:val="20"/>
          <w:color w:val="auto"/>
        </w:rPr>
      </w:pPr>
      <w:r>
        <w:rPr>
          <w:rFonts w:ascii="Arial" w:cs="Arial" w:eastAsia="Arial" w:hAnsi="Arial"/>
          <w:sz w:val="18"/>
          <w:szCs w:val="18"/>
          <w:color w:val="auto"/>
        </w:rPr>
        <w:t>The underwriters are committed to purchase all the Common Stock offered by us if they purchase any shares. The underwriting agreement also provides that if an underwriter defaults, the purchase commitments of non-defaulting underwriters may also be increased or the offering may be terminated.</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underwriters are purchasing the shares of Common Stock from us at $172.7925 per share (representing approximately</w:t>
      </w:r>
    </w:p>
    <w:p>
      <w:pPr>
        <w:spacing w:after="0"/>
        <w:rPr>
          <w:sz w:val="20"/>
          <w:szCs w:val="20"/>
          <w:color w:val="auto"/>
        </w:rPr>
      </w:pPr>
      <w:r>
        <w:rPr>
          <w:rFonts w:ascii="Arial" w:cs="Arial" w:eastAsia="Arial" w:hAnsi="Arial"/>
          <w:sz w:val="16"/>
          <w:szCs w:val="16"/>
          <w:color w:val="auto"/>
        </w:rPr>
        <w:t>$915,800,250 aggregate proceeds to us, before we deduct our total expenses of approximately $1,000,000). The underwriters may offer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from time to time for sale in one or more transactions on the Nasdaq Global Select Market, in the over-the-counter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market, through negotiated transactions or otherwise at market prices prevailing at the time of sale, at prices related to prevailing market</w:t>
      </w:r>
    </w:p>
    <w:p>
      <w:pPr>
        <w:spacing w:after="0"/>
        <w:rPr>
          <w:sz w:val="20"/>
          <w:szCs w:val="20"/>
          <w:color w:val="auto"/>
        </w:rPr>
      </w:pPr>
      <w:r>
        <w:rPr>
          <w:rFonts w:ascii="Arial" w:cs="Arial" w:eastAsia="Arial" w:hAnsi="Arial"/>
          <w:sz w:val="16"/>
          <w:szCs w:val="16"/>
          <w:color w:val="auto"/>
        </w:rPr>
        <w:t>prices or at negotiated prices. In connection with the sale of the shares of Common Stock offered hereby, the underwriters may be deemed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have received compensation in the form of underwriting discounts. The underwriters may effect such transactions by selling shares of</w:t>
      </w:r>
    </w:p>
    <w:p>
      <w:pPr>
        <w:spacing w:after="0" w:line="234" w:lineRule="auto"/>
        <w:rPr>
          <w:sz w:val="20"/>
          <w:szCs w:val="20"/>
          <w:color w:val="auto"/>
        </w:rPr>
      </w:pPr>
      <w:r>
        <w:rPr>
          <w:rFonts w:ascii="Arial" w:cs="Arial" w:eastAsia="Arial" w:hAnsi="Arial"/>
          <w:sz w:val="18"/>
          <w:szCs w:val="18"/>
          <w:color w:val="auto"/>
        </w:rPr>
        <w:t>Common Stock to or through dealers, and such dealers may receive compensation in the form of discounts, concessions or commissions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from the underwriters and/or purchasers of shares of Common Stock for whom they may act as agents or to whom they may sell as principal.</w:t>
      </w:r>
    </w:p>
    <w:p>
      <w:pPr>
        <w:spacing w:after="0" w:line="181" w:lineRule="exact"/>
        <w:rPr>
          <w:sz w:val="20"/>
          <w:szCs w:val="20"/>
          <w:color w:val="auto"/>
        </w:rPr>
      </w:pPr>
    </w:p>
    <w:p>
      <w:pPr>
        <w:jc w:val="both"/>
        <w:ind w:right="20" w:firstLine="441"/>
        <w:spacing w:after="0" w:line="238" w:lineRule="auto"/>
        <w:rPr>
          <w:sz w:val="20"/>
          <w:szCs w:val="20"/>
          <w:color w:val="auto"/>
        </w:rPr>
      </w:pPr>
      <w:r>
        <w:rPr>
          <w:rFonts w:ascii="Arial" w:cs="Arial" w:eastAsia="Arial" w:hAnsi="Arial"/>
          <w:sz w:val="18"/>
          <w:szCs w:val="18"/>
          <w:color w:val="auto"/>
        </w:rPr>
        <w:t>The underwriting fee is equal to the public offering price per share of Common Stock less the amount paid by the underwriters to us per share of common stock. The underwriting fee is $2.2075 per share. The following table shows the per share and total underwriting discounts and commissions to be paid to the underwriters by us.</w:t>
      </w:r>
    </w:p>
    <w:p>
      <w:pPr>
        <w:spacing w:after="0" w:line="16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Total Fees</w:t>
            </w:r>
          </w:p>
        </w:tc>
        <w:tc>
          <w:tcPr>
            <w:tcW w:w="3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3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2.2075</w:t>
            </w:r>
          </w:p>
        </w:tc>
      </w:tr>
      <w:tr>
        <w:trPr>
          <w:trHeight w:val="214"/>
        </w:trPr>
        <w:tc>
          <w:tcPr>
            <w:tcW w:w="3980" w:type="dxa"/>
            <w:vAlign w:val="bottom"/>
            <w:gridSpan w:val="3"/>
          </w:tcPr>
          <w:p>
            <w:pPr>
              <w:spacing w:after="0"/>
              <w:rPr>
                <w:sz w:val="20"/>
                <w:szCs w:val="20"/>
                <w:color w:val="auto"/>
              </w:rPr>
            </w:pPr>
            <w:r>
              <w:rPr>
                <w:rFonts w:ascii="Arial" w:cs="Arial" w:eastAsia="Arial" w:hAnsi="Arial"/>
                <w:sz w:val="18"/>
                <w:szCs w:val="18"/>
                <w:color w:val="auto"/>
              </w:rPr>
              <w:t>Total</w:t>
            </w:r>
          </w:p>
        </w:tc>
        <w:tc>
          <w:tcPr>
            <w:tcW w:w="33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11,699,750</w:t>
            </w:r>
          </w:p>
        </w:tc>
      </w:tr>
    </w:tbl>
    <w:p>
      <w:pPr>
        <w:spacing w:after="0" w:line="154" w:lineRule="exact"/>
        <w:rPr>
          <w:sz w:val="20"/>
          <w:szCs w:val="20"/>
          <w:color w:val="auto"/>
        </w:rPr>
      </w:pPr>
    </w:p>
    <w:p>
      <w:pPr>
        <w:ind w:right="120" w:firstLine="441"/>
        <w:spacing w:after="0" w:line="23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of the underwriters and selling group members that may make Internet distributions on the same basis as other allocations.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14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0960"/>
          </w:cols>
          <w:pgMar w:left="440" w:top="269" w:right="49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Common Stock is listed on the Nasdaq Global select Market under the symbol “WYNN.”</w:t>
      </w:r>
    </w:p>
    <w:p>
      <w:pPr>
        <w:spacing w:after="0" w:line="158" w:lineRule="exact"/>
        <w:rPr>
          <w:sz w:val="20"/>
          <w:szCs w:val="20"/>
          <w:color w:val="auto"/>
        </w:rPr>
      </w:pPr>
    </w:p>
    <w:p>
      <w:pPr>
        <w:ind w:firstLine="441"/>
        <w:spacing w:after="0" w:line="267"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of our Common Stock referred to above, or may be “naked” shorts, which are short positions in excess of that amount. The underwriters may close out any covered short position either by exercising their option to purchase additional shares of our Common Stock,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their option to purchase additional shares of our Common Stock.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339" w:lineRule="exact"/>
        <w:rPr>
          <w:sz w:val="20"/>
          <w:szCs w:val="20"/>
          <w:color w:val="auto"/>
        </w:rPr>
      </w:pPr>
    </w:p>
    <w:p>
      <w:pPr>
        <w:ind w:right="420" w:firstLine="441"/>
        <w:spacing w:after="0" w:line="236"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of the underwriters can require the underwriters that sold those shares as part of this offering to repay the underwriting discount received by them.</w:t>
      </w:r>
    </w:p>
    <w:p>
      <w:pPr>
        <w:spacing w:after="0" w:line="157" w:lineRule="exact"/>
        <w:rPr>
          <w:sz w:val="20"/>
          <w:szCs w:val="20"/>
          <w:color w:val="auto"/>
        </w:rPr>
      </w:pPr>
    </w:p>
    <w:p>
      <w:pPr>
        <w:ind w:right="60" w:firstLine="441"/>
        <w:spacing w:after="0" w:line="23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that delivery of the Common Stock will be made against payment therefor on or about April 3, 2018, which will be the</w:t>
      </w:r>
    </w:p>
    <w:p>
      <w:pPr>
        <w:spacing w:after="0" w:line="236" w:lineRule="auto"/>
        <w:rPr>
          <w:sz w:val="20"/>
          <w:szCs w:val="20"/>
          <w:color w:val="auto"/>
        </w:rPr>
      </w:pPr>
      <w:r>
        <w:rPr>
          <w:rFonts w:ascii="Arial" w:cs="Arial" w:eastAsia="Arial" w:hAnsi="Arial"/>
          <w:sz w:val="18"/>
          <w:szCs w:val="18"/>
          <w:color w:val="auto"/>
        </w:rPr>
        <w:t>7th business day following the date of pricing, or ‘‘T+7.’’ Under Rule 15c6-1 of the Exchange Act, trades in the secondary market generally are required to settle in two business days, unless the parties to any such trade expressly agree otherwise. Accordingly, purchasers who wish to trade the Common Stock on the date of pricing or the next four succeeding business days will be required, by virtue of the fact that the Common Stock initially settle in T+7, to specify an alternate settlement arrangement at the time of any such trade to prevent a failed settlement. Purchasers of the Common Stock who wish to trade the Common Stock prior to their date of delivery hereunder should consult their own advisors.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99" w:lineRule="exact"/>
        <w:rPr>
          <w:sz w:val="20"/>
          <w:szCs w:val="20"/>
          <w:color w:val="auto"/>
        </w:rPr>
      </w:pPr>
    </w:p>
    <w:p>
      <w:pPr>
        <w:ind w:right="540" w:firstLine="441"/>
        <w:spacing w:after="0" w:line="239" w:lineRule="auto"/>
        <w:rPr>
          <w:sz w:val="20"/>
          <w:szCs w:val="20"/>
          <w:color w:val="auto"/>
        </w:rPr>
      </w:pPr>
      <w:r>
        <w:rPr>
          <w:rFonts w:ascii="Arial" w:cs="Arial" w:eastAsia="Arial" w:hAnsi="Arial"/>
          <w:sz w:val="18"/>
          <w:szCs w:val="18"/>
          <w:color w:val="auto"/>
        </w:rPr>
        <w:t>The shares are not intended to be offered, sold or otherwise made available to and should not be offered, sold or otherwise made available to any retail investor in the European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020"/>
          </w:cols>
          <w:pgMar w:left="440" w:top="291"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Economic Area (“EEA”). For these purposes, a retail investor means a person who is one (or more) of:</w:t>
      </w:r>
    </w:p>
    <w:p>
      <w:pPr>
        <w:spacing w:after="0" w:line="77" w:lineRule="exact"/>
        <w:rPr>
          <w:sz w:val="20"/>
          <w:szCs w:val="20"/>
          <w:color w:val="auto"/>
        </w:rPr>
      </w:pPr>
    </w:p>
    <w:p>
      <w:pPr>
        <w:ind w:left="860" w:hanging="42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retail client as defined in point (11) of Article 4(1) of Directive 2014/65/EU (as amended, “MiFID II”); or</w:t>
      </w:r>
    </w:p>
    <w:p>
      <w:pPr>
        <w:spacing w:after="0" w:line="76" w:lineRule="exact"/>
        <w:rPr>
          <w:rFonts w:ascii="Arial" w:cs="Arial" w:eastAsia="Arial" w:hAnsi="Arial"/>
          <w:sz w:val="18"/>
          <w:szCs w:val="18"/>
          <w:color w:val="auto"/>
        </w:rPr>
      </w:pPr>
    </w:p>
    <w:p>
      <w:pPr>
        <w:ind w:left="860" w:right="220" w:hanging="424"/>
        <w:spacing w:after="0" w:line="239"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customer within the meaning of Directive 2002/92/EC (as amended, the “Insurance Mediation Directive”), where that customer would not qualify as a professional client as defined in point (10) of Article 4(1) of MiFID II.</w:t>
      </w:r>
    </w:p>
    <w:p>
      <w:pPr>
        <w:spacing w:after="0" w:line="155" w:lineRule="exact"/>
        <w:rPr>
          <w:sz w:val="20"/>
          <w:szCs w:val="20"/>
          <w:color w:val="auto"/>
        </w:rPr>
      </w:pPr>
    </w:p>
    <w:p>
      <w:pPr>
        <w:ind w:right="300" w:firstLine="441"/>
        <w:spacing w:after="0" w:line="281" w:lineRule="auto"/>
        <w:rPr>
          <w:sz w:val="20"/>
          <w:szCs w:val="20"/>
          <w:color w:val="auto"/>
        </w:rPr>
      </w:pPr>
      <w:r>
        <w:rPr>
          <w:rFonts w:ascii="Arial" w:cs="Arial" w:eastAsia="Arial" w:hAnsi="Arial"/>
          <w:sz w:val="16"/>
          <w:szCs w:val="16"/>
          <w:color w:val="auto"/>
        </w:rPr>
        <w:t>Consequently no key information document required by Regulation (EU) No 1286/2014 (as amended, the “PRIIPs Regulation”) for offering or selling the shares or otherwise making them available to retail investors in the EEA has been prepared and therefore offering or selling the shares or otherwise making them available to any retail investor in the EEA may be unlawful under the PRIIPS Regulation.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99" w:lineRule="exact"/>
        <w:rPr>
          <w:sz w:val="20"/>
          <w:szCs w:val="20"/>
          <w:color w:val="auto"/>
        </w:rPr>
      </w:pPr>
    </w:p>
    <w:p>
      <w:pPr>
        <w:ind w:right="80" w:firstLine="441"/>
        <w:spacing w:after="0" w:line="236"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of our common stock in the United Kingdom within the meaning of the Financial Services and Markets Act 2000.</w:t>
      </w:r>
    </w:p>
    <w:p>
      <w:pPr>
        <w:spacing w:after="0" w:line="155"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99"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99" w:lineRule="exact"/>
        <w:rPr>
          <w:sz w:val="20"/>
          <w:szCs w:val="20"/>
          <w:color w:val="auto"/>
        </w:rPr>
      </w:pPr>
    </w:p>
    <w:p>
      <w:pPr>
        <w:ind w:right="20" w:firstLine="441"/>
        <w:spacing w:after="0" w:line="239" w:lineRule="auto"/>
        <w:rPr>
          <w:sz w:val="20"/>
          <w:szCs w:val="20"/>
          <w:color w:val="auto"/>
        </w:rPr>
      </w:pPr>
      <w:r>
        <w:rPr>
          <w:rFonts w:ascii="Arial" w:cs="Arial" w:eastAsia="Arial" w:hAnsi="Arial"/>
          <w:sz w:val="18"/>
          <w:szCs w:val="18"/>
          <w:color w:val="auto"/>
        </w:rPr>
        <w:t>This prospectus supplement and the accompanying prospectus have not been registered as a prospectus with the Monetary Authority of Singapore. Accordingly, this prospectus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020"/>
          </w:cols>
          <w:pgMar w:left="440" w:top="291" w:right="439" w:bottom="1440" w:gutter="0" w:footer="0" w:header="0"/>
        </w:sectPr>
      </w:pPr>
    </w:p>
    <w:bookmarkStart w:id="31" w:name="page32"/>
    <w:bookmarkEnd w:id="31"/>
    <w:p>
      <w:pPr>
        <w:ind w:right="2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 and the accompanying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77" w:lineRule="exact"/>
        <w:rPr>
          <w:sz w:val="20"/>
          <w:szCs w:val="20"/>
          <w:color w:val="auto"/>
        </w:rPr>
      </w:pPr>
    </w:p>
    <w:p>
      <w:pPr>
        <w:ind w:left="860" w:right="120" w:hanging="424"/>
        <w:spacing w:after="0" w:line="299"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7" w:lineRule="exact"/>
        <w:rPr>
          <w:rFonts w:ascii="Arial" w:cs="Arial" w:eastAsia="Arial" w:hAnsi="Arial"/>
          <w:sz w:val="16"/>
          <w:szCs w:val="16"/>
          <w:color w:val="auto"/>
        </w:rPr>
      </w:pPr>
    </w:p>
    <w:p>
      <w:pPr>
        <w:ind w:left="860" w:hanging="424"/>
        <w:spacing w:after="0" w:line="239"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3" w:lineRule="exact"/>
        <w:rPr>
          <w:sz w:val="20"/>
          <w:szCs w:val="20"/>
          <w:color w:val="auto"/>
        </w:rPr>
      </w:pPr>
    </w:p>
    <w:p>
      <w:pPr>
        <w:ind w:left="860" w:right="500" w:hanging="424"/>
        <w:spacing w:after="0" w:line="239"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3" w:lineRule="exact"/>
        <w:rPr>
          <w:rFonts w:ascii="Arial" w:cs="Arial" w:eastAsia="Arial" w:hAnsi="Arial"/>
          <w:sz w:val="18"/>
          <w:szCs w:val="18"/>
          <w:color w:val="auto"/>
        </w:rPr>
      </w:pPr>
    </w:p>
    <w:p>
      <w:pPr>
        <w:ind w:left="860" w:hanging="4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76" w:lineRule="exact"/>
        <w:rPr>
          <w:rFonts w:ascii="Arial" w:cs="Arial" w:eastAsia="Arial" w:hAnsi="Arial"/>
          <w:sz w:val="18"/>
          <w:szCs w:val="18"/>
          <w:color w:val="auto"/>
        </w:rPr>
      </w:pPr>
    </w:p>
    <w:p>
      <w:pPr>
        <w:ind w:left="860" w:hanging="42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99" w:lineRule="exact"/>
        <w:rPr>
          <w:sz w:val="20"/>
          <w:szCs w:val="20"/>
          <w:color w:val="auto"/>
        </w:rPr>
      </w:pPr>
    </w:p>
    <w:p>
      <w:pPr>
        <w:ind w:firstLine="441"/>
        <w:spacing w:after="0" w:line="236"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99" w:lineRule="exact"/>
        <w:rPr>
          <w:sz w:val="20"/>
          <w:szCs w:val="20"/>
          <w:color w:val="auto"/>
        </w:rPr>
      </w:pPr>
    </w:p>
    <w:p>
      <w:pPr>
        <w:ind w:right="120" w:firstLine="441"/>
        <w:spacing w:after="0" w:line="275"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000"/>
          </w:cols>
          <w:pgMar w:left="440" w:top="291" w:right="459" w:bottom="1440" w:gutter="0" w:footer="0" w:header="0"/>
        </w:sectPr>
      </w:pPr>
    </w:p>
    <w:bookmarkStart w:id="32" w:name="page33"/>
    <w:bookmarkEnd w:id="32"/>
    <w:p>
      <w:pPr>
        <w:ind w:right="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or regulated trading facility in Switzerland. Neither this document nor any other offering or marketing material relating to the shares or the offering may be publicly distributed or otherwise made publicly available in Switzerland.</w:t>
      </w:r>
    </w:p>
    <w:p>
      <w:pPr>
        <w:spacing w:after="0" w:line="155" w:lineRule="exact"/>
        <w:rPr>
          <w:sz w:val="20"/>
          <w:szCs w:val="20"/>
          <w:color w:val="auto"/>
        </w:rPr>
      </w:pPr>
    </w:p>
    <w:p>
      <w:pPr>
        <w:ind w:firstLine="441"/>
        <w:spacing w:after="0" w:line="23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 (“DIFC”)</w:t>
      </w:r>
    </w:p>
    <w:p>
      <w:pPr>
        <w:spacing w:after="0" w:line="99" w:lineRule="exact"/>
        <w:rPr>
          <w:sz w:val="20"/>
          <w:szCs w:val="20"/>
          <w:color w:val="auto"/>
        </w:rPr>
      </w:pPr>
    </w:p>
    <w:p>
      <w:pPr>
        <w:ind w:right="60" w:firstLine="441"/>
        <w:spacing w:after="0" w:line="236" w:lineRule="auto"/>
        <w:rPr>
          <w:sz w:val="20"/>
          <w:szCs w:val="20"/>
          <w:color w:val="auto"/>
        </w:rPr>
      </w:pPr>
      <w:r>
        <w:rPr>
          <w:rFonts w:ascii="Arial" w:cs="Arial" w:eastAsia="Arial" w:hAnsi="Arial"/>
          <w:sz w:val="18"/>
          <w:szCs w:val="18"/>
          <w:color w:val="auto"/>
        </w:rPr>
        <w:t>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 any other person. The DFSA has no responsibility for reviewing or verifying any prospectus supplement in connection 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w:t>
      </w:r>
    </w:p>
    <w:p>
      <w:pPr>
        <w:spacing w:after="0" w:line="154" w:lineRule="exact"/>
        <w:rPr>
          <w:sz w:val="20"/>
          <w:szCs w:val="20"/>
          <w:color w:val="auto"/>
        </w:rPr>
      </w:pPr>
    </w:p>
    <w:p>
      <w:pPr>
        <w:ind w:right="340" w:firstLine="441"/>
        <w:spacing w:after="0" w:line="238" w:lineRule="auto"/>
        <w:rPr>
          <w:sz w:val="20"/>
          <w:szCs w:val="20"/>
          <w:color w:val="auto"/>
        </w:rPr>
      </w:pPr>
      <w:r>
        <w:rPr>
          <w:rFonts w:ascii="Arial" w:cs="Arial" w:eastAsia="Arial" w:hAnsi="Arial"/>
          <w:sz w:val="18"/>
          <w:szCs w:val="18"/>
          <w:color w:val="auto"/>
        </w:rPr>
        <w:t>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99" w:lineRule="exact"/>
        <w:rPr>
          <w:sz w:val="20"/>
          <w:szCs w:val="20"/>
          <w:color w:val="auto"/>
        </w:rPr>
      </w:pPr>
    </w:p>
    <w:p>
      <w:pPr>
        <w:ind w:right="40" w:firstLine="441"/>
        <w:spacing w:after="0" w:line="236" w:lineRule="auto"/>
        <w:rPr>
          <w:sz w:val="20"/>
          <w:szCs w:val="20"/>
          <w:color w:val="auto"/>
        </w:rPr>
      </w:pPr>
      <w:r>
        <w:rPr>
          <w:rFonts w:ascii="Arial" w:cs="Arial" w:eastAsia="Arial" w:hAnsi="Arial"/>
          <w:sz w:val="18"/>
          <w:szCs w:val="18"/>
          <w:color w:val="auto"/>
        </w:rPr>
        <w:t>The shares may be sold only to purchasers in Canada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Canadian securities laws.</w:t>
      </w:r>
    </w:p>
    <w:p>
      <w:pPr>
        <w:spacing w:after="0" w:line="157" w:lineRule="exact"/>
        <w:rPr>
          <w:sz w:val="20"/>
          <w:szCs w:val="20"/>
          <w:color w:val="auto"/>
        </w:rPr>
      </w:pPr>
    </w:p>
    <w:p>
      <w:pPr>
        <w:ind w:right="80" w:firstLine="441"/>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right="100" w:firstLine="441"/>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0960"/>
          </w:cols>
          <w:pgMar w:left="440" w:top="291" w:right="4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to Plan Investors</w:t>
      </w:r>
    </w:p>
    <w:p>
      <w:pPr>
        <w:spacing w:after="0" w:line="99" w:lineRule="exact"/>
        <w:rPr>
          <w:sz w:val="20"/>
          <w:szCs w:val="20"/>
          <w:color w:val="auto"/>
        </w:rPr>
      </w:pPr>
    </w:p>
    <w:p>
      <w:pPr>
        <w:ind w:right="20" w:firstLine="441"/>
        <w:spacing w:after="0" w:line="236" w:lineRule="auto"/>
        <w:rPr>
          <w:sz w:val="20"/>
          <w:szCs w:val="20"/>
          <w:color w:val="auto"/>
        </w:rPr>
      </w:pPr>
      <w:r>
        <w:rPr>
          <w:rFonts w:ascii="Arial" w:cs="Arial" w:eastAsia="Arial" w:hAnsi="Arial"/>
          <w:sz w:val="18"/>
          <w:szCs w:val="18"/>
          <w:color w:val="auto"/>
        </w:rPr>
        <w:t>Each purchaser of shares of common stock being offered pursuant to this prospectus supplement and the accompanying prospectus that is (1) an employee benefit plan subject to Title I of the Employee Retirement Income Security Act of 1974, as amended (“ERISA”), (2) a plan, individual retirement account (“IRA”) or other arrangement subject to Section 4975 of Code or (3) an entity deemed to hold “plan assets” of any such employee benefit plan or arrangement, by acceptance of any shares, will be deemed to have represented and warranted that a fiduciary acting on its behalf is causing it to purchase the notes and that such fiduciary:</w:t>
      </w:r>
    </w:p>
    <w:p>
      <w:pPr>
        <w:spacing w:after="0" w:line="76" w:lineRule="exact"/>
        <w:rPr>
          <w:sz w:val="20"/>
          <w:szCs w:val="20"/>
          <w:color w:val="auto"/>
        </w:rPr>
      </w:pPr>
    </w:p>
    <w:p>
      <w:pPr>
        <w:ind w:left="860" w:hanging="424"/>
        <w:spacing w:after="0" w:line="238"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a bank, an insurance carrier, a registered investment adviser, a registered broker-dealer or an independent fiduciary with at least $50 million of assets under management or control (excluding, if the purchaser is an IRA, the owner or a relative of the owner of the IRA) as specified in 29 CFR Section 2510.3-21(c)(1)(i);</w:t>
      </w:r>
    </w:p>
    <w:p>
      <w:pPr>
        <w:spacing w:after="0" w:line="72" w:lineRule="exact"/>
        <w:rPr>
          <w:rFonts w:ascii="Arial" w:cs="Arial" w:eastAsia="Arial" w:hAnsi="Arial"/>
          <w:sz w:val="18"/>
          <w:szCs w:val="18"/>
          <w:color w:val="auto"/>
        </w:rPr>
      </w:pPr>
    </w:p>
    <w:p>
      <w:pPr>
        <w:ind w:left="860" w:right="200" w:hanging="424"/>
        <w:spacing w:after="0" w:line="239"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independent (for purposes of 29 CFR Section 2510.3-21(c)(1)) of the Company, the underwriters and their respective affiliates (the “Transaction Parties”);</w:t>
      </w:r>
    </w:p>
    <w:p>
      <w:pPr>
        <w:spacing w:after="0" w:line="73" w:lineRule="exact"/>
        <w:rPr>
          <w:rFonts w:ascii="Arial" w:cs="Arial" w:eastAsia="Arial" w:hAnsi="Arial"/>
          <w:sz w:val="18"/>
          <w:szCs w:val="18"/>
          <w:color w:val="auto"/>
        </w:rPr>
      </w:pPr>
    </w:p>
    <w:p>
      <w:pPr>
        <w:ind w:left="860" w:right="140" w:hanging="424"/>
        <w:spacing w:after="0" w:line="238"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capable of evaluating investment risks independently, both in general and with regard to particular transactions and investment strategies, including the purchaser’s transactions with the Transaction Parties contemplated by this prospectus supplement and the accompanying prospectus (the “Transactions”);</w:t>
      </w:r>
    </w:p>
    <w:p>
      <w:pPr>
        <w:spacing w:after="0" w:line="72" w:lineRule="exact"/>
        <w:rPr>
          <w:rFonts w:ascii="Arial" w:cs="Arial" w:eastAsia="Arial" w:hAnsi="Arial"/>
          <w:sz w:val="18"/>
          <w:szCs w:val="18"/>
          <w:color w:val="auto"/>
        </w:rPr>
      </w:pPr>
    </w:p>
    <w:p>
      <w:pPr>
        <w:ind w:left="860" w:right="100" w:hanging="424"/>
        <w:spacing w:after="0" w:line="239"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has been advised that none of the Transaction Parties has undertaken or will undertake to provide impartial investment advice, or has given or will give advice in a fiduciary capacity, in connection with the Transactions;</w:t>
      </w:r>
    </w:p>
    <w:p>
      <w:pPr>
        <w:spacing w:after="0" w:line="73" w:lineRule="exact"/>
        <w:rPr>
          <w:rFonts w:ascii="Arial" w:cs="Arial" w:eastAsia="Arial" w:hAnsi="Arial"/>
          <w:sz w:val="18"/>
          <w:szCs w:val="18"/>
          <w:color w:val="auto"/>
        </w:rPr>
      </w:pPr>
    </w:p>
    <w:p>
      <w:pPr>
        <w:ind w:left="860" w:right="240" w:hanging="424"/>
        <w:spacing w:after="0" w:line="239"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a “fiduciary” under Section 3(21)(a) of ERISA or Section 4975(e)(3) of the Code, or both, as applicable, with respect to, and is responsible for exercising independent judgment in evaluating, the Transactions; and</w:t>
      </w:r>
    </w:p>
    <w:p>
      <w:pPr>
        <w:spacing w:after="0" w:line="73" w:lineRule="exact"/>
        <w:rPr>
          <w:rFonts w:ascii="Arial" w:cs="Arial" w:eastAsia="Arial" w:hAnsi="Arial"/>
          <w:sz w:val="18"/>
          <w:szCs w:val="18"/>
          <w:color w:val="auto"/>
        </w:rPr>
      </w:pPr>
    </w:p>
    <w:p>
      <w:pPr>
        <w:ind w:left="860" w:right="180" w:hanging="424"/>
        <w:spacing w:after="0" w:line="271" w:lineRule="auto"/>
        <w:tabs>
          <w:tab w:leader="none" w:pos="8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understands and acknowledges the existence and nature of the underwriting discounts, commissions and fees, and any other related fees, compensation arrangements or financial interests, described in this prospectus supplement and the accompanying prospectus; and 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Transactions.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9" w:lineRule="exact"/>
        <w:rPr>
          <w:sz w:val="20"/>
          <w:szCs w:val="20"/>
          <w:color w:val="auto"/>
        </w:rPr>
      </w:pPr>
    </w:p>
    <w:p>
      <w:pPr>
        <w:ind w:right="440" w:firstLine="441"/>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w:t>
      </w:r>
    </w:p>
    <w:p>
      <w:pPr>
        <w:spacing w:after="0" w:line="154" w:lineRule="exact"/>
        <w:rPr>
          <w:sz w:val="20"/>
          <w:szCs w:val="20"/>
          <w:color w:val="auto"/>
        </w:rPr>
      </w:pPr>
    </w:p>
    <w:p>
      <w:pPr>
        <w:jc w:val="both"/>
        <w:ind w:right="120" w:firstLine="441"/>
        <w:spacing w:after="0" w:line="238"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w:t>
      </w:r>
    </w:p>
    <w:p>
      <w:pPr>
        <w:spacing w:after="0" w:line="154" w:lineRule="exact"/>
        <w:rPr>
          <w:sz w:val="20"/>
          <w:szCs w:val="20"/>
          <w:color w:val="auto"/>
        </w:rPr>
      </w:pPr>
    </w:p>
    <w:p>
      <w:pPr>
        <w:jc w:val="both"/>
        <w:ind w:right="100" w:firstLine="441"/>
        <w:spacing w:after="0" w:line="239" w:lineRule="auto"/>
        <w:rPr>
          <w:sz w:val="20"/>
          <w:szCs w:val="20"/>
          <w:color w:val="auto"/>
        </w:rPr>
      </w:pPr>
      <w:r>
        <w:rPr>
          <w:rFonts w:ascii="Arial" w:cs="Arial" w:eastAsia="Arial" w:hAnsi="Arial"/>
          <w:sz w:val="18"/>
          <w:szCs w:val="18"/>
          <w:color w:val="auto"/>
        </w:rPr>
        <w:t>In particular, affiliates of certain of the underwriters are agents and/or lenders under the senior secured credit facilities of our subsidiary Wynn America, LLC, and/or under the senior</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000"/>
          </w:cols>
          <w:pgMar w:left="440" w:top="269" w:right="459" w:bottom="1440" w:gutter="0" w:footer="0" w:header="0"/>
        </w:sectPr>
      </w:pPr>
    </w:p>
    <w:bookmarkStart w:id="34" w:name="page35"/>
    <w:bookmarkEnd w:id="34"/>
    <w:p>
      <w:pPr>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secured credit facilities of our subsidiary Wynn Resorts (Macau) S.A. and/or expected to be lenders under the Bridge Facility. Furthermore,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61" w:lineRule="exact"/>
        <w:rPr>
          <w:sz w:val="20"/>
          <w:szCs w:val="20"/>
          <w:color w:val="auto"/>
        </w:rPr>
      </w:pPr>
    </w:p>
    <w:p>
      <w:pPr>
        <w:ind w:right="140" w:firstLine="441"/>
        <w:spacing w:after="0" w:line="236" w:lineRule="auto"/>
        <w:rPr>
          <w:sz w:val="20"/>
          <w:szCs w:val="20"/>
          <w:color w:val="auto"/>
        </w:rPr>
      </w:pPr>
      <w:r>
        <w:rPr>
          <w:rFonts w:ascii="Arial" w:cs="Arial" w:eastAsia="Arial" w:hAnsi="Arial"/>
          <w:sz w:val="18"/>
          <w:szCs w:val="18"/>
          <w:color w:val="auto"/>
        </w:rPr>
        <w:t>On March 9, 2018, we entered into a commitment letter with an affiliate of Deutsche Bank Securities for the Bridge Facility. The annual interest rate applicable to the Bridge Facility is, at the option of the Company, (i) LIBOR plus the Applicable Margin or the (ii) the Base Rate plus the Applicable Margin. The Company intends to use the net proceeds of the Bridge Facility, along with cash on hand and approximately $250 million of borrowings under the senior revolving credit facility under the Wynn America Credit Facilities to repay the Redemption Note and to pay the Additional Redemption Note Amount and the fees and expenses incurred in connection therewith. The proceeds of the Common Stock offered hereby are anticipated to be used to repay amounts to be borrowed under the Bridge Facility and to repay certain other indebtedness.</w:t>
      </w:r>
    </w:p>
    <w:p>
      <w:pPr>
        <w:spacing w:after="0" w:line="155" w:lineRule="exact"/>
        <w:rPr>
          <w:sz w:val="20"/>
          <w:szCs w:val="20"/>
          <w:color w:val="auto"/>
        </w:rPr>
      </w:pPr>
    </w:p>
    <w:p>
      <w:pPr>
        <w:ind w:firstLine="441"/>
        <w:spacing w:after="0" w:line="269" w:lineRule="auto"/>
        <w:rPr>
          <w:sz w:val="20"/>
          <w:szCs w:val="20"/>
          <w:color w:val="auto"/>
        </w:rPr>
      </w:pPr>
      <w:r>
        <w:rPr>
          <w:rFonts w:ascii="Arial" w:cs="Arial" w:eastAsia="Arial" w:hAnsi="Arial"/>
          <w:sz w:val="16"/>
          <w:szCs w:val="16"/>
          <w:color w:val="auto"/>
        </w:rPr>
        <w:t>Because affiliates of certain of the underwriters are lenders under the senior secured credit facilities of our subsidiary Wynn America, LLC, and/or lenders under the senior secured credit facilities of our subsidiary Wynn Resorts (Macau) S.A., and/or are expected to be lenders under the Bridge Facility to be borrowed, and could receive at least 5% of the net proceeds from this offering, certain of the underwriters could be deemed to have a “conflict of interest” under Rule 5121. Accordingly, this offering is being made in compliance with the requirements of Rule 5121. The appointment of a “qualified independent underwriter” is not required in connection with this offering because a “bona fide public market,” as defined in Rule 5121, exists for our common stock. In accordance with Rule 5121, none of the underwriters will confirm any sales to any account over which it exercises discretionary authority without the specific written approval of the transaction from the account holder. See “Use of Proceeds” on page S-12 for information about our proposed use of the net proceeds of this offering.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000"/>
          </w:cols>
          <w:pgMar w:left="440" w:top="291" w:right="45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MATTERS</w:t>
      </w:r>
    </w:p>
    <w:p>
      <w:pPr>
        <w:spacing w:after="0" w:line="180"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color w:val="auto"/>
        </w:rPr>
        <w:t>Certain legal matters in connection with this offering will be passed upon for us by Latham &amp; Watkins LLP, and for the underwriters by Cahill Gordon &amp; Reindel LLP. Certain matters of Nevada law will be passed upon for us by Brownstein Hyatt Farber Schreck, LLP, Las Vegas, Nevada.</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right="140" w:firstLine="441"/>
        <w:spacing w:after="0" w:line="23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and schedule included in our Annual Report on Form 10-K for the year ended December 31, 2017, and the effectiveness of our internal control over financial reporting as of December 31, 2017, as set forth in their reports, which are incorporated by reference in this prospectus supplement. Our financial statements and schedule are incorporated by reference in reliance on Ernst &amp; Young LLP’s reports, given on their authority as experts in accounting and auditing.</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0980"/>
          </w:cols>
          <w:pgMar w:left="440" w:top="269"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283210</wp:posOffset>
            </wp:positionV>
            <wp:extent cx="2958465" cy="128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5846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Wynn Resorts, Limited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relates to offers and sales to the public from time to time of:</w:t>
      </w:r>
    </w:p>
    <w:p>
      <w:pPr>
        <w:spacing w:after="0" w:line="131" w:lineRule="exact"/>
        <w:rPr>
          <w:sz w:val="20"/>
          <w:szCs w:val="20"/>
          <w:color w:val="auto"/>
        </w:rPr>
      </w:pPr>
    </w:p>
    <w:p>
      <w:pPr>
        <w:ind w:left="860" w:hanging="316"/>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shares of our preferred stock, par value $0.01;</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depositary shares representing preferred stock;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3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Prospectus supplements will be filed and other offering material may be provided at later dates that will contain specific terms of each offering of our securities.</w:t>
      </w:r>
    </w:p>
    <w:p>
      <w:pPr>
        <w:spacing w:after="0" w:line="27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Our common stock is quoted on the NASDAQ Global Select Market under the symbol “WYNN.” Our principal executive offices are located at 3131 Las Vegas Boulevard South, Las Vegas, Nevada 89109 and the telephone number of our principal executive offices is (702) 770-7000.</w:t>
      </w:r>
    </w:p>
    <w:p>
      <w:pPr>
        <w:spacing w:after="0" w:line="25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i w:val="1"/>
          <w:iCs w:val="1"/>
          <w:color w:val="auto"/>
        </w:rPr>
        <w:t>We urge you to read carefully this prospectus, any accompanying prospectus supplement and any other offering materials filed or provided by us before you make your investment decision. This prospectus may not be used to sell securities unless accompanied by a prospectus supplement.</w:t>
      </w:r>
    </w:p>
    <w:p>
      <w:pPr>
        <w:spacing w:after="0" w:line="282" w:lineRule="exact"/>
        <w:rPr>
          <w:sz w:val="20"/>
          <w:szCs w:val="20"/>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4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2.</w:t>
      </w:r>
    </w:p>
    <w:p>
      <w:pPr>
        <w:spacing w:after="0" w:line="350"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these securities or determined if this prospectus or any accompanying prospectus supplement is truthful or complete. Any representation to the contrary is a criminal offense.</w:t>
      </w:r>
    </w:p>
    <w:p>
      <w:pPr>
        <w:spacing w:after="0" w:line="3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securities offered hereby. Any representation to the contrary is unlawful.</w:t>
      </w: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date of this prospectus is November 8, 2016.</w:t>
      </w:r>
    </w:p>
    <w:p>
      <w:pPr>
        <w:sectPr>
          <w:pgSz w:w="11900" w:h="16838" w:orient="portrait"/>
          <w:cols w:equalWidth="0" w:num="1">
            <w:col w:w="10960"/>
          </w:cols>
          <w:pgMar w:left="440" w:top="270" w:right="4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0" w:type="dxa"/>
            <w:vAlign w:val="bottom"/>
            <w:gridSpan w:val="2"/>
          </w:tcPr>
          <w:p>
            <w:pPr>
              <w:ind w:left="740"/>
              <w:spacing w:after="0"/>
              <w:rPr>
                <w:sz w:val="20"/>
                <w:szCs w:val="20"/>
                <w:color w:val="auto"/>
              </w:rPr>
            </w:pPr>
            <w:r>
              <w:rPr>
                <w:rFonts w:ascii="Arial" w:cs="Arial" w:eastAsia="Arial" w:hAnsi="Arial"/>
                <w:sz w:val="18"/>
                <w:szCs w:val="18"/>
                <w:b w:val="1"/>
                <w:bCs w:val="1"/>
                <w:color w:val="auto"/>
              </w:rPr>
              <w:t>TABLE OF CONTENTS</w:t>
            </w:r>
          </w:p>
        </w:tc>
        <w:tc>
          <w:tcPr>
            <w:tcW w:w="1760" w:type="dxa"/>
            <w:vAlign w:val="bottom"/>
          </w:tcPr>
          <w:p>
            <w:pPr>
              <w:spacing w:after="0"/>
              <w:rPr>
                <w:sz w:val="20"/>
                <w:szCs w:val="20"/>
                <w:color w:val="auto"/>
              </w:rPr>
            </w:pPr>
          </w:p>
        </w:tc>
      </w:tr>
      <w:tr>
        <w:trPr>
          <w:trHeight w:val="419"/>
        </w:trPr>
        <w:tc>
          <w:tcPr>
            <w:tcW w:w="22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ABOUT THIS PROSPECTUS</w:t>
              </w:r>
            </w:hyperlink>
          </w:p>
        </w:tc>
        <w:tc>
          <w:tcPr>
            <w:tcW w:w="6980" w:type="dxa"/>
            <w:vAlign w:val="bottom"/>
            <w:gridSpan w:val="7"/>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RISK FACTORS</w:t>
              </w:r>
            </w:hyperlink>
          </w:p>
        </w:tc>
        <w:tc>
          <w:tcPr>
            <w:tcW w:w="7960" w:type="dxa"/>
            <w:vAlign w:val="bottom"/>
            <w:gridSpan w:val="10"/>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82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WHERE YOU CAN FIND MORE INFORMATION</w:t>
              </w:r>
            </w:hyperlink>
          </w:p>
        </w:tc>
        <w:tc>
          <w:tcPr>
            <w:tcW w:w="5400" w:type="dxa"/>
            <w:vAlign w:val="bottom"/>
            <w:gridSpan w:val="2"/>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9220" w:type="dxa"/>
            <w:vAlign w:val="bottom"/>
            <w:gridSpan w:val="1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INCORPORATION BY REFERENCE</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FORWARD-LOOKING STATEMENTS</w:t>
              </w:r>
            </w:hyperlink>
          </w:p>
        </w:tc>
        <w:tc>
          <w:tcPr>
            <w:tcW w:w="6280" w:type="dxa"/>
            <w:vAlign w:val="bottom"/>
            <w:gridSpan w:val="3"/>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220" w:type="dxa"/>
            <w:vAlign w:val="bottom"/>
            <w:gridSpan w:val="1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THE COMPANY</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20" w:type="dxa"/>
            <w:vAlign w:val="bottom"/>
            <w:gridSpan w:val="1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RATIO OF EARNINGS TO COMBINED FIXED CHARGES AND PREFERRED STOCK DIVIDENDS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76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USE OF PROCEEDS</w:t>
              </w:r>
            </w:hyperlink>
          </w:p>
        </w:tc>
        <w:tc>
          <w:tcPr>
            <w:tcW w:w="156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78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9220" w:type="dxa"/>
            <w:vAlign w:val="bottom"/>
            <w:gridSpan w:val="1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THE SECURITIES</w:t>
              </w:r>
            </w:hyperlink>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VALIDITY OF THE SECURITIES</w:t>
              </w:r>
            </w:hyperlink>
          </w:p>
        </w:tc>
        <w:tc>
          <w:tcPr>
            <w:tcW w:w="320" w:type="dxa"/>
            <w:vAlign w:val="bottom"/>
            <w:tcBorders>
              <w:top w:val="single" w:sz="8" w:color="0000EE"/>
            </w:tcBorders>
            <w:gridSpan w:val="2"/>
          </w:tcPr>
          <w:p>
            <w:pPr>
              <w:spacing w:after="0"/>
              <w:rPr>
                <w:sz w:val="17"/>
                <w:szCs w:val="17"/>
                <w:color w:val="auto"/>
              </w:rPr>
            </w:pPr>
          </w:p>
        </w:tc>
        <w:tc>
          <w:tcPr>
            <w:tcW w:w="6320" w:type="dxa"/>
            <w:vAlign w:val="bottom"/>
            <w:gridSpan w:val="4"/>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EXPERTS</w:t>
              </w:r>
            </w:hyperlink>
          </w:p>
        </w:tc>
        <w:tc>
          <w:tcPr>
            <w:tcW w:w="8440" w:type="dxa"/>
            <w:vAlign w:val="bottom"/>
            <w:gridSpan w:val="11"/>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80"/>
        <w:spacing w:after="0" w:line="277"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and its consolidated subsidiaries.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38" w:name="page39"/>
    <w:bookmarkEnd w:id="3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ABOUT THIS PROSPECTUS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 using a “shelf” registration process. Under this shelf process, the securities described in this prospectus may be offered and sold to the public in one or more offerings. This prospectus provides you with a general description of the securities we may offer. Each time securities are offered and sold pursuant to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40" w:top="270" w:right="539" w:bottom="1440" w:gutter="0" w:footer="0" w:header="0"/>
        </w:sectPr>
      </w:pPr>
    </w:p>
    <w:bookmarkStart w:id="39" w:name="page40"/>
    <w:bookmarkEnd w:id="3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 FACTORS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Investing in our securities involves risks. You are urged to read and carefully consider the information under the heading “Risk Factors” in our Annual Report on Form 10-K for the year ended December 31, 2015, which is incorporated by reference into this prospectus, and in documents we file with the SEC after the date of this prospectus and which are incorporated by reference into this prospectus, as described below under the heading “Incorporation by Reference.” Before making an investment decision, you should carefully consider these risks as well as other information we incorporate by reference into this prospectus. The risks and uncertainties that we have described are not the only ones facing us. The prospectus supplement applicable to each offering of our securities will contain additional information about risks applicable to an investment in us and shares of our securities.</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0" w:right="51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YOU CAN FIND MORE INFORMATION</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that we file with the SEC may be read and copied at the SEC’s Public Reference Room at 100 F Street, N.E., Washington, D.C. 20549. You may obtain information on the operation of the Public Reference Room by calling the SEC at 1-800-SEC-0330. The SEC also maintains an Internet site at http://www.sec.gov that contains reports, proxy and information statements, and other information regarding issuers, like Wynn Resorts, that file electronically with the SEC. Our filings with the SEC also may be accessed through our Internet website at http://www.wynnresorts.com. Our website, and the information contained in, accessible from or connected to our website, shall not be deemed to be incorporated into, or otherwise constitute a part of, this prospectus.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INCORPORATION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131" w:lineRule="exact"/>
        <w:rPr>
          <w:sz w:val="20"/>
          <w:szCs w:val="20"/>
          <w:color w:val="auto"/>
        </w:rPr>
      </w:pPr>
    </w:p>
    <w:p>
      <w:pPr>
        <w:ind w:left="860" w:right="20" w:hanging="316"/>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documents, including exhibits and other information not included in this prospectus or a prospectus supplement, are considered part of this prospectus;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disclosing important business and financial information to you by referring you to those documents; and</w:t>
      </w:r>
    </w:p>
    <w:p>
      <w:pPr>
        <w:spacing w:after="0" w:line="130" w:lineRule="exact"/>
        <w:rPr>
          <w:rFonts w:ascii="Arial" w:cs="Arial" w:eastAsia="Arial" w:hAnsi="Arial"/>
          <w:sz w:val="18"/>
          <w:szCs w:val="18"/>
          <w:color w:val="auto"/>
        </w:rPr>
      </w:pPr>
    </w:p>
    <w:p>
      <w:pPr>
        <w:ind w:left="860" w:right="60" w:hanging="316"/>
        <w:spacing w:after="0" w:line="277"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into this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incorporating by reference into this prospectus the following documents filed with the SEC:</w:t>
      </w:r>
    </w:p>
    <w:p>
      <w:pPr>
        <w:spacing w:after="0" w:line="131" w:lineRule="exact"/>
        <w:rPr>
          <w:sz w:val="20"/>
          <w:szCs w:val="20"/>
          <w:color w:val="auto"/>
        </w:rPr>
      </w:pPr>
    </w:p>
    <w:p>
      <w:pPr>
        <w:ind w:left="860" w:hanging="316"/>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2015;</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2016, June 30, 2016 and September 30, 2016;</w:t>
      </w:r>
    </w:p>
    <w:p>
      <w:pPr>
        <w:spacing w:after="0" w:line="130" w:lineRule="exact"/>
        <w:rPr>
          <w:rFonts w:ascii="Arial" w:cs="Arial" w:eastAsia="Arial" w:hAnsi="Arial"/>
          <w:sz w:val="18"/>
          <w:szCs w:val="18"/>
          <w:color w:val="auto"/>
        </w:rPr>
      </w:pPr>
    </w:p>
    <w:p>
      <w:pPr>
        <w:ind w:left="860" w:right="100" w:hanging="316"/>
        <w:spacing w:after="0" w:line="264"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reports on Form 8-K filed on February 11, 2016 (with respect to Item 8.01 only), April 20, 2016, May 5, 2016 (with respect to Item 8.01 only), July 6, 2016, July 28, 2016 (with respect to Item 8.01 only), August 23, 2016, and November 2, 2016 (with respect to Item 8.01 only);</w:t>
      </w:r>
    </w:p>
    <w:p>
      <w:pPr>
        <w:spacing w:after="0" w:line="86" w:lineRule="exact"/>
        <w:rPr>
          <w:rFonts w:ascii="Arial" w:cs="Arial" w:eastAsia="Arial" w:hAnsi="Arial"/>
          <w:sz w:val="18"/>
          <w:szCs w:val="18"/>
          <w:color w:val="auto"/>
        </w:rPr>
      </w:pPr>
    </w:p>
    <w:p>
      <w:pPr>
        <w:ind w:left="860" w:right="240" w:hanging="316"/>
        <w:spacing w:after="0" w:line="342" w:lineRule="auto"/>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on October 7, 2002 (File No. 000-50028), including any amendment or reports filed for the purpose of updating the description of our common stock contained therein; and</w:t>
      </w:r>
    </w:p>
    <w:p>
      <w:pPr>
        <w:spacing w:after="0" w:line="29" w:lineRule="exact"/>
        <w:rPr>
          <w:rFonts w:ascii="Arial" w:cs="Arial" w:eastAsia="Arial" w:hAnsi="Arial"/>
          <w:sz w:val="16"/>
          <w:szCs w:val="16"/>
          <w:color w:val="auto"/>
        </w:rPr>
      </w:pPr>
    </w:p>
    <w:p>
      <w:pPr>
        <w:ind w:left="860" w:right="280" w:hanging="316"/>
        <w:spacing w:after="0" w:line="342" w:lineRule="auto"/>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other documents that we file with the SEC pursuant to Section 13(a), 13(c), 14 or 15(d) of the Exchange Act after the date of this prospectus and prior to termination of the offering of securities offered by this prospectus and any accompanying prospectus supplement.</w:t>
      </w:r>
    </w:p>
    <w:p>
      <w:pPr>
        <w:spacing w:after="0" w:line="12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under Item 9.01, is not incorporated by reference into this prospectus.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You should rely only on the information contained or incorporated by reference into this prospectus. We have not authorized anyone to provide you with any additional information. Any statement contained in this prospectus, or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Copies of the documents incorporated by reference into this prospectus are available from us upon request. We will provide to each person, including any beneficial owner, to whom a prospectus is delivered, a copy of any or all of the information that has been incorporated by reference into this prospectus, but not delivered with this prospectus, without charge to the requester, upon written or oral request. Exhibits to information incorporated by reference into this prospectus will not be sent, however, unless those exhibits have specifically been incorporated by reference into such information. Requests for such copies should be directed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5380" w:hanging="428"/>
        <w:spacing w:after="0"/>
        <w:tabs>
          <w:tab w:leader="none" w:pos="5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770-7555</w:t>
      </w:r>
    </w:p>
    <w:p>
      <w:pPr>
        <w:spacing w:after="0" w:line="9"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into this prospectus.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prospectus, including the documents incorporated by reference into this prospectus, contains forward-looking statements, including, but not limited to, statements relating to our business strategy, development activities, competition and possible or assumed future results of operations. Any statements contained in this prospectus, including the documents incorporated by reference into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similar expressions.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84" w:lineRule="exact"/>
        <w:rPr>
          <w:sz w:val="20"/>
          <w:szCs w:val="20"/>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general global political and economic conditions, particularly in China, which may impact levels of travel, leisure and consumer spending;</w:t>
      </w:r>
    </w:p>
    <w:p>
      <w:pPr>
        <w:spacing w:after="0" w:line="153" w:lineRule="exact"/>
        <w:rPr>
          <w:rFonts w:ascii="Arial" w:cs="Arial" w:eastAsia="Arial" w:hAnsi="Arial"/>
          <w:sz w:val="16"/>
          <w:szCs w:val="16"/>
          <w:color w:val="auto"/>
        </w:rPr>
      </w:pPr>
    </w:p>
    <w:p>
      <w:pPr>
        <w:ind w:left="860" w:right="280" w:hanging="316"/>
        <w:spacing w:after="0" w:line="308" w:lineRule="auto"/>
        <w:tabs>
          <w:tab w:leader="none" w:pos="8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spacing w:after="0" w:line="51" w:lineRule="exact"/>
        <w:rPr>
          <w:rFonts w:ascii="Arial" w:cs="Arial" w:eastAsia="Arial" w:hAnsi="Arial"/>
          <w:sz w:val="17"/>
          <w:szCs w:val="17"/>
          <w:color w:val="auto"/>
        </w:rPr>
      </w:pPr>
    </w:p>
    <w:p>
      <w:pPr>
        <w:ind w:left="860" w:right="100" w:hanging="316"/>
        <w:spacing w:after="0" w:line="264"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in Macau and government labor and gaming policies, unexpected cost increases, transportation infrastructure, environmental regulation and our ability to secure federal, state and local permits and approvals necessary for our construction projects);</w:t>
      </w:r>
    </w:p>
    <w:p>
      <w:pPr>
        <w:spacing w:after="0" w:line="86"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valuation of the promissory note we issued in connection with the redemption of Mr. Okada’s shares;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ours;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pending or future legal proceedings, regulatory or enforcement actions or probity investigations;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130" w:lineRule="exact"/>
        <w:rPr>
          <w:rFonts w:ascii="Arial" w:cs="Arial" w:eastAsia="Arial" w:hAnsi="Arial"/>
          <w:sz w:val="18"/>
          <w:szCs w:val="18"/>
          <w:color w:val="auto"/>
        </w:rPr>
      </w:pPr>
    </w:p>
    <w:p>
      <w:pPr>
        <w:ind w:left="860" w:right="360" w:hanging="316"/>
        <w:spacing w:after="0" w:line="277"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130" w:lineRule="exact"/>
        <w:rPr>
          <w:rFonts w:ascii="Arial" w:cs="Arial" w:eastAsia="Arial" w:hAnsi="Arial"/>
          <w:sz w:val="18"/>
          <w:szCs w:val="18"/>
          <w:color w:val="auto"/>
        </w:rPr>
      </w:pPr>
    </w:p>
    <w:p>
      <w:pPr>
        <w:ind w:left="860" w:right="80" w:hanging="316"/>
        <w:spacing w:after="0" w:line="277" w:lineRule="auto"/>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extensive regulation of our business (including the Chinese government’s ongoing anti-corruption campaign) and the cost of compliance or failure to comply with applicable laws and regulations;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43" w:name="page44"/>
    <w:bookmarkEnd w:id="43"/>
    <w:p>
      <w:pPr>
        <w:ind w:left="860" w:hanging="316"/>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precedent to funding under our credit facilities;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130" w:lineRule="exact"/>
        <w:rPr>
          <w:rFonts w:ascii="Arial" w:cs="Arial" w:eastAsia="Arial" w:hAnsi="Arial"/>
          <w:sz w:val="18"/>
          <w:szCs w:val="18"/>
          <w:color w:val="auto"/>
        </w:rPr>
      </w:pPr>
    </w:p>
    <w:p>
      <w:pPr>
        <w:ind w:left="860" w:right="80" w:hanging="316"/>
        <w:spacing w:after="0" w:line="277"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subsidiaries’ ability to pay us dividends and distributions;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legalization of gaming in certain jurisdictions;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exchange rates.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the sections entitled “Risk Factors” in our Annual Report on Form 10-K for the year ended December 31, 2015,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440" w:top="274" w:right="59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developer, owner and operator of destination casino resorts (integrated resorts). In the Macau Special Administrative Region of the People’s Republic of China, the Company owns approximately 72% of Wynn Macau, Limited and the Company operates the integrated Wynn Macau and Encore at Wynn Macau resort and the integrated Wynn Palace. In Las Vegas, Nevada, the Company owns 100% of and operates the integrated Wynn Las Vegas and Encore at Wynn Las Vegas resort. We are also currently constructing Wynn Boston Harbor, an integrated resort in Everett, Massachusetts, adjacent to Boston.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770-7000.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0" w:right="47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RATIO OF EARNINGS TO COMBINED FIXED CHARGES AND PREFERRED STOCK DIVIDENDS</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following table sets forth our historical ratios of earnings to fixed charges and our historical ratios of earnings to fixed charges and dividends on preferred stock for the periods indicated. This information should be read in conjunction with the consolidated financial statements and the accompanying notes incorporated by reference in this prospectus.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Nine months</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6"/>
            <w:vMerge w:val="restart"/>
          </w:tcPr>
          <w:p>
            <w:pPr>
              <w:jc w:val="center"/>
              <w:ind w:right="260"/>
              <w:spacing w:after="0"/>
              <w:rPr>
                <w:sz w:val="20"/>
                <w:szCs w:val="20"/>
                <w:color w:val="auto"/>
              </w:rPr>
            </w:pPr>
            <w:r>
              <w:rPr>
                <w:rFonts w:ascii="Arial" w:cs="Arial" w:eastAsia="Arial" w:hAnsi="Arial"/>
                <w:sz w:val="14"/>
                <w:szCs w:val="14"/>
                <w:b w:val="1"/>
                <w:bCs w:val="1"/>
                <w:color w:val="auto"/>
                <w:w w:val="90"/>
              </w:rPr>
              <w:t>Years ended December 31,</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ended</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gridSpan w:val="6"/>
            <w:vMerge w:val="continue"/>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700" w:type="dxa"/>
            <w:vAlign w:val="bottom"/>
            <w:gridSpan w:val="3"/>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c>
          <w:tcPr>
            <w:tcW w:w="46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4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4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4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Ratio of earnings to combined fixed charges and preferred stock dividends</w:t>
            </w:r>
          </w:p>
        </w:tc>
        <w:tc>
          <w:tcPr>
            <w:tcW w:w="5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0"/>
              </w:rPr>
              <w:t>1.33x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1.69x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3.63x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0"/>
              </w:rPr>
              <w:t>4.14x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3.52x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4.50x</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For purposes of these calculations, earnings consist of income from continuing operations before provision for income taxes and before fixed charges. Combined fixed charges include interest expense and a portion of rental expense deemed a reasonable approximation of the interest factor. We had no preferred stock issued and outstanding for any of the periods presented.</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440" w:top="270" w:right="41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OF PROCEEDS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Unless otherwise stated in the applicable prospectus supplement, we intend to use the net proceeds of any securities sold by us for general corporate purposes. General corporate purposes may include repayment of debt, acquisitions, additions to working capital, capital expenditures and investments in our subsidiaries.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47" w:name="page48"/>
    <w:bookmarkEnd w:id="47"/>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THE SECURITIES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description of the specific terms of any common stock, preferred stock, depositary shares or debt securities that may be offered under this prospectus will be set forth in the applicable prospectus supplement relating to those securities. The terms of the offering of the securities, the initial offering price and the net proceeds to us will also be contained in any applicable prospectus supplement or other offering materials relating to such offer. Such materials may also add, update or change information contained in this prospectus.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40" w:top="270" w:right="559" w:bottom="1440" w:gutter="0" w:footer="0" w:header="0"/>
        </w:sectPr>
      </w:pPr>
    </w:p>
    <w:bookmarkStart w:id="48" w:name="page49"/>
    <w:bookmarkEnd w:id="48"/>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VALIDITY OF THE SECURITIES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Unless otherwise specified in connection with the particular offering of securities, the validity of any securities issued under this prospectus will be passed upon for us by Gibson, Dunn &amp; Crutcher LLP, New York, New York, and, with respect to matters of Nevada law, by Brownstein Hyatt Farber Schreck, LLP, Las Vegas, Nevada. Any underwriters will be represented by their own legal counsel.</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40"/>
          </w:cols>
          <w:pgMar w:left="440" w:top="270" w:right="71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EXPERTS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consolidated financial statements of Wynn Resorts, Limited appearing in Wynn Resorts, Limited’s Annual Report (Form 10-K) for the year ended December 31, 2015 including schedules appearing therein, and the effectiveness of Wynn Resorts, Limited’s internal control over financial reporting as of December 31, 2015 have been audited by Ernst &amp; Young LLP, independent registered public accounting firm, as set forth in their reports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50" w:name="page51"/>
    <w:bookmarkEnd w:id="50"/>
    <w:p>
      <w:pPr>
        <w:ind w:firstLine="441"/>
        <w:spacing w:after="0" w:line="24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200660</wp:posOffset>
            </wp:positionV>
            <wp:extent cx="699770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243205</wp:posOffset>
            </wp:positionV>
            <wp:extent cx="6997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7700" cy="8890"/>
                    </a:xfrm>
                    <a:prstGeom prst="rect">
                      <a:avLst/>
                    </a:prstGeom>
                    <a:noFill/>
                  </pic:spPr>
                </pic:pic>
              </a:graphicData>
            </a:graphic>
          </wp:anchor>
        </w:drawing>
        <w:t>You should rely only on the information contained in this prospectus supplement. We have not authorized anyone to provide information different from that contained in this prospectus supplement. We are offering to sell, and seeking offers to buy Common Stock only in jurisdictions where the offers and sales are permitted. The information contained in this prospectus supplement is accurate only as of the date of this prospectus supplement, regardless of the time of delivery of this prospectus supplement or of any sale of our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180975</wp:posOffset>
            </wp:positionV>
            <wp:extent cx="14662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40" w:type="dxa"/>
            <w:vAlign w:val="bottom"/>
            <w:gridSpan w:val="3"/>
          </w:tcPr>
          <w:p>
            <w:pPr>
              <w:ind w:left="780"/>
              <w:spacing w:after="0"/>
              <w:rPr>
                <w:sz w:val="20"/>
                <w:szCs w:val="20"/>
                <w:color w:val="auto"/>
              </w:rPr>
            </w:pPr>
            <w:r>
              <w:rPr>
                <w:rFonts w:ascii="Arial" w:cs="Arial" w:eastAsia="Arial" w:hAnsi="Arial"/>
                <w:sz w:val="18"/>
                <w:szCs w:val="18"/>
                <w:b w:val="1"/>
                <w:bCs w:val="1"/>
                <w:color w:val="auto"/>
              </w:rPr>
              <w:t>TABLE OF CONTENTS</w:t>
            </w:r>
          </w:p>
        </w:tc>
        <w:tc>
          <w:tcPr>
            <w:tcW w:w="2260" w:type="dxa"/>
            <w:vAlign w:val="bottom"/>
          </w:tcPr>
          <w:p>
            <w:pPr>
              <w:spacing w:after="0"/>
              <w:rPr>
                <w:sz w:val="20"/>
                <w:szCs w:val="20"/>
                <w:color w:val="auto"/>
              </w:rPr>
            </w:pPr>
          </w:p>
        </w:tc>
      </w:tr>
      <w:tr>
        <w:trPr>
          <w:trHeight w:val="367"/>
        </w:trPr>
        <w:tc>
          <w:tcPr>
            <w:tcW w:w="86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226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83"/>
        </w:trPr>
        <w:tc>
          <w:tcPr>
            <w:tcW w:w="356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ABOUT THIS PROSPECTUS SUPPLEMENT</w:t>
              </w:r>
            </w:hyperlink>
          </w:p>
        </w:tc>
        <w:tc>
          <w:tcPr>
            <w:tcW w:w="240" w:type="dxa"/>
            <w:vAlign w:val="bottom"/>
            <w:tcBorders>
              <w:top w:val="single" w:sz="8" w:color="0000EE"/>
            </w:tcBorders>
            <w:gridSpan w:val="2"/>
          </w:tcPr>
          <w:p>
            <w:pPr>
              <w:spacing w:after="0"/>
              <w:rPr>
                <w:sz w:val="15"/>
                <w:szCs w:val="15"/>
                <w:color w:val="auto"/>
              </w:rPr>
            </w:pPr>
          </w:p>
        </w:tc>
        <w:tc>
          <w:tcPr>
            <w:tcW w:w="4840" w:type="dxa"/>
            <w:vAlign w:val="bottom"/>
            <w:gridSpan w:val="3"/>
          </w:tcPr>
          <w:p>
            <w:pPr>
              <w:spacing w:after="0"/>
              <w:rPr>
                <w:sz w:val="15"/>
                <w:szCs w:val="15"/>
                <w:color w:val="auto"/>
              </w:rPr>
            </w:pPr>
          </w:p>
        </w:tc>
        <w:tc>
          <w:tcPr>
            <w:tcW w:w="2260" w:type="dxa"/>
            <w:vAlign w:val="bottom"/>
          </w:tcPr>
          <w:p>
            <w:pPr>
              <w:jc w:val="right"/>
              <w:spacing w:after="0" w:line="182" w:lineRule="exact"/>
              <w:rPr>
                <w:sz w:val="20"/>
                <w:szCs w:val="20"/>
                <w:color w:val="auto"/>
              </w:rPr>
            </w:pPr>
            <w:r>
              <w:rPr>
                <w:rFonts w:ascii="Arial" w:cs="Arial" w:eastAsia="Arial" w:hAnsi="Arial"/>
                <w:sz w:val="18"/>
                <w:szCs w:val="18"/>
                <w:color w:val="auto"/>
              </w:rPr>
              <w:t>S-iii</w:t>
            </w:r>
          </w:p>
        </w:tc>
      </w:tr>
      <w:tr>
        <w:trPr>
          <w:trHeight w:val="183"/>
        </w:trPr>
        <w:tc>
          <w:tcPr>
            <w:tcW w:w="8640" w:type="dxa"/>
            <w:vAlign w:val="bottom"/>
            <w:gridSpan w:val="17"/>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INCORPORATION BY REFERENCE</w:t>
              </w:r>
            </w:hyperlink>
          </w:p>
        </w:tc>
        <w:tc>
          <w:tcPr>
            <w:tcW w:w="2260" w:type="dxa"/>
            <w:vAlign w:val="bottom"/>
          </w:tcPr>
          <w:p>
            <w:pPr>
              <w:jc w:val="right"/>
              <w:spacing w:after="0" w:line="182" w:lineRule="exact"/>
              <w:rPr>
                <w:sz w:val="20"/>
                <w:szCs w:val="20"/>
                <w:color w:val="auto"/>
              </w:rPr>
            </w:pPr>
            <w:r>
              <w:rPr>
                <w:rFonts w:ascii="Arial" w:cs="Arial" w:eastAsia="Arial" w:hAnsi="Arial"/>
                <w:sz w:val="18"/>
                <w:szCs w:val="18"/>
                <w:color w:val="auto"/>
              </w:rPr>
              <w:t>S-iv</w:t>
            </w: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83"/>
        </w:trPr>
        <w:tc>
          <w:tcPr>
            <w:tcW w:w="8640" w:type="dxa"/>
            <w:vAlign w:val="bottom"/>
            <w:gridSpan w:val="17"/>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SPECIAL NOTE REGARDING FORWARD-LOOKING STATEMENTS</w:t>
              </w:r>
            </w:hyperlink>
          </w:p>
        </w:tc>
        <w:tc>
          <w:tcPr>
            <w:tcW w:w="2260" w:type="dxa"/>
            <w:vAlign w:val="bottom"/>
          </w:tcPr>
          <w:p>
            <w:pPr>
              <w:jc w:val="right"/>
              <w:spacing w:after="0" w:line="182" w:lineRule="exact"/>
              <w:rPr>
                <w:sz w:val="20"/>
                <w:szCs w:val="20"/>
                <w:color w:val="auto"/>
              </w:rPr>
            </w:pPr>
            <w:r>
              <w:rPr>
                <w:rFonts w:ascii="Arial" w:cs="Arial" w:eastAsia="Arial" w:hAnsi="Arial"/>
                <w:sz w:val="18"/>
                <w:szCs w:val="18"/>
                <w:color w:val="auto"/>
              </w:rPr>
              <w:t>S-v</w:t>
            </w:r>
          </w:p>
        </w:tc>
      </w:tr>
      <w:tr>
        <w:trPr>
          <w:trHeight w:val="183"/>
        </w:trPr>
        <w:tc>
          <w:tcPr>
            <w:tcW w:w="540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INDUSTRY DATA</w:t>
              </w:r>
            </w:hyperlink>
          </w:p>
        </w:tc>
        <w:tc>
          <w:tcPr>
            <w:tcW w:w="3240" w:type="dxa"/>
            <w:vAlign w:val="bottom"/>
            <w:gridSpan w:val="2"/>
          </w:tcPr>
          <w:p>
            <w:pPr>
              <w:spacing w:after="0"/>
              <w:rPr>
                <w:sz w:val="15"/>
                <w:szCs w:val="15"/>
                <w:color w:val="auto"/>
              </w:rPr>
            </w:pPr>
          </w:p>
        </w:tc>
        <w:tc>
          <w:tcPr>
            <w:tcW w:w="2260" w:type="dxa"/>
            <w:vAlign w:val="bottom"/>
          </w:tcPr>
          <w:p>
            <w:pPr>
              <w:jc w:val="right"/>
              <w:spacing w:after="0" w:line="182" w:lineRule="exact"/>
              <w:rPr>
                <w:sz w:val="20"/>
                <w:szCs w:val="20"/>
                <w:color w:val="auto"/>
              </w:rPr>
            </w:pPr>
            <w:r>
              <w:rPr>
                <w:rFonts w:ascii="Arial" w:cs="Arial" w:eastAsia="Arial" w:hAnsi="Arial"/>
                <w:sz w:val="18"/>
                <w:szCs w:val="18"/>
                <w:color w:val="auto"/>
              </w:rPr>
              <w:t>S-v</w:t>
            </w:r>
          </w:p>
        </w:tc>
      </w:tr>
      <w:tr>
        <w:trPr>
          <w:trHeight w:val="183"/>
        </w:trPr>
        <w:tc>
          <w:tcPr>
            <w:tcW w:w="9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SUMMARY</w:t>
              </w:r>
            </w:hyperlink>
          </w:p>
        </w:tc>
        <w:tc>
          <w:tcPr>
            <w:tcW w:w="480" w:type="dxa"/>
            <w:vAlign w:val="bottom"/>
            <w:tcBorders>
              <w:top w:val="single" w:sz="8" w:color="0000EE"/>
            </w:tcBorders>
            <w:gridSpan w:val="2"/>
          </w:tcPr>
          <w:p>
            <w:pPr>
              <w:spacing w:after="0"/>
              <w:rPr>
                <w:sz w:val="15"/>
                <w:szCs w:val="15"/>
                <w:color w:val="auto"/>
              </w:rPr>
            </w:pPr>
          </w:p>
        </w:tc>
        <w:tc>
          <w:tcPr>
            <w:tcW w:w="7260" w:type="dxa"/>
            <w:vAlign w:val="bottom"/>
            <w:gridSpan w:val="13"/>
          </w:tcPr>
          <w:p>
            <w:pPr>
              <w:spacing w:after="0"/>
              <w:rPr>
                <w:sz w:val="15"/>
                <w:szCs w:val="15"/>
                <w:color w:val="auto"/>
              </w:rPr>
            </w:pPr>
          </w:p>
        </w:tc>
        <w:tc>
          <w:tcPr>
            <w:tcW w:w="2260" w:type="dxa"/>
            <w:vAlign w:val="bottom"/>
          </w:tcPr>
          <w:p>
            <w:pPr>
              <w:jc w:val="right"/>
              <w:spacing w:after="0" w:line="182" w:lineRule="exact"/>
              <w:rPr>
                <w:sz w:val="20"/>
                <w:szCs w:val="20"/>
                <w:color w:val="auto"/>
              </w:rPr>
            </w:pPr>
            <w:r>
              <w:rPr>
                <w:rFonts w:ascii="Arial" w:cs="Arial" w:eastAsia="Arial" w:hAnsi="Arial"/>
                <w:sz w:val="18"/>
                <w:szCs w:val="18"/>
                <w:color w:val="auto"/>
              </w:rPr>
              <w:t>S-1</w:t>
            </w:r>
          </w:p>
        </w:tc>
      </w:tr>
      <w:tr>
        <w:trPr>
          <w:trHeight w:val="183"/>
        </w:trPr>
        <w:tc>
          <w:tcPr>
            <w:tcW w:w="8640" w:type="dxa"/>
            <w:vAlign w:val="bottom"/>
            <w:gridSpan w:val="17"/>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2260" w:type="dxa"/>
            <w:vAlign w:val="bottom"/>
          </w:tcPr>
          <w:p>
            <w:pPr>
              <w:jc w:val="right"/>
              <w:spacing w:after="0" w:line="182" w:lineRule="exact"/>
              <w:rPr>
                <w:sz w:val="20"/>
                <w:szCs w:val="20"/>
                <w:color w:val="auto"/>
              </w:rPr>
            </w:pPr>
            <w:r>
              <w:rPr>
                <w:rFonts w:ascii="Arial" w:cs="Arial" w:eastAsia="Arial" w:hAnsi="Arial"/>
                <w:sz w:val="18"/>
                <w:szCs w:val="18"/>
                <w:color w:val="auto"/>
              </w:rPr>
              <w:t>S-6</w:t>
            </w:r>
          </w:p>
        </w:tc>
      </w:tr>
      <w:tr>
        <w:trPr>
          <w:trHeight w:val="20"/>
        </w:trPr>
        <w:tc>
          <w:tcPr>
            <w:tcW w:w="8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83"/>
        </w:trPr>
        <w:tc>
          <w:tcPr>
            <w:tcW w:w="170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USE OF PROCEEDS</w:t>
              </w:r>
            </w:hyperlink>
          </w:p>
        </w:tc>
        <w:tc>
          <w:tcPr>
            <w:tcW w:w="6940" w:type="dxa"/>
            <w:vAlign w:val="bottom"/>
            <w:gridSpan w:val="9"/>
          </w:tcPr>
          <w:p>
            <w:pPr>
              <w:spacing w:after="0"/>
              <w:rPr>
                <w:sz w:val="15"/>
                <w:szCs w:val="15"/>
                <w:color w:val="auto"/>
              </w:rPr>
            </w:pPr>
          </w:p>
        </w:tc>
        <w:tc>
          <w:tcPr>
            <w:tcW w:w="2260" w:type="dxa"/>
            <w:vAlign w:val="bottom"/>
          </w:tcPr>
          <w:p>
            <w:pPr>
              <w:jc w:val="right"/>
              <w:spacing w:after="0" w:line="182" w:lineRule="exact"/>
              <w:rPr>
                <w:sz w:val="20"/>
                <w:szCs w:val="20"/>
                <w:color w:val="auto"/>
              </w:rPr>
            </w:pPr>
            <w:r>
              <w:rPr>
                <w:rFonts w:ascii="Arial" w:cs="Arial" w:eastAsia="Arial" w:hAnsi="Arial"/>
                <w:sz w:val="18"/>
                <w:szCs w:val="18"/>
                <w:color w:val="auto"/>
              </w:rPr>
              <w:t>S-11</w:t>
            </w:r>
          </w:p>
        </w:tc>
      </w:tr>
      <w:tr>
        <w:trPr>
          <w:trHeight w:val="183"/>
        </w:trPr>
        <w:tc>
          <w:tcPr>
            <w:tcW w:w="8640" w:type="dxa"/>
            <w:vAlign w:val="bottom"/>
            <w:gridSpan w:val="17"/>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CAPITALIZATION</w:t>
              </w:r>
            </w:hyperlink>
          </w:p>
        </w:tc>
        <w:tc>
          <w:tcPr>
            <w:tcW w:w="2260" w:type="dxa"/>
            <w:vAlign w:val="bottom"/>
          </w:tcPr>
          <w:p>
            <w:pPr>
              <w:jc w:val="right"/>
              <w:spacing w:after="0" w:line="182" w:lineRule="exact"/>
              <w:rPr>
                <w:sz w:val="20"/>
                <w:szCs w:val="20"/>
                <w:color w:val="auto"/>
              </w:rPr>
            </w:pPr>
            <w:r>
              <w:rPr>
                <w:rFonts w:ascii="Arial" w:cs="Arial" w:eastAsia="Arial" w:hAnsi="Arial"/>
                <w:sz w:val="18"/>
                <w:szCs w:val="18"/>
                <w:color w:val="auto"/>
              </w:rPr>
              <w:t>S-12</w:t>
            </w:r>
          </w:p>
        </w:tc>
      </w:tr>
      <w:tr>
        <w:trPr>
          <w:trHeight w:val="20"/>
        </w:trPr>
        <w:tc>
          <w:tcPr>
            <w:tcW w:w="82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83"/>
        </w:trPr>
        <w:tc>
          <w:tcPr>
            <w:tcW w:w="8640" w:type="dxa"/>
            <w:vAlign w:val="bottom"/>
            <w:gridSpan w:val="17"/>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PRICE RANGE OF OUR COMMON STOCK</w:t>
              </w:r>
            </w:hyperlink>
          </w:p>
        </w:tc>
        <w:tc>
          <w:tcPr>
            <w:tcW w:w="2260" w:type="dxa"/>
            <w:vAlign w:val="bottom"/>
          </w:tcPr>
          <w:p>
            <w:pPr>
              <w:jc w:val="right"/>
              <w:spacing w:after="0" w:line="182" w:lineRule="exact"/>
              <w:rPr>
                <w:sz w:val="20"/>
                <w:szCs w:val="20"/>
                <w:color w:val="auto"/>
              </w:rPr>
            </w:pPr>
            <w:r>
              <w:rPr>
                <w:rFonts w:ascii="Arial" w:cs="Arial" w:eastAsia="Arial" w:hAnsi="Arial"/>
                <w:sz w:val="18"/>
                <w:szCs w:val="18"/>
                <w:color w:val="auto"/>
              </w:rPr>
              <w:t>S-14</w:t>
            </w:r>
          </w:p>
        </w:tc>
      </w:tr>
      <w:tr>
        <w:trPr>
          <w:trHeight w:val="183"/>
        </w:trPr>
        <w:tc>
          <w:tcPr>
            <w:tcW w:w="15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DIVIDEND POLICY</w:t>
              </w:r>
            </w:hyperlink>
          </w:p>
        </w:tc>
        <w:tc>
          <w:tcPr>
            <w:tcW w:w="1920" w:type="dxa"/>
            <w:vAlign w:val="bottom"/>
            <w:tcBorders>
              <w:top w:val="single" w:sz="8" w:color="0000EE"/>
            </w:tcBorders>
            <w:gridSpan w:val="4"/>
          </w:tcPr>
          <w:p>
            <w:pPr>
              <w:spacing w:after="0"/>
              <w:rPr>
                <w:sz w:val="15"/>
                <w:szCs w:val="15"/>
                <w:color w:val="auto"/>
              </w:rPr>
            </w:pPr>
          </w:p>
        </w:tc>
        <w:tc>
          <w:tcPr>
            <w:tcW w:w="5180" w:type="dxa"/>
            <w:vAlign w:val="bottom"/>
            <w:gridSpan w:val="6"/>
          </w:tcPr>
          <w:p>
            <w:pPr>
              <w:spacing w:after="0"/>
              <w:rPr>
                <w:sz w:val="15"/>
                <w:szCs w:val="15"/>
                <w:color w:val="auto"/>
              </w:rPr>
            </w:pPr>
          </w:p>
        </w:tc>
        <w:tc>
          <w:tcPr>
            <w:tcW w:w="2260" w:type="dxa"/>
            <w:vAlign w:val="bottom"/>
          </w:tcPr>
          <w:p>
            <w:pPr>
              <w:jc w:val="right"/>
              <w:spacing w:after="0" w:line="182" w:lineRule="exact"/>
              <w:rPr>
                <w:sz w:val="20"/>
                <w:szCs w:val="20"/>
                <w:color w:val="auto"/>
              </w:rPr>
            </w:pPr>
            <w:r>
              <w:rPr>
                <w:rFonts w:ascii="Arial" w:cs="Arial" w:eastAsia="Arial" w:hAnsi="Arial"/>
                <w:sz w:val="18"/>
                <w:szCs w:val="18"/>
                <w:color w:val="auto"/>
              </w:rPr>
              <w:t>S-14</w:t>
            </w:r>
          </w:p>
        </w:tc>
      </w:tr>
      <w:tr>
        <w:trPr>
          <w:trHeight w:val="183"/>
        </w:trPr>
        <w:tc>
          <w:tcPr>
            <w:tcW w:w="3360" w:type="dxa"/>
            <w:vAlign w:val="bottom"/>
            <w:tcBorders>
              <w:bottom w:val="single" w:sz="8" w:color="0000EE"/>
            </w:tcBorders>
            <w:gridSpan w:val="10"/>
          </w:tcPr>
          <w:p>
            <w:pPr>
              <w:spacing w:after="0" w:line="182" w:lineRule="exact"/>
              <w:rPr>
                <w:rFonts w:ascii="Arial" w:cs="Arial" w:eastAsia="Arial" w:hAnsi="Arial"/>
                <w:sz w:val="18"/>
                <w:szCs w:val="18"/>
                <w:color w:val="0000EE"/>
                <w:w w:val="96"/>
              </w:rPr>
            </w:pPr>
            <w:hyperlink w:anchor="page23">
              <w:r>
                <w:rPr>
                  <w:rFonts w:ascii="Arial" w:cs="Arial" w:eastAsia="Arial" w:hAnsi="Arial"/>
                  <w:sz w:val="18"/>
                  <w:szCs w:val="18"/>
                  <w:color w:val="0000EE"/>
                  <w:w w:val="96"/>
                </w:rPr>
                <w:t>DESCRIPTION OF OUR CAPITAL STOCK</w:t>
              </w:r>
            </w:hyperlink>
          </w:p>
        </w:tc>
        <w:tc>
          <w:tcPr>
            <w:tcW w:w="5280" w:type="dxa"/>
            <w:vAlign w:val="bottom"/>
            <w:gridSpan w:val="7"/>
          </w:tcPr>
          <w:p>
            <w:pPr>
              <w:spacing w:after="0"/>
              <w:rPr>
                <w:sz w:val="15"/>
                <w:szCs w:val="15"/>
                <w:color w:val="auto"/>
              </w:rPr>
            </w:pPr>
          </w:p>
        </w:tc>
        <w:tc>
          <w:tcPr>
            <w:tcW w:w="2260" w:type="dxa"/>
            <w:vAlign w:val="bottom"/>
          </w:tcPr>
          <w:p>
            <w:pPr>
              <w:jc w:val="right"/>
              <w:spacing w:after="0" w:line="182" w:lineRule="exact"/>
              <w:rPr>
                <w:sz w:val="20"/>
                <w:szCs w:val="20"/>
                <w:color w:val="auto"/>
              </w:rPr>
            </w:pPr>
            <w:r>
              <w:rPr>
                <w:rFonts w:ascii="Arial" w:cs="Arial" w:eastAsia="Arial" w:hAnsi="Arial"/>
                <w:sz w:val="18"/>
                <w:szCs w:val="18"/>
                <w:color w:val="auto"/>
              </w:rPr>
              <w:t>S-15</w:t>
            </w:r>
          </w:p>
        </w:tc>
      </w:tr>
      <w:tr>
        <w:trPr>
          <w:trHeight w:val="183"/>
        </w:trPr>
        <w:tc>
          <w:tcPr>
            <w:tcW w:w="8640" w:type="dxa"/>
            <w:vAlign w:val="bottom"/>
            <w:gridSpan w:val="17"/>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MATERIAL U.S. FEDERAL INCOME TAX CONSEQUENCES TO NON-U.S.HOLDERS</w:t>
              </w:r>
            </w:hyperlink>
          </w:p>
        </w:tc>
        <w:tc>
          <w:tcPr>
            <w:tcW w:w="2260" w:type="dxa"/>
            <w:vAlign w:val="bottom"/>
          </w:tcPr>
          <w:p>
            <w:pPr>
              <w:jc w:val="right"/>
              <w:spacing w:after="0" w:line="182" w:lineRule="exact"/>
              <w:rPr>
                <w:sz w:val="20"/>
                <w:szCs w:val="20"/>
                <w:color w:val="auto"/>
              </w:rPr>
            </w:pPr>
            <w:r>
              <w:rPr>
                <w:rFonts w:ascii="Arial" w:cs="Arial" w:eastAsia="Arial" w:hAnsi="Arial"/>
                <w:sz w:val="18"/>
                <w:szCs w:val="18"/>
                <w:color w:val="auto"/>
              </w:rPr>
              <w:t>S-16</w:t>
            </w:r>
          </w:p>
        </w:tc>
      </w:tr>
      <w:tr>
        <w:trPr>
          <w:trHeight w:val="183"/>
        </w:trPr>
        <w:tc>
          <w:tcPr>
            <w:tcW w:w="376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UNDERWRITING (CONFLICTS OF INTEREST)</w:t>
              </w:r>
            </w:hyperlink>
          </w:p>
        </w:tc>
        <w:tc>
          <w:tcPr>
            <w:tcW w:w="3000" w:type="dxa"/>
            <w:vAlign w:val="bottom"/>
            <w:tcBorders>
              <w:top w:val="single" w:sz="8" w:color="0000EE"/>
            </w:tcBorders>
            <w:gridSpan w:val="3"/>
          </w:tcPr>
          <w:p>
            <w:pPr>
              <w:spacing w:after="0"/>
              <w:rPr>
                <w:sz w:val="15"/>
                <w:szCs w:val="15"/>
                <w:color w:val="auto"/>
              </w:rPr>
            </w:pPr>
          </w:p>
        </w:tc>
        <w:tc>
          <w:tcPr>
            <w:tcW w:w="1880" w:type="dxa"/>
            <w:vAlign w:val="bottom"/>
          </w:tcPr>
          <w:p>
            <w:pPr>
              <w:spacing w:after="0"/>
              <w:rPr>
                <w:sz w:val="15"/>
                <w:szCs w:val="15"/>
                <w:color w:val="auto"/>
              </w:rPr>
            </w:pPr>
          </w:p>
        </w:tc>
        <w:tc>
          <w:tcPr>
            <w:tcW w:w="2260" w:type="dxa"/>
            <w:vAlign w:val="bottom"/>
          </w:tcPr>
          <w:p>
            <w:pPr>
              <w:jc w:val="right"/>
              <w:spacing w:after="0" w:line="182" w:lineRule="exact"/>
              <w:rPr>
                <w:sz w:val="20"/>
                <w:szCs w:val="20"/>
                <w:color w:val="auto"/>
              </w:rPr>
            </w:pPr>
            <w:r>
              <w:rPr>
                <w:rFonts w:ascii="Arial" w:cs="Arial" w:eastAsia="Arial" w:hAnsi="Arial"/>
                <w:sz w:val="18"/>
                <w:szCs w:val="18"/>
                <w:color w:val="auto"/>
              </w:rPr>
              <w:t>S-21</w:t>
            </w:r>
          </w:p>
        </w:tc>
      </w:tr>
      <w:tr>
        <w:trPr>
          <w:trHeight w:val="183"/>
        </w:trPr>
        <w:tc>
          <w:tcPr>
            <w:tcW w:w="8640" w:type="dxa"/>
            <w:vAlign w:val="bottom"/>
            <w:gridSpan w:val="17"/>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LEGAL MATTERS</w:t>
              </w:r>
            </w:hyperlink>
          </w:p>
        </w:tc>
        <w:tc>
          <w:tcPr>
            <w:tcW w:w="2260" w:type="dxa"/>
            <w:vAlign w:val="bottom"/>
          </w:tcPr>
          <w:p>
            <w:pPr>
              <w:jc w:val="right"/>
              <w:spacing w:after="0" w:line="182" w:lineRule="exact"/>
              <w:rPr>
                <w:sz w:val="20"/>
                <w:szCs w:val="20"/>
                <w:color w:val="auto"/>
              </w:rPr>
            </w:pPr>
            <w:r>
              <w:rPr>
                <w:rFonts w:ascii="Arial" w:cs="Arial" w:eastAsia="Arial" w:hAnsi="Arial"/>
                <w:sz w:val="18"/>
                <w:szCs w:val="18"/>
                <w:color w:val="auto"/>
              </w:rPr>
              <w:t>S-28</w:t>
            </w:r>
          </w:p>
        </w:tc>
      </w:tr>
      <w:tr>
        <w:trPr>
          <w:trHeight w:val="183"/>
        </w:trPr>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EXPERTS</w:t>
              </w:r>
            </w:hyperlink>
          </w:p>
        </w:tc>
        <w:tc>
          <w:tcPr>
            <w:tcW w:w="7200" w:type="dxa"/>
            <w:vAlign w:val="bottom"/>
            <w:gridSpan w:val="11"/>
          </w:tcPr>
          <w:p>
            <w:pPr>
              <w:spacing w:after="0"/>
              <w:rPr>
                <w:sz w:val="15"/>
                <w:szCs w:val="15"/>
                <w:color w:val="auto"/>
              </w:rPr>
            </w:pPr>
          </w:p>
        </w:tc>
        <w:tc>
          <w:tcPr>
            <w:tcW w:w="2260" w:type="dxa"/>
            <w:vAlign w:val="bottom"/>
          </w:tcPr>
          <w:p>
            <w:pPr>
              <w:jc w:val="right"/>
              <w:spacing w:after="0" w:line="182" w:lineRule="exact"/>
              <w:rPr>
                <w:sz w:val="20"/>
                <w:szCs w:val="20"/>
                <w:color w:val="auto"/>
              </w:rPr>
            </w:pPr>
            <w:r>
              <w:rPr>
                <w:rFonts w:ascii="Arial" w:cs="Arial" w:eastAsia="Arial" w:hAnsi="Arial"/>
                <w:sz w:val="18"/>
                <w:szCs w:val="18"/>
                <w:color w:val="auto"/>
              </w:rPr>
              <w:t>S-28</w:t>
            </w:r>
          </w:p>
        </w:tc>
      </w:tr>
      <w:tr>
        <w:trPr>
          <w:trHeight w:val="20"/>
        </w:trPr>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699770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780415</wp:posOffset>
            </wp:positionV>
            <wp:extent cx="699770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823595</wp:posOffset>
            </wp:positionV>
            <wp:extent cx="6997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Wynn Resorts, Limited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540"/>
        <w:spacing w:after="0"/>
        <w:rPr>
          <w:sz w:val="20"/>
          <w:szCs w:val="20"/>
          <w:color w:val="auto"/>
        </w:rPr>
      </w:pPr>
      <w:r>
        <w:rPr>
          <w:rFonts w:ascii="Arial" w:cs="Arial" w:eastAsia="Arial" w:hAnsi="Arial"/>
          <w:sz w:val="24"/>
          <w:szCs w:val="24"/>
          <w:b w:val="1"/>
          <w:bCs w:val="1"/>
          <w:color w:val="auto"/>
        </w:rPr>
        <w:t>5,300,000 Shares</w:t>
      </w:r>
    </w:p>
    <w:p>
      <w:pPr>
        <w:spacing w:after="0" w:line="38" w:lineRule="exact"/>
        <w:rPr>
          <w:sz w:val="20"/>
          <w:szCs w:val="20"/>
          <w:color w:val="auto"/>
        </w:rPr>
      </w:pPr>
    </w:p>
    <w:p>
      <w:pPr>
        <w:ind w:left="4480"/>
        <w:spacing w:after="0"/>
        <w:rPr>
          <w:sz w:val="20"/>
          <w:szCs w:val="20"/>
          <w:color w:val="auto"/>
        </w:rPr>
      </w:pPr>
      <w:r>
        <w:rPr>
          <w:rFonts w:ascii="Arial" w:cs="Arial" w:eastAsia="Arial" w:hAnsi="Arial"/>
          <w:sz w:val="24"/>
          <w:szCs w:val="24"/>
          <w:b w:val="1"/>
          <w:bCs w:val="1"/>
          <w:color w:val="auto"/>
        </w:rPr>
        <w:t>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2099310</wp:posOffset>
            </wp:positionH>
            <wp:positionV relativeFrom="paragraph">
              <wp:posOffset>478790</wp:posOffset>
            </wp:positionV>
            <wp:extent cx="2804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2099310</wp:posOffset>
            </wp:positionH>
            <wp:positionV relativeFrom="paragraph">
              <wp:posOffset>103505</wp:posOffset>
            </wp:positionV>
            <wp:extent cx="2804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Sole Bookrunner</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Deutsche Bank Securities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Co-Managers</w:t>
      </w:r>
    </w:p>
    <w:p>
      <w:pPr>
        <w:spacing w:after="0" w:line="5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BNP PARIBAS</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Goldman Sachs &amp; Co. LLC</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Scotiabank</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SMBC Nikko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March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699770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0960"/>
      </w:cols>
      <w:pgMar w:left="440" w:top="458" w:right="499" w:bottom="47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702"/>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lvl w:ilvl="1">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2"/>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lowerRoman"/>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702"/>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2019-12-06T20:47:07Z</dcterms:created>
  <dcterms:modified xsi:type="dcterms:W3CDTF">2019-12-06T20:47:07Z</dcterms:modified>
</cp:coreProperties>
</file>