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 PURSUANT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TO SECTION 13 OR 15(d) OF THE</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August 7, 2009</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6640" w:type="dxa"/>
            <w:vAlign w:val="bottom"/>
          </w:tcPr>
          <w:p>
            <w:pPr>
              <w:jc w:val="center"/>
              <w:ind w:right="2562"/>
              <w:spacing w:after="0"/>
              <w:rPr>
                <w:sz w:val="20"/>
                <w:szCs w:val="20"/>
                <w:color w:val="auto"/>
              </w:rPr>
            </w:pPr>
            <w:r>
              <w:rPr>
                <w:rFonts w:ascii="Times New Roman" w:cs="Times New Roman" w:eastAsia="Times New Roman" w:hAnsi="Times New Roman"/>
                <w:sz w:val="18"/>
                <w:szCs w:val="18"/>
                <w:b w:val="1"/>
                <w:bCs w:val="1"/>
                <w:color w:val="auto"/>
                <w:w w:val="97"/>
              </w:rPr>
              <w:t>000-50028</w:t>
            </w:r>
          </w:p>
        </w:tc>
        <w:tc>
          <w:tcPr>
            <w:tcW w:w="2160" w:type="dxa"/>
            <w:vAlign w:val="bottom"/>
          </w:tcPr>
          <w:p>
            <w:pPr>
              <w:jc w:val="right"/>
              <w:ind w:right="48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6640" w:type="dxa"/>
            <w:vAlign w:val="bottom"/>
          </w:tcPr>
          <w:p>
            <w:pPr>
              <w:jc w:val="center"/>
              <w:ind w:right="2562"/>
              <w:spacing w:after="0"/>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216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389"/>
        </w:trPr>
        <w:tc>
          <w:tcPr>
            <w:tcW w:w="6640" w:type="dxa"/>
            <w:vAlign w:val="bottom"/>
          </w:tcPr>
          <w:p>
            <w:pPr>
              <w:jc w:val="center"/>
              <w:ind w:right="2562"/>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w:t>
            </w:r>
          </w:p>
        </w:tc>
        <w:tc>
          <w:tcPr>
            <w:tcW w:w="2160" w:type="dxa"/>
            <w:vAlign w:val="bottom"/>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78"/>
        </w:trPr>
        <w:tc>
          <w:tcPr>
            <w:tcW w:w="6640" w:type="dxa"/>
            <w:vAlign w:val="bottom"/>
          </w:tcPr>
          <w:p>
            <w:pPr>
              <w:jc w:val="center"/>
              <w:ind w:right="254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16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6640" w:type="dxa"/>
            <w:vAlign w:val="bottom"/>
          </w:tcPr>
          <w:p>
            <w:pPr>
              <w:jc w:val="right"/>
              <w:ind w:right="1162"/>
              <w:spacing w:after="0"/>
              <w:rPr>
                <w:sz w:val="20"/>
                <w:szCs w:val="20"/>
                <w:color w:val="auto"/>
              </w:rPr>
            </w:pPr>
            <w:r>
              <w:rPr>
                <w:rFonts w:ascii="Times New Roman" w:cs="Times New Roman" w:eastAsia="Times New Roman" w:hAnsi="Times New Roman"/>
                <w:sz w:val="18"/>
                <w:szCs w:val="18"/>
                <w:b w:val="1"/>
                <w:bCs w:val="1"/>
                <w:color w:val="auto"/>
              </w:rPr>
              <w:t>(702) 770-7555</w:t>
            </w:r>
          </w:p>
        </w:tc>
        <w:tc>
          <w:tcPr>
            <w:tcW w:w="2160" w:type="dxa"/>
            <w:vAlign w:val="bottom"/>
          </w:tcPr>
          <w:p>
            <w:pPr>
              <w:spacing w:after="0"/>
              <w:rPr>
                <w:sz w:val="24"/>
                <w:szCs w:val="24"/>
                <w:color w:val="auto"/>
              </w:rPr>
            </w:pPr>
          </w:p>
        </w:tc>
      </w:tr>
      <w:tr>
        <w:trPr>
          <w:trHeight w:val="178"/>
        </w:trPr>
        <w:tc>
          <w:tcPr>
            <w:tcW w:w="6640" w:type="dxa"/>
            <w:vAlign w:val="bottom"/>
          </w:tcPr>
          <w:p>
            <w:pPr>
              <w:jc w:val="center"/>
              <w:ind w:left="2982"/>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95" w:right="6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This Current Report on From 8-K is being filed by Wynn Resorts Limited’s (the “Company”) to retrospectively adjust portions of the Company’s Annual Report on Form 10-K for the year ended December 31, 2008 (the 2008 Form 10-K) reflecting changes to the Company’s accounting for convertible debt as described below.</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May 2008, the Financial Accounting Standards Board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Early adoption was not permitted and retrospective application to all periods presented was required. The Company adopted FSB APB14-1 as of January 1, 2009.</w:t>
      </w:r>
    </w:p>
    <w:p>
      <w:pPr>
        <w:spacing w:after="0" w:line="139"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In July 2003, the Company issued $250 million aggregate principal amount of 6% Convertible Subordinated Debentures due July 15, 2015 (the “Debentures”). During 2006, $25.9 million principal amount of the Debentures were converted into 1,124,862 shares of common stock. On June 15, 2007, the Company announced its intent to redeem all remaining amounts of the Debentures on July 20, 2007. Prior to redemption, in July 2007, all of the holders converted their Debentures into shares of the Company’s common stock. Upon adoption of the FSP on January 1, 2009, the Company recorded an adjustment to retained earnings as of December 31, 2008 of $84.5 million which reflects the cumulative additional interest expense, net of capitalization interest of $13.2 million and loss on extinguishment of debt, net of taxes, that the Company would have recorded related to the Debentures if it had followed the FSP from the issuance date of such Debentures.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Accordingly, the Company has revised the presentation of its convertible debt, related interest expense, loss on extinguishment of debt and income taxes to reflect this change and has retrospectively adjusted all comparative prior period information on this basis. The Company is filing this Current Report on Form 8-K to reflect the impact of the adoption of this standard on previously issued financial statements. This will permit the Company to incorporate these financial statements by reference in future SEC filings. The impact of the adoption of this standard is reflected and is set forth in the following sections of the Company’s 2008 Form 10-K, which as revised are included as Exhibit 99.1 to this Current Report on Form 8-K:</w:t>
      </w:r>
    </w:p>
    <w:p>
      <w:pPr>
        <w:spacing w:after="0" w:line="58"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6. Selected Financial Data,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7. Management’s Discussion and Analysis of Financial Condition and Results of Operations,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8. Financial Statements,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III, Item 15. Financial Statement Schedules – Schedule I – Condensed Financial Information of the Registrant.</w:t>
      </w:r>
    </w:p>
    <w:p>
      <w:pPr>
        <w:spacing w:after="0" w:line="17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This Current Report on Form 8-K in addition provides further detail on several matters addressed in the Company’s 2008 Form 10-K. Other than the Items specified above, the other information in the Company’s 2008 Form 10-K remains unchanged. This Current Report on Form 8-K does not reflect events occurring after the filing of the Company’s 2008 Form 10-K or modify or update any related disclosures. Information in the Company’s 2008 Form 10-K not affected by this Current Report on Form 8-K is unchanged and reflects the disclosure made at the time of the filing of the original Company’s 2008 Form 10-K with the Securities and Exchange Commission on March 2, 2009. Accordingly, this Current Report on Form 8-K should be read in conjunction with the Company’s 2008 Form 10-K and the Company’s filing made with the Securities and Exchange Commission subsequent to the filing of the Company’s 2008 Form 10-K, including any amendments to those filings.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9040" w:type="dxa"/>
            <w:vAlign w:val="bottom"/>
          </w:tcPr>
          <w:p>
            <w:pPr>
              <w:spacing w:after="0"/>
              <w:rPr>
                <w:sz w:val="14"/>
                <w:szCs w:val="14"/>
                <w:color w:val="auto"/>
              </w:rPr>
            </w:pPr>
          </w:p>
        </w:tc>
      </w:tr>
      <w:tr>
        <w:trPr>
          <w:trHeight w:val="222"/>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Exhibit</w:t>
            </w: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23.1</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97"/>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Updated Selected Financial Data, Management’s Discussion and Analysis of Financial Condition and Results of Operations</w:t>
            </w: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and Financial Statements for the years ended December 31, 2008, 2007 and 2006, and Schedule I – Condensed Financial</w:t>
            </w:r>
          </w:p>
        </w:tc>
      </w:tr>
      <w:tr>
        <w:trPr>
          <w:trHeight w:val="228"/>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of the Registrant.</w:t>
            </w:r>
          </w:p>
        </w:tc>
      </w:tr>
      <w:tr>
        <w:trPr>
          <w:trHeight w:val="365"/>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820"/>
          </w:cols>
          <w:pgMar w:left="240" w:top="272" w:right="8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p>
      <w:pPr>
        <w:ind w:left="6860"/>
        <w:spacing w:after="0"/>
        <w:tabs>
          <w:tab w:leader="none" w:pos="756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ATT</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3"/>
          <w:szCs w:val="13"/>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Matt Maddox</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2009</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2" w:right="2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333-100891 on Form S-8, Registration Statement No. 333-114022 on Form S-3 and Registration Statement No. 333-146360 on Form S-3 of our report dated February 27, 2009 (except for Note 2, as to which the date is August 5, 2009) with respect to the consolidated financial statements and schedules of Wynn Resorts, Limited for the year ended December 31, 2008, included in this Current Report on Form 8-K dated August 5, 2009.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RNST</w:t>
      </w:r>
      <w:r>
        <w:rPr>
          <w:rFonts w:ascii="Times New Roman" w:cs="Times New Roman" w:eastAsia="Times New Roman" w:hAnsi="Times New Roman"/>
          <w:sz w:val="18"/>
          <w:szCs w:val="18"/>
          <w:color w:val="auto"/>
        </w:rPr>
        <w:t xml:space="preserve"> &amp; Y</w:t>
      </w:r>
      <w:r>
        <w:rPr>
          <w:rFonts w:ascii="Times New Roman" w:cs="Times New Roman" w:eastAsia="Times New Roman" w:hAnsi="Times New Roman"/>
          <w:sz w:val="14"/>
          <w:szCs w:val="14"/>
          <w:color w:val="auto"/>
        </w:rPr>
        <w:t>OUNG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2009</w:t>
      </w:r>
    </w:p>
    <w:p>
      <w:pPr>
        <w:sectPr>
          <w:pgSz w:w="11900" w:h="16838" w:orient="portrait"/>
          <w:cols w:equalWidth="0" w:num="1">
            <w:col w:w="11420"/>
          </w:cols>
          <w:pgMar w:left="240" w:top="123"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tables reflect the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5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April 28, 2005, we were solely a development stage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2005, we opened our Wynn Las Vegas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2006, we commenced construction of Encore at Wynn Las Vegas.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2006, we opened our Wynn Macau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2006 we completed the sale of our Macau sub-concession right and recognized a pre-tax gain of $899.4 million.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2007, we commenced construction of Encore at Wynn Macau.</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24, 2007, we opened the expansion of our Wynn Macau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2008, we opened our Encore at Wynn Las Vegas resort.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76"/>
              </w:rPr>
              <w:t>thousands,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440" w:type="dxa"/>
            <w:vAlign w:val="bottom"/>
            <w:vMerge w:val="continue"/>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per</w:t>
            </w:r>
          </w:p>
        </w:tc>
        <w:tc>
          <w:tcPr>
            <w:tcW w:w="1260" w:type="dxa"/>
            <w:vAlign w:val="bottom"/>
            <w:gridSpan w:val="3"/>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w w:val="86"/>
              </w:rPr>
              <w:t>share amounts)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2,987,324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2,687,519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$ 1,432,257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81,321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(89,798)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(174,996)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Basic income/(loss) per share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income/(loss)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365"/>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76"/>
              </w:rPr>
              <w:t>thousands,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440" w:type="dxa"/>
            <w:vAlign w:val="bottom"/>
            <w:vMerge w:val="continue"/>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per</w:t>
            </w:r>
          </w:p>
        </w:tc>
        <w:tc>
          <w:tcPr>
            <w:tcW w:w="1260" w:type="dxa"/>
            <w:vAlign w:val="bottom"/>
            <w:gridSpan w:val="3"/>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w w:val="86"/>
              </w:rPr>
              <w:t>share amounts)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1,133,904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1,275,120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789,407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330,261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942,367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1,507,371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6,755,788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6,312,820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4,667,951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3,950,337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3,467,633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obligations[3]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4,430,638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3,621,998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2,301,331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1,998,871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1,517,074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1,601,595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1,956,959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1,727,766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1,675,194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1,781,936</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 declared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2006 includes a pre-tax gain on sale of subconcession right of $899.4 million.</w:t>
      </w:r>
    </w:p>
    <w:p>
      <w:pPr>
        <w:spacing w:after="0" w:line="76" w:lineRule="exact"/>
        <w:rPr>
          <w:rFonts w:ascii="Times New Roman" w:cs="Times New Roman" w:eastAsia="Times New Roman" w:hAnsi="Times New Roman"/>
          <w:sz w:val="18"/>
          <w:szCs w:val="18"/>
          <w:color w:val="auto"/>
        </w:rPr>
      </w:pPr>
    </w:p>
    <w:p>
      <w:pPr>
        <w:ind w:left="460" w:right="40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and investments primarily reflect the proceeds of our debt and equity financings that were restricted for the repurchase of our common stock and construction of Encore at Wynn Las Vegas, and prior to December 31, 2005, for construction of Wynn Las Vegas.</w:t>
      </w:r>
    </w:p>
    <w:p>
      <w:pPr>
        <w:spacing w:after="0" w:line="25" w:lineRule="exact"/>
        <w:rPr>
          <w:rFonts w:ascii="Times New Roman" w:cs="Times New Roman" w:eastAsia="Times New Roman" w:hAnsi="Times New Roman"/>
          <w:sz w:val="18"/>
          <w:szCs w:val="18"/>
          <w:color w:val="auto"/>
        </w:rPr>
      </w:pPr>
    </w:p>
    <w:p>
      <w:pPr>
        <w:ind w:left="460" w:right="36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current portion of long-term debt and the current portion of the required contract premium payments under our land concession contract at Wynn Macau.</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6" w:name="page7"/>
    <w:bookmarkEnd w:id="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7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We currently own and operate Wynn Las Vegas, a destination casino resort in Las Vegas, Nevada, which opened on April 28, 2005, Encore at Wynn Las Vegas, a destination casino resort located adjacent to Wynn Las Vegas, which opened on December 22, 2008, and Wynn Macau, a destination casino resort in the Macau Special Administrative Region of the People’s Republic of China (“Macau”), which opened on September 6, 2006. We have also commenced construction of Encore at Wynn Macau, a further expansion of Wynn Macau. We believe Wynn Las Vegas and Encore at Wynn Las Vegas are the preeminent destination casino resorts on the Strip in Las Vegas. Until the opening of Wynn Las Vegas in 2005, we were solely a development stage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about our operating properties as of February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6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7"/>
              </w:rPr>
              <w:t>Hotel Rooms &amp;</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Approximate Casino</w:t>
            </w:r>
          </w:p>
        </w:tc>
        <w:tc>
          <w:tcPr>
            <w:tcW w:w="980" w:type="dxa"/>
            <w:vAlign w:val="bottom"/>
          </w:tcPr>
          <w:p>
            <w:pPr>
              <w:spacing w:after="0"/>
              <w:rPr>
                <w:sz w:val="13"/>
                <w:szCs w:val="13"/>
                <w:color w:val="auto"/>
              </w:rPr>
            </w:pPr>
          </w:p>
        </w:tc>
        <w:tc>
          <w:tcPr>
            <w:tcW w:w="22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6"/>
              </w:rPr>
              <w:t>Approximate Number</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Approximate Number</w:t>
            </w:r>
          </w:p>
        </w:tc>
      </w:tr>
      <w:tr>
        <w:trPr>
          <w:trHeight w:val="165"/>
        </w:trPr>
        <w:tc>
          <w:tcPr>
            <w:tcW w:w="38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Las Vegas</w:t>
            </w: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2,716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324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Encore at Wynn Las Vegas</w:t>
            </w: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2,034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324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95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Macau</w:t>
            </w: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324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Wynn Las Vegas is located at the intersection of the Las Vegas Strip and Sands Avenue, occupies approximately 217 acres of land fronting the Las Vegas Strip and owns approximately 18 additional acres across Sands Avenue, a portion of which is utilized for employee parking.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Las Vegas currently features:</w:t>
      </w:r>
    </w:p>
    <w:p>
      <w:pPr>
        <w:spacing w:after="0" w:line="90" w:lineRule="exact"/>
        <w:rPr>
          <w:sz w:val="20"/>
          <w:szCs w:val="20"/>
          <w:color w:val="auto"/>
        </w:rPr>
      </w:pPr>
    </w:p>
    <w:p>
      <w:pPr>
        <w:ind w:left="900" w:right="26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111,000 square foot casino offering 24-hour gaming and a full range of games, including private baccarat salons, a poker room, and a race and sports book;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2,716 spacious hotel rooms, suites and villas;</w:t>
      </w:r>
    </w:p>
    <w:p>
      <w:pPr>
        <w:spacing w:after="0" w:line="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food and beverage outlets, including the AAA Five-Diamond, Mobil Five-Star and Michelin award-winning restaurant, </w:t>
      </w:r>
      <w:r>
        <w:rPr>
          <w:rFonts w:ascii="Times New Roman" w:cs="Times New Roman" w:eastAsia="Times New Roman" w:hAnsi="Times New Roman"/>
          <w:sz w:val="18"/>
          <w:szCs w:val="18"/>
          <w:i w:val="1"/>
          <w:iCs w:val="1"/>
          <w:color w:val="auto"/>
        </w:rPr>
        <w:t>Alex</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five swimming pools, private cabanas and a full service spa and salon;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showroom, two nightclubs and lounges.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 of the completed Wynn Las Vegas project and the reactions of our guests, we began to make enhancements and refinements to Wynn Las Vegas in the third quarter of 2005 which continued throughout 2008.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7" w:name="page8"/>
    <w:bookmarkEnd w:id="7"/>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Encore at Wynn Las Vegas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opened Encore at Wynn Las Vegas on December 22, 2008. This resort is located on the Las Vegas Strip, immediately adjacent to and connected 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Encore at Wynn Las Vegas currently features:</w:t>
      </w:r>
    </w:p>
    <w:p>
      <w:pPr>
        <w:spacing w:after="0" w:line="78"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approximately 72,000 square foot casino offering 24-hour gaming and a full range of games, including private gaming salons and a sports book;</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 in 2,034 all-suite rooms;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food and beverage outlets;</w:t>
      </w:r>
    </w:p>
    <w:p>
      <w:pPr>
        <w:spacing w:after="0" w:line="90"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27,000 square feet of high-end brand name retail shopping, including stores and boutiques featuring Hermes, Chanel and Rock &amp; Republic;</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swimming pools, private cabanas and a full service spa and salon;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showroom, nightclub and lounges.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opened Wynn Macau on September 6, 2006 and we completed an expansion of this resort in December 2007. Wynn Macau currently features:</w:t>
      </w:r>
    </w:p>
    <w:p>
      <w:pPr>
        <w:spacing w:after="0" w:line="9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approximately 205,000 square foot casino offering 24-hour gaming and a full range of games, including private gaming salons and a poker room;</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600 rooms and suites;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five restaurants;</w:t>
      </w:r>
    </w:p>
    <w:p>
      <w:pPr>
        <w:spacing w:after="0" w:line="90"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46,000 square feet of high-end, brand-name retail shopping, including stores and boutiques featuring Bvlgari, Chanel, Dior, Dunhill, Fendi, Ferrari, Giorgio Armani, Gucci, Hermes, Hugo Boss, Louis Vuitton, Miu Miu, Piaget, Prada, Rolex, Tiffany, Van Cleef &amp; Arpels, Versace, Vertu, Zegna and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 health club, pool and spa;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Lounges and meeting facilities.</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have commenced construction on a further expansion of Wynn Macau that will add a fully-integrated resort hotel named Encore at Wynn Macau, with approximately 400 luxury suites and four villas, as well as additional VIP gaming areas, food and beverage and retail amenities. We expect Encore at Wynn Macau to open in 2010.</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 of Wynn Macau and the reactions of our guests, we have and expect to continue to make enhancements and refinements to the property.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Wynn Macau under a 20-year casino concession agreement granted by the Macau government in June 2002.</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Approximately 142 acres of land comprising Wynn Las Vegas and Encore at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2" w:right="259" w:bottom="1440" w:gutter="0" w:footer="0" w:header="0"/>
        </w:sectPr>
      </w:pPr>
    </w:p>
    <w:bookmarkStart w:id="8" w:name="page9"/>
    <w:bookmarkEnd w:id="8"/>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applied to the government of Macau for a land concession for approximately 52 acres on Cotai and are awaiting final governmental approval of this concession. No construction timeline or budget have been prepared.</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Current Economic and Operating Environment</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Due to a number of factors affecting consumers, including a slowdown in global economies, contracting credit markets, and reduced consumer spending, and new U.S. political leadership, the outlook for the gaming, travel, and entertainment industries both domestically and abroad remains highly uncertain. Auto traffic into Las Vegas, airline capacity and air travel to McCarran International airport have declined, resulting in lower casino volumes and a reduced demand for hotel rooms. This slow down was particularly significant in the fourth quarter of 2008 and has continued into the first quarter of 2009. Based on our experience in 2008 and current market conditions, we believe that Wynn Las Vegas and Encore at Wynn Las Vegas will continue to experience lower than historical hotel occupancy rates, room rates, casino volumes and accordingly lower departmental profitability. As a result of the current economic conditions, we have increasingly focused on efficiency initiatives that we began implementing at our Las Vegas properties and corporate in early 2009. These initiatives include reductions in pay for salaried employees in Las Vegas, reduced work weeks for full-time hourly employees, a substantial reduction of 2009 bonus accruals and a suspension of the employer match to the 401(k) contributions. We expect that these initiatives, along with other operational efficiencies, will save approximately $75-$100 million annually. We are continually reviewing the cost and efficiencies at our operating properties and corporate to identify further opportunities to reduce costs during these uncertain economic times. Wynn Macau has also been impacted by the slowing global economy and visa restrictions implemented in September 2008.</w:t>
      </w:r>
    </w:p>
    <w:p>
      <w:pPr>
        <w:spacing w:after="0" w:line="14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factors described above accelerated through 2008 with fourth quarter results in Las Vegas significantly weaker than 2007. Additionally, in early 2009, we have experienced cancellation and attrition of group business at greater than historical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results of operations for the periods presented are not comparable for the following reasons:</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2006, we opened Wynn Macau;</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2006, Wynn Macau completed the sale of a Macau subconcession right and recognized a pre-tax gain of $899.4 million;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24, 2007, we opened an expansion at Wynn Macau;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2008, we opened Encore at Wynn Las Vegas.</w:t>
      </w:r>
    </w:p>
    <w:p>
      <w:pPr>
        <w:spacing w:after="0" w:line="171" w:lineRule="exact"/>
        <w:rPr>
          <w:sz w:val="20"/>
          <w:szCs w:val="20"/>
          <w:color w:val="auto"/>
        </w:rPr>
      </w:pPr>
    </w:p>
    <w:p>
      <w:pPr>
        <w:ind w:right="260" w:firstLine="456"/>
        <w:spacing w:after="0" w:line="293" w:lineRule="auto"/>
        <w:rPr>
          <w:sz w:val="20"/>
          <w:szCs w:val="20"/>
          <w:color w:val="auto"/>
        </w:rPr>
      </w:pPr>
      <w:r>
        <w:rPr>
          <w:rFonts w:ascii="Times New Roman" w:cs="Times New Roman" w:eastAsia="Times New Roman" w:hAnsi="Times New Roman"/>
          <w:sz w:val="16"/>
          <w:szCs w:val="16"/>
          <w:color w:val="auto"/>
        </w:rPr>
        <w:t>Accordingly, our results of operations for the year ended December 31, 2008 include a full year of operations for the expansion at Wynn Macau and 10 days of operations for Encore at Wynn Las Vegas. The year ended December 31, 2006 includes a full year of operations for Wynn Las Vegas and 117 days of operations for Wynn Macau. In addition, we believe that our operating results at Wynn Las Vegas, Encore at Wynn Las Vegas and Wynn Macau for the year ended December 31, 2008 have been adversely impacted by the weakened global economy. Disruptions in the global financial and stock markets and reduced levels of consumer spending have and may continue to adversely impact our financial results. In addition, as noted above, visa restrictions have placed certain limitations on visitation to Macau. These restrictions have and will continue to adversely impact visitation to Macau by residents of mainland China.</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below displays our net revenues for the years ended December 31, 2008, 2007 and 2006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1,098,889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1,295,381</w:t>
            </w:r>
          </w:p>
        </w:tc>
        <w:tc>
          <w:tcPr>
            <w:tcW w:w="5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1,138,549</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Macau</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1,888,435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1,392,138</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293,708</w:t>
            </w:r>
          </w:p>
        </w:tc>
        <w:tc>
          <w:tcPr>
            <w:tcW w:w="20" w:type="dxa"/>
            <w:vAlign w:val="bottom"/>
          </w:tcPr>
          <w:p>
            <w:pPr>
              <w:spacing w:after="0"/>
              <w:rPr>
                <w:sz w:val="18"/>
                <w:szCs w:val="18"/>
                <w:color w:val="auto"/>
              </w:rPr>
            </w:pPr>
          </w:p>
        </w:tc>
      </w:tr>
      <w:tr>
        <w:trPr>
          <w:trHeight w:val="223"/>
        </w:trPr>
        <w:tc>
          <w:tcPr>
            <w:tcW w:w="7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2,987,324</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2,687,519</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1,432,257</w:t>
            </w:r>
          </w:p>
        </w:tc>
        <w:tc>
          <w:tcPr>
            <w:tcW w:w="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Reliance on only three properties (in two geographic regions) for our operating cash flow exposes us to certain risks that competitors, whose operations are more diversified, may be better able to control. In addition to the concentration of operations in three properties, many of our customers are high-end gaming customers who wager on credit, thus exposing us to increased credit risk. High-end gaming also increases the potential for variability in our results.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Measures</w:t>
      </w:r>
    </w:p>
    <w:p>
      <w:pPr>
        <w:spacing w:after="0" w:line="9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Certain key operating statistics specific to the gaming industry are included in our discussion of our operational performance for the periods for which a Consolidated Statement of Income is presented. There are two methods used to calculate win percentage in the casino industry. In Las Vegas and in the general casino at Wynn Macau, customers primarily purchase gaming chips from gaming tables. The cash and net markers used to purchase the gaming chips from gaming tables are deposited in the gaming table’s drop box. This is the base of measurement that we use in the casino at Wynn Las Vegas and in the general casino at Wynn Macau.</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our VIP casino at Wynn Macau, customers primarily purchase non-negotiable chips from the casino cage and there is no deposit into a gaming table drop box as with the general casino. Non-negotiable chips can only be used to make wagers. Winning wagers are paid in cash chips. However, the loss of the non-negotiable chips in the VIP casino is recorded as turnover and provides a base for measuring VIP casino win percentage. Because of this difference in chip purchase activity, the measurement base used in the general casino is not applicable to the VIP casino. It is customary in Macau to measure high-limit casino play using this method.</w:t>
      </w:r>
    </w:p>
    <w:p>
      <w:pPr>
        <w:spacing w:after="0" w:line="139" w:lineRule="exact"/>
        <w:rPr>
          <w:sz w:val="20"/>
          <w:szCs w:val="20"/>
          <w:color w:val="auto"/>
        </w:rPr>
      </w:pPr>
    </w:p>
    <w:p>
      <w:pPr>
        <w:jc w:val="both"/>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measurement method in Las Vegas and in the general casino at Wynn Macau effectively tracks the initial purchase of chips while the measurement method in the VIP casino at Wynn Macau effectively tracks the sum of all losing wagers. Accordingly, the base measurement in the VIP casino is much larger than the general casino. As a result, the expected win percent with the same amount of gaming win (numerator) is smaller in the VIP casino at Wynn Macau as opposed to the general casino in Las Vegas and Macau.</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difference between the expected win percentages for general casino activity in Las Vegas versus Macau is primarily due to the difference in the mix of table games between the two casinos. Each type of table game has its own theoretical win percentage. The life to date win percentage for Wynn Las Vegas is 22.4% whereas the life to date win percentage for Wynn Macau is 19.0%.</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or turnover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Wynn Macau VIP program.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VIP wagering volume (turnover) for purposes of calculating incentives.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10" w:name="page11"/>
    <w:bookmarkEnd w:id="10"/>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Slot win is the amount of handle (representing the total amount wagered) that is retained by us and is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 (less service charges, if any) by total rooms occupied.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 (less service charges, if any) by total rooms available.</w:t>
      </w:r>
    </w:p>
    <w:p>
      <w:pPr>
        <w:spacing w:after="0" w:line="248" w:lineRule="exact"/>
        <w:rPr>
          <w:sz w:val="20"/>
          <w:szCs w:val="20"/>
          <w:color w:val="auto"/>
        </w:rPr>
      </w:pPr>
    </w:p>
    <w:p>
      <w:pPr>
        <w:ind w:left="240" w:right="3480"/>
        <w:spacing w:after="0" w:line="3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Results for the Year Ended December 31, 2008 Compared to the Year Ended December 31, 2007 </w:t>
      </w:r>
      <w:r>
        <w:rPr>
          <w:rFonts w:ascii="Times New Roman" w:cs="Times New Roman" w:eastAsia="Times New Roman" w:hAnsi="Times New Roman"/>
          <w:sz w:val="18"/>
          <w:szCs w:val="18"/>
          <w:i w:val="1"/>
          <w:iCs w:val="1"/>
          <w:color w:val="auto"/>
        </w:rPr>
        <w:t>Revenues</w:t>
      </w:r>
    </w:p>
    <w:p>
      <w:pPr>
        <w:spacing w:after="0" w:line="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Net revenues for the year ended December 31, 2008 are comprised of $2,261.9 million in casino revenues (75.7% of total net revenues) and $725.4 million of net non-casino revenues (24.3% of total net revenues). Net revenues for the year ended December 31, 2007 were comprised of $1,949.9 million in casino revenues (72.6% of total net revenues) and $737.6 million of net non-casino revenues (27.4% of total net revenues). Encore at Wynn Las Vegas, which opened on December 22, 2008, did not significantly impact our results of operations for the year ended December 31, 2008.</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Casino revenues are comprised of the net win from our table games and slot machine operations. Casino revenues for the year ended December 31, 2008 of approximately $2,261.9 million represents a $312 million (or 16%) increase from casino revenues of $1,949.9 million for the year ended December 31, 2007. At Wynn Las Vegas, including Encore at Wynn Las Vegas, we experienced a $162.6 million decrease in casino revenues compared to the prior year due to a 7.1% decrease in drop and a decrease in our table games win percentage. Our table games win percentage (before discounts) for the year ended December 31, 2008 was 20.0%, which was below the expected range of 21% to 24% and compares to 25.3% for the prior year. Slot handle at Wynn Las Vegas, including Encore at Wynn Las Vegas, decreased 12.9% during the year ended December 31, 2008 as compared to 2007, and the slot win percentage was within the expected range of 4.5% to 5.5%. As noted earlier, we believe the decrease in casino volumes reflect the overall slowdown in the global economy partially offset by the opening of Encore at Wynn Las Vegas. In the fourth quarter of 2008, casino revenue at Wynn Las Vegas, including Encore at Wynn Las Vegas, declined 43.3% compared to the fourth quarter of 2007 as a result of a decrease in table games drop of 20.2% and a decline in our table games win percentage to 15.3% compared to 23.5% in the prior year fourth quarter. Slot handle at Wynn Las Vegas, including Encore at Wynn Las Vegas, decreased 22.7% during the fourth quarter of 2008 compared to the fourth quarter of 2007.</w:t>
      </w:r>
    </w:p>
    <w:p>
      <w:pPr>
        <w:spacing w:after="0" w:line="139"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Casino revenues at Wynn Macau increased $474.7 million during the year ended December 31, 2008, compared to the prior year. At Wynn Macau, we experienced a 47.4% increase in turnover in the VIP casino segment and our win as a percent of turnover was 3%, which is at the high end of our expected range of 2.7% to 3% compared to 3.1% in the prior year. Our VIP casino segment win as a percent of turnover includes a nominal beneficial effect attributable to non-rolling chip play. In our general casino at Wynn Macau, drop increased 14.2% when compared to the prior year and the table games win percentage was 19.6%, which is within the expected range of 18% to 20%. The table game win percentage at Wynn Macau for the year ended December 31, 2007 was 19%. Slot handle at Wynn Macau increased 79.5% compared to the prior year and the slot win percentage was within the expected range of 4.5% to 5.5%. The increase in casino revenue at Wynn Macau is a result of growth during the first nine months of the year in the Macau market as well as our casino expansion which opened in December 2007. We expect that this rapid growth in the Macau market will slow due to the overall slowdown in the global economy and visa restrictions that went into effect in September 2008 which limit visitation to Macau by certain residents of mainland China.</w:t>
      </w:r>
    </w:p>
    <w:p>
      <w:pPr>
        <w:spacing w:after="0" w:line="143"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2008, total room revenues were approximately $326.7 million, a $12.7 million decrease compared to the year ended December 31, 2007. Room revenue at Wynn Las Vegas, including Encore at Wynn Las Vegas, decreased approximately $17.2 million compared to the prior year due to lower occupancy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lower rates, while room revenue at Wynn Macau increased approximately $4.5 million due to increased rates. In the fourth quarter of 2008, room revenue at Wynn Las Vegas, including Encore at Wynn Las Vegas, declined by 14% as our occupancy percentage declined 14.6% and the average daily rate declined 6%, all compared to the fourth quarter of 2007. Room rates have continued to decline as the economic slowdown reduces demand for our product.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table below sets forth key operating measures related to room revenue for Wynn Macau and Wynn Las Vegas, including Encore at Wynn Las Vegas.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120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w w:val="93"/>
              </w:rPr>
              <w:t>$ 288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$ 300</w:t>
            </w:r>
          </w:p>
        </w:tc>
        <w:tc>
          <w:tcPr>
            <w:tcW w:w="2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120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275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12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91.8%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8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12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87.3%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120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w w:val="93"/>
              </w:rPr>
              <w:t>$ 265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$ 288</w:t>
            </w:r>
          </w:p>
        </w:tc>
        <w:tc>
          <w:tcPr>
            <w:tcW w:w="2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120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Other non-casino revenues for the year ended December 31, 2008 included food and beverage revenues of approximately $358.7 million, retail revenues of approximately $147.9 million, entertainment revenues of approximately $66.2 million, and other revenues from outlets such as the spa and salon, of approximately $56 million. Other non-gaming revenues for the year ended December 31, 2007 included food and beverage revenues of approximately $354 million, retail revenues of approximately $123.4 million, entertainment revenues of approximately $64.5 million, and other revenues from outlets, including the spa and salon, of approximately $57.3 million. The increase in food and beverage revenues and retail revenues were primarily driven by our Macau operations and to a lesser extent 10 days of operations of Encore at Wynn Las Vegas, offset by decreases at Wynn Las Vegas due to the economic factors noted earlier. General growth in the Macau market and our expansion, which opened in December 2007 (including additional retail outlets), were primarily responsible for the increases. As noted earlier, we do not expect this growth to continue in the general Macau market due to the slowdown in the global economy, visa restrictions and increased casino and hotel capacity recently introduced or expected to be introduced in the near future to the market. Entertainment revenues increased approximately $10.9 million from Le Rêve at Wynn Las Vegas, offset by a decrease of $9.2 million due to the closure of Spamalot in mid-July 2008. Together with the producers, we elected to end Spamalot’s run at Wynn Las Vegas in July 2008 pursuant to the terms of our contract. We have renovated the theater and on February 10, 2009, it reopened as the Encore Theater featuring Danny Gans.</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2008, departmental expenses included casino expenses of $1,491 million, rooms expenses of $78.2 million, food and beverage expenses of $207.3 million, and entertainment, retail and other expenses of $161.9 million. Also included are general and administrative expenses of approximately $319.3 million and approximately $49.4 million charged as a provision for doubtful accounts receivable. During the year ended December 31, 2007, departmental expenses included casino expenses of $1,168.1 million, room expenses of $83.2 million, food and beverage expenses of $212.6 million, entertainment, retail and other expenses of $161.1 million, general and administrative expenses of approximately $310.8 million and approximately $36.1 million charged as a provision for doubtful accounts receivable. Casino expenses have increased over the prior year primarily related to the increased revenue at Wynn Macau as noted above, including the 39 percent gross win tax on casino revenues. Our casino revenues at Wynn Macau increased significantly during 2008 due to our expansion of that facility, which opened in December 2007, and general growth in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2" w:name="page13"/>
    <w:bookmarkEnd w:id="12"/>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Macau market. Our revenues at Wynn Macau are subject to a 39% gross win tax whereas our Las Vegas revenues are subject to a 6.75% gross win tax. As a result, the ratio of casino departmental expenses to casino revenue is higher in Macau than Las Vegas. Macau accounted for a greater percentage of total casino revenue in 2008. Accordingly, casino expenses as a percent of casino revenues to increase when comparing the results for the year ended December 31, 2008 to the year ended December 31, 2007.</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Room expenses decreased $5 million during the year ended December 31, 2008 compared to 2007. During both periods, Wynn Las Vegas had 2,716 rooms and Wynn Macau had 600 rooms. On December 22, 2008, we opened Encore at Wynn Las Vegas (“Encore”), which has 2,034 rooms. The addition of Encore for 10 days during the year ended December 31, 2008 had an immaterial impact on our room expenses for the year ended December 31, 2008. The decrease experienced was primarily a result of reduced occupancy at Wynn Las Vegas due to the current economic environment.</w:t>
      </w:r>
    </w:p>
    <w:p>
      <w:pPr>
        <w:spacing w:after="0" w:line="136"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Food and beverage expenses decreased $5.3 million during the year ended December 31, 2008, compared to the year ended December 31, 2007, while food and beverage revenues increased $4.7 million. During 2008, we provided more complimentary food and beverage service to our casino guests compared to 2007. As disclosed in Note 2, Summary of Significant Accounting Policies, the retail value of food and beverage furnished to guests without charge is included in gross food and beverage revenues and then is deducted as promotional allowances in our Consolidated Statements of Income. In accordance with industry practice, the estimated cost of providing such complimentary food and beverage is charged to the department that benefits from the issuance of the complimentary service, which is primarily the casino department. This resulted in a decrease in food and beverage expense while gross food and beverage revenues increased.</w:t>
      </w:r>
    </w:p>
    <w:p>
      <w:pPr>
        <w:spacing w:after="0" w:line="111"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have increased primarily related to the opening of our expansion of Wynn Macau in December 2007, offset by a decrease in employee bonuses in Las Vegas. The provision for doubtful accounts increased during the year ended December 31, 2008 compared to 2007, primarily due to an increase in reserves established in light of the current global economic uncertainty.</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Pre-opening costs for the year ended December 31, 2008 were $72.4 million compared to $7.1 million for the year ended December 30, 2007. Pre-opening costs incurred during the year ended December 31, 2008 related to Encore at Wynn Las Vegas. Pre-opening costs related to Encore at Wynn Las Vegas ceased once it opened on December 22, 2008.</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2008 was $263.2 million, an increase of $43 million when compared to the year ended December 31, 2007, primarily due to (i) depreciation expense associated with the opening of the expansion of Wynn Macau, a portion of which opened in September 2007, and the remainder which opened in December 2007; (ii) shortened estimated lives, beginning in March 2008, of certain hotel room furniture, fixtures and equipment at Wynn Las Vegas based on a planned room renovation; and (iii) the opening of Encore at Wynn Las Vegas. In light of current economic conditions, the room renovation at Wynn Las Vegas has been postponed.</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lives of our property and equipment, intangibles and other assets and adjust them when warranted.</w:t>
      </w:r>
    </w:p>
    <w:p>
      <w:pPr>
        <w:spacing w:after="0" w:line="13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 and Encore at Wynn Las Vegas.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charges and other</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Based upon our evaluation of our completed properties and the reactions of our guests, we have made and continue to make enhancements and refinements to our properties. Costs relating to assets retired or abandoned as a result of these enhancements and remodel efforts are expensed as property charges. Property charges and other for the year ended December 31, 2008 were $32.6 million compared to approximately $70.2 million for the year ended December 31, 2007. Property charges and other for the year ended December 31, 2008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We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2007 included the following charges at Wynn Macau: (a) a $10 million charge for the abandonment of our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continue to remodel and make enhancements at our properties.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Interest income decreased by $25.8 million to $21.5 million for the year ended December 31, 2008 from $47.3 million for the year ended December 31, 2007. This decrease was primarily due to a decrease in interest rates as compared to the prior year. During 2008, the Company’s short-term investment strategy was primarily to preserve capital while retaining sufficient liquidity. Accordingly, our short-term investments were primarily in investments in U.S. Treasury Bills with a maturity of three months or less.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Interest expense was $172.7 million, net of capitalized interest of $87.4 million, for the year ended December 31, 2008, compared to $145.2 million, net of capitalized interest of $46 million, for the year ended December 31, 2007. Interest expense increased approximately $43.4 million due to borrowings under the $1 billion Wynn Resorts term loan facility drawn in late 2007, approximately $24.1 million related to the additional $400 million Wynn Las Vegas first mortgage notes issued in November 2007 and approximately $12 million net on borrowings from our Wynn Las Vegas, Wynn Macau and other credit facilities. These increases were offset by approximately $10.6 million less interest expense due to the conversion of the Debentures in July 2007 and an increase of $41.4 million in capitalized interest related to our construction activities. In future periods, interest expense will increase significantly as we no longer capitalize such costs related to Encore at Wynn Las Vegas.</w:t>
      </w:r>
    </w:p>
    <w:p>
      <w:pPr>
        <w:spacing w:after="0" w:line="14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Our interest rate swaps are accounted for in accordance with Statement of Financial Accounting Standards (“SFAS”) No. 133, “Accounting for Derivative Instruments and Hedging Activities”, as amended. The fair value of our interest rate swaps are recorded as either assets or liabilities in the accompanying Consolidated Balance Sheets. Changes in the fair value of our interest rate swaps are recorded as an increase (or decrease) in swap fair value in each period. We recorded a net expense of approximately $31.5 million for the year ended December 31, 2008 due to the net decrease in the fair value of our interest rate swaps from December 31, 2007 to December 31, 2008. During the year ended December 31, 2007, we recorded a net expense of $6 million due to the net decrease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2" w:right="259" w:bottom="1440" w:gutter="0" w:footer="0" w:header="0"/>
        </w:sectPr>
      </w:pPr>
    </w:p>
    <w:bookmarkStart w:id="14" w:name="page15"/>
    <w:bookmarkEnd w:id="14"/>
    <w:p>
      <w:pPr>
        <w:ind w:right="3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fair value of interest rate swaps between December 31, 2006 and December 31, 2007. For further information on our interest rate swaps, see Item 7A – “Quantitative and Qualitative Disclosures about Market Risk.”</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Gain (Loss) on Extinguishment of Debt</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November 2008, the Company purchased $625 million principal amount of its outstanding loans under the $1 billion Wynn Resorts term loan facility at a discounted price of 95.375%. This resulted in the retirement of $625 million of principal for a payment of $596.1 million. In connection with this transaction, we recorded a gain of $22.3 million on early retirement of debt, net of the write-off of unamortized debt issue costs and fees.</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June 15, 2007, we announced that we had called for redemption on July 20, 2007, all of the then outstanding principal amount of our 6% Convertible Subordinated Debenture, due July 15, 2015 (the “Debentures”). Prior to redemption, in July 2007 all of the holders converted their Debentures into shares of the Company’s common stock. As a result, in July 2007, the outstanding Debentures were converted into 9,744,680 shares of the Company’s common stock. In accordance with accounting standards, we recorded a loss on extinguishment of $93.4 million, which represents the difference between the fair value of the liability component immediately prior to extinguishment and the carrying amount of the liability on such date.</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Other represents the loss recognized in connection with foreign currency remeasurements of assets and liabilities in Macau that are not denominated in the local currency.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2008, we recorded a current tax provision of $1.9 million and a deferred tax benefit of $63.5 million.</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2008, the Company completed a study of the taxes, levies and obligations assessed on operations of Wynn Macau under Macau law and its Macau Gaming Concession. As a result, the Company recognized tax benefits of $722 million (net of valuation allowance increases) for foreign tax credits applicable to the earnings of Wynn Macau. Of the $722 million, $650.6 was used to offset 2008 U.S. income tax expense incurred as a result of the repatriation of Wynn Macau earnings and $71.4 million (net of valuation allowance) is recorded as deferred tax asset. As of December 31, 2008, the Company has no earnings in foreign subsidiaries that are considered permanently invested.</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effective tax rate/(benefit) for the year ended December 31, 2008, was (41.3%). This rate was 76.3 percentage points lower than the U.S. Federal rate of 35%, primarily due to the repatriation of foreign earnings and related foreign tax credits, a domestic operating loss, and the tax holiday applicable to the earnings of Wynn Macau, S.A..</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Effective September 6, 2006, Wynn Macau, S.A. received a 5-year exemption from Macau’s 12% Complementary Tax on casino gaming profits. Accordingly, we were exempted from the payment of approximately $27.7 million in such taxes for the year ended December 31, 2008. Our non-gaming profits remain subject to the Macau Complementary Tax and casino winnings remain subject to the Macau Special Gaming tax and other levies (at a rate equal to 39%) in accordance with its concession agreement.</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2007 compared to financial results for the year ended December 31, 2006.</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Net revenues for the year ended December 31, 2007 were comprised of $1,949.9 million in casino revenues (72.6% of total net revenues) and $737.6 million of net non-casino revenues (27.4% of total net revenues). Net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for the year ended December 31, 2006 were comprised of $800.6 million in casino revenues (55.9% of total net revenues) and $631.7 million of net non-casino revenues (44.1% of total net revenues). The quality of our resorts’ non-casino amenities, combined with providing guests an unparalleled total resort experience, has driven a premium in our properties’ ADR as well as increased the length of casino play, but the majority of revenue from Wynn Macau continues to be generated in the casino segment.</w:t>
      </w:r>
    </w:p>
    <w:p>
      <w:pPr>
        <w:spacing w:after="0" w:line="136"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Casino revenues for the year ended December 31, 2007 of approximately $1,949.9 million represents approximately a $1,149.3 million (or 143.6%) increase from casino revenues of $800.6 million for the year ended December 31, 2006. The year ended December 31, 2007 includes a full year of Wynn Macau’s operations, compared to only 117 days in 2006. At Wynn Las Vegas, we experienced a 14.6% increase in drop for the year ended December 31, 2007 and the average table games win percentage (before discounts) of 25.3% was above the expected range of 21% to 24%. Table games win percentage was 22.1% for the year ended December 31, 2006. Slot handle at Wynn Las Vegas increased less than 1% during the year ended December 31, 2007 as compared to 2006, and the slot win percentage was within the expected range of 4.5% to 5.5%. Wynn Macau’s win percentage for the VIP casino segment of 3.1% for the year ended December 31, 2007, was just above the expected range of 2.7% to 3.0%. The average table games win percentage at the general casino at Wynn Macau of 19% was at the top of the expected range of 17% to 19%. Wynn Macau’s slot win percentage was within the expected range of 4.5% to 5.5%.</w:t>
      </w:r>
    </w:p>
    <w:p>
      <w:pPr>
        <w:spacing w:after="0" w:line="11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2007, room revenues were approximately $339.4 million, which represents a $56.3 million (or 19.9%) increase over the $283.1 million generated in the year ended December 31, 2006. Wynn Macau generated $38.8 million of this increase in room revenue during the year ended December 31, 2007, its first full year of operations. The table below sets forth key operating measures related to room revenue.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5"/>
        </w:trPr>
        <w:tc>
          <w:tcPr>
            <w:tcW w:w="5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Wynn Las Vegas</w:t>
            </w:r>
          </w:p>
        </w:tc>
        <w:tc>
          <w:tcPr>
            <w:tcW w:w="472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color w:val="auto"/>
              </w:rPr>
              <w:t>$ 300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$ 287</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Macau</w:t>
            </w:r>
          </w:p>
        </w:tc>
        <w:tc>
          <w:tcPr>
            <w:tcW w:w="4720" w:type="dxa"/>
            <w:vAlign w:val="bottom"/>
            <w:gridSpan w:val="3"/>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251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Las Vegas</w:t>
            </w:r>
          </w:p>
        </w:tc>
        <w:tc>
          <w:tcPr>
            <w:tcW w:w="4720" w:type="dxa"/>
            <w:vAlign w:val="bottom"/>
            <w:gridSpan w:val="3"/>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96.0%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Wynn Macau</w:t>
            </w:r>
          </w:p>
        </w:tc>
        <w:tc>
          <w:tcPr>
            <w:tcW w:w="472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color w:val="auto"/>
              </w:rPr>
              <w:t>88.8%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Wynn Las Vegas</w:t>
            </w:r>
          </w:p>
        </w:tc>
        <w:tc>
          <w:tcPr>
            <w:tcW w:w="472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color w:val="auto"/>
              </w:rPr>
              <w:t>$ 288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$ 271</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Macau</w:t>
            </w:r>
          </w:p>
        </w:tc>
        <w:tc>
          <w:tcPr>
            <w:tcW w:w="4720" w:type="dxa"/>
            <w:vAlign w:val="bottom"/>
            <w:gridSpan w:val="3"/>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Other non-casino revenues for the year ended December 31, 2007 included food and beverage revenues of approximately $354 million, retail revenues of approximately $123.4 million, entertainment revenues of approximately $64.5 million, and other revenues from outlets such as the spa and salon, of approximately $57.3 million. Other non-casino revenues for the year ended December 31, 2006 included food and beverage revenues of approximately $309.8 million, retail revenues of approximately $86.9 million, entertainment revenues of approximately $66.3 million, and other revenues from outlets, including the spa and salon, of approximately $52 million. The full year of operations at Wynn Macau during 2007 compared to only 117 days in 2006 was the primary contributor to the increase in the food and beverage, retail and other revenues. Entertainment revenues decreased slightly due to the closure of the Le Réve theater during March 2007 for renovations.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2007, departmental expenses included casino expenses of $1,168.1 million, rooms expenses of $83.2 million, food and beverage expenses of $212.6 million, and entertainment, retail and other expenses of $161.1 million. Also included are general and administrative expenses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$310.8 million and approximately $36.1 million charged as a provision for doubtful accounts receivable. During the year ended December 31, 2006, departmental expenses included casino expenses of $439.9 million, room expenses of $73.9 million, food and beverage expenses of $194.4 million, and entertainment, retail and other expenses of $134.5 million. Also included are general and administrative expenses of approximately $231.5 million and approximately $21.2 million charged as a provision for doubtful accounts receivable. The increase in expenses is due primarily to the inclusion of a full year of operations of Wynn Macau, including the 39 percent gross win tax on casino revenue, and increases in Wynn Las Vegas expenses commensurate with the increase in revenues.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Pre-opening costs for the year ended December 31, 2007 of $7.1 million decreased by $55.7 million when compared to the year ended December 31, 2006, primarily due to the opening of Wynn Macau in 2006. Pre-opening costs incurred during the year ended December 31, 2007 related to advertising costs associated with the opening of “Monty Python’s Spamalot” at Wynn Las Vegas as well as costs related to Encore and the expansion of Wynn Macau.</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2007 of $220.3 million increased by $44.5 million when compared to the year ended December 31, 2006, primarily due to a full year of depreciation expense associated with Wynn Macau as well as the placement into service of Wynn Macau’s expansion.</w:t>
      </w:r>
    </w:p>
    <w:p>
      <w:pPr>
        <w:spacing w:after="0" w:line="13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lives of our property and equipment, intangibles and other assets. When circumstances require a revision to those estimates of useful life, we adjust them accordingly.</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 termination fee</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February 2006, we agreed with the producers of Avenue Q to end Avenue Q’s exclusive Las Vegas run at Wynn Las Vegas’ Broadway Theater at the end of May 2006. To terminate the contract, we paid a termination fee of $5 million.</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In response to our evaluation of the completed Wynn Las Vegas and Wynn Macau properties and the reactions of our guests, we have made and continue to make enhancements and refinements to our properties. Costs relating to assets retired or abandoned as a result of these enhancements and remodel efforts for the year ended December 31, 2007 of $70.2 million have been expensed as property charges. Property charges and other for the year ended December 31, 2007 included the following charges at Wynn Macau: (a) a $10 million charge for the abandonment of our parking garage to make way for Encore at Wynn Macau,</w:t>
      </w:r>
    </w:p>
    <w:p>
      <w:pPr>
        <w:spacing w:after="0" w:line="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 million charge related to abandonment costs for portions of the main kitchen, warehouse and restaurants to enable the main casino to be connected</w:t>
      </w:r>
    </w:p>
    <w:p>
      <w:pPr>
        <w:spacing w:after="0" w:line="9"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7" w:name="page18"/>
    <w:bookmarkEnd w:id="17"/>
    <w:p>
      <w:pPr>
        <w:ind w:right="7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retail outlets and a nightclub at Wynn Las Vegas, as well as the remodeling of certain areas at Wynn Macau. Offsetting these charges for the year ended December 31, 2007 is a gain of $9.4 million on the sale of a company aircraft.</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2006, we remodeled the six North Fairway Villas, several areas of the retail promenade, a portion of the baccarat area to feature a casino bar, improved public baccarat space and private baccarat salons and converted the Keno lounge to a retail outlet for womens’ accessories at Wynn Las Vegas. In December 2006, Wynn Macau donated an early Ming dynasty vase to the Macau Museum. We purchased the vase in May 2006 for approximately $10.1 million. The vase had been on public display at Wynn Macau prior to its donation to the museum. The $10.1 million expense for the donation of the Ming Vase is included in Property charges and other for the year ended December 31, 2006.</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increased by $0.2 million to $47.3 million for the year ended December 31, 2007 compared to the year ended December 31, 2006.</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Interest expense was $145.2 million, net of capitalized interest of $46 million, for the year ended December 31, 2007 compared to $150.7 million, net of capitalized interest of $31.9 million, for the year ended December 31, 2006. Total interest cost increased approximately $10.7 million due to our $1 billion Wynn Resorts term loan facility, approximately $4.4 million related to the additional $400 million Wynn Las Vegas first mortgage notes issued in November 2007 and approximately $2.0 million related to borrowings under our existing credit facilities and other debt. These increases were offset by approximately $8.5 million less interest due to the conversion of the Debentures in July 2007, as well as an increase of $14.1 million in capitalized interest related to our construction activities.</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$6 million for the year ended December 31, 2007 resulting from the decrease in the fair value of our interest rate swaps from December 31, 2006 to December 31, 2007. During the year ended December 31, 2006 we recorded a gain of $1.2 million resulting from the increase in the fair value of interest rate swaps between December 31, 2005 and December 31, 2006. For further information on our interest rate swaps, see Item 7A “Quantitative and Qualitative Disclosures about Market Risk”.</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Gain on sale of subconcession right</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March 4, 2006, we entered into an agreement with Publishing &amp; Broadcasting, Ltd. (PBL) pursuant to which we agreed to sell to PBL for $900 million, the right to negotiate with the government of Macau for a subconcession to allow PBL to operate casinos in Macau.</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September 8, 2006, the government of Macau approved the subconcession and on September 11, 2006, PBL paid $900 million in cash to Wynn Macau, S.A. for the subconcession right. As a result of the sale and the subconcession awarded to PBL by the government of Macau, we have no continuing rights or obligations with respect to the subconcession. All rights and obligations under the subconcession are between PBL and the government of Macau. The proceeds from this sale, net of related costs, are recorded as gain on sale of subconcession right, net in our Consolidated Statement of Income for the year ended December 31, 2006.</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Loss from extinguishment of debt</w:t>
      </w:r>
    </w:p>
    <w:p>
      <w:pPr>
        <w:spacing w:after="0" w:line="92"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On June 15, 2007, we announced that we had called for redemption on July 20, 2007, all of the then outstanding principal amount of our 6% Convertible Subordinated Debenture, due July 15, 2015 (the “Debentures”). Prior to redemption, in July 2007 all of the holders converted their Debentures into shares of the</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4" w:right="279" w:bottom="1440" w:gutter="0" w:footer="0" w:header="0"/>
        </w:sectPr>
      </w:pPr>
    </w:p>
    <w:bookmarkStart w:id="18" w:name="page19"/>
    <w:bookmarkEnd w:id="18"/>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common stock. As a result, in July 2007, the outstanding Debentures were converted into 9,744,680 shares of the Company’s common stock. In accordance with accounting standards, we recorded a loss on extinguishment of $93.4 million, which represents the difference between the fair value of the liability component immediately prior to extinguishment and the carrying amount of the liability on such date.</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2006, 1,124,862 shares of common stock were issued to holders of the Debentures upon conversion. In accordance with accounting standards, we recorded a loss on extinguishment of $12.5 million, which represents the difference between the fair value of the liability component immediately prior to conversion and the carrying amount of the liability on such date.</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Our effective tax rate of 15.4% was lower than the U.S. Federal rate of 35% primarily due to the portion of Macau earnings that we consider permanently invested abroad, the lower tax rates applicable to our foreign income, and the tax holiday applicable to the earnings of Wynn Macau S.A. as described below.</w:t>
      </w:r>
    </w:p>
    <w:p>
      <w:pPr>
        <w:spacing w:after="0" w:line="74"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Effective December 31, 2006, Wynn Macau, S.A. received a 5-year exemption from Macau’s 12% Complementary Tax on casino gaming profits. Accordingly, for the years ended December 31, 2007 and 2006, we were exempted from the payment of approximately $26.4 million and $4.7 million, respectively, in such taxes. Our non-gaming profits remain subject to the Macau Complementary Tax and our casino winnings remain subject to the Macau Special Gaming tax and other levies in accordance with its concession agreement.</w:t>
      </w:r>
    </w:p>
    <w:p>
      <w:pPr>
        <w:spacing w:after="0" w:line="215"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3"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8"/>
          <w:szCs w:val="18"/>
          <w:i w:val="1"/>
          <w:iCs w:val="1"/>
          <w:color w:val="auto"/>
        </w:rPr>
        <w:t>Cash Flow from Operations</w:t>
      </w:r>
    </w:p>
    <w:p>
      <w:pPr>
        <w:spacing w:after="0" w:line="92" w:lineRule="exact"/>
        <w:rPr>
          <w:sz w:val="20"/>
          <w:szCs w:val="20"/>
          <w:color w:val="auto"/>
        </w:rPr>
      </w:pPr>
    </w:p>
    <w:p>
      <w:pPr>
        <w:jc w:val="both"/>
        <w:ind w:right="60" w:firstLine="456"/>
        <w:spacing w:after="0" w:line="287" w:lineRule="auto"/>
        <w:rPr>
          <w:sz w:val="20"/>
          <w:szCs w:val="20"/>
          <w:color w:val="auto"/>
        </w:rPr>
      </w:pPr>
      <w:r>
        <w:rPr>
          <w:rFonts w:ascii="Times New Roman" w:cs="Times New Roman" w:eastAsia="Times New Roman" w:hAnsi="Times New Roman"/>
          <w:sz w:val="16"/>
          <w:szCs w:val="16"/>
          <w:color w:val="auto"/>
        </w:rPr>
        <w:t>Net cash provided from operations for the year ended December 31, 2008 was $523.2 million compared to $660.6 million provided by operations for the year ended December 31, 2007. The $137.4 million decrease in cash provided by operations for the year ended December 31, 2008, compared to the year ended December 31, 2007 was primarily due to 1) an approximate $60 million increase in the pre-opening costs related to the opening of Encore at Wynn Las Vegas,</w:t>
      </w:r>
    </w:p>
    <w:p>
      <w:pPr>
        <w:spacing w:after="0" w:line="1" w:lineRule="exact"/>
        <w:rPr>
          <w:sz w:val="20"/>
          <w:szCs w:val="20"/>
          <w:color w:val="auto"/>
        </w:rPr>
      </w:pPr>
    </w:p>
    <w:p>
      <w:pPr>
        <w:jc w:val="both"/>
        <w:ind w:right="460" w:firstLine="8"/>
        <w:spacing w:after="0" w:line="302" w:lineRule="auto"/>
        <w:tabs>
          <w:tab w:leader="none" w:pos="19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$25 million decrease in interest income received due to lower average interest rates, 3) a $22 million decrease in operating margins due to the current economic environment, and 4) an $11 million increase in cash paid for interest as a result of our increased debt balances. These decreases along with other working capital expenditures primarily associated with the opening of Encore contributed to lower operating cash flows in 2008 as compared to 2007.</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92"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We require a certain amount of cash on hand for operations. At December 31, 2008, we had approximately $1.1 billion of cash and cash equivalents available for operations, debt service and retirement, development activities, general corporate purposes, enhancements to our properties, funding the remaining construction and retention payables related to Encore at Wynn Las Vegas (approximately $202 million) and to support the development and construction costs of Encore at Wynn Macau. Approximately $662.3 million of our cash balance is held by Wynn Resorts, Limited, which is not a guarantor of the debt of its subsidiaries, including Wynn Las Vegas, LLC and Wynn Macau, S.A. In addition, as of December 31, 2008, we had availability under our Wynn Macau Senior Revolving Credit Facility of $500 million. On February 4, 2009, we borrowed this remaining availability of $500 million under the Wynn Macau Senior Revolving Credit Facility and increased our cash balances accordingly. Except for scheduled quarterly payments on two notes payable, we have no outstanding debt maturities until June 2010. We believe that cash flow from operations and our existing cash balances will be adequate to satisfy our anticipated uses of capital during 2009. However, due to the negative business trends discussed herein, our Las Vegas and Wynn Macau cash flows from operations may continue to significantly decrease which may require additional financing. We cannot provide assurance that future borrowings will be available.</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274"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and cash equivalents include investments in U.S. Treasury Bills and bank time deposits, all with maturities of less than 90 days.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Capital expenditures were approximately $1.3 billion for the year ended December 31, 2008 and related primarily to the construction of Encore at Wynn Las Vegas and Encore at Wynn Macau.</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92"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On April 28, 2006, we commenced construction on Encore at Wynn Las Vegas which opened on December 22, 2008. Total costs of the project did not exceed our project budget of approximately $2.3 billion for Encore at Wynn Las Vegas and related capital improvements. The project has been funded with proceeds from our Wynn Las Vegas Credit Facilities and operating cash flow from Wynn Las Vegas. To the extent additional funds are required to pay the remaining construction and retention payables or other needs, we anticipate that we will fund these amounts by additional equity contributions to Wynn Las Vegas, LLC. Subsequent to December 31, 2008, Wynn Resorts made $100 million of such contributions.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Encore at Wynn Macau</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June 2007, we commenced construction on Encore at Wynn Macau, a further expansion of Wynn Macau. Encore at Wynn Macau is a second hotel tower for Wynn Macau situated on top of a new low-rise podium. We expect Encore at Wynn Macau to open in 2010.</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 of the project continues to progress and current construction activities as of February 2009 include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 portion of the low-rise podium is under construction and the tower has reached the 41st floor;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glass installation has reached the 20th floor;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fit-out has commenced;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basement structure has been completed;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plant (located on the roof of Wynn Macau) is complete.</w:t>
      </w:r>
    </w:p>
    <w:p>
      <w:pPr>
        <w:spacing w:after="0" w:line="17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We expect total development and construction costs to be approximately $700 million for Encore at Wynn Macau. We anticipate that the project budget will be funded from our cash flow from operations at Wynn Macau and funds drawn on February 4, 2009 from our Wynn Macau Senior Revolving Credit Facilities.</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2008, we had incurred approximately $202 million of project costs related to the development and construction of Encore at Wynn Macau.</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Resorts, Limited</w:t>
      </w:r>
    </w:p>
    <w:p>
      <w:pPr>
        <w:spacing w:after="0" w:line="92"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On June 6, 2007, our Board of Directors authorized an equity repurchase program of up to $1.2 billion. On July 10, 2008, our Board of Directors authorized an increase of $500 million to the previously announced equity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4" w:right="25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program bringing the total authorized to $1.7 billion. The repurchase program may include repurchases from time to time through open market purchases, in privately negotiated transactions, and under plans complying with Rules 10b5-1 and 10b-18 under the Exchange Act. During the year ended December 31, 2008, we repurchased 10,915,633 shares at a net cost of $940.1 million. As of December 31, 2008, we had repurchased a total of 12,804,954 shares of our common stock for a net cost of $1.1 billion under the program.</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Restricted cash decreased approximately $500 million during the year ended December 31, 2008, as such cash was used to purchase shares of our stock as discussed above.</w:t>
      </w:r>
    </w:p>
    <w:p>
      <w:pPr>
        <w:spacing w:after="0" w:line="120"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On June 21, 2007, we entered into a $1 billion term loan facility (the “Term Loan”). The Term Loan was available to fund (a) our equity repurchase program announced on June 7, 2007 and (b) up to $350 million for general corporate purposes. All amounts under this facility were borrowed as of December 31, 2007 and no additional amounts are available. On November 26, 2008, we purchased $625 million of the loans at a discounted price of 95.375%, resulting in the retirement of $625 million of principal at a cost of $596.1 million. The remaining $375 million will mature and be payable on June 21, 2010.</w:t>
      </w:r>
    </w:p>
    <w:p>
      <w:pPr>
        <w:spacing w:after="0" w:line="10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6"/>
          <w:szCs w:val="16"/>
          <w:color w:val="auto"/>
        </w:rPr>
        <w:t>At our election, the Term Loan accrues interest at either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w:t>
      </w:r>
    </w:p>
    <w:p>
      <w:pPr>
        <w:spacing w:after="0" w:line="2" w:lineRule="exact"/>
        <w:rPr>
          <w:sz w:val="20"/>
          <w:szCs w:val="20"/>
          <w:color w:val="auto"/>
        </w:rPr>
      </w:pPr>
    </w:p>
    <w:p>
      <w:pPr>
        <w:ind w:right="180" w:firstLine="8"/>
        <w:spacing w:after="0" w:line="233"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Funds Rate plus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xml:space="preserve"> of 1% per annum; plus (b) a borrowing margin as described below. Interest on Base Rate loans are payable quarterly in arrears. The borrowing margin is 2.25% for LIBOR loans and 1% for Base Rate loans, if our net liquidity is equal to or greater than $400 million and 2.50% for LIBOR loans and 1.25% for Base Rate loans, if our net liquidity is less than $400 million. For borrowings under the Term Loan, we have historically elected interest at LIBOR plus a margin of 2.25% on the outstanding balance.</w:t>
      </w:r>
    </w:p>
    <w:p>
      <w:pPr>
        <w:spacing w:after="0" w:line="178"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On November 18, 2008, we completed a secondary common stock offering of 8 million shares resulting in net proceeds of $344.3 million. These funds were included in our cash and cash equivalents as of December 31, 2008.</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and Encore at Wynn Las Vegas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2008, our Wynn Las Vegas credit facilities consist of a $900 million revolving credit facility (the “Wynn Las Vegas Revolver”)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$225 million term loan facility (the “Wynn Las Vegas Term Loan”) (together, the “Wynn Las Vegas Credit Facilities”). For borrowings under the Wynn Las Vegas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Loan we have historically elected Eurodollar loans which bear interest at the 1-month LIBOR and include a margin of 1.875% on that outstanding balance.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had a $200 million notional amount interest rate swap to essentially fix the interest on $200 million of the Wynn Las Vegas Term Loan at the rate of 5.7% per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that expired in December 2008. (For further information, see Item 7A. “Quantitative and Qualitative Discussions about Market Risk”.)</w:t>
      </w:r>
    </w:p>
    <w:p>
      <w:pPr>
        <w:spacing w:after="0" w:line="159" w:lineRule="exact"/>
        <w:rPr>
          <w:sz w:val="20"/>
          <w:szCs w:val="20"/>
          <w:color w:val="auto"/>
        </w:rPr>
      </w:pPr>
    </w:p>
    <w:p>
      <w:pPr>
        <w:ind w:right="140" w:firstLine="456"/>
        <w:spacing w:after="0" w:line="285" w:lineRule="auto"/>
        <w:rPr>
          <w:sz w:val="20"/>
          <w:szCs w:val="20"/>
          <w:color w:val="auto"/>
        </w:rPr>
      </w:pPr>
      <w:r>
        <w:rPr>
          <w:rFonts w:ascii="Times New Roman" w:cs="Times New Roman" w:eastAsia="Times New Roman" w:hAnsi="Times New Roman"/>
          <w:sz w:val="16"/>
          <w:szCs w:val="16"/>
          <w:color w:val="auto"/>
        </w:rPr>
        <w:t>During the year ended December 31, 2008, we borrowed $879.5 million under the Wynn Las Vegas Revolver. We also have $20.1 million of outstanding letters of credit that reduce our availability under the Wynn Las Vegas Revolver. Consequently, as of December 31, 2008, approximately $0.4 million remained available under the Wynn Las Vegas Revolver for future borrowings. For borrowings under the Wynn Las Vegas Revolver, we have historically elected Eurodollar loans, which bear interest at the 1-month LIBOR and currently include a margin of 1.625% on the outstanding balance. Beginning June 30, 2009, the margin will fluctuate between a range of 1 to 1.75%, depending on our leverage ratio. In addition to interest, we also pay quarterly in arrears, an annual rate of</w:t>
      </w:r>
    </w:p>
    <w:p>
      <w:pPr>
        <w:ind w:right="260"/>
        <w:spacing w:after="0" w:line="261" w:lineRule="auto"/>
        <w:rPr>
          <w:sz w:val="20"/>
          <w:szCs w:val="20"/>
          <w:color w:val="auto"/>
        </w:rPr>
      </w:pPr>
      <w:r>
        <w:rPr>
          <w:rFonts w:ascii="Times New Roman" w:cs="Times New Roman" w:eastAsia="Times New Roman" w:hAnsi="Times New Roman"/>
          <w:sz w:val="18"/>
          <w:szCs w:val="18"/>
          <w:color w:val="auto"/>
        </w:rPr>
        <w:t>0.375% on the daily average of unborrowed availability. Beginning June 30, 2009, the annual fee that we will be required to pay for unborrowed availability is based on our leverage ratio and will range from an annual rate of 0.25% to 0.50%.</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Wynn Las Vegas with additional flexibility with respect to its financial covenants and related financial calculations.</w:t>
      </w:r>
    </w:p>
    <w:p>
      <w:pPr>
        <w:spacing w:after="0" w:line="132"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The Wynn Las Vegas Credit Facilities contain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Leverage Ratio, as defined, not greater than 5.00 to 1 as of December 31, 2008, and Consolidated Interest Coverage Ratio, as defined, not less than 1.40 to 1. Management believes that we were in compliance with all covenants at December 31, 2008. The Consolidated Leverage Ratio is 5.00 to 1, 8.25 to 1, 7.75 to 1 and 7.50 to 1 for each of the reporting periods ending March 31, 2009, June 30, 2009, September 30, 2009 and December 31, 2009, respectively. The Consolidated Interest Coverage Ratio is 1.35 to 1 for the reporting period ending March 31, 2008, and then increases to 1.75 to 1 for the reporting periods ending June 30, 2009 and September 30, 2009, and 2.00 to 1 for the reporting period ending December 31, 2009.</w:t>
      </w:r>
    </w:p>
    <w:p>
      <w:pPr>
        <w:spacing w:after="0" w:line="11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Wynn Las Vegas Credit Facilities contain a requirement that we must make mandatory repayments of indebtedness from specified percentages of excess cash flow beginning after the opening of Encore. Encore opened on December 22, 2008. If our Wynn Las Vegas subsidiary meets a Consolidated Leverage Ratio, as defined in the Credit Agreement, of greater than 3.5 to 1, such repayment is defined as 50% of Excess Cash Flow, as defined in the Credit Agreement. If the Consolidated Leverage Ratio is less than 3.5 to 1, then no repayment is required. Based on the current economic conditions in which we are operating, we do not believe that Wynn Las Vegas will meet the requirement for mandatory repayment pursuant to this provision of the Credit Agreement during the year ending December 31, 2009, and therefore we do not expect to make any mandatory repayments pursuant to this requirement during 2009.</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and Encore at Wynn Macau</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27, 2007, Wynn Resorts (Macau) S.A., amended its credit facility, dated September 14, 2005 (“Amended Common Terms Agreement”), and entered into other related amendments and agreements with a syndicate of lenders. The Amended Common Terms Agreement and related agreements took effect on June 29, 2007 and expanded availability under Wynn Macau, S.A.’s existing senior bank facility from $764 million to $1.550 billion, in a combination of Hong Kong and U.S. dollars, including a $550 million equivalent fully-funded senior term loan facility (the “Wynn Macau Term Loan”), and a $1 billion senior revolving credit facility (the “Wynn Macau Revolver”) (together the “Wynn Macau Credit Facilities”). Wynn Macau, S.A. also has the ability to increase the total facilities by an additional $50 million pursuant to the terms and provisions of the Amended Common Terms Agreement.</w:t>
      </w:r>
    </w:p>
    <w:p>
      <w:pPr>
        <w:spacing w:after="0" w:line="1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2008, we borrowed approximately $500 million under the Wynn Macau Revolver which left remaining availability of $500 million. We borrowed this remaining availability of $500 million on February 4, 2009, which was added to our cash balances.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4" w:right="259" w:bottom="1440" w:gutter="0" w:footer="0" w:header="0"/>
        </w:sectPr>
      </w:pPr>
    </w:p>
    <w:bookmarkStart w:id="22" w:name="page23"/>
    <w:bookmarkEnd w:id="22"/>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we were required by the financial covenants to maintain a Leverage Ratio, as defined, not greater than 4.75 to 1 as of December 31, 2008, and Interest Coverage Ratio, as defined, not less than 2.00 to 1. Management believes that we were in compliance with all covenants at December 31, 2008. The Leverage Ratio increases to not greater than 5.00 to 1 for all reporting periods in 2009.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2008, we had outstanding letters of credit totaling $20.1 million.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Contractual Obligation and Commitments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at December 31, 2008 (amounts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5"/>
              </w:rPr>
              <w:t>Payments Due By Period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Than 1</w:t>
            </w:r>
          </w:p>
        </w:tc>
        <w:tc>
          <w:tcPr>
            <w:tcW w:w="32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 to 3</w:t>
            </w:r>
          </w:p>
        </w:tc>
        <w:tc>
          <w:tcPr>
            <w:tcW w:w="3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4 to 5</w:t>
            </w:r>
          </w:p>
        </w:tc>
        <w:tc>
          <w:tcPr>
            <w:tcW w:w="68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After 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 [1]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$ 1,336.0</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$ 1,042.9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$ 1,921.1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112.6</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225.3</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225.3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variable interest payments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243.2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0" w:type="dxa"/>
            <w:vAlign w:val="bottom"/>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0" w:type="dxa"/>
            <w:vAlign w:val="bottom"/>
          </w:tcPr>
          <w:p>
            <w:pPr>
              <w:spacing w:after="0"/>
              <w:rPr>
                <w:sz w:val="18"/>
                <w:szCs w:val="18"/>
                <w:color w:val="auto"/>
              </w:rPr>
            </w:pPr>
          </w:p>
        </w:tc>
      </w:tr>
      <w:tr>
        <w:trPr>
          <w:trHeight w:val="223"/>
        </w:trPr>
        <w:tc>
          <w:tcPr>
            <w:tcW w:w="6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commitments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592.1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$ 1,822.4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$ 1,353.8</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$ 2,192.1</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5,960.4</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right="2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2009 we borrowed the remaining availability of $500 million under the Wynn Macau Revolver. The Wynn Macau Revolver matures in June 2012.</w:t>
      </w:r>
    </w:p>
    <w:p>
      <w:pPr>
        <w:spacing w:after="0" w:line="25" w:lineRule="exact"/>
        <w:rPr>
          <w:rFonts w:ascii="Times New Roman" w:cs="Times New Roman" w:eastAsia="Times New Roman" w:hAnsi="Times New Roman"/>
          <w:sz w:val="18"/>
          <w:szCs w:val="18"/>
          <w:color w:val="auto"/>
        </w:rPr>
      </w:pPr>
    </w:p>
    <w:p>
      <w:pPr>
        <w:ind w:left="460" w:right="20" w:hanging="452"/>
        <w:spacing w:after="0" w:line="325"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all periods represent our estimated future interest payments on our debt facilities based upon amounts outstanding and LIBOR or HIBOR rates at December 31, 2008. Such rates are at historical lows as of December 31, 2008 and have been very volatile in recent months. Actual rates will vary.</w:t>
      </w:r>
    </w:p>
    <w:p>
      <w:pPr>
        <w:spacing w:after="0" w:line="1" w:lineRule="exact"/>
        <w:rPr>
          <w:rFonts w:ascii="Times New Roman" w:cs="Times New Roman" w:eastAsia="Times New Roman" w:hAnsi="Times New Roman"/>
          <w:sz w:val="16"/>
          <w:szCs w:val="16"/>
          <w:color w:val="auto"/>
        </w:rPr>
      </w:pPr>
    </w:p>
    <w:p>
      <w:pPr>
        <w:ind w:left="460" w:hanging="452"/>
        <w:spacing w:after="0" w:line="26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open purchase orders, commitments for aircraft purchases, land concession and fixed gaming tax payments in Macau and other contracts. As further discussed in Item 8 “Financial Statements”, Note 17 “Income Taxes”, of this report, we adopted the provisions of FIN 48, on January 1, 2007. We had $120.8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ind w:left="460"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of unrecognized tax benefits as of December 31, 2008. Due to the inherent uncertainty of the underlying tax positions, it is not practicable to assign this liability to any particular year and therefore it is not included in the table above as of December 31, 2008.</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the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$1 billion Term Loan places various restrictions on the ability to pay dividends.</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operating cash flow and to the extent additional funds are required, with additional contributions from Wynn Resorts or additional indebtedness to be incurred by Wynn Las Vegas, LLC. We cannot assure you that Wynn Las Vegas, LLC will generate sufficient cash flow from operations or that future contributions from Wynn Resorts or the availability of additional indebtedness will be sufficient to enable us to service and repay Wynn Las Vegas, LLC’s indebtedness or to fund its other liquidity needs. We expect that Wynn Macau will fund Wynn Macau, S.A.’s debt service obligations with existing cash and operating cash flow. However, we cannot assure you that such operating cash flows and existing cash will be sufficient to do so. We may seek to refinance all or a portion of our indebtedness on or before maturity. Continued volatility in the capital markets may affect our ability to refinance debt or access those markets for additional borrowings or may increase costs associated with borrowing funds. We cannot assure you that we will be able to refinance any of the indebtedness on acceptable terms or at all.</w:t>
      </w:r>
    </w:p>
    <w:p>
      <w:pPr>
        <w:spacing w:after="0" w:line="13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Las Vegas, as well as other domestic and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3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Rating</w:t>
      </w:r>
    </w:p>
    <w:p>
      <w:pPr>
        <w:spacing w:after="0" w:line="92"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As of February 26, 2009, the Company had a rating of “BB” with a “negative” outlook by Standard &amp; Poors and a rating of “Ba3” with a “negative” outlook by Moody’s Investors Service. For future borrowings, any decrease in our corporate rating could result in an increase in borrowing costs.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 and Estimates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Development, Construction and Property and Equipment Estimates</w:t>
      </w:r>
    </w:p>
    <w:p>
      <w:pPr>
        <w:spacing w:after="0" w:line="92" w:lineRule="exact"/>
        <w:rPr>
          <w:sz w:val="20"/>
          <w:szCs w:val="20"/>
          <w:color w:val="auto"/>
        </w:rPr>
      </w:pPr>
    </w:p>
    <w:p>
      <w:pPr>
        <w:jc w:val="both"/>
        <w:ind w:right="30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 Start-up costs relating to Encore at Wynn Macau will be charged to pre-opening costs until it is completed and opened.</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began recognizing depreciation expense on the resort’s fixed assets.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remaining estimated useful lives of assets are periodically reviewed.</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leasehold interest in land in Macau under the land concession contract entered into in June 2004 is being amortized over 25 years, to the initial term of the concession contract, which currently terminates in June 2029. Depreciation on a majority of the assets comprising Wynn Macau commenced in September of 2006, when Wynn Macau opened. The maximum useful life of assets at Wynn Macau is deemed to be the remaining life of the gaming concession, which currently expires in June 2022. Consequently, depreciation related to Wynn Macau will generally be charged over shorter periods when compared to Wynn Las Vegas.</w:t>
      </w:r>
    </w:p>
    <w:p>
      <w:pPr>
        <w:spacing w:after="0" w:line="13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2" w:right="23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Allowance for Estimated Doubtful Accounts Receivable</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through the issuance of markers, represents a significant portion of the table games volume at Wynn Las Vegas. While offered, the issuance of credit at Wynn Macau is less significant when compared to Wynn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3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2008 and December 31, 2007, approximately 78% and 65% of our casino accounts receivable were owed by customers from foreign countries, primarily in Asia. In addition to enforceability issues, the collectibility of markers given by foreign customers is affected by a number of factors including changes in currency exchange rates and economic conditions in the customers’ home countries.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industry standard reserve percentages to aged account balances and we specifically analyze the collectability of each account with a balance over a specified dollar amount, based upon the age, the customer’s financial condition, collection history and any other known information. The standard reserve percentages applied are based on our historical experience and take into consideration current industry and economic conditions. In the third quarter of 2008, we increased our estimated reserves in light of the current economic conditions.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(amounts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2008</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17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200,115</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216,166</w:t>
            </w:r>
          </w:p>
        </w:tc>
        <w:tc>
          <w:tcPr>
            <w:tcW w:w="1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casino accounts receivable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101,880</w:t>
            </w:r>
          </w:p>
        </w:tc>
        <w:tc>
          <w:tcPr>
            <w:tcW w:w="48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65,647</w:t>
            </w:r>
          </w:p>
        </w:tc>
        <w:tc>
          <w:tcPr>
            <w:tcW w:w="1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casino accounts receivable outstanding over 180 days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35"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increase in the allowance for doubtful accounts as a percentage of casino accounts receivable is due to a change in our reserve estimates effective September 2008, as a result of the current global economic uncertainty. Our reserve for doubtful casino accounts receivable is based on our estimates of amounts collectible and depends on the risk assessments and judgments by our employees regarding realizability, the state of the economy and our credit policy. Our reserve methodology is applied similarly to credit extended at Wynn Las Vegas, Encore at Wynn Las Vegas and Wynn Macau. As of December 31, 2008 and December 31, 2007, approximately 29% and 25% respectively, of our outstanding casino account receivable balance originated at Wynn Macau.</w:t>
      </w:r>
    </w:p>
    <w:p>
      <w:pPr>
        <w:spacing w:after="0" w:line="108"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2008, a 100 basis-point change in the allowance for doubtful accounts as a percentage of casino accounts receivable would change the provision for doubtful accounts by approximately $2 million.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2" w:right="259" w:bottom="1440" w:gutter="0" w:footer="0" w:header="0"/>
        </w:sectPr>
      </w:pPr>
    </w:p>
    <w:bookmarkStart w:id="26" w:name="page27"/>
    <w:bookmarkEnd w:id="26"/>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or comprehensive income, as applicable. As of December 31, 2008, changes in the swap fair values are being recorded in our Consolidated Statements of Income, as the swaps do not qualify for hedge accounting.</w:t>
      </w:r>
    </w:p>
    <w:p>
      <w:pPr>
        <w:spacing w:after="0" w:line="13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measure the fair value of our interest rate swaps on a recurring basis pursuant to SFAS No. 157, “Fair Value Measurements.”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SFAS No. 123(R), “Share-Based Payment,”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SFAS 123(R). As our stock price fluctuates, this estimate will change. For example, a 10% change in the volatility assumption for 2008 would have resulted in an approximate $3 million change in fair value. Expected term represents the estimated average time between the option’s grant date and its exercise date. Because of our limited trading history as a public company we have elected to use the simplified method prescribed by SAB No. 110,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2008 would have resulted in a $1 million to $2 million change in fair value. These assumed changes in fair value would have been recognized over the vesting schedule of such awards.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4" w:right="239" w:bottom="1440" w:gutter="0" w:footer="0" w:header="0"/>
        </w:sectPr>
      </w:pPr>
    </w:p>
    <w:bookmarkStart w:id="27" w:name="page28"/>
    <w:bookmarkEnd w:id="27"/>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Judgmental Accruals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it believes necessary.</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where we operate.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our limited operating history, we previously partially reserved these net deferred tax assets. On September 11, 2006, we recorded a gain of $899.4 million on the sale of the subconcession right. Accordingly we determined that a substantial portion of our net deferred tax assets had become more likely than not realizable as defined by SFAS No. 109.</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2008, the Company has a foreign tax credit carryover of $698.4 million and has recorded a valuation allowance of $626.9 million against this asset based on the Company’s estimate of future realization. The foreign tax credits are attributable to the Macau special gaming tax which is 35% of gross gaming revenue in Macau. The U.S. taxing regime only allows a credit for 35% of “net” foreign source income. The Company could not rely on forecasted taxable income in order to support the utilization of the foreign tax credits. The estimated future foreign tax credit realization was based upon the estimated future taxable income from the reversal of “net” U.S. taxable temporary differences that the Company expects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income tax returns are subject to examination by the Internal Revenue Service (“IRS”) and other tax authorities in the locations where we operate. We assess potentially unfavorable outcomes of such examinations based on the criteria of Financial Accounting Standards Board (“FASB”) Interpretation No. 48 (“FIN 48”) “Accounting for Uncertainty in Income Taxes” which we adopted on January 1, 2007. The Interpretation prescribes a minimum recognition threshold a tax position is required to meet before being recognized in the financial statements. As a result of the adoption of FIN 48, our income tax recognition policy related to uncertain income tax positions is no longer covered by SFAS No. 5.</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4" w:right="279" w:bottom="1440" w:gutter="0" w:footer="0" w:header="0"/>
        </w:sectPr>
      </w:pPr>
    </w:p>
    <w:bookmarkStart w:id="28" w:name="page29"/>
    <w:bookmarkEnd w:id="28"/>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 48 applies to all tax positions related to income taxes subject to SFAS No. 109. FIN 48 utilizes a two-step approach for evaluating tax positions. Recognition (Step I) occurs when we conclude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tax positions failing to qualify for initial recognition are to be recognized in the first subsequent interim period that they meet the “more likely than not” standard. If it is subsequently determined that a previously recognized tax position no longer meets the “more likely than not” standard, the tax position must be derecognized. FIN 48 specifically prohibits the use of a valuation allowance as a substitute for derecognition of tax positions. As applicable, we will recognize accrued penalties and interest related to unrecognized tax benefits in the provision for income taxes. During the years ended December 31, 2008, 2007 and 2006, we recognized no amounts for interest or penalties.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Effective September 6, 2006, we received a 5-year exemption from Macau’s 12% Complementary Tax on casino gaming profits. Accordingly, during 2008 we were exempted from the payment of approximately $27.7 million in such taxes. Wynn Macau’s non-gaming profits remain subject to the Macau Complementary Tax and Wynn Macau’s casino winnings remain subject to the Macau Special Gaming tax and other levies in accordance with its concession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As of December 31, 2008, we do not have any nonfinancial assets or nonfinancial liabilities that are, or were, recognized or disclosed at fair value on a recurring basis. We partially adopted the provisions of SFAS 157 effective January 1, 2008 and expect to adopt the remaining provisions of SFAS 157 on January 1, 2009. The partial adoption of this statement did not have a material impact on our consolidated financial statements.</w:t>
      </w:r>
    </w:p>
    <w:p>
      <w:pPr>
        <w:spacing w:after="0" w:line="138"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103"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4" w:right="279" w:bottom="1440" w:gutter="0" w:footer="0" w:header="0"/>
        </w:sectPr>
      </w:pPr>
    </w:p>
    <w:bookmarkStart w:id="29" w:name="page30"/>
    <w:bookmarkEnd w:id="29"/>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36"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In June 2008, the FASB issued FASB Staff Position No. EITF 03-6-1, Determining Whether Instruments Granted in Share-Based Payment Transactions Are Participating Securities (the “FSP”). This FSP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We are currently evaluating the impact of this FSP, but do not expect it to have a material impact on our consolidated results of operations or financial position.</w:t>
      </w:r>
    </w:p>
    <w:p>
      <w:pPr>
        <w:spacing w:after="0" w:line="1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i w:val="1"/>
                <w:iCs w:val="1"/>
                <w:color w:val="auto"/>
                <w:w w:val="96"/>
              </w:rPr>
              <w:t>INDEX TO CONSOLIDATED 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1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on Internal Controls over Financial Reporting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Report of Independent Registered Public Accounting Firm on the Consolidated Financial Statements</w:t>
              </w:r>
            </w:hyperlink>
          </w:p>
        </w:tc>
        <w:tc>
          <w:tcPr>
            <w:tcW w:w="37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7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Consolidated Balance Sheets</w:t>
              </w:r>
            </w:hyperlink>
          </w:p>
        </w:tc>
        <w:tc>
          <w:tcPr>
            <w:tcW w:w="406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9"/>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Consolidated Statements of Income</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Consolidated Statements of Stockholders’ Equity</w:t>
              </w:r>
            </w:hyperlink>
          </w:p>
        </w:tc>
        <w:tc>
          <w:tcPr>
            <w:tcW w:w="7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140" w:type="dxa"/>
            <w:vAlign w:val="bottom"/>
            <w:gridSpan w:val="9"/>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Consolidated Statements of Cash Flows</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9"/>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Notes to Consolidated Financial Statements</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4000" w:type="dxa"/>
            <w:vAlign w:val="bottom"/>
            <w:gridSpan w:val="2"/>
          </w:tcPr>
          <w:p>
            <w:pPr>
              <w:jc w:val="right"/>
              <w:ind w:right="1192"/>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p>
      <w:pPr>
        <w:ind w:right="2700" w:firstLine="2700"/>
        <w:spacing w:after="0" w:line="39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The Board of Directors and Stockholders of Wynn Resorts, Limited:</w:t>
      </w:r>
    </w:p>
    <w:p>
      <w:pPr>
        <w:spacing w:after="0" w:line="1"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2008 and 2007, and the related consolidated statements of income, stockholders’ equity, and cash flows for each of the three years in the period ended December 31, 2008.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the Company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consolidated financial statements have been adjusted for the retrospective application of Financial Accounting Standards Board Staff Position No. APB 14-1, “Accounting for Convertible Debt Instruments That May Be Settled in Cash Upon Conversion (Including Partial Cash Settlement),” which became effective January 1, 2009.</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Also, as discussed in Note 2 to the consolidated financial statements, the Company changed its method of accounting for income taxes in accordance with FASB Interpretation No. 48 “Accounting for Uncertainty in Income Taxes—an interpretation of FASB Statement No. 109” on January 1, 2007.</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December 31, 2008,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2009 expressed an unqualified opinion thereon.</w:t>
      </w:r>
    </w:p>
    <w:p>
      <w:pPr>
        <w:spacing w:after="0" w:line="1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2009, except for changes as described in Note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which the date is August 5, 2009</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2"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ind w:left="4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1,133,904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1,275,120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125,196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120,944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1,411,091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1,581,991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5,118,646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3,953,517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49,049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65,877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106,429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6,755,788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6,312,820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232,136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21,485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85,803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66,954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liabilities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209,906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78,599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723,757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4,290,424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3,533,339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124,511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10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5,154,193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4,355,861</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10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400,000,000 shares authorized; 124,817,994 and 116,259,411 shares issued; 112,013,040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and 114,370,090 shares outstanding</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Treasury stock, at cost; 12,804,954 and 1,889,321 shares</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2"/>
              </w:rPr>
              <w:t>(1,119,407)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2,734,276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2,366,687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1,601,595</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1,956,959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6,755,788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6,312,820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2"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2,261,932</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4"/>
              </w:rPr>
              <w:t>1,949,870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800,591</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339,391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283,084</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353,983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309,771</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245,201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205,213</w:t>
            </w:r>
          </w:p>
        </w:tc>
      </w:tr>
      <w:tr>
        <w:trPr>
          <w:trHeight w:val="222"/>
        </w:trPr>
        <w:tc>
          <w:tcPr>
            <w:tcW w:w="20" w:type="dxa"/>
            <w:vAlign w:val="bottom"/>
          </w:tcPr>
          <w:p>
            <w:pPr>
              <w:spacing w:after="0"/>
              <w:rPr>
                <w:sz w:val="19"/>
                <w:szCs w:val="19"/>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3,217,367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2,888,445</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1,598,659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(200,926)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(166,402)</w:t>
            </w:r>
          </w:p>
        </w:tc>
      </w:tr>
      <w:tr>
        <w:trPr>
          <w:trHeight w:val="230"/>
        </w:trPr>
        <w:tc>
          <w:tcPr>
            <w:tcW w:w="20" w:type="dxa"/>
            <w:vAlign w:val="bottom"/>
          </w:tcPr>
          <w:p>
            <w:pPr>
              <w:spacing w:after="0"/>
              <w:rPr>
                <w:sz w:val="20"/>
                <w:szCs w:val="20"/>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2,987,324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2,687,519</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1,432,257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1,490,927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4"/>
              </w:rPr>
              <w:t>1,168,119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439,902</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83,237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73,878</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212,622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194,403</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161,087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134,530</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310,820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231,515</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36,109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21,163</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7,063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62,726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220,250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175,713</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termination fee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60,857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r>
      <w:tr>
        <w:trPr>
          <w:trHeight w:val="230"/>
        </w:trPr>
        <w:tc>
          <w:tcPr>
            <w:tcW w:w="20" w:type="dxa"/>
            <w:vAlign w:val="bottom"/>
          </w:tcPr>
          <w:p>
            <w:pPr>
              <w:spacing w:after="0"/>
              <w:rPr>
                <w:sz w:val="20"/>
                <w:szCs w:val="20"/>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2,675,188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2,260,164</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1,363,890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427,355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68,367</w:t>
            </w:r>
          </w:p>
        </w:tc>
      </w:tr>
      <w:tr>
        <w:trPr>
          <w:trHeight w:val="222"/>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47,259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47,010</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(172,693)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(145,177)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(150,655)</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 to convertible debenture holders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(58,477)</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swap fair value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(6,001)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sale of subconcession right, net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899,409</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from extinguishment of debt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(93,526)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(25,030)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(163,218)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(195,218)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715,478</w:t>
            </w: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232,137</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783,845</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(35,801)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(184,293)</w:t>
            </w: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106,030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99,998</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112,685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111,627</w:t>
            </w: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34" w:name="page35"/>
    <w:bookmarkEnd w:id="34"/>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CONSOLIDATED STATEMENT OF STOCKHOLDERS’ EQUITY</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ectPr>
          <w:pgSz w:w="11900" w:h="16838" w:orient="portrait"/>
          <w:cols w:equalWidth="0" w:num="1">
            <w:col w:w="11380"/>
          </w:cols>
          <w:pgMar w:left="240" w:top="272" w:right="279" w:bottom="1440" w:gutter="0" w:footer="0" w:header="0"/>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134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20" w:type="dxa"/>
            <w:vAlign w:val="bottom"/>
          </w:tcPr>
          <w:p>
            <w:pPr>
              <w:spacing w:after="0"/>
              <w:rPr>
                <w:sz w:val="19"/>
                <w:szCs w:val="19"/>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9"/>
                <w:szCs w:val="19"/>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65"/>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January 1, 2006</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outstanding</w:t>
            </w: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29"/>
        </w:trPr>
        <w:tc>
          <w:tcPr>
            <w:tcW w:w="3820" w:type="dxa"/>
            <w:vAlign w:val="bottom"/>
            <w:vMerge w:val="continue"/>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99,331,294</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ind w:left="120"/>
              <w:spacing w:after="0" w:line="129" w:lineRule="exact"/>
              <w:rPr>
                <w:sz w:val="20"/>
                <w:szCs w:val="20"/>
                <w:color w:val="auto"/>
              </w:rPr>
            </w:pPr>
            <w:r>
              <w:rPr>
                <w:rFonts w:ascii="Times New Roman" w:cs="Times New Roman" w:eastAsia="Times New Roman" w:hAnsi="Times New Roman"/>
                <w:sz w:val="14"/>
                <w:szCs w:val="14"/>
                <w:color w:val="auto"/>
                <w:w w:val="85"/>
              </w:rPr>
              <w:t>993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3820" w:type="dxa"/>
            <w:vAlign w:val="bottom"/>
          </w:tcPr>
          <w:p>
            <w:pPr>
              <w:ind w:left="220"/>
              <w:spacing w:after="0" w:line="150" w:lineRule="exact"/>
              <w:rPr>
                <w:sz w:val="20"/>
                <w:szCs w:val="20"/>
                <w:color w:val="auto"/>
              </w:rPr>
            </w:pPr>
            <w:r>
              <w:rPr>
                <w:rFonts w:ascii="Times New Roman" w:cs="Times New Roman" w:eastAsia="Times New Roman" w:hAnsi="Times New Roman"/>
                <w:sz w:val="14"/>
                <w:szCs w:val="14"/>
                <w:color w:val="auto"/>
              </w:rPr>
              <w:t>Comprehensive income</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deferred compensation</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337,500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1,093,375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6% subordinated convertible debentures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1,124,862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Cash distribution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Balances, December 31, 2006</w:t>
            </w: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4"/>
              </w:rPr>
              <w:t>101,887,031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5"/>
              </w:rPr>
              <w:t>1,018</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3820" w:type="dxa"/>
            <w:vAlign w:val="bottom"/>
          </w:tcPr>
          <w:p>
            <w:pPr>
              <w:ind w:left="220"/>
              <w:spacing w:after="0" w:line="150" w:lineRule="exact"/>
              <w:rPr>
                <w:sz w:val="20"/>
                <w:szCs w:val="20"/>
                <w:color w:val="auto"/>
              </w:rPr>
            </w:pPr>
            <w:r>
              <w:rPr>
                <w:rFonts w:ascii="Times New Roman" w:cs="Times New Roman" w:eastAsia="Times New Roman" w:hAnsi="Times New Roman"/>
                <w:sz w:val="14"/>
                <w:szCs w:val="14"/>
                <w:color w:val="auto"/>
              </w:rPr>
              <w:t>Comprehensive income</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Cancellation of restricted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(1,889,321)</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(179,277)</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4,312,500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Distribution</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6% convertible debentures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9,744,680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Uncertain tax positions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Balances, December 31, 2007</w:t>
            </w:r>
          </w:p>
        </w:tc>
        <w:tc>
          <w:tcPr>
            <w:tcW w:w="70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w w:val="94"/>
              </w:rPr>
              <w:t>114,370,090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5"/>
              </w:rPr>
              <w:t>1,162</w:t>
            </w:r>
          </w:p>
        </w:tc>
        <w:tc>
          <w:tcPr>
            <w:tcW w:w="80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rPr>
              <w:t>(179,277)</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3820" w:type="dxa"/>
            <w:vAlign w:val="bottom"/>
          </w:tcPr>
          <w:p>
            <w:pPr>
              <w:ind w:left="220"/>
              <w:spacing w:after="0" w:line="150" w:lineRule="exact"/>
              <w:rPr>
                <w:sz w:val="20"/>
                <w:szCs w:val="20"/>
                <w:color w:val="auto"/>
              </w:rPr>
            </w:pPr>
            <w:r>
              <w:rPr>
                <w:rFonts w:ascii="Times New Roman" w:cs="Times New Roman" w:eastAsia="Times New Roman" w:hAnsi="Times New Roman"/>
                <w:sz w:val="14"/>
                <w:szCs w:val="14"/>
                <w:color w:val="auto"/>
              </w:rPr>
              <w:t>Comprehensive income</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94,583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Cancellation of restricted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(96,000)</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(10,915,633)</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(940,130)</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 cash distribution upon cancellation of restricted stock</w:t>
            </w:r>
          </w:p>
        </w:tc>
        <w:tc>
          <w:tcPr>
            <w:tcW w:w="9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Balances, December 31, 2008</w:t>
            </w:r>
          </w:p>
        </w:tc>
        <w:tc>
          <w:tcPr>
            <w:tcW w:w="7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w w:val="94"/>
              </w:rPr>
              <w:t>112,013,040</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w w:val="95"/>
              </w:rPr>
              <w:t>1,248</w:t>
            </w:r>
          </w:p>
        </w:tc>
        <w:tc>
          <w:tcPr>
            <w:tcW w:w="8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(1,119,407)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-2846705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-2658110</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-2451735</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-1868805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-1680210</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Deferred</w:t>
            </w:r>
          </w:p>
        </w:tc>
        <w:tc>
          <w:tcPr>
            <w:tcW w:w="12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restricted</w:t>
            </w:r>
          </w:p>
        </w:tc>
        <w:tc>
          <w:tcPr>
            <w:tcW w:w="12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r>
      <w:tr>
        <w:trPr>
          <w:trHeight w:val="165"/>
        </w:trPr>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2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29"/>
        </w:trPr>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5"/>
              </w:rPr>
              <w:t>$2,078,967</w:t>
            </w:r>
          </w:p>
        </w:tc>
        <w:tc>
          <w:tcPr>
            <w:tcW w:w="2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(388,982)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1,675,194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599,552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599,552</w:t>
            </w:r>
          </w:p>
        </w:tc>
        <w:tc>
          <w:tcPr>
            <w:tcW w:w="20" w:type="dxa"/>
            <w:vAlign w:val="bottom"/>
          </w:tcPr>
          <w:p>
            <w:pPr>
              <w:spacing w:after="0"/>
              <w:rPr>
                <w:sz w:val="12"/>
                <w:szCs w:val="12"/>
                <w:color w:val="auto"/>
              </w:rPr>
            </w:pPr>
          </w:p>
        </w:tc>
      </w:tr>
      <w:tr>
        <w:trPr>
          <w:trHeight w:val="161"/>
        </w:trPr>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43"/>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599,458</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(15,784)</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21,790</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18,065</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24,573</w:t>
            </w:r>
          </w:p>
        </w:tc>
        <w:tc>
          <w:tcPr>
            <w:tcW w:w="20" w:type="dxa"/>
            <w:vAlign w:val="bottom"/>
          </w:tcPr>
          <w:p>
            <w:pPr>
              <w:spacing w:after="0"/>
              <w:rPr>
                <w:sz w:val="12"/>
                <w:szCs w:val="12"/>
                <w:color w:val="auto"/>
              </w:rPr>
            </w:pPr>
          </w:p>
        </w:tc>
      </w:tr>
      <w:tr>
        <w:trPr>
          <w:trHeight w:val="161"/>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(611,314)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(611,314)</w:t>
            </w:r>
          </w:p>
        </w:tc>
      </w:tr>
      <w:tr>
        <w:trPr>
          <w:trHeight w:val="20"/>
        </w:trPr>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2,127,586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(400,744)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1,727,766</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196,336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196,336</w:t>
            </w:r>
          </w:p>
        </w:tc>
        <w:tc>
          <w:tcPr>
            <w:tcW w:w="20" w:type="dxa"/>
            <w:vAlign w:val="bottom"/>
          </w:tcPr>
          <w:p>
            <w:pPr>
              <w:spacing w:after="0"/>
              <w:rPr>
                <w:sz w:val="12"/>
                <w:szCs w:val="12"/>
                <w:color w:val="auto"/>
              </w:rPr>
            </w:pPr>
          </w:p>
        </w:tc>
      </w:tr>
      <w:tr>
        <w:trPr>
          <w:trHeight w:val="161"/>
        </w:trPr>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(2,811)</w:t>
            </w:r>
          </w:p>
        </w:tc>
      </w:tr>
      <w:tr>
        <w:trPr>
          <w:trHeight w:val="143"/>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193,525</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9,177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9,180</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(179,277)</w:t>
            </w: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663,894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663,937</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(663,894)</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(22,255)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(686,149)</w:t>
            </w: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19,336</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210,589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210,686</w:t>
            </w:r>
          </w:p>
        </w:tc>
        <w:tc>
          <w:tcPr>
            <w:tcW w:w="20" w:type="dxa"/>
            <w:vAlign w:val="bottom"/>
          </w:tcPr>
          <w:p>
            <w:pPr>
              <w:spacing w:after="0"/>
              <w:rPr>
                <w:sz w:val="12"/>
                <w:szCs w:val="12"/>
                <w:color w:val="auto"/>
              </w:rPr>
            </w:pPr>
          </w:p>
        </w:tc>
      </w:tr>
      <w:tr>
        <w:trPr>
          <w:trHeight w:val="161"/>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(2,045)</w:t>
            </w:r>
          </w:p>
        </w:tc>
      </w:tr>
      <w:tr>
        <w:trPr>
          <w:trHeight w:val="20"/>
        </w:trPr>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2,366,687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4"/>
                <w:szCs w:val="14"/>
                <w:color w:val="auto"/>
              </w:rPr>
              <w:t>(2,905)</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(228,708)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1,956,959</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210,479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210,479</w:t>
            </w:r>
          </w:p>
        </w:tc>
        <w:tc>
          <w:tcPr>
            <w:tcW w:w="20" w:type="dxa"/>
            <w:vAlign w:val="bottom"/>
          </w:tcPr>
          <w:p>
            <w:pPr>
              <w:spacing w:after="0"/>
              <w:rPr>
                <w:sz w:val="12"/>
                <w:szCs w:val="12"/>
                <w:color w:val="auto"/>
              </w:rPr>
            </w:pPr>
          </w:p>
        </w:tc>
      </w:tr>
      <w:tr>
        <w:trPr>
          <w:trHeight w:val="161"/>
        </w:trPr>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5,519</w:t>
            </w:r>
          </w:p>
        </w:tc>
        <w:tc>
          <w:tcPr>
            <w:tcW w:w="20" w:type="dxa"/>
            <w:vAlign w:val="bottom"/>
          </w:tcPr>
          <w:p>
            <w:pPr>
              <w:spacing w:after="0"/>
              <w:rPr>
                <w:sz w:val="14"/>
                <w:szCs w:val="14"/>
                <w:color w:val="auto"/>
              </w:rPr>
            </w:pPr>
          </w:p>
        </w:tc>
      </w:tr>
      <w:tr>
        <w:trPr>
          <w:trHeight w:val="143"/>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215,998</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20" w:type="dxa"/>
            <w:vAlign w:val="bottom"/>
          </w:tcPr>
          <w:p>
            <w:pPr>
              <w:spacing w:after="0"/>
              <w:rPr>
                <w:sz w:val="12"/>
                <w:szCs w:val="12"/>
                <w:color w:val="auto"/>
              </w:rPr>
            </w:pPr>
          </w:p>
        </w:tc>
      </w:tr>
      <w:tr>
        <w:trPr>
          <w:trHeight w:val="149"/>
        </w:trPr>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(940,130)</w:t>
            </w:r>
          </w:p>
        </w:tc>
      </w:tr>
      <w:tr>
        <w:trPr>
          <w:trHeight w:val="149"/>
        </w:trPr>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 w:type="dxa"/>
            <w:vAlign w:val="bottom"/>
          </w:tcPr>
          <w:p>
            <w:pPr>
              <w:spacing w:after="0"/>
              <w:rPr>
                <w:sz w:val="12"/>
                <w:szCs w:val="12"/>
                <w:color w:val="auto"/>
              </w:rPr>
            </w:pPr>
          </w:p>
        </w:tc>
      </w:tr>
      <w:tr>
        <w:trPr>
          <w:trHeight w:val="149"/>
        </w:trPr>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343,905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343,985</w:t>
            </w:r>
          </w:p>
        </w:tc>
        <w:tc>
          <w:tcPr>
            <w:tcW w:w="20" w:type="dxa"/>
            <w:vAlign w:val="bottom"/>
          </w:tcPr>
          <w:p>
            <w:pPr>
              <w:spacing w:after="0"/>
              <w:rPr>
                <w:sz w:val="12"/>
                <w:szCs w:val="12"/>
                <w:color w:val="auto"/>
              </w:rPr>
            </w:pPr>
          </w:p>
        </w:tc>
      </w:tr>
      <w:tr>
        <w:trPr>
          <w:trHeight w:val="161"/>
        </w:trPr>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2,734,276</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52"/>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2,614</w:t>
            </w:r>
          </w:p>
        </w:tc>
        <w:tc>
          <w:tcPr>
            <w:tcW w:w="2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(17,136)</w:t>
            </w:r>
          </w:p>
        </w:tc>
        <w:tc>
          <w:tcPr>
            <w:tcW w:w="2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1,601,595</w:t>
            </w:r>
          </w:p>
        </w:tc>
        <w:tc>
          <w:tcPr>
            <w:tcW w:w="20" w:type="dxa"/>
            <w:vAlign w:val="bottom"/>
          </w:tcPr>
          <w:p>
            <w:pPr>
              <w:spacing w:after="0"/>
              <w:rPr>
                <w:sz w:val="13"/>
                <w:szCs w:val="13"/>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6120" w:space="220"/>
            <w:col w:w="5040"/>
          </w:cols>
          <w:pgMar w:left="240" w:top="272"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272" w:right="279" w:bottom="1440" w:gutter="0" w:footer="0" w:header="0"/>
          <w:type w:val="continuous"/>
        </w:sectPr>
      </w:pPr>
    </w:p>
    <w:bookmarkStart w:id="35" w:name="page36"/>
    <w:bookmarkEnd w:id="35"/>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2"/>
                <w:szCs w:val="12"/>
                <w:color w:val="auto"/>
              </w:rPr>
            </w:pPr>
          </w:p>
        </w:tc>
        <w:tc>
          <w:tcPr>
            <w:tcW w:w="82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210,479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$ 599,552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263,213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220,250</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175,713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184,113</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20,328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16,712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and writeoffs of deferred financing costs, and other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21,951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28,509</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93,526</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23,813</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49,405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36,109</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21,163</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32,584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60,857</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31,485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3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sale of subconcession right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(899,409)</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(75,029)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(72,927)</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(49,417)</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(7,565)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(21,261)</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23,537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54,093</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164,287</w:t>
            </w:r>
          </w:p>
        </w:tc>
      </w:tr>
      <w:tr>
        <w:trPr>
          <w:trHeight w:val="230"/>
        </w:trPr>
        <w:tc>
          <w:tcPr>
            <w:tcW w:w="20" w:type="dxa"/>
            <w:vAlign w:val="bottom"/>
          </w:tcPr>
          <w:p>
            <w:pPr>
              <w:spacing w:after="0"/>
              <w:rPr>
                <w:sz w:val="20"/>
                <w:szCs w:val="20"/>
                <w:color w:val="auto"/>
              </w:rPr>
            </w:pPr>
          </w:p>
        </w:tc>
        <w:tc>
          <w:tcPr>
            <w:tcW w:w="7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523,183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w w:val="97"/>
              </w:rPr>
              <w:t>(1,333,182)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(1,008,772)</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(645,812)</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206,334</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205,216</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other assets and intangibles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(43,589)</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(43,216)</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(59,456)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subconcession right,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899,409</w:t>
            </w: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7"/>
              </w:rPr>
              <w:t>(1,338,999)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(824,073)</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399,357</w:t>
            </w:r>
          </w:p>
        </w:tc>
      </w:tr>
      <w:tr>
        <w:trPr>
          <w:trHeight w:val="22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21,790</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344,250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distributions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(683,299)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(608,299)</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1,379,968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1,672,987</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746,948</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(600,260)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(297,321)</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(440,929)</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restricted for stock repurchases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500,068</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(500,068)</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(940,130)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(179,277)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rate swap transactions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6,605</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long-term land concession obligation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(7,411)</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deferred financing costs and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(27,045)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(4,572)</w:t>
            </w: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651,871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(287,457)</w:t>
            </w:r>
          </w:p>
        </w:tc>
      </w:tr>
      <w:tr>
        <w:trPr>
          <w:trHeight w:val="230"/>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(141,216)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485,713</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355,118</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1,275,120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789,407</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434,289</w:t>
            </w: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1,133,904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1,275,120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$ 789,407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232,019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178,072</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$ 133,850</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Property and Equipment included in Accounts and Construction Payables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83,683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56,554</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distributions to convertible debenture holders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58,477</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79,168</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28"/>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 capitalized into construction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2"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0"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2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 currently owns and operates three casino hotel resort properties, Wynn Las Vegas, which opened on April 28, 2005, Encore at Wynn Las Vegas, which opened on December 22, 2008, and Wynn Macau, which opened on September 6, 2006. In addition, the Company is constructing Encore at Wynn Macau which will be fully integrated with Wynn Macau and is expected to open in 2010.</w:t>
      </w:r>
    </w:p>
    <w:p>
      <w:pPr>
        <w:spacing w:after="0" w:line="252" w:lineRule="exact"/>
        <w:rPr>
          <w:sz w:val="20"/>
          <w:szCs w:val="20"/>
          <w:color w:val="auto"/>
        </w:rPr>
      </w:pPr>
    </w:p>
    <w:p>
      <w:pPr>
        <w:ind w:right="5280" w:firstLine="8"/>
        <w:spacing w:after="0" w:line="345" w:lineRule="auto"/>
        <w:tabs>
          <w:tab w:leader="none" w:pos="44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FSP APB 14-1 and Summary of Significant Accounting Policies Adjustment for Retrospective Application of FSP APB 14-1</w:t>
      </w:r>
    </w:p>
    <w:p>
      <w:pPr>
        <w:spacing w:after="0" w:line="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In May 2008, the Financial Accounting Standards Board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Early adoption was not permitted and retrospective application to all periods presented was required. The Company adopted the FSP as of January 1, 2009.</w:t>
      </w:r>
    </w:p>
    <w:p>
      <w:pPr>
        <w:spacing w:after="0" w:line="13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July 2003, the Company sold $250 million aggregate principal amount of 6% Convertible Subordinated Debentures due July 15, 2015 (the “Debentures”). Each $1,000 principal amount of the Debentures was convertible at each holder’s option into 43.4782 shares of the Company’s common stock (subject to adjustment as provided in the indenture governing the Debentures), a conversion rate equivalent to a conversion price of $23 per share. The Company had the ability to redeem some or all of the Debentures for cash on or after July 20, 2007, at prices specified in the indenture governing the Debentures. During 2006, $25.9 million principal amount of the Debentures were converted into 1,124,862 shares of common stock. On June 15, 2007, the Company announced its intent to redeem all of the then outstanding principal amount of the Debentures on July 20, 2007. Prior to redemption, in July 2007, all of the holders converted their Debentures into shares of the Company’s common stock. As a result, in July 2007 $224.1 million face amount of the Debentures were converted into 9,744,680 shares of the Company’s common stock.</w:t>
      </w:r>
    </w:p>
    <w:p>
      <w:pPr>
        <w:spacing w:after="0" w:line="138"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accordance with the retrospective application of the FSP, the Company made adjustments to account separately for the liability and equity components of the Debentures from issuance through conversion. The impact to the 2008, 2007 and 2006 consolidated financial statements is reflected in the consolidated financial statements and the accompanying notes (specifically notes 2, 4, 9, 17, 19 and 20) in this Form 8-K. The information contained in the consolidated financial statements and the notes thereto reflect only the adjustments described below and do not reflect events occurring after February 27, 2009, the date of the original filing of our Annual Report on Form 10-K for 2008, or modify or update those disclosures that may have been affected by subsequent events.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2"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80"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retrospective application of the FSP, the Company recognized increased interest expense, net of additional amounts capitalized, depreciation expense, losses on conversions of the Debentures in 2006 and 2007 and related income tax adjustments. The most significant adjustment to the Consolidated Statements of Income related to the loss on conversion of the Debentures in 2006 and 2007. In 2007, the Company recorded a loss on extinguishment of debt of $93.4 million, which represented the difference between the fair value of the liability component of the remaining Debentures immediately prior to extinguishment and the carrying amount of the liability on such date. In 2006, the Company recorded a loss on extinguishment of debt of $12.5 million, which represented the difference between the fair value of the liability component immediately prior to the partial conversion of the Debentures and the carrying amount of the liability on such date. The following table sets forth the effect of the retrospective application of the FSP on certain previously reported line items (amounts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2008</w:t>
            </w:r>
          </w:p>
        </w:tc>
        <w:tc>
          <w:tcPr>
            <w:tcW w:w="200" w:type="dxa"/>
            <w:vAlign w:val="bottom"/>
          </w:tcPr>
          <w:p>
            <w:pPr>
              <w:spacing w:after="0"/>
              <w:rPr>
                <w:sz w:val="14"/>
                <w:szCs w:val="14"/>
                <w:color w:val="auto"/>
              </w:rPr>
            </w:pP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2007</w:t>
            </w:r>
          </w:p>
        </w:tc>
      </w:tr>
      <w:tr>
        <w:trPr>
          <w:trHeight w:val="125"/>
        </w:trPr>
        <w:tc>
          <w:tcPr>
            <w:tcW w:w="49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0" w:type="dxa"/>
            <w:vAlign w:val="bottom"/>
            <w:tcBorders>
              <w:top w:val="single" w:sz="8" w:color="auto"/>
            </w:tcBorders>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rPr>
              <w:t>Originally</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5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560"/>
              <w:spacing w:after="0" w:line="125" w:lineRule="exact"/>
              <w:rPr>
                <w:sz w:val="20"/>
                <w:szCs w:val="20"/>
                <w:color w:val="auto"/>
              </w:rPr>
            </w:pPr>
            <w:r>
              <w:rPr>
                <w:rFonts w:ascii="Times New Roman" w:cs="Times New Roman" w:eastAsia="Times New Roman" w:hAnsi="Times New Roman"/>
                <w:sz w:val="14"/>
                <w:szCs w:val="14"/>
                <w:b w:val="1"/>
                <w:bCs w:val="1"/>
                <w:color w:val="auto"/>
              </w:rPr>
              <w:t>Originally</w:t>
            </w:r>
          </w:p>
        </w:tc>
        <w:tc>
          <w:tcPr>
            <w:tcW w:w="800" w:type="dxa"/>
            <w:vAlign w:val="bottom"/>
            <w:tcBorders>
              <w:top w:val="single" w:sz="8" w:color="auto"/>
            </w:tcBorders>
          </w:tcPr>
          <w:p>
            <w:pPr>
              <w:jc w:val="right"/>
              <w:ind w:right="257"/>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0"/>
                <w:szCs w:val="10"/>
                <w:color w:val="auto"/>
              </w:rPr>
            </w:pPr>
          </w:p>
        </w:tc>
      </w:tr>
      <w:tr>
        <w:trPr>
          <w:trHeight w:val="165"/>
        </w:trPr>
        <w:tc>
          <w:tcPr>
            <w:tcW w:w="4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60" w:type="dxa"/>
            <w:vAlign w:val="bottom"/>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$5,105,473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$3,939,979</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$3,953,517</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6,742,615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6,755,788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6,299,282</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6,312,820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taxes-current liability</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taxes-long-term liability</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152,953</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5,154,193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4,351,123</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4,355,861</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2,640,667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2,734,276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2,273,078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2,366,687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67,400</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(17,136)</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(143,899)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(228,708)</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4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Originally</w:t>
            </w: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Originally</w:t>
            </w:r>
          </w:p>
        </w:tc>
        <w:tc>
          <w:tcPr>
            <w:tcW w:w="740" w:type="dxa"/>
            <w:vAlign w:val="bottom"/>
            <w:tcBorders>
              <w:top w:val="single" w:sz="8" w:color="auto"/>
            </w:tcBorders>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3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Originally</w:t>
            </w:r>
          </w:p>
        </w:tc>
        <w:tc>
          <w:tcPr>
            <w:tcW w:w="740" w:type="dxa"/>
            <w:vAlign w:val="bottom"/>
            <w:tcBorders>
              <w:top w:val="single" w:sz="8" w:color="auto"/>
            </w:tcBorders>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0"/>
                <w:szCs w:val="10"/>
                <w:color w:val="auto"/>
              </w:rPr>
            </w:pPr>
          </w:p>
        </w:tc>
      </w:tr>
      <w:tr>
        <w:trPr>
          <w:trHeight w:val="165"/>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262,848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263,213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$ 219,923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$ 220,250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$ 175,464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$ 175,713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(172,693)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(172,693)</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(143,777)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(145,177)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(148,017)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(150,655)</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extinguishment of debt</w:t>
            </w:r>
          </w:p>
        </w:tc>
        <w:tc>
          <w:tcPr>
            <w:tcW w:w="1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22,347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22,347</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(93,526)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(12,533)</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(25,030)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60,923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61,561</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(69,085)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(35,801)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(170,501)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(184,293)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210,206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210,479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196,336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628,728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599,552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523,183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523,183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660,574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243,218</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(1,338,999)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(1,338,999)</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(822,671)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(824,073)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401,809</w:t>
            </w: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399,357</w:t>
            </w:r>
          </w:p>
        </w:tc>
      </w:tr>
    </w:tbl>
    <w:p>
      <w:pPr>
        <w:spacing w:after="0" w:line="135"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In addition, total stockholders’ equity at January 1, 2006 and December 31, 2006 as reported was $1,562,895 and $1,645, 585, respectively, and as adjusted is $1,675,194 and $1,727,766,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2"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purchase maturities of three months or less. Cash equivalents are carried at cost, which approximates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Restricted cash held at December 31, 2007, consisted primarily of certain proceeds of the Company’s financing activities invested in approved money market funds. The majority of these funds were restricted by agreements governing debt instruments for the purchase of the Company’s common stock and the payment of certain construction and development costs relating to Encore at Wynn Las Vegas.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92" w:lineRule="exact"/>
        <w:rPr>
          <w:sz w:val="20"/>
          <w:szCs w:val="20"/>
          <w:color w:val="auto"/>
        </w:rPr>
      </w:pPr>
    </w:p>
    <w:p>
      <w:pPr>
        <w:jc w:val="both"/>
        <w:ind w:right="100" w:firstLine="45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2008 and 2007, approximately 78%</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65%,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220" w:type="dxa"/>
            <w:vAlign w:val="bottom"/>
            <w:shd w:val="clear" w:color="auto" w:fill="CCEEFF"/>
          </w:tcPr>
          <w:p>
            <w:pPr>
              <w:jc w:val="center"/>
              <w:ind w:left="2692"/>
              <w:spacing w:after="0"/>
              <w:rPr>
                <w:sz w:val="20"/>
                <w:szCs w:val="20"/>
                <w:color w:val="auto"/>
              </w:rPr>
            </w:pPr>
            <w:r>
              <w:rPr>
                <w:rFonts w:ascii="Times New Roman" w:cs="Times New Roman" w:eastAsia="Times New Roman" w:hAnsi="Times New Roman"/>
                <w:sz w:val="18"/>
                <w:szCs w:val="18"/>
                <w:color w:val="auto"/>
                <w:w w:val="98"/>
              </w:rPr>
              <w:t>10 to 45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220" w:type="dxa"/>
            <w:vAlign w:val="bottom"/>
          </w:tcPr>
          <w:p>
            <w:pPr>
              <w:jc w:val="center"/>
              <w:ind w:left="2692"/>
              <w:spacing w:after="0"/>
              <w:rPr>
                <w:sz w:val="20"/>
                <w:szCs w:val="20"/>
                <w:color w:val="auto"/>
              </w:rPr>
            </w:pPr>
            <w:r>
              <w:rPr>
                <w:rFonts w:ascii="Times New Roman" w:cs="Times New Roman" w:eastAsia="Times New Roman" w:hAnsi="Times New Roman"/>
                <w:sz w:val="18"/>
                <w:szCs w:val="18"/>
                <w:color w:val="auto"/>
                <w:w w:val="98"/>
              </w:rPr>
              <w:t>10 to 45 years</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4220" w:type="dxa"/>
            <w:vAlign w:val="bottom"/>
            <w:shd w:val="clear" w:color="auto" w:fill="CCEEFF"/>
          </w:tcPr>
          <w:p>
            <w:pPr>
              <w:jc w:val="center"/>
              <w:ind w:left="2692"/>
              <w:spacing w:after="0"/>
              <w:rPr>
                <w:sz w:val="20"/>
                <w:szCs w:val="20"/>
                <w:color w:val="auto"/>
              </w:rPr>
            </w:pPr>
            <w:r>
              <w:rPr>
                <w:rFonts w:ascii="Times New Roman" w:cs="Times New Roman" w:eastAsia="Times New Roman" w:hAnsi="Times New Roman"/>
                <w:sz w:val="18"/>
                <w:szCs w:val="18"/>
                <w:color w:val="auto"/>
                <w:w w:val="99"/>
              </w:rPr>
              <w:t>25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Airplanes</w:t>
            </w:r>
          </w:p>
        </w:tc>
        <w:tc>
          <w:tcPr>
            <w:tcW w:w="4220" w:type="dxa"/>
            <w:vAlign w:val="bottom"/>
          </w:tcPr>
          <w:p>
            <w:pPr>
              <w:jc w:val="center"/>
              <w:ind w:left="2692"/>
              <w:spacing w:after="0"/>
              <w:rPr>
                <w:sz w:val="20"/>
                <w:szCs w:val="20"/>
                <w:color w:val="auto"/>
              </w:rPr>
            </w:pPr>
            <w:r>
              <w:rPr>
                <w:rFonts w:ascii="Times New Roman" w:cs="Times New Roman" w:eastAsia="Times New Roman" w:hAnsi="Times New Roman"/>
                <w:sz w:val="18"/>
                <w:szCs w:val="18"/>
                <w:color w:val="auto"/>
                <w:w w:val="99"/>
              </w:rPr>
              <w:t>7 to 20 years</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220" w:type="dxa"/>
            <w:vAlign w:val="bottom"/>
            <w:shd w:val="clear" w:color="auto" w:fill="CCEEFF"/>
          </w:tcPr>
          <w:p>
            <w:pPr>
              <w:jc w:val="center"/>
              <w:ind w:left="2692"/>
              <w:spacing w:after="0"/>
              <w:rPr>
                <w:sz w:val="20"/>
                <w:szCs w:val="20"/>
                <w:color w:val="auto"/>
              </w:rPr>
            </w:pPr>
            <w:r>
              <w:rPr>
                <w:rFonts w:ascii="Times New Roman" w:cs="Times New Roman" w:eastAsia="Times New Roman" w:hAnsi="Times New Roman"/>
                <w:sz w:val="18"/>
                <w:szCs w:val="18"/>
                <w:color w:val="auto"/>
                <w:w w:val="99"/>
              </w:rPr>
              <w:t>3 to 20 years</w:t>
            </w:r>
          </w:p>
        </w:tc>
      </w:tr>
    </w:tbl>
    <w:p>
      <w:pPr>
        <w:spacing w:after="0" w:line="148"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2"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$87.4 million, $46 million and $31.9 million was capitalized for the years ended December 31, 2008, 2007 and 2006,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water rights acquired as part of the original overall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Approximately $17.8 million, $13 million and $14 million was amortized to interest expense during the years ended December 31, 2008, 2007 and 2006, respectively. Debt discounts incurred in connection with the issuance of debt have been capitalized and are being amortized to interest expense using the effective interest method.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or comprehensive income as applicable. The Company’s current interest rate swaps do not qualify for hedge accounting. Accordingly, changes in the fair value of the interest rate swaps are presented as an increase (decrease) in swap fair value in the accompanying Consolidated Statements of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2"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commissions and points earned in customer loyalty programs, such as the player’s club loyalty program.</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31,518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2"/>
              </w:rPr>
              <w:t>26,712</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70,827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2"/>
              </w:rPr>
              <w:t>61,200</w:t>
            </w:r>
          </w:p>
        </w:tc>
        <w:tc>
          <w:tcPr>
            <w:tcW w:w="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2"/>
              </w:rPr>
              <w:t>11,546</w:t>
            </w:r>
          </w:p>
        </w:tc>
        <w:tc>
          <w:tcPr>
            <w:tcW w:w="20" w:type="dxa"/>
            <w:vAlign w:val="bottom"/>
          </w:tcPr>
          <w:p>
            <w:pPr>
              <w:spacing w:after="0"/>
              <w:rPr>
                <w:sz w:val="18"/>
                <w:szCs w:val="18"/>
                <w:color w:val="auto"/>
              </w:rPr>
            </w:pPr>
          </w:p>
        </w:tc>
      </w:tr>
      <w:tr>
        <w:trPr>
          <w:trHeight w:val="223"/>
        </w:trPr>
        <w:tc>
          <w:tcPr>
            <w:tcW w:w="7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126,469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112,172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2"/>
              </w:rPr>
              <w:t>99,458</w:t>
            </w:r>
          </w:p>
        </w:tc>
        <w:tc>
          <w:tcPr>
            <w:tcW w:w="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3"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Consolidated Statements of Income. These taxes totaled approximately $919.2 million, $685.3 million and $166.2 million for the years ended December 31, 2008, 2007 and 2006,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92"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$31.2 million including $11.1 million in pre-opening related to Encore, $25.8 million and $19.9 million, respectively, for the years ended December 31, 2008, 2007 and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Pre-opening costs consists primarily of direct salaries and wages, legal and consulting fees, insurance, utilities and advertising, and are expensed as incurred. The Company incurred pre-opening costs in connection with Wynn Macau, prior to its opening on September 6, 2006 and Encore at Wynn Las Vegas, prior to its opening on December 22, 2008, and continues to incur such costs related to Encore at Wynn Macau.</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272" w:right="2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other foreign jurisdictions where it operates. The Company accounts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SFAS No. 109 requires recognition of a future tax benefit to the extent that realization of such benefit is more likely than not. Otherwise, a valuation allowance is applied. During the Company’s development stage, it accumulated significant net operating losses, which generated significant deferred tax assets. Because of the Company’s limited operating history, it had previously partially reserved these net deferred tax assets. On September 11, 2006, the Company recorded a gain of $899.4 million on the sale of the subconcession right. Accordingly the Company determined that a substantial portion of these net deferred tax assets have become more likely than not realizable as defined by SFAS No. 109.</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Financial Accounting Standards Board (“FASB”) Interpretation No. 48 (“FIN 48”) “Accounting for 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FIN 48 applies to all tax positions related to income taxes subject to SFAS No. 109. FIN 48 utilizes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tax positions failing to qualify for initial recognition are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years ended December 31, 2008, 2007 and 2006, the Company recognized no amounts for interest or penalties.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accounts for currency translation in accordance with SFAS No. 52, “Foreign Currency Translation.” Gains or losses from foreign currency remeasurements are included in other income/expense in the Consolidated Statements of Income. The results of operations and the balance sheet of Wynn Macau, S.A. are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72" w:right="2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year. Diluted EPS reflects the addition of potentially dilutive securities which for the Company includes: stock options, nonvested stock, and the 6% Convertible Subordinated Debentures due 2015 (the “Debentures”) which were all converted into common stock in July 2007.</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2007 and 2006 consisted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calculation of basic earnings per share)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108,408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dilution from the assumed exercise of stock options, nonvested stock, and the Debentures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Weighted average common and common equivalent shares outstanding (used in calculation of diluted earnings per share)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109,441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112,685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111,627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calculation of diluted EPS for the year ended December 31, 2007 includes an addition to net income to reflect the interest expense, net of related tax effects, of $6.9 million that would not have been incurred on the Debentures had they been converted as of the beginning of the year up to the conversion date.</w:t>
      </w:r>
    </w:p>
    <w:p>
      <w:pPr>
        <w:spacing w:after="0" w:line="7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calculation of diluted EPS for the year ended December 31, 2006 includes an addition to net income to reflect the interest expense, net of related tax effects, of $12.8 million and the distribution to convertible debenture holders of $58.5 million that would not have been incurred on the Debentures had they been converted as of the beginning of the year.</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 total of 880,000 stock options were excluded from the calculation of diluted EPS at December 31, 2008 because including them would have been anti-dilutive.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7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SFAS 123(R), “Share Based Payment”, the Company recognizes compensation expense on a straight-line basis over the awards vesting period. SFAS 123(R) requires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9" w:lineRule="exact"/>
        <w:rPr>
          <w:sz w:val="20"/>
          <w:szCs w:val="20"/>
          <w:color w:val="auto"/>
        </w:rPr>
      </w:pPr>
    </w:p>
    <w:p>
      <w:pPr>
        <w:jc w:val="center"/>
        <w:spacing w:after="0" w:line="447" w:lineRule="auto"/>
        <w:rPr>
          <w:sz w:val="20"/>
          <w:szCs w:val="20"/>
          <w:color w:val="auto"/>
        </w:rPr>
      </w:pPr>
      <w:r>
        <w:rPr>
          <w:rFonts w:ascii="Times New Roman" w:cs="Times New Roman" w:eastAsia="Times New Roman" w:hAnsi="Times New Roman"/>
          <w:sz w:val="18"/>
          <w:szCs w:val="18"/>
          <w:color w:val="auto"/>
        </w:rPr>
        <w:t>Further information on the Company’s share-based compensation arrangements is included in Note 15 “Benefit Plans—Share-Based Compensation”. 38</w:t>
      </w:r>
    </w:p>
    <w:p>
      <w:pPr>
        <w:sectPr>
          <w:pgSz w:w="11900" w:h="16838" w:orient="portrait"/>
          <w:cols w:equalWidth="0" w:num="1">
            <w:col w:w="11420"/>
          </w:cols>
          <w:pgMar w:left="240" w:top="272"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September 2006,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As of December 31, 2008, the Company does not have any nonfinancial assets or nonfinancial liabilities that are, or were, recognized or disclosed at fair value on a recurring basis. The Company partially adopted the provisions of SFAS 157 effective January 1, 2008 and expects to adopt the remaining provisions of SFAS 157 on January 1, 2009. The partial adoption of this statement did not have a material impact the Company’s consolidated financial statements.</w:t>
      </w:r>
    </w:p>
    <w:p>
      <w:pPr>
        <w:spacing w:after="0" w:line="138"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103"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38"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2" w:right="2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The Company is currently evaluating the impact of this FSP, but does not expect it to have a material impact on its financial position, results of operations or cash flows.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Certain amounts in the consolidated financial statements for 2007 and 2006 have been reclassified to be consistent with the current year presentation. These reclassifications had no effect on the previously reported net income.</w:t>
      </w:r>
    </w:p>
    <w:p>
      <w:pPr>
        <w:spacing w:after="0" w:line="239"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net</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Receivables, net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360" w:type="dxa"/>
            <w:vAlign w:val="bottom"/>
          </w:tcPr>
          <w:p>
            <w:pPr>
              <w:spacing w:after="0"/>
              <w:rPr>
                <w:sz w:val="14"/>
                <w:szCs w:val="14"/>
                <w:color w:val="auto"/>
              </w:rPr>
            </w:pPr>
          </w:p>
        </w:tc>
        <w:tc>
          <w:tcPr>
            <w:tcW w:w="21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$ 200,115</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$216,166</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3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19,464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9,575</w:t>
            </w:r>
          </w:p>
        </w:tc>
      </w:tr>
      <w:tr>
        <w:trPr>
          <w:trHeight w:val="222"/>
        </w:trPr>
        <w:tc>
          <w:tcPr>
            <w:tcW w:w="83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228,015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245,205</w:t>
            </w:r>
          </w:p>
        </w:tc>
        <w:tc>
          <w:tcPr>
            <w:tcW w:w="100" w:type="dxa"/>
            <w:vAlign w:val="bottom"/>
          </w:tcPr>
          <w:p>
            <w:pPr>
              <w:spacing w:after="0"/>
              <w:rPr>
                <w:sz w:val="19"/>
                <w:szCs w:val="19"/>
                <w:color w:val="auto"/>
              </w:rPr>
            </w:pPr>
          </w:p>
        </w:tc>
      </w:tr>
      <w:tr>
        <w:trPr>
          <w:trHeight w:val="217"/>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(102,819)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(66,146)</w:t>
            </w:r>
          </w:p>
        </w:tc>
      </w:tr>
      <w:tr>
        <w:trPr>
          <w:trHeight w:val="223"/>
        </w:trPr>
        <w:tc>
          <w:tcPr>
            <w:tcW w:w="83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$ 125,196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179,059</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4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3,164,082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1,811,997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1,556,507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5,794,500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4,391,585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(675,854)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(438,068)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5,118,646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3,953,517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20" w:type="dxa"/>
            <w:vAlign w:val="bottom"/>
            <w:vMerge w:val="restart"/>
          </w:tcPr>
          <w:p>
            <w:pPr>
              <w:jc w:val="right"/>
              <w:ind w:right="275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2008, 2007 and 2006 was $247.6 million, $204.5 million and $158.7 million, respectively.</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2008, construction in progress primarily includes construction, development, interest and other costs capitalized in conjunction with Encore at Wynn Macau. As of December 31, 2007, such balance primarily includes the costs associated with Encore at Wynn Las Vegas which opened on December 22, 2008.</w:t>
      </w:r>
    </w:p>
    <w:p>
      <w:pPr>
        <w:spacing w:after="0" w:line="252"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net</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Intangibles, net consisted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Macau</w:t>
            </w:r>
          </w:p>
        </w:tc>
        <w:tc>
          <w:tcPr>
            <w:tcW w:w="100" w:type="dxa"/>
            <w:vAlign w:val="bottom"/>
          </w:tcPr>
          <w:p>
            <w:pPr>
              <w:spacing w:after="0"/>
              <w:rPr>
                <w:sz w:val="13"/>
                <w:szCs w:val="13"/>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Show</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Gaming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Water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Intangibles,</w:t>
            </w:r>
          </w:p>
        </w:tc>
      </w:tr>
      <w:tr>
        <w:trPr>
          <w:trHeight w:val="165"/>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89"/>
              </w:rPr>
              <w:t>Concession</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2007</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$ 36,933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20,789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$6,400</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65,135</w:t>
            </w:r>
          </w:p>
        </w:tc>
      </w:tr>
      <w:tr>
        <w:trPr>
          <w:trHeight w:val="216"/>
        </w:trPr>
        <w:tc>
          <w:tcPr>
            <w:tcW w:w="6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(2,963)</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(5,347)</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2007</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60,074</w:t>
            </w:r>
          </w:p>
        </w:tc>
        <w:tc>
          <w:tcPr>
            <w:tcW w:w="100" w:type="dxa"/>
            <w:vAlign w:val="bottom"/>
          </w:tcPr>
          <w:p>
            <w:pPr>
              <w:spacing w:after="0"/>
              <w:rPr>
                <w:sz w:val="19"/>
                <w:szCs w:val="19"/>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Write offs</w:t>
            </w:r>
          </w:p>
        </w:tc>
        <w:tc>
          <w:tcPr>
            <w:tcW w:w="2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(6,340)</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(6,340)</w:t>
            </w:r>
          </w:p>
        </w:tc>
      </w:tr>
      <w:tr>
        <w:trPr>
          <w:trHeight w:val="21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(2,339)</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2008</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$ 32,168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6,400</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Macau gaming concession intangible is being amortized over the 20-year life of the concession. The Company expects that amortization of the Macau gaming concession will be approximately $2.4 million each year from 2009 through 2021, and approximately $1 million in 2022.</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Show production rights represent amounts paid to purchase the rights to the “Le Rêve” and “Monty Python’s Spamalot” production shows. During the year ended December 31, 2008, the Company wrote off the show production rights associated with Spamalot as the contract for that show was terminated. The Company expects that amortization of show production rights will be approximately $2.1 million for each of the years 2009 through 2012, and approximately $0.8 million in 2013.</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252"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 and Other Assets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and other assets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production costs</w:t>
            </w:r>
          </w:p>
        </w:tc>
        <w:tc>
          <w:tcPr>
            <w:tcW w:w="5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21,878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Base stock</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32,511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48,290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Golf memberships</w:t>
            </w:r>
          </w:p>
        </w:tc>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106,429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920" w:type="dxa"/>
            <w:vAlign w:val="bottom"/>
            <w:vMerge w:val="restart"/>
          </w:tcPr>
          <w:p>
            <w:pPr>
              <w:jc w:val="right"/>
              <w:ind w:right="317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0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7"/>
        </w:trPr>
        <w:tc>
          <w:tcPr>
            <w:tcW w:w="180" w:type="dxa"/>
            <w:vAlign w:val="bottom"/>
          </w:tcPr>
          <w:p>
            <w:pPr>
              <w:spacing w:after="0"/>
              <w:rPr>
                <w:sz w:val="24"/>
                <w:szCs w:val="24"/>
                <w:color w:val="auto"/>
              </w:rPr>
            </w:pPr>
          </w:p>
        </w:tc>
        <w:tc>
          <w:tcPr>
            <w:tcW w:w="90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180" w:type="dxa"/>
            <w:vAlign w:val="bottom"/>
          </w:tcPr>
          <w:p>
            <w:pPr>
              <w:spacing w:after="0"/>
              <w:rPr>
                <w:sz w:val="24"/>
                <w:szCs w:val="24"/>
                <w:color w:val="auto"/>
              </w:rPr>
            </w:pPr>
          </w:p>
        </w:tc>
        <w:tc>
          <w:tcPr>
            <w:tcW w:w="9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8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2"/>
                <w:szCs w:val="12"/>
                <w:color w:val="auto"/>
              </w:rPr>
            </w:pPr>
          </w:p>
        </w:tc>
      </w:tr>
      <w:tr>
        <w:trPr>
          <w:trHeight w:val="195"/>
        </w:trPr>
        <w:tc>
          <w:tcPr>
            <w:tcW w:w="92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 5/8% Wynn Las Vegas First Mortgage Notes, due December 1, 2014, net of original issue discount of $9,561 and $10,816,</w:t>
            </w:r>
          </w:p>
        </w:tc>
        <w:tc>
          <w:tcPr>
            <w:tcW w:w="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80" w:type="dxa"/>
            <w:vAlign w:val="bottom"/>
            <w:shd w:val="clear" w:color="auto" w:fill="CCEEFF"/>
          </w:tcPr>
          <w:p>
            <w:pPr>
              <w:spacing w:after="0"/>
              <w:rPr>
                <w:sz w:val="20"/>
                <w:szCs w:val="20"/>
                <w:color w:val="auto"/>
              </w:rPr>
            </w:pPr>
          </w:p>
        </w:tc>
        <w:tc>
          <w:tcPr>
            <w:tcW w:w="9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$1,690,439</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$ 1,689,184</w:t>
            </w:r>
          </w:p>
        </w:tc>
        <w:tc>
          <w:tcPr>
            <w:tcW w:w="120" w:type="dxa"/>
            <w:vAlign w:val="bottom"/>
            <w:shd w:val="clear" w:color="auto" w:fill="CCEEFF"/>
          </w:tcPr>
          <w:p>
            <w:pPr>
              <w:spacing w:after="0"/>
              <w:rPr>
                <w:sz w:val="20"/>
                <w:szCs w:val="20"/>
                <w:color w:val="auto"/>
              </w:rPr>
            </w:pPr>
          </w:p>
        </w:tc>
      </w:tr>
      <w:tr>
        <w:trPr>
          <w:trHeight w:val="202"/>
        </w:trPr>
        <w:tc>
          <w:tcPr>
            <w:tcW w:w="9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$1 billion Wynn Resorts Term Loan Facility, due June 21, 2010; interest at LIBOR plus 2.25% (approximately 2.8% and 7.1%</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r>
      <w:tr>
        <w:trPr>
          <w:trHeight w:val="204"/>
        </w:trPr>
        <w:tc>
          <w:tcPr>
            <w:tcW w:w="92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$900 million Wynn Las Vegas Revolving Credit Facility; due August 15, 2011; interest at LIBOR plus 1.625%</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80" w:type="dxa"/>
            <w:vAlign w:val="bottom"/>
            <w:shd w:val="clear" w:color="auto" w:fill="CCEEFF"/>
          </w:tcPr>
          <w:p>
            <w:pPr>
              <w:spacing w:after="0"/>
              <w:rPr>
                <w:sz w:val="20"/>
                <w:szCs w:val="20"/>
                <w:color w:val="auto"/>
              </w:rPr>
            </w:pPr>
          </w:p>
        </w:tc>
        <w:tc>
          <w:tcPr>
            <w:tcW w:w="9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(approximately 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879,484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9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$225 million Wynn Las Vegas Term Loan Facility; $112.5 million due September 30, 2012 with remaining $112.5 million due</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15, 2013; interest at LIBOR plus 1.875% (approximately 3.1% and 6.9% respectively)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9"/>
                <w:szCs w:val="19"/>
                <w:color w:val="auto"/>
              </w:rPr>
            </w:pPr>
          </w:p>
        </w:tc>
      </w:tr>
      <w:tr>
        <w:trPr>
          <w:trHeight w:val="204"/>
        </w:trPr>
        <w:tc>
          <w:tcPr>
            <w:tcW w:w="92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$550 million Wynn Macau Senior Term Loan Facilities (as amended June 2007); due June 27, 2014; interest at LIBOR or</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80" w:type="dxa"/>
            <w:vAlign w:val="bottom"/>
            <w:shd w:val="clear" w:color="auto" w:fill="CCEEFF"/>
          </w:tcPr>
          <w:p>
            <w:pPr>
              <w:spacing w:after="0"/>
              <w:rPr>
                <w:sz w:val="20"/>
                <w:szCs w:val="20"/>
                <w:color w:val="auto"/>
              </w:rPr>
            </w:pPr>
          </w:p>
        </w:tc>
        <w:tc>
          <w:tcPr>
            <w:tcW w:w="9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HIBOR plus 1.75% (approximately 5.3% and 5.5% respectively)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552,561</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549,995</w:t>
            </w:r>
          </w:p>
        </w:tc>
        <w:tc>
          <w:tcPr>
            <w:tcW w:w="120" w:type="dxa"/>
            <w:vAlign w:val="bottom"/>
            <w:shd w:val="clear" w:color="auto" w:fill="CCEEFF"/>
          </w:tcPr>
          <w:p>
            <w:pPr>
              <w:spacing w:after="0"/>
              <w:rPr>
                <w:sz w:val="20"/>
                <w:szCs w:val="20"/>
                <w:color w:val="auto"/>
              </w:rPr>
            </w:pPr>
          </w:p>
        </w:tc>
      </w:tr>
      <w:tr>
        <w:trPr>
          <w:trHeight w:val="202"/>
        </w:trPr>
        <w:tc>
          <w:tcPr>
            <w:tcW w:w="9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$1 billion Wynn Macau Senior Revolving Credit Facility, due June 2012; Interest at LIBOR or HIBOR plus 1.75%</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(approximately 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502,356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million Note Payable; due April 1, 2017; interest at LIBOR plus 1.25% (approximately 3.0% and 6.5% respectively)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40,950</w:t>
            </w:r>
          </w:p>
        </w:tc>
        <w:tc>
          <w:tcPr>
            <w:tcW w:w="120" w:type="dxa"/>
            <w:vAlign w:val="bottom"/>
            <w:shd w:val="clear" w:color="auto" w:fill="CCEEFF"/>
          </w:tcPr>
          <w:p>
            <w:pPr>
              <w:spacing w:after="0"/>
              <w:rPr>
                <w:sz w:val="18"/>
                <w:szCs w:val="18"/>
                <w:color w:val="auto"/>
              </w:rPr>
            </w:pPr>
          </w:p>
        </w:tc>
      </w:tr>
      <w:tr>
        <w:trPr>
          <w:trHeight w:val="202"/>
        </w:trPr>
        <w:tc>
          <w:tcPr>
            <w:tcW w:w="92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$32.5 million Note Payable; due August 10, 2012; interest at LIBOR plus 1.15% (approximately 2.4% and 6.02%</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tcPr>
          <w:p>
            <w:pPr>
              <w:spacing w:after="0"/>
              <w:rPr>
                <w:sz w:val="19"/>
                <w:szCs w:val="19"/>
                <w:color w:val="auto"/>
              </w:rPr>
            </w:pPr>
          </w:p>
        </w:tc>
      </w:tr>
      <w:tr>
        <w:trPr>
          <w:trHeight w:val="218"/>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4,293,109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3,536,612</w:t>
            </w:r>
          </w:p>
        </w:tc>
        <w:tc>
          <w:tcPr>
            <w:tcW w:w="120" w:type="dxa"/>
            <w:vAlign w:val="bottom"/>
          </w:tcPr>
          <w:p>
            <w:pPr>
              <w:spacing w:after="0"/>
              <w:rPr>
                <w:sz w:val="19"/>
                <w:szCs w:val="19"/>
                <w:color w:val="auto"/>
              </w:rPr>
            </w:pPr>
          </w:p>
        </w:tc>
      </w:tr>
      <w:tr>
        <w:trPr>
          <w:trHeight w:val="217"/>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(2,685)</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(3,273)</w:t>
            </w:r>
          </w:p>
        </w:tc>
      </w:tr>
      <w:tr>
        <w:trPr>
          <w:trHeight w:val="223"/>
        </w:trPr>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4,290,424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3,533,339</w:t>
            </w:r>
          </w:p>
        </w:tc>
        <w:tc>
          <w:tcPr>
            <w:tcW w:w="1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6 </w:t>
      </w:r>
      <w:r>
        <w:rPr>
          <w:rFonts w:ascii="Times New Roman" w:cs="Times New Roman" w:eastAsia="Times New Roman" w:hAnsi="Times New Roman"/>
          <w:sz w:val="22"/>
          <w:szCs w:val="22"/>
          <w:i w:val="1"/>
          <w:iCs w:val="1"/>
          <w:color w:val="auto"/>
          <w:vertAlign w:val="superscript"/>
        </w:rPr>
        <w:t>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3"/>
          <w:szCs w:val="13"/>
          <w:i w:val="1"/>
          <w:iCs w:val="1"/>
          <w:color w:val="auto"/>
        </w:rPr>
        <w:t>8</w:t>
      </w:r>
      <w:r>
        <w:rPr>
          <w:rFonts w:ascii="Times New Roman" w:cs="Times New Roman" w:eastAsia="Times New Roman" w:hAnsi="Times New Roman"/>
          <w:sz w:val="18"/>
          <w:szCs w:val="18"/>
          <w:i w:val="1"/>
          <w:iCs w:val="1"/>
          <w:color w:val="auto"/>
        </w:rPr>
        <w:t>% First Mortgage Notes</w:t>
      </w:r>
    </w:p>
    <w:p>
      <w:pPr>
        <w:spacing w:after="0" w:line="8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December 14, 2004, Wynn Las Vegas, LLC and Wynn Las Vegas Capital Corp. (together, the “Issuers”) issued $1.3 billion aggregate principal amount of 6 5/8% First Mortgage Notes (the “First Mortgage Notes”). On November 6, 2007, the Issuers issued, in a private offering, $400 million aggregate principal amount of 6 5/8% First Mortgage Notes due 2014 at a price of 97.25% of the principal amount (the “Additional Notes”). The Additional Notes were issued under the same indenture as the First Mortgage Notes issued on December 14, 2004. The First Mortgage Notes mature on December 1, 2014 and bear interest at the rate of 6 5/8% per year. The Company pays interest on the First Mortgage Notes on June 1st and December 1st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4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indenture governing the First Mortgage Notes and the Additional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2" w:right="2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First Mortgage Notes and the Additional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1"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the Issuers and the guarantors under the First Mortgage Notes and the Additional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3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Additional Notes were registered under the Securities Act of 1933 and in May 2008, the Company completed an exchange of the Additional Notes for registered, publicly traded notes that have substantially identical terms as the Additional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Billion Term Loan Facility</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21, 2007, the Company entered into a $1 billion term loan facility (the “Term Loan Facility”). Borrowings under the Term Loan Facility were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Facility was available to fund (a) the Company’s equity repurchase program announced on June 7, 2007 and (b) up to $350 million for general corporate purposes. Of the $1 billion drawn at December 31, 2007, $500 million was included as restricted cash in the accompanying Consolidated Balance Sheet as such amount was only to be used to fund the Company’s equity repurchases or repay the loans.</w:t>
      </w:r>
    </w:p>
    <w:p>
      <w:pPr>
        <w:spacing w:after="0" w:line="13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On August 1, 2008, the Company amended the $1 billion Wynn Resorts Term Loan. This amendment allowed Stephen A. Wynn, the Company’s Chairman and Chief Executive Officer, to purchase an interest in the debt. On August 1, 2008, Mr. Wynn advised the Company that he purchased $198,250,000 of the face amount of the outstanding debt under the $1 billion Wynn Term Loan Facility from a third party. On November 13, 2008, the Company further amended the Term Loan Facility to purchase loans outstanding up to $650 million prior to March 31, 2009. On November 26, 2008, the Company purchased $625 million of loans under the Term Loan Facility at a discounted price of 95.375%, resulting in the retirement of $625 million of principal for a payment of $596.1 million. The loans purchased included the interests held by Mr. Wynn. In connection with this transaction, the Company recognized a $22.3 million gain on early retirement of debt, net of the write-off of unamortized debt issue costs and fees. The remaining $375 million will mature and be payable on June 21, 2010.</w:t>
      </w:r>
    </w:p>
    <w:p>
      <w:pPr>
        <w:spacing w:after="0" w:line="11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Loans under the Term Loan Facility accrue interest, at the election of the Company, at either the London Interbank Offer Rate (“LIBOR”) or a Base Rate, plus a borrowing margin as described below. Interest on LIBOR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2" w:right="2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Facility commitment exceeded the outstanding amount of the Term Loan Facility.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Las Vegas Credit Facilities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December 14, 2004, Wynn Las Vegas, LLC entered into a credit agreement and related ancillary agreements for secured revolving credit and term loan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in the aggregate amount of $1 billion. The credit facilities consisted of a revolving credit facility (the “Wynn Las Vegas Revolver”)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$600 million and a term loan facility (the “Wynn Las Vegas Term Loan”) in the amount of $400 million. The Wynn Las Vegas Revolver was to terminate and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in full on December 14, 2009, and the Wynn Las Vegas Term Loan was to mature on December 14, 2011.</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Wynn Las Vegas Revolver from $600 million to $900 million and reducing the Wynn Las Vegas Term Loan from $400 million to $225 million. The $900 million Wynn Las Vegas Revolver and the $225 million Wynn Las Vegas Term Loan are herein referred to as the “Wynn Las Vegas Credit Facilities”. In August 2006, the maturity dates for the Wynn Las Vegas Revolver and the Wynn Las Vegas Term Loan were extended to August 15, 2011 and August 15, 2013, respectively. One half of the Wynn Las Vegas Term Loan is due on September 30, 2012 and the remaining half is due August 15, 2013.</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For purposes of calculating interest, loans under the Wynn Las Vegas Credit Facilities will be designated, at the election of Wynn Las Vegas, LLC, as Eurodollar Loans or, in certain circumstances, Base Rate Loans. Eurodollar Loans under the Wynn Las Vegas Revolver and Wynn Las Vegas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Wynn Las Vegas Revolver and Wynn Las Vegas Term Loans, respectively. Interest on Base Rate Loans will be payable quarterly in arrears.</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Beginning June 30, 2009, the applicable borrowing margins for the Wynn Las Vegas Revolver will be based on Wynn Las Vegas, LLC’s leverage ratio, ranging from 1% to 1.75% per annum for Eurodollar Loans and 0% to 0.75% per annum for Base Rate Loans. Wynn Las Vegas, LLC also pays, quarterly in arrears, 0.375% per annum on the daily average of unborrowed availability under the Wynn Las Vegas Revolver. Beginning June 30, 2009, the annual fee Wynn Las Vegas, LLC will be required to pay for unborrowed availability under the Wynn Las Vegas Revolver will be based on Wynn Las Vegas, LLC’s leverage ratio, ranging from 0.25% to 0.50% per annum.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272" w:right="2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1"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Wynn Las Vegas, LLC and the guarantors under the Wynn Las Vegas Credit Facilities rank equal in right of payment with their existing and future senior indebtedness, including indebtedness with respect to the First Mortgage Notes and the Additional Notes and ranks senior in right of payment to all of their existing and future subordinated indebtedness.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39" w:lineRule="exact"/>
        <w:rPr>
          <w:sz w:val="20"/>
          <w:szCs w:val="20"/>
          <w:color w:val="auto"/>
        </w:rPr>
      </w:pPr>
    </w:p>
    <w:p>
      <w:pPr>
        <w:ind w:right="140" w:firstLine="456"/>
        <w:spacing w:after="0" w:line="285" w:lineRule="auto"/>
        <w:rPr>
          <w:sz w:val="20"/>
          <w:szCs w:val="20"/>
          <w:color w:val="auto"/>
        </w:rPr>
      </w:pPr>
      <w:r>
        <w:rPr>
          <w:rFonts w:ascii="Times New Roman" w:cs="Times New Roman" w:eastAsia="Times New Roman" w:hAnsi="Times New Roman"/>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w:t>
      </w:r>
    </w:p>
    <w:p>
      <w:pPr>
        <w:jc w:val="both"/>
        <w:ind w:right="300" w:firstLine="8"/>
        <w:spacing w:after="0" w:line="281" w:lineRule="auto"/>
        <w:tabs>
          <w:tab w:leader="none" w:pos="21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Leverage Ratio, as defined, not greater than 5.00 to 1 as of December 31, 2008, and (ii) Consolidated Interest Coverage Ratio, as defined, not less than 1.40 to 1. Management believes that the Company was in compliance with all covenants at December 31, 2008. The Consolidated Leverage Ratio is</w:t>
      </w:r>
    </w:p>
    <w:p>
      <w:pPr>
        <w:spacing w:after="0" w:line="1" w:lineRule="exact"/>
        <w:rPr>
          <w:rFonts w:ascii="Times New Roman" w:cs="Times New Roman" w:eastAsia="Times New Roman" w:hAnsi="Times New Roman"/>
          <w:sz w:val="16"/>
          <w:szCs w:val="16"/>
          <w:color w:val="auto"/>
        </w:rPr>
      </w:pPr>
    </w:p>
    <w:p>
      <w:pPr>
        <w:ind w:right="10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5.00 to 1, 8.25 to 1, 7.75 to 1 and 7.50 to 1 for each of the reporting periods ending March 31, 2009, June 30, 2009, September 30, 2009 and December 31, 2009, respectively. The Consolidated Interest Coverage Ratio is 1.35 to 1 for the reporting period ending March 31, 2009, and then increases to 1.75 to 1 for the reporting periods ending June 30, 2009 and September 30, 2009, and 2.00 to 1 for the reporting period ending December 31, 2009.</w:t>
      </w:r>
    </w:p>
    <w:p>
      <w:pPr>
        <w:spacing w:after="0" w:line="138"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Wynn Las Vegas Credit Facilities.</w:t>
      </w:r>
    </w:p>
    <w:p>
      <w:pPr>
        <w:spacing w:after="0" w:line="97"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April 2007, the Company amended the Wynn Las Vegas Credit Facilities to: (a) have the Final Completion, as defined, be deemed satisfied for Wynn Las Vegas with the resulting release of (i) all amounts in excess of $30 million from the Completion Guaranty Deposit Account, ($24.6 million), and (ii) the balance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2" w:right="23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32"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In October 2007, the Company further amended the Wynn Las Vegas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9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On September 17, 2008, Wynn Las Vegas entered into a third amendment to the Amended and Restated Credit Agreement. This amendment, among other things, provides Wynn Las Vegas with additional flexibility with respect to its financial covenants and related financial calculations.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173"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On September 14, 2004, Wynn Macau, S.A. executed a definitive credit agreement and related ancillary agreements for a senior secured bank facility of $397 million (the “Wynn Macau Credit Facility”). The Wynn Macau Credit Facility consisted of term loan facilities in the amount of $382 million (in a combination of Hong Kong and US dollars) and a revolving working capital facility of HK$117 million (approximately US$15 million).</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In September 2005, to accommodate Wynn Macau’s expansion, the Wynn Macau Credit Facility was amended to expand availability under the facility from $397 million to $764 million, including $729 million of senior term loan facilities, a HK$117 million revolving credit facility (approximately US$15 million), and an additional term loan facility of HK$156 million (approximately US$20 million).</w:t>
      </w:r>
    </w:p>
    <w:p>
      <w:pPr>
        <w:spacing w:after="0" w:line="13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June 27, 2007, the Company amended the Wynn Macau Credit Facility dated September 2005 and entered into related amendments and agreements with a syndicate of lenders. The amended agreements took effect on June 29, 2007 and expand availability under the Wynn Macau Credit Facility from $764 million to $1.550 billion, in a combination of Hong Kong and US dollars, including a $550 million equivalent in fully-funded senior term loan facilities (the “Wynn Macau Term Loan”), and a $1 billion senior revolving credit facility (the “Wynn Macau Revolver”). Wynn Macau also has the ability to upsize the total facilities by an additional $50 million pursuant to the terms and provisions of the agreements. The senior credit facilities described in this paragraph are collectively referred to herein as the “Wynn Macau Credit Facilities”.</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Wynn Macau Term Loan matures in June 2014, and the Wynn Macau Revolver matures in June 2012. The principal amount of the Wynn Macau Term Loan is required to be repaid in quarterly installments, commencing in September 2011. Borrowings under the Wynn Macau Credit Facilities currently bear interest at LIBOR or the Hong Kong Interbank Offer Rate (“HIBOR”) plus a margin of 1.75%.</w:t>
      </w:r>
    </w:p>
    <w:p>
      <w:pPr>
        <w:spacing w:after="0" w:line="13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As part of the amendment to the Wynn Macau Credit Facilities, Wynn Resorts, Limited’s remaining support obligations to Wynn Macau and the $30 million in contingent equity previously provided by the Company have been released.</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Collateral for the Wynn Macau Credit Facilities consists of substantially all of the assets of Wynn Macau, S.A. Certain affiliates of the Company that own interests in Wynn Macau, S.A., either directly or indirectly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272" w:right="29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7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the Company was required by the financial covenants to maintain a Leverage Ratio, as defined, not greater than 4.75 to 1 as of December 31, 2008, and Interest Coverage Ratio, as defined, not less than 2.00 to 1. Management believes that the Company was in compliance with all covenants at December 31, 2008. The Leverage Ratio increases to not greater than 5.00 to 1 for all reporting periods in 2009.</w:t>
      </w:r>
    </w:p>
    <w:p>
      <w:pPr>
        <w:spacing w:after="0" w:line="1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In September 2004, in connection with the initial financing of the Wynn Macau project, Wynn Macau, S.A. entered into a Bank Guarantee Reimbursement Agreement with BNU to secure a guarantee in the amount of 700 million Patacas (approximately US$87.1 million) that was effective until March 31, 2007. The amount of this guarantee was reduced to $300 million Patacas (approximately 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under the terms of the concession agreement.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Prior to April 1, 2007, BNU was paid an annual fee for the guarantee not to exceed approximately 12.3 million Macau Patacas (approximately US$1.5 million), and after April 1, 2007, $5.2 million Macau Patacas (approximately US$0.7 million).</w:t>
      </w:r>
    </w:p>
    <w:p>
      <w:pPr>
        <w:spacing w:after="0" w:line="33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On February 4, 2009, the Company borrowed the remaining $500 million that was available under the Wynn Macau Revolver. Accordingly there are no amounts remaining available under the Wynn Macau Credit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 Million Note Payable for Aircraft</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March 30, 2007, World Travel, LLC, a subsidiary of Wynn Las Vegas, refinanced a $44.75 million note payable with a new loan. This new loan has a principal balance of $42 million and is due April 1, 2017. The loan is guaranteed by Wynn Las Vegas, LLC and secured by a first priority security interest in one of the Company’s aircraft. Principal and interest payments are made quarterly and began on July 1, 2007. Principal payments are $350,000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$32.5 Million Note Payable for Aircraft</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On May 10, 2007, World Travel G-IV, LLC., a subsidiary of Wynn Resorts, entered into a $32.5 million term loan credit facility to finance the purchase of an aircraft. The loan bears interest at LIBOR plus 1.15% and will mature on August 10, 2012. Principal and interest payments are made quarterly beginning July 1, 2007. Principal payments are approximately $542,000 with a balloon payment of $21.1 million due at maturity.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2" w:right="2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net book value of the First Mortgage Notes at December 31, 2008 and 2007 was approximately $1.7 billion. The estimated fair value of the First Mortgage Notes based upon most recent trades at December 31, 2008 and 2007 was approximately $1.25 billion and $1.67 billion, respectively. The estimated fair value of the Company’s other debt instruments was approximately $1.6 billion with a book value of $2.6 billion.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maturities of long-term debt are as follows (amounts in thousands):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Ending December 31,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4,302,670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Swaps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 Company accounts for its interest rate swaps in accordance with SFAS No. 133, “Accounting for Derivative Instruments and Hedging Activities”, as amended.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39"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39" w:lineRule="exact"/>
        <w:rPr>
          <w:sz w:val="20"/>
          <w:szCs w:val="20"/>
          <w:color w:val="auto"/>
        </w:rPr>
      </w:pPr>
    </w:p>
    <w:p>
      <w:pPr>
        <w:ind w:right="260" w:firstLine="456"/>
        <w:spacing w:after="0" w:line="301" w:lineRule="auto"/>
        <w:rPr>
          <w:sz w:val="20"/>
          <w:szCs w:val="20"/>
          <w:color w:val="auto"/>
        </w:rPr>
      </w:pPr>
      <w:r>
        <w:rPr>
          <w:rFonts w:ascii="Times New Roman" w:cs="Times New Roman" w:eastAsia="Times New Roman" w:hAnsi="Times New Roman"/>
          <w:sz w:val="16"/>
          <w:szCs w:val="16"/>
          <w:color w:val="auto"/>
        </w:rPr>
        <w:t>The following table represents the historical asset (liability) fair values recorded in the accompanying Consolidated Balance Sheets as of December 31, 2008 and 2007. The fair value approximates the amount the Company would receive/(pay)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Total Interest</w:t>
            </w:r>
          </w:p>
        </w:tc>
      </w:tr>
      <w:tr>
        <w:trPr>
          <w:trHeight w:val="165"/>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 (liability) fair value:</w:t>
            </w:r>
          </w:p>
        </w:tc>
        <w:tc>
          <w:tcPr>
            <w:tcW w:w="39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Resorts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Las Vegas</w:t>
            </w:r>
          </w:p>
        </w:tc>
        <w:tc>
          <w:tcPr>
            <w:tcW w:w="3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Rate Swaps</w:t>
            </w:r>
          </w:p>
        </w:tc>
      </w:tr>
      <w:tr>
        <w:trPr>
          <w:trHeight w:val="142"/>
        </w:trPr>
        <w:tc>
          <w:tcPr>
            <w:tcW w:w="1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9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4140" w:type="dxa"/>
            <w:vAlign w:val="bottom"/>
            <w:gridSpan w:val="2"/>
            <w:shd w:val="clear" w:color="auto" w:fill="CCEEFF"/>
          </w:tcPr>
          <w:p>
            <w:pPr>
              <w:ind w:left="39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(15,334)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(12,539)</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(27,873)</w:t>
            </w: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2007</w:t>
            </w:r>
          </w:p>
        </w:tc>
        <w:tc>
          <w:tcPr>
            <w:tcW w:w="414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(3,095)</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350"/>
        </w:trPr>
        <w:tc>
          <w:tcPr>
            <w:tcW w:w="1680" w:type="dxa"/>
            <w:vAlign w:val="bottom"/>
          </w:tcPr>
          <w:p>
            <w:pPr>
              <w:spacing w:after="0"/>
              <w:rPr>
                <w:sz w:val="24"/>
                <w:szCs w:val="24"/>
                <w:color w:val="auto"/>
              </w:rPr>
            </w:pP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Resorts Swap</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February 1, 2008, the Company entered into an interest rate swap to hedge the underlying interest rate risk on all of the borrowings under the Term Loan Facility. Pursuant to the terms of this interest rate swap, the Company paid a fixed rate of 2.836% on the $1 billion notional amount and received payments based on LIBOR. This swap fixed the interest rate at approximately 5.09%. On December 8, 2008, the Company modified the terms of this swap so that the current notional amount is $375 million to match the current debt outstanding. Pursuant to the amendment, the Company now pays a fixed rate of 3.95% which fixes the interest rate at approximately 6.2% through June 2010. This swap matures in June 2010.</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Swap</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December 2008, the Company’s $200 million notional amount interest rate swap to essentially fix the interest rate on $200 million of the $225 million of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outstanding $225 million term loan.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Swaps</w:t>
      </w:r>
    </w:p>
    <w:p>
      <w:pPr>
        <w:spacing w:after="0" w:line="92"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In November 2005, the Company entered into interest rate swap agreements to hedge a portion of the underlying interest rate risk on current and future borrowings under the Wynn Macau Term Loan. In August 2008, the Company terminated these interest rate swaps and entered into new interest rate swaps which will mature in August 2011. Under the first terminated swap agreement, the Company paid a fixed interest rate of 4.84% on borrowings incurred under the Wynn Macau Term Loan up to a maximum of approximately $198.2 million, in exchange for receipts on the same amounts at a variable interest rate based on the applicable LIBOR at the time of payment. Under the second terminated swap agreement, the Company paid a fixed interest rate of 4.77% on borrowings incurred under the Wynn Macau Term Loan up to a maximum of approximately HK $1.1 billion (approximately U.S. $140 million), in exchange for receipts on the same amounts at a variable interest rate based on the applicable HIBOR at the time of payment. The terminated interest rate swaps fixed the interest rates on the U.S. dollar and the Hong Kong dollar borrowings under the Wynn Macau Term Loan at approximately 6.59% and 6.52%, respectively. In connection with this transaction, the Company recorded a gain of approximately $0.9 million to reflect the increase in the value of such swaps from June 30, 2008 to the termination date and paid to the counterparties of the terminated swaps a cash settlement payment of approximately $2.2 million.</w:t>
      </w:r>
    </w:p>
    <w:p>
      <w:pPr>
        <w:spacing w:after="0" w:line="3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August 2008, under the first new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new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2"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income consisted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2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$196,336</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$599,552</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(2,811)</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w:t>
            </w: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215,998</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193,525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599,458</w:t>
            </w:r>
          </w:p>
        </w:tc>
      </w:tr>
      <w:tr>
        <w:trPr>
          <w:trHeight w:val="20"/>
        </w:trPr>
        <w:tc>
          <w:tcPr>
            <w:tcW w:w="5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2008, 2007 and 2006, accumulated other comprehensive income consists solely of currency translation adjustments. The December 31, 2008 currency translation adjustment includes a deferred tax provision of $1.4 million.</w:t>
      </w:r>
    </w:p>
    <w:p>
      <w:pPr>
        <w:spacing w:after="0" w:line="239" w:lineRule="exact"/>
        <w:rPr>
          <w:sz w:val="20"/>
          <w:szCs w:val="20"/>
          <w:color w:val="auto"/>
        </w:rPr>
      </w:pPr>
    </w:p>
    <w:p>
      <w:pPr>
        <w:ind w:left="240" w:right="8920" w:hanging="232"/>
        <w:spacing w:after="0" w:line="388" w:lineRule="auto"/>
        <w:tabs>
          <w:tab w:leader="none" w:pos="458"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i w:val="1"/>
          <w:iCs w:val="1"/>
          <w:color w:val="auto"/>
        </w:rPr>
        <w:t>Amounts Due to Officers</w:t>
      </w:r>
    </w:p>
    <w:p>
      <w:pPr>
        <w:spacing w:after="0" w:line="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of the Company, including the personal use of employees, construction work and other personal services. Mr. Wynn and other officers have deposits with the Company to prepay any such items, which are replenished on an ongoing basis as needed. At December 31, 2008 and 2007, Mr. Wynn and the other officers had a credit balance with the Company of $434,003 and $357,145 respectively.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Effective July 1, 2005, Mr. Wynn and his wife, Elaine P.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 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17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59"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Termination Fee</w:t>
      </w:r>
    </w:p>
    <w:p>
      <w:pPr>
        <w:spacing w:after="0" w:line="92" w:lineRule="exact"/>
        <w:rPr>
          <w:sz w:val="20"/>
          <w:szCs w:val="20"/>
          <w:color w:val="auto"/>
        </w:rPr>
      </w:pPr>
    </w:p>
    <w:p>
      <w:pPr>
        <w:ind w:right="760" w:firstLine="456"/>
        <w:spacing w:after="0" w:line="262" w:lineRule="auto"/>
        <w:rPr>
          <w:sz w:val="20"/>
          <w:szCs w:val="20"/>
          <w:color w:val="auto"/>
        </w:rPr>
      </w:pPr>
      <w:r>
        <w:rPr>
          <w:rFonts w:ascii="Times New Roman" w:cs="Times New Roman" w:eastAsia="Times New Roman" w:hAnsi="Times New Roman"/>
          <w:sz w:val="18"/>
          <w:szCs w:val="18"/>
          <w:color w:val="auto"/>
        </w:rPr>
        <w:t>On May 28, 2006, the Company ended a production show that had performed at Wynn Las Vegas. To terminate the contract, the Company paid a termination fee of $5 million, which was recorded in the first quarter of 2006 in accordance with the liability recognition provisions of SFAS No. 146, “</w:t>
      </w:r>
      <w:r>
        <w:rPr>
          <w:rFonts w:ascii="Times New Roman" w:cs="Times New Roman" w:eastAsia="Times New Roman" w:hAnsi="Times New Roman"/>
          <w:sz w:val="18"/>
          <w:szCs w:val="18"/>
          <w:i w:val="1"/>
          <w:iCs w:val="1"/>
          <w:color w:val="auto"/>
        </w:rPr>
        <w:t>Accounting for Costs Associated with Exit or Disposal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2"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Charges and Other</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charges and other consisted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abandoned/retired for remodels</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$32,584</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Donation of vase</w:t>
            </w:r>
          </w:p>
        </w:tc>
        <w:tc>
          <w:tcPr>
            <w:tcW w:w="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aircraft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(9,385)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8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property charges and other</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32,584</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60,857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25,060</w:t>
            </w:r>
          </w:p>
        </w:tc>
        <w:tc>
          <w:tcPr>
            <w:tcW w:w="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Property charges generally include costs related to the retirement of assets for remodels and asset abandonments. Property charges and other for the year ended December 31, 2008 were $32.6 million and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Company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2007 included the following charges at Wynn Macau: (a) a $10 million charge for the abandonment of a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4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Included in property charges and other for 2006 are approximately $14.9 million of costs relating to assets retired or abandoned. Also, in December 2006, Wynn Macau donated an early Ming dynasty vase to the Macau Museum. The Company purchased the vase in May 2006 for approximately $10.1 million. The vase had been on public display at Wynn Macau prior to its donation to the museum.</w:t>
      </w:r>
    </w:p>
    <w:p>
      <w:pPr>
        <w:spacing w:after="0" w:line="252" w:lineRule="exact"/>
        <w:rPr>
          <w:sz w:val="20"/>
          <w:szCs w:val="20"/>
          <w:color w:val="auto"/>
        </w:rPr>
      </w:pPr>
    </w:p>
    <w:p>
      <w:pPr>
        <w:ind w:right="9400" w:firstLine="8"/>
        <w:spacing w:after="0" w:line="345" w:lineRule="auto"/>
        <w:tabs>
          <w:tab w:leader="none" w:pos="44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i w:val="1"/>
          <w:iCs w:val="1"/>
          <w:color w:val="auto"/>
        </w:rPr>
        <w:t>Common Stock</w:t>
      </w:r>
    </w:p>
    <w:p>
      <w:pPr>
        <w:spacing w:after="0" w:line="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up to 400,000,000 shares of its common stock, $0.01 par value per share (the “Common Stock”). As of December 31, 2008 and 2007, 112,013,040 shares and 114,370,090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2" w:right="2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6, 2007, the Board of Directors of Wynn Resorts authorized an equity repurchase program of up to $1.2 billion that allowed purchases of both its Common Stock and its Debentures. On July 10, 2008, the Board of Directors of the Company authorized an increase of $500 million to its previously announced equity repurchase program bringing the total authorized to $1.7 billion. The repurchase program may include repurchases from time to time through open market purchases or negotiated transactions, depending upon market conditions. During the year ended December 31, 2008, the Company repurchased 10,915,633 shares for a net cost of $940.1 million. As of December 31, 2008, the Company had repurchased a cumulative total of 12,804,954 shares of the Company’s Common Stock for a net cost of $1.1 billion under the program.</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 2007, the Company completed a secondary common stock offering of 4,312,500 shares with net proceeds of $664.1 million.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18, 2008, the Company completed a secondary common stock offering of 8 million shares with net proceeds of $344.3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undesignated preferred stock, $0.01 par value per share (the “Preferred Stock”). As of December 31, 2008,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261"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Distributions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19, 2007, the Company’s Board of Directors declared a cash distribution of $6 per share on its outstanding Common Stock. This distribution was paid on December 10, 2007 to stockholders of record on November 30, 2007. For the year ended December 31, 2007, $686.1 million was recorded as a distribution in the accompanying Consolidated Statements of Stockholders’ Equity. Of this amount approximately $3.3 million was recorded as a liability which will be paid to the holders of nonvested stock upon the vesting of that stock.</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November 13, 2006, the Company’s Board of Directors declared a cash distribution of $6 per share on its outstanding Common Stock. This distribution was paid on December 4, 2006, to stockholders of record as of November 23, 2006. As part of this distribution, the Company made a payment to the holders of its Debentures so that they participated in the distribution to the same extent as if they had converted their Debentures to common stock. The Company paid holders of the Debentures a cash amount equal to $260.87 per $1,000 principal amount which equates to $58.5 million. In accordance with the indenture governing the Debentures, as a result of the payment, no adjustment was made to the conversion price. The payment was recorded as a Distribution to Convertible Debenture Holders in the accompanying Consolidated Statement of Income for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272" w:right="259" w:bottom="1440" w:gutter="0" w:footer="0" w:header="0"/>
        </w:sectPr>
      </w:pPr>
    </w:p>
    <w:bookmarkStart w:id="57" w:name="page58"/>
    <w:bookmarkEnd w:id="5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year ended December 31, 2006. The remaining $611.3 million was recorded as a distribution in the accompanying Consolidated Statement of Stockholders’ Equity for the year ended December 31, 2006. Of this amount approximately $3 million was recorded as a liability which will be paid to the holders of nonvested stock upon the vesting of that stock.</w:t>
      </w:r>
    </w:p>
    <w:p>
      <w:pPr>
        <w:spacing w:after="0" w:line="252" w:lineRule="exact"/>
        <w:rPr>
          <w:sz w:val="20"/>
          <w:szCs w:val="20"/>
          <w:color w:val="auto"/>
        </w:rPr>
      </w:pPr>
    </w:p>
    <w:p>
      <w:pPr>
        <w:ind w:right="9700" w:firstLine="8"/>
        <w:spacing w:after="0" w:line="388" w:lineRule="auto"/>
        <w:tabs>
          <w:tab w:leader="none" w:pos="446"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Benefit Plans </w:t>
      </w:r>
      <w:r>
        <w:rPr>
          <w:rFonts w:ascii="Times New Roman" w:cs="Times New Roman" w:eastAsia="Times New Roman" w:hAnsi="Times New Roman"/>
          <w:sz w:val="16"/>
          <w:szCs w:val="16"/>
          <w:i w:val="1"/>
          <w:iCs w:val="1"/>
          <w:color w:val="auto"/>
        </w:rPr>
        <w:t>Employee Savings Plan</w:t>
      </w:r>
    </w:p>
    <w:p>
      <w:pPr>
        <w:spacing w:after="0" w:line="1"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an expense for matching contributions of approximately $5.3 million, $4.9 million and $3.4 million for the years ended December 31, 2008, 2007 and 2006, respectively. Effective March 16, 2009, the Company is suspending matching contributions to this plan.</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Union employees are covered by various multi-employer pension plans. The Company recorded an expense of approximately $4.6 million, $4.5 million and $4.6 million under such plans for the years ended December 31, 2008, 2007 and 2006, respectively. Information from the plans’ sponsors is not available to permit the Company to determine its share of unfunded vested benefits, if 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established the 2002 Stock Incentive Plan (the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Stock Plan. However, only employees of the Company are eligible to receive incentive stock options.</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 maximum of 9,750,000 shares of Common Stock were reserved for issuance under the Stock Plan. As of December 31, 2008, 3,124,212 shares remain available for the grant of stock options or nonvested shares of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9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272" w:right="2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option activity under the Stock Plan as of December 31, 2008, and the changes during the year then ended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4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2008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48.04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2"/>
              </w:rPr>
              <w:t>106.84</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2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(94,583)</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29.41</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w:t>
            </w:r>
          </w:p>
        </w:tc>
        <w:tc>
          <w:tcPr>
            <w:tcW w:w="16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66.20</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2,782,342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66.80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4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$9,562,878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Fully vested and expected to vest at December 31, 2008</w:t>
            </w:r>
          </w:p>
        </w:tc>
        <w:tc>
          <w:tcPr>
            <w:tcW w:w="1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64.92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60" w:type="dxa"/>
            <w:vAlign w:val="bottom"/>
            <w:gridSpan w:val="3"/>
            <w:vMerge w:val="restart"/>
          </w:tcPr>
          <w:p>
            <w:pPr>
              <w:jc w:val="center"/>
              <w:ind w:left="332"/>
              <w:spacing w:after="0"/>
              <w:rPr>
                <w:sz w:val="20"/>
                <w:szCs w:val="20"/>
                <w:color w:val="auto"/>
              </w:rPr>
            </w:pPr>
            <w:r>
              <w:rPr>
                <w:rFonts w:ascii="Times New Roman" w:cs="Times New Roman" w:eastAsia="Times New Roman" w:hAnsi="Times New Roman"/>
                <w:sz w:val="18"/>
                <w:szCs w:val="18"/>
                <w:color w:val="auto"/>
                <w:w w:val="98"/>
              </w:rPr>
              <w:t>$9,562,878</w:t>
            </w: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2,574,567</w:t>
            </w: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2008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1,102,570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4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$9,562,878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2008, 2007 and 2006 was $61.50, $52.40 and $31.01, respectively. The total intrinsic value of the options exercised for the years ended December 31, 2008, 2007 and 2006 was $6.1 million, $21.4 million and $72.5 million, respectively. Net cash proceeds from the exercise of stock options were $2.8 million, $9.2 million, and $21.8 million for the years ended December 31, 2008, 2007 and 2006, respectively. No tax benefits were recognized since these benefits did not reduce income taxes payable.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Shares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status of the Stock Plan’s nonvested shares as of December 31, 2008 and changes during the year then ended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Weighted Average</w:t>
            </w: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 Fair</w:t>
            </w:r>
          </w:p>
        </w:tc>
      </w:tr>
      <w:tr>
        <w:trPr>
          <w:trHeight w:val="165"/>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4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489,500</w:t>
            </w: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560,000</w:t>
            </w:r>
          </w:p>
        </w:tc>
        <w:tc>
          <w:tcPr>
            <w:tcW w:w="8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(96,000)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2008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918,500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39" w:lineRule="exact"/>
        <w:rPr>
          <w:sz w:val="20"/>
          <w:szCs w:val="20"/>
          <w:color w:val="auto"/>
        </w:rPr>
      </w:pPr>
    </w:p>
    <w:p>
      <w:pPr>
        <w:ind w:right="620" w:firstLine="456"/>
        <w:spacing w:after="0" w:line="262" w:lineRule="auto"/>
        <w:rPr>
          <w:sz w:val="20"/>
          <w:szCs w:val="20"/>
          <w:color w:val="auto"/>
        </w:rPr>
      </w:pPr>
      <w:r>
        <w:rPr>
          <w:rFonts w:ascii="Times New Roman" w:cs="Times New Roman" w:eastAsia="Times New Roman" w:hAnsi="Times New Roman"/>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2"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Expected term represents the weighted average time between the option’s grant date and its exercise date. The Company used the simplified method prescribed by SAB No.’s 107 and 110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per option was estimated on the date of grant using the following weighted-average assumptions: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7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44.1%</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37.1%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2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 (years)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7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9"/>
                <w:szCs w:val="19"/>
                <w:color w:val="auto"/>
              </w:rPr>
            </w:pPr>
          </w:p>
        </w:tc>
      </w:tr>
    </w:tbl>
    <w:p>
      <w:pPr>
        <w:spacing w:after="0" w:line="13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adoption of SFAS No. 123(R) and the related interpretations on January 1, 2006 resulted in the Company’s elimination of approximately $15.8 million of deferred compensation against additional paid-in capital. The Company recognized approximately $11.7 million ($0.08 per basic and diluted share), approximately $10.9 million ($0.08 and $0.07, per basic and diluted share, respectively) and approximately $11.6 million ($0.08 and $0.07, per basic and diluted share, respectively) of compensation expense related to stock options for the years ended December 31, 2008, 2007 and 2006, respectively.</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compensation cost relating to stock options, during the year ended December 31, 2008, the Company recognized compensation expense related to nonvested shares of Common Stock of approximately $8.6 million ($0.07 per basic and diluted share). Approximately $56.6 million of unamortized compensation cost relating to nonvested shares of Common Stock at December 31, 2008 will be recognized as compensation over the vesting period of the related grants through December 2016. The total fair value of the shares vested during the years ended December 31, 2008, 2007, and 2006 was $2.5 million, $3.9 million and $11.2 million, respectively.</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2007 and 2006, the Company recognized compensation expense related to nonvested shares of Common Stock of approximately $7.6 million and $5.1 million ($0.05 and $0.03 per basic and diluted share) respectively. In addition, approximately $0.7 million and $1.3 million was capitalized to construction in progress during the years ended December 31, 2007 and 2006.</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compensation cost relating both to stock options and nonvested stock is allocated as follows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Rooms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Pre-opening</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20,328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20,908</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19,336</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40" w:type="dxa"/>
            <w:vAlign w:val="bottom"/>
            <w:vMerge w:val="restart"/>
          </w:tcPr>
          <w:p>
            <w:pPr>
              <w:jc w:val="right"/>
              <w:ind w:right="311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Macau Subconcession Right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4, 2006, Wynn Macau, S.A. entered into an agreement with Publishing &amp; Broadcasting, Ltd. (“PBL”) pursuant to which Wynn Macau, 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sell to PBL for $900 million, the right to negotiate with the government of Macau for a subconcession to allow PBL to operate casinos in Macau.</w:t>
      </w:r>
    </w:p>
    <w:p>
      <w:pPr>
        <w:spacing w:after="0" w:line="15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September 8, 2006, the government of Macau approved the sale of the subconcession right. On September 11, 2006, Wynn Macau, S.A. completed the sale to PBL and received a cash payment of $900 million. As a result of the sale and the subconcession awarded to PBL by the government of Macau, Wynn Macau, S.A. has no continuing rights or obligations with respect to the subconcession. The proceeds from this sale, net of related costs, are recorded as gain on sale of subconcession right in the accompanying Consolidated Statements of Income for the year ended December 31, 2006.</w:t>
      </w:r>
    </w:p>
    <w:p>
      <w:pPr>
        <w:spacing w:after="0" w:line="256"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income (loss) before taxes for domestic and foreign operations consisted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$(105,096)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56,294</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9"/>
              </w:rPr>
              <w:t>254,014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5"/>
              </w:rPr>
              <w:t>175,843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828,122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148,918</w:t>
            </w:r>
          </w:p>
        </w:tc>
        <w:tc>
          <w:tcPr>
            <w:tcW w:w="9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232,137</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783,845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Company’s benefit (provision) for income taxes consisted of the following (amounts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gridSpan w:val="3"/>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(1,899)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(87,164)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58,606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(37,002)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63,460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(97,129)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61,561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(35,801)</w:t>
            </w:r>
          </w:p>
        </w:tc>
        <w:tc>
          <w:tcPr>
            <w:tcW w:w="16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(184,293)</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jc w:val="right"/>
              <w:ind w:right="257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tax effects of significant temporary differences representing net deferred tax assets and liabilities consisted of the following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assets—U.S.: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4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698,371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Pre-opening costs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32,073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 compensation</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rate swap valuation adjustment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credit carryforwards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Syndication costs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(632,006)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178,070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liabilities—U.S.: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Property and equipment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(184,305)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(167,125)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rate swap valuation adjustment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(196,047)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(318,482)</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assets—Foreign:</w:t>
            </w:r>
          </w:p>
        </w:tc>
        <w:tc>
          <w:tcPr>
            <w:tcW w:w="4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Pre-opening costs and other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Pre-opening costs and other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liabilities—Foreign:</w:t>
            </w:r>
          </w:p>
        </w:tc>
        <w:tc>
          <w:tcPr>
            <w:tcW w:w="4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equipment and other</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4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(132,945)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80" w:type="dxa"/>
            <w:vAlign w:val="bottom"/>
            <w:vMerge w:val="restart"/>
          </w:tcPr>
          <w:p>
            <w:pPr>
              <w:jc w:val="right"/>
              <w:ind w:right="341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differs from that computed at the federal statutory corporate tax rate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3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35.0%</w:t>
            </w: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0"/>
              </w:rPr>
              <w:t>35.0%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3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(38.6%)</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5"/>
              </w:rPr>
              <w:t>(12.7%)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 net: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Foreign tax credits, net of valuation</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allowance</w:t>
            </w:r>
          </w:p>
        </w:tc>
        <w:tc>
          <w:tcPr>
            <w:tcW w:w="13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w w:val="94"/>
              </w:rPr>
              <w:t>(484.9%)</w:t>
            </w: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Repatriation of Foreign earnings</w:t>
            </w:r>
          </w:p>
        </w:tc>
        <w:tc>
          <w:tcPr>
            <w:tcW w:w="13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472.7%</w:t>
            </w:r>
          </w:p>
        </w:tc>
        <w:tc>
          <w:tcPr>
            <w:tcW w:w="1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 to Debenture Holders</w:t>
            </w:r>
          </w:p>
        </w:tc>
        <w:tc>
          <w:tcPr>
            <w:tcW w:w="130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13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(29.6%)</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5"/>
              </w:rPr>
              <w:t>(14.0%)</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Non-deductible foreign property</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charges</w:t>
            </w:r>
          </w:p>
        </w:tc>
        <w:tc>
          <w:tcPr>
            <w:tcW w:w="130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Increase(decrease) in liability for</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30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13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other</w:t>
            </w:r>
          </w:p>
        </w:tc>
        <w:tc>
          <w:tcPr>
            <w:tcW w:w="130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Effective tax rate</w:t>
            </w: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23"/>
        </w:trPr>
        <w:tc>
          <w:tcPr>
            <w:tcW w:w="8320" w:type="dxa"/>
            <w:vAlign w:val="bottom"/>
            <w:vMerge w:val="continue"/>
          </w:tcPr>
          <w:p>
            <w:pPr>
              <w:spacing w:after="0"/>
              <w:rPr>
                <w:sz w:val="19"/>
                <w:szCs w:val="19"/>
                <w:color w:val="auto"/>
              </w:rPr>
            </w:pPr>
          </w:p>
        </w:tc>
        <w:tc>
          <w:tcPr>
            <w:tcW w:w="13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23.5</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During its development stage, the Company accumulated significant net operating losses. Accordingly, at December 31, 2007, the Company had estimated available tax loss carryforwards of approximately $510 million for U.S. income tax purposes, which were entirely used in 2008. The Company has foreign tax loss carryforwards of approximately $268.4 million as of December 31, 2008, which are partially reserved and expire in 2010 and 2011. The Company’s U.S. tax loss carryforward included a tax deduction of $9.2 million associated with the conversion of the Debentures into common stock; the tax benefit of $3.2 million was credited directly to shareholders’ equity as of December 31, 2007. The Company has not recorded tax benefits resulting from the exercise of nonqualified stock options and the value of vested restricted stock of $128.6 million, $120.6 million, and $92.2 million as of December 31, 2008, 2007 and 2006, respectively, in excess of the amounts reported for such items as compensation costs under SFAS No. 123(R) that have not yet reduced income taxes payable. The company uses a with-and-without approach to determine if the excess tax deductions associated with compensation costs under SFAS No. 123(R) have reduced income taxes payable. The deferred tax asset for net operating loss carryforwards in the above table of temporary differences excludes amounts relating to items that have not yet reduced taxes payable. Accordingly, no deferred tax asset has been recorded for these amounts. Subsequent recognition of income tax benefits associated with these items will be allocated to additional paid-in capital.</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SFAS No. 109 requires recognition of a future tax benefit to the extent that realization of such benefit is more likely than not. Otherwise, a valuation allowance is applied. During 2008 and 2007, the aggregate valuation allowance for deferred tax assets increased by $634.9 million and $3.4 million respectively. During 2006 the aggregate valuation allowance decreased by $76.6 million. The 2008 increase is primarily related to foreign tax credit carryforwards that are not considered more likely than not realizable. The 2007 increase is primarily due to foreign tax loss carryforwards that are not more likely than not realizable. The 2006 decrease was primarily due to the recognition of net U.S. deferred tax assets, the write off of foreign deferred tax assets considered no longer realizable and the write off of tax loss carryforwards attributable to tax deductions in excess of the amounts reported as stock compensation costs under SFAS 123(R) that have not yet reduced income taxes payable under this statement. The Company maintains valuation allowances for deferred tax assets that it determines are not yet more likely than not realizable.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272" w:right="2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Macau special gaming tax is 35% of gross gaming revenue. The U.S. taxing regime only allows a credit for 35% of “net” foreign source income. In determining the valuation allowance in accordance with SFAS No. 109 “Accounting for Income Taxes,” the Company could not rely on forecasted future U.S. taxable income. Instead, the valuation allowance was determined by scheduling the existing U.S. “net” taxable temporary differences that were expected to reverse during the 10-year foreign tax credit carryover period and then applying U.S. income tax rules applicable to foreign tax credit utilization to the results in order to determine the amount of foreign tax credit expected to be utilized in the future.</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Of the December 31, 2008 U.S. valuation allowance totaling $632.0 million, $626.9 million relates to U.S. foreign tax credits expected to expire unutilized, $1.3 million represents stock-based compensation that may be nondeductible under IRC §162(m), and $3.8 million is attributable to syndication costs. Of the 2007 U.S. valuation allowance totaling $4.7 million, approximately $3.8 million is attributable to syndication costs and the remaining balance relates to charitable contribution and capital loss carryforwards expected to expire unutilized. Subsequent recognition of income tax benefits associated with syndication costs will be allocated to additional paid-in capital.</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2008, the Company completed a study of the taxes, levies and obligations assessed on operations of Wynn Macau under Macau law and its Macau Gaming Concession. The study concluded the Macau Special Gaming Tax more likely than not qualified as a tax paid in lieu of an income tax under the Internal Revenue Code. As a result, the Company recognized tax benefits of $722 million (net of valuation allowance increases) for foreign tax credits applicable to the earnings of Wynn Macau. A significant portion of these credits result from the treatment of the Macau Special Gaming Tax as a U.S. foreign tax credit. Of the $722 million, $650.6 million was used to offset 2008 U.S. income tax expense incurred as a result of the repatriation of Wynn Macau earnings and $71.4 million (net of valuation allowance) is recorded as a deferred tax asset. The foreign tax credit carryforwards of $698.4 million before valuation allowance will expire in 2019. As of December 31, 2008, the Company has no earnings in foreign subsidiaries that are considered permanently invested.</w:t>
      </w:r>
    </w:p>
    <w:p>
      <w:pPr>
        <w:spacing w:after="0" w:line="13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During 2008, the Company repatriated $1.071 billion in earnings from Wynn Macau. These earnings were repatriated to fund the repurchase of $625 million in principal of the Term Loan Facility, to provide available funding for possible future debt repurchases, to provide funding for the completion of Encore at Wynn Las Vegas, and to provide liquidity. As of December 31, 2007 and 2006, the Company had not provided deferred U.S. income taxes or foreign withholding taxes on temporary differences of approximately $494 million and $297.1 million, respectively, resulting from earnings of certain non-U.S. subsidiaries which were considered permanently reinvested outside the United States. The amount of the unrecognized deferred tax liability without regard to potential foreign tax credits associated with these temporary differences is approximately $172.9 million and $103.9 million for the years ended December 31, 2007 and 2006, respectively.</w:t>
      </w:r>
    </w:p>
    <w:p>
      <w:pPr>
        <w:spacing w:after="0" w:line="141"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Effective September 6, 2006, Wynn Macau, S.A. received a 5-year exemption from Macau’s 12% Complementary Tax on casino gaming profits. Accordingly, the Company was exempted from the payment of approximately $27.7 million ($.26 and $.25 per basic and diluted share, respectively), $26.4 million ($0.25 and $0.23 per basic and diluted share, respectively) and $4.7 million ($0.05 and $0.04 per basic and diluted share, respectively) in such taxes for the years ended December 31, 2008, 2007 and 2006, respectively. The Company’s non-gaming profits remain subject to the Macau Complementary Tax and its casino winnings remain subject to the Macau Special Gaming tax and other levies in accordance with its concession agreement.</w:t>
      </w:r>
    </w:p>
    <w:p>
      <w:pPr>
        <w:spacing w:after="0" w:line="10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Internal Revenue Service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272" w:right="25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(“IRS”) and other tax authorities in the locations where it operates. As of December 31, 2008, the Company has filed domestic income tax returns for the years 2002 to 2007 and foreign income tax returns for 2002 to 2007. The Company's 2002 to 2007 domestic income tax returns remain subject to examination by the IRS and the Company's 2006 and 2007 Macau income tax returns remain subject to examination by the Macau Finance Bureau. During 2007, the IRS commenced an examination of the Company's U.S income tax returns for the 2004 and 2005 tax years.</w:t>
      </w:r>
    </w:p>
    <w:p>
      <w:pPr>
        <w:spacing w:after="0" w:line="13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Prior to the adoption of FIN 48 on January 1, 2007, the Company assessed potentially unfavorable outcomes of such examinations based on the criteria of SFAS No. 5, “Accounting for Contingencies”. Quarterly, the Company reviews any potentially unfavorable tax outcome and when an unfavorable outcome was identified as probable and could be reasonably estimated, the Company then established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0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January 1, 2007, the Company adopted the provisions of FIN 48 which effectively amended SFAS No. 5 with respect to income taxes. Accordingly, the Company’s income tax recognition policy related to uncertain income tax positions is no longer covered by SFAS No. 5. As a result of the implementation of FIN 48, the Company recognized a total liability for unrecognized tax benefits of approximately $45.4 million, $2 million of which was accounted for as an increase to the January 1, 2007 balance of accumulated deficit as a cumulative effect adjustment. As of December 31, 2008 and 2007, approximately $14.2 million and $10 million, respectively, of unrecognized tax benefit would, if recognized, impact the effective tax rate. A reconciliation of the beginning and ending amount of unrecognized tax benefits is as follows (amounts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Balance—beginning of year</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89,216</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$45,471</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of the current year</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15,135</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23,348</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(4,573)</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Balance—end of year</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120,779</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89,216</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During 2007, the IRS initiated an examination of the Company’s 2004 and 2005 tax returns. The Company does not anticipate resolution of the federal examinations during the next 12 months. The Company’s unrecognized tax benefits include certain income tax accounting methods. These accounting methods govern the timing of income tax deductions. As a result the Company’s unrecognized tax benefits could increase by a range of $0 to $25 million over the next 12 months.</w:t>
      </w:r>
    </w:p>
    <w:p>
      <w:pPr>
        <w:spacing w:after="0" w:line="13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If incurred, the Company would recognize penalties and interest related to unrecognized tax benefits in the provision for income taxes. During the years ended December 31, 2008, 2007 and 2006, the Company recognized no interest or penalties.</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2008 and 2007, approximately $30.5 million and $58.4 million, respectively, of FIN 48 liabilities related to U.S. and foreign uncertain tax positions that increase the NOL and foreign tax credit carryforward deferred tax assets are classified as reductions of the NOL and foreign tax credit carryforward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272" w:right="2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deferred tax assets in the net deferred tax asset and liability table above. During 2008, $56.4 million of uncertain tax positions previously netted against the domestic NOL deferred tax asset were reclassified to the liability for uncertain positions in connection with the utilization of the domestic NOL carryforward. Other uncertain tax positions not increasing the NOL and foreign tax credit carryforward deferred tax asset have increased the liability for uncertain tax positions.</w:t>
      </w:r>
    </w:p>
    <w:p>
      <w:pPr>
        <w:spacing w:after="0" w:line="217"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Encore at Wynn Macau Construction Development. </w:t>
      </w:r>
      <w:r>
        <w:rPr>
          <w:rFonts w:ascii="Times New Roman" w:cs="Times New Roman" w:eastAsia="Times New Roman" w:hAnsi="Times New Roman"/>
          <w:sz w:val="18"/>
          <w:szCs w:val="18"/>
          <w:color w:val="auto"/>
        </w:rPr>
        <w:t>Construction has commenced on a further expansion of Wynn Macau. Encore at Wynn Macau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open in 2010, and will add a fully-integrated resort hotel to Wynn Macau with approximately 400 luxury suites and four villas along with restaurants, additional retail space and additional VIP gaming space. 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 While the project budget is still being finalized, the company expects total costs to be approximately $700 million.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Through December 31, 2008, the Company had incurred approximately $202 million of costs related to Encore at Wynn Macau.</w:t>
      </w:r>
    </w:p>
    <w:p>
      <w:pPr>
        <w:spacing w:after="0" w:line="167" w:lineRule="exact"/>
        <w:rPr>
          <w:sz w:val="20"/>
          <w:szCs w:val="20"/>
          <w:color w:val="auto"/>
        </w:rPr>
      </w:pPr>
    </w:p>
    <w:p>
      <w:pPr>
        <w:ind w:right="16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Land Concession Contract. </w:t>
      </w:r>
      <w:r>
        <w:rPr>
          <w:rFonts w:ascii="Times New Roman" w:cs="Times New Roman" w:eastAsia="Times New Roman" w:hAnsi="Times New Roman"/>
          <w:sz w:val="16"/>
          <w:szCs w:val="16"/>
          <w:color w:val="auto"/>
        </w:rPr>
        <w:t>Wynn Macau, S.A. has entered into a land concession contract for the Wynn Macau project site. Under the land concession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approximately $36.4 million and is required to make two additional semi-annual payments (including interest) totaling approximately $6.3 million for total payments of approximately $42.7 million. Wynn Macau, S.A. also paid approximately $18.4 million to an unrelated third party for its relinquishment of rights to a portion of the land. During the term of the land concession contract, Wynn Macau, S.A. is required to make annual lease payments of up to $400,000.</w:t>
      </w:r>
    </w:p>
    <w:p>
      <w:pPr>
        <w:spacing w:after="0" w:line="108"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Cotai Land Agreement. </w:t>
      </w:r>
      <w:r>
        <w:rPr>
          <w:rFonts w:ascii="Times New Roman" w:cs="Times New Roman" w:eastAsia="Times New Roman" w:hAnsi="Times New Roman"/>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Aircraft Deposits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made deposits on three aircraft purchases totaling $19.4 million which are included in other assets in the accompanying consolidated balance sheets as of December 31, 2008. The Company was scheduled to take delivery of those aircraft in 2009, 2012 and 2017 with additional payments to be made totaling $142.2 million. On February 19, 2009, the Company cancelled the agreements to purchase two of these aircraft. The deposit on one of the aircraft is refundable only to the extent the seller is able to find another buyer. Due to the uncertainty as to the recoverability of this deposit and a $1.5 million nonrefundable deposit on the second aircraft, the Company will write-off $14.9 million of deposits in the first quarter of 2009.</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2" w:right="2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and other arrangements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Company is the lessor under several retail leases and has entered into license and distribution agreements for several additional retail outlets. The Company also is a party to joint venture agreements for the operation of one other retail outlet and the Ferrari and Maserati automobile dealership at Wynn Las Vegas.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future minimum rentals to be received under the operating leases (amounts in thousands):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Years Ending December 31,</w:t>
            </w: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$ 15,326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15,290</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$ 57,812</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is the lessee under several leases for office space in Las Vegas, Macau and certain other locations, warehouse facilities, the land underlying the Company’s aircraft hangar and certain office equipment.</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2008, the Company was obligated under non-cancelable operating leases to make future minimum lease payments as follows (amounts in thousands):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Years Ending December 31,</w:t>
            </w: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$ 12,431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$ 26,466</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for the years ended December 31, 2008, 2007 and 2006, was $17.8 million, $18.4 million and $14.3 million,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272" w:right="2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executives are also entitled to a separation payment if terminated without “cause” or upon voluntary termination of employment for “good reason” following a “change of control” (as these terms are defined in the employment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December 31, 2008.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Use Tax on Complimentary Meals</w:t>
      </w:r>
    </w:p>
    <w:p>
      <w:pPr>
        <w:spacing w:after="0" w:line="9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March 2008, the Nevada Supreme Court ruled, in the matter captioned </w:t>
      </w:r>
      <w:r>
        <w:rPr>
          <w:rFonts w:ascii="Times New Roman" w:cs="Times New Roman" w:eastAsia="Times New Roman" w:hAnsi="Times New Roman"/>
          <w:sz w:val="18"/>
          <w:szCs w:val="18"/>
          <w:i w:val="1"/>
          <w:iCs w:val="1"/>
          <w:color w:val="auto"/>
        </w:rPr>
        <w:t>Sparks Nugget, Inc. vs. The State of Nevada Ex Rel. Department of Taxation</w:t>
      </w:r>
      <w:r>
        <w:rPr>
          <w:rFonts w:ascii="Times New Roman" w:cs="Times New Roman" w:eastAsia="Times New Roman" w:hAnsi="Times New Roman"/>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December 31, 2008, the Company had not recorded a receivable related to this matter.</w:t>
      </w:r>
    </w:p>
    <w:p>
      <w:pPr>
        <w:spacing w:after="0" w:line="256"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Company monitors its operations and evaluates earnings by reviewing the assets and operations of Wynn Las Vegas (including Encore at Wynn Las Vegas) and Wynn Macau. Wynn Las Vegas opened on April 28, 2005, Encore at Wynn Las Vegas opened on December 22, 2008, and Wynn Macau opened on September 6, 2006.</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total assets and capital expenditures by segment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4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4,584,271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1,415,325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756,192</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consolidated assets</w:t>
            </w:r>
          </w:p>
        </w:tc>
        <w:tc>
          <w:tcPr>
            <w:tcW w:w="4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6,755,788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4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1,129,525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1,333,182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100" w:type="dxa"/>
            <w:vAlign w:val="bottom"/>
            <w:vMerge w:val="restart"/>
          </w:tcPr>
          <w:p>
            <w:pPr>
              <w:jc w:val="right"/>
              <w:ind w:right="275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Company’s results of operations by segment for the years ended December 31, 2008, 2007 and 2006 consisted of the following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1,098,889</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1,295,381</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1,138,549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1,888,435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1,392,138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net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2,987,324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2,687,519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1,432,257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EBITDA(1,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252,875</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417,028</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adjusted property EBITDA</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738,732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781,141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393,590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Contract termination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426,596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353,786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325,223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68,367</w:t>
            </w:r>
          </w:p>
        </w:tc>
        <w:tc>
          <w:tcPr>
            <w:tcW w:w="120" w:type="dxa"/>
            <w:vAlign w:val="bottom"/>
            <w:shd w:val="clear" w:color="auto" w:fill="CCEEFF"/>
          </w:tcPr>
          <w:p>
            <w:pPr>
              <w:spacing w:after="0"/>
              <w:rPr>
                <w:sz w:val="18"/>
                <w:szCs w:val="18"/>
                <w:color w:val="auto"/>
              </w:rPr>
            </w:pPr>
          </w:p>
        </w:tc>
      </w:tr>
      <w:tr>
        <w:trPr>
          <w:trHeight w:val="222"/>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(145,177)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(150,655)</w:t>
            </w: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Distribution to convertible debenture 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(58,477)</w:t>
            </w: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Increase (decrease) in swap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sale of subconcession right,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Gain/(loss) from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(93,526)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(25,030)</w:t>
            </w: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non-operating 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(163,218)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715,478</w:t>
            </w:r>
          </w:p>
        </w:tc>
        <w:tc>
          <w:tcPr>
            <w:tcW w:w="120" w:type="dxa"/>
            <w:vAlign w:val="bottom"/>
            <w:shd w:val="clear" w:color="auto" w:fill="CCEEFF"/>
          </w:tcPr>
          <w:p>
            <w:pPr>
              <w:spacing w:after="0"/>
              <w:rPr>
                <w:sz w:val="18"/>
                <w:szCs w:val="18"/>
                <w:color w:val="auto"/>
              </w:rPr>
            </w:pPr>
          </w:p>
        </w:tc>
      </w:tr>
      <w:tr>
        <w:trPr>
          <w:trHeight w:val="222"/>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783,845</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(35,801)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(184,293)</w:t>
            </w:r>
          </w:p>
        </w:tc>
      </w:tr>
      <w:tr>
        <w:trPr>
          <w:trHeight w:val="223"/>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599,552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460" w:right="400" w:hanging="452"/>
        <w:spacing w:after="0" w:line="262"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its opening on September 6, 2006, Wynn Macau was in the development stage. Wynn Macau was open for 117 days during the year ended December 31, 2006. Encore at Wynn Las Vegas opened December 22, 2008 and is included with Wynn Las Vegas as the two properties operate as one segment.</w:t>
      </w:r>
    </w:p>
    <w:p>
      <w:pPr>
        <w:spacing w:after="0" w:line="37" w:lineRule="exact"/>
        <w:rPr>
          <w:rFonts w:ascii="Times New Roman" w:cs="Times New Roman" w:eastAsia="Times New Roman" w:hAnsi="Times New Roman"/>
          <w:sz w:val="18"/>
          <w:szCs w:val="18"/>
          <w:color w:val="auto"/>
        </w:rPr>
      </w:pPr>
    </w:p>
    <w:p>
      <w:pPr>
        <w:ind w:left="460" w:right="120" w:hanging="452"/>
        <w:spacing w:after="0" w:line="258"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stock-based compensation, contract termination fee,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272"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8"/>
          <w:szCs w:val="18"/>
          <w:color w:val="auto"/>
        </w:rPr>
        <w:t>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63"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Information (Unaudited)</w:t>
      </w:r>
    </w:p>
    <w:p>
      <w:pPr>
        <w:spacing w:after="0" w:line="92" w:lineRule="exact"/>
        <w:rPr>
          <w:sz w:val="20"/>
          <w:szCs w:val="20"/>
          <w:color w:val="auto"/>
        </w:rPr>
      </w:pPr>
    </w:p>
    <w:p>
      <w:pPr>
        <w:ind w:right="480" w:firstLine="456"/>
        <w:spacing w:after="0" w:line="310" w:lineRule="auto"/>
        <w:rPr>
          <w:sz w:val="20"/>
          <w:szCs w:val="20"/>
          <w:color w:val="auto"/>
        </w:rPr>
      </w:pPr>
      <w:r>
        <w:rPr>
          <w:rFonts w:ascii="Times New Roman" w:cs="Times New Roman" w:eastAsia="Times New Roman" w:hAnsi="Times New Roman"/>
          <w:sz w:val="16"/>
          <w:szCs w:val="16"/>
          <w:color w:val="auto"/>
        </w:rPr>
        <w:t>The following tables (amounts in thousands, except per share data) present selected quarterly financial information for 2008 and 2007, as previously reported. Because income (loss) per share amounts are calculated using the weighted average number of common and dilutive common equivalent shares outstanding during each quarter, the sum of the per share amounts for the four quarters may not equal the total income (loss) per share amounts for the year.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Year Ended December 31, 2008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778,706</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825,157</w:t>
            </w: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$ 769,186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614,275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2,987,324</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144,169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312,136</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271,970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(159,567)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r>
      <w:tr>
        <w:trPr>
          <w:trHeight w:val="365"/>
        </w:trPr>
        <w:tc>
          <w:tcPr>
            <w:tcW w:w="3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Year Ended December 31, 2007</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635,317</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687,541</w:t>
            </w: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$ 653,386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711,275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2,687,519</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107,724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125,478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85,786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108,367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427,355</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(15,145)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65,277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196,336</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r>
      <w:tr>
        <w:trPr>
          <w:trHeight w:val="363"/>
        </w:trPr>
        <w:tc>
          <w:tcPr>
            <w:tcW w:w="3920" w:type="dxa"/>
            <w:vAlign w:val="bottom"/>
          </w:tcPr>
          <w:p>
            <w:pPr>
              <w:spacing w:after="0"/>
              <w:rPr>
                <w:sz w:val="24"/>
                <w:szCs w:val="24"/>
                <w:color w:val="auto"/>
              </w:rPr>
            </w:pPr>
          </w:p>
        </w:tc>
        <w:tc>
          <w:tcPr>
            <w:tcW w:w="22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I—Condensed financial information of the registrant</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1,414,191</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2,337,575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2,105,946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3,286,248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to Wynn Las Vegas, LLC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interest—due to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Due to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504,351</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1,329,289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400,000,000 shares authorized; 124,817,994 and 116,259,411 shares issued;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112,013,040 and 114,370,090 shares outstanding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12,804,954 and 1,889,321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2"/>
              </w:rPr>
              <w:t>(1,119,407)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2,734,276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2,366,687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(17,136)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1,601,595</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1,956,959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2,105,946</w:t>
            </w:r>
          </w:p>
        </w:tc>
        <w:tc>
          <w:tcPr>
            <w:tcW w:w="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3,286,248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jc w:val="center"/>
              <w:ind w:left="235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condensed financial statements.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960" w:type="dxa"/>
            <w:vAlign w:val="bottom"/>
            <w:gridSpan w:val="2"/>
          </w:tcPr>
          <w:p>
            <w:pPr>
              <w:jc w:val="right"/>
              <w:ind w:right="3072"/>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Wynn Las Vegas management fees</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16,504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19,473</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 royalty fees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73,423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36,538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2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14,126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19,772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2"/>
              </w:rPr>
              <w:t>123,779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308,827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744,529</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199,306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344,150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752,773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9,437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(59,320)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 to convertible debenture holders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swap fair value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(19,434)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early extinguishment of debt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22,347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(93,369)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(47,433)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(110,812)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(56,498)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2"/>
              </w:rPr>
              <w:t>151,873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233,338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696,275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58,606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(37,002)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2"/>
              </w:rPr>
              <w:t>210,479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196,336</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599,552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w w:val="92"/>
              </w:rPr>
              <w:t>108,408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106,030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2"/>
              </w:rPr>
              <w:t>109,441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112,685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111,627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272"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196,336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599,552</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96,723</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loss on early extinguishment of debt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12,497</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6,090</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swap fair value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received from subsidiary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1,071,148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(308,827)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(744,529)</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Receivables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to (from) affiliates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(52,912)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(24,918)</w:t>
            </w:r>
          </w:p>
        </w:tc>
      </w:tr>
      <w:tr>
        <w:trPr>
          <w:trHeight w:val="230"/>
        </w:trPr>
        <w:tc>
          <w:tcPr>
            <w:tcW w:w="20" w:type="dxa"/>
            <w:vAlign w:val="bottom"/>
          </w:tcPr>
          <w:p>
            <w:pPr>
              <w:spacing w:after="0"/>
              <w:rPr>
                <w:sz w:val="20"/>
                <w:szCs w:val="20"/>
                <w:color w:val="auto"/>
              </w:rPr>
            </w:pPr>
          </w:p>
        </w:tc>
        <w:tc>
          <w:tcPr>
            <w:tcW w:w="71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1,045,390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(10,459)</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to (from) subsidiaries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14,401</w:t>
            </w: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intercompany loans</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349,385</w:t>
            </w:r>
          </w:p>
        </w:tc>
      </w:tr>
      <w:tr>
        <w:trPr>
          <w:trHeight w:val="22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 term debt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4"/>
              </w:rPr>
              <w:t>1,000,000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long term debt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(596,094)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 to Wynn Las Vegas, LLC</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from Wynn Resorts International</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to Wynn Resorts International</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664,125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distributions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(683,299)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(608,299)</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21,790</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restricted for stock repurchases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(940,130)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rate swap transactions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for deferred financing costs and other</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(776,356)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300,067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(586,509)</w:t>
            </w:r>
          </w:p>
        </w:tc>
      </w:tr>
      <w:tr>
        <w:trPr>
          <w:trHeight w:val="222"/>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347,526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(253,271)</w:t>
            </w: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end of year</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662,285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402,268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54,742</w:t>
            </w: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272" w:right="2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12"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20"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52"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Payable to Wynn Las Vegas, LLC</w:t>
      </w:r>
    </w:p>
    <w:p>
      <w:pPr>
        <w:spacing w:after="0" w:line="92"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On August 15, 2005, the Company borrowed $80 million from its wholly-owned subsidiary, Wynn Las Vegas, LLC, to fund a portion of the construction costs for Wynn Macau. Interest was payable semi-annually at 7.5% per annum. Unpaid principal and interest was due at maturity on August 15, 2012.</w:t>
      </w:r>
    </w:p>
    <w:p>
      <w:pPr>
        <w:spacing w:after="0" w:line="7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Company repaid this note, including accrued interest, in July 2008. The Company recorded approximately $3.3 million and $6 million in interest expense related to this note during each of the years ended December 31, 2008 and 2007, respectively.</w:t>
      </w:r>
    </w:p>
    <w:p>
      <w:pPr>
        <w:spacing w:after="0" w:line="239"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except for allowing the cash distribution of the proceeds of the sale of the subconcession right (see Note 14—Cash Distribution, in the Company’s consolidated financial statements included elsewhere in this Form 10-K), the terms of the loan agreements of Wynn Resorts (Macau), S.A. and the Wynn Resorts $1 billion term loan facility noted below contain similar restrictions. The Company received a cash dividend of $1.072 billion from Wynn Group Asia in November 2008. The Company received a cash dividend of $30 million from Wynn Group Asia in November 2006.</w:t>
      </w:r>
    </w:p>
    <w:p>
      <w:pPr>
        <w:spacing w:after="0" w:line="232"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$1 Billion Term Loan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June 21, 2007, the Company entered into a $1 billion term loan facility (the “Term Loan Facility”). Borrowings under the Term Loan Facility were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Facility was available to fund (a) the Company’s equity repurchase program announced on June 7, 2007 and (b) up to $350 million for general corporate purposes. Of the $1 billion drawn at December 31, 2007, $500 million was included as restricted cash in the accompanying Consolidated Balance Sheet as such amount was only to be used to fund the Company’s equity repurchases or repay the loans.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272" w:right="279" w:bottom="1440" w:gutter="0" w:footer="0" w:header="0"/>
        </w:sectPr>
      </w:pPr>
    </w:p>
    <w:bookmarkStart w:id="74" w:name="page75"/>
    <w:bookmarkEnd w:id="74"/>
    <w:p>
      <w:pPr>
        <w:ind w:firstLine="456"/>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August 1, 2008, the Company amended the $1 billion Wynn Resorts Term Loan. This amendment allowed Stephen A. Wynn, the Company’s Chairman and Chief Executive Officer, to purchase an interest in the debt. On August 1, 2008, Mr. Wynn advised the Company that he purchased $198,250,000 of the face amount of the outstanding debt under the $1 billion Wynn Term Loan Facility from a third party. On November 13, 2008, the Company further amended the Term Loan Facility to purchase loans outstanding up to $650 million prior to March 31, 2009. On November 26, 2008, the Company purchased $625 million of loans under the Term Loan Facility at a discounted price of 95.375%, resulting in the retirement of $625 million of principal for a payment of $596.1 million. The loans purchased included the interests held by Mr. Wynn. In connection with this transaction, the Company recognized a $22.3 million gain on early retirement of debt, net of the write-off of unamortized debt issue costs and fees. The remaining $375 million will mature and be payable on June 21, 2010.</w:t>
      </w:r>
    </w:p>
    <w:p>
      <w:pPr>
        <w:spacing w:after="0" w:line="11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Amounts borrowed under the Term Loan Facility accrue interest, at the election of the Company, at either the London Interbank Offer Rate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Facility commitment exceeded the outstanding amount of the Term Loan Facility.</w:t>
      </w:r>
    </w:p>
    <w:p>
      <w:pPr>
        <w:spacing w:after="0" w:line="258"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Repurchase Program</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6, 2007, the Board of Directors of Wynn Resorts authorized an equity repurchase program of up to $1.2 billion which may include purchases of both its common stock and its Debentures. On July 10, 2008, the Board of Directors authorized an increase of $500 million to the previously announced equity repurchase program bringing the total authorized to $1.7 billion. The repurchase program may include repurchases from time to time through open market purchases or negotiated transactions, depending upon market conditions. During the year ended December 31, 2008, the Company repurchased 10,915,633 shares for a net cost of $940.1 million. As of December 31, 2008, the Company had repurchased 12,804,954 shares of the Company’s common stock through open market purchases for a net cost of $1.1 billion, at an average cost of $87.42 per share.</w:t>
      </w:r>
    </w:p>
    <w:p>
      <w:pPr>
        <w:spacing w:after="0" w:line="259"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Secondary Offering</w:t>
      </w:r>
    </w:p>
    <w:p>
      <w:pPr>
        <w:spacing w:after="0" w:line="92" w:lineRule="exact"/>
        <w:rPr>
          <w:rFonts w:ascii="Times New Roman" w:cs="Times New Roman" w:eastAsia="Times New Roman" w:hAnsi="Times New Roman"/>
          <w:sz w:val="18"/>
          <w:szCs w:val="18"/>
          <w:b w:val="1"/>
          <w:bCs w:val="1"/>
          <w:color w:val="auto"/>
        </w:rPr>
      </w:pPr>
    </w:p>
    <w:p>
      <w:pPr>
        <w:ind w:left="460" w:right="900"/>
        <w:spacing w:after="0" w:line="4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On November 18, 2008, the Company completed a secondary common stock offering of 8,000,000 shares with net proceeds of $344.3 million. On October 3, 2007, the Company completed a secondary common stock offering of 4,312,500 shares with net proceeds of $664.1 million.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lowerLetter"/>
      <w:start w:val="2"/>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Roman"/>
      <w:start w:val="2"/>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4"/>
    </w:lvl>
  </w:abstractNum>
  <w:abstractNum w:abstractNumId="19">
    <w:nsid w:val="7C3DBD3D"/>
    <w:multiLevelType w:val="hybridMultilevel"/>
    <w:lvl w:ilvl="0">
      <w:lvlJc w:val="left"/>
      <w:lvlText w:val="%1."/>
      <w:numFmt w:val="decimal"/>
      <w:start w:val="5"/>
    </w:lvl>
  </w:abstractNum>
  <w:abstractNum w:abstractNumId="20">
    <w:nsid w:val="737B8DDC"/>
    <w:multiLevelType w:val="hybridMultilevel"/>
    <w:lvl w:ilvl="0">
      <w:lvlJc w:val="left"/>
      <w:lvlText w:val="%1."/>
      <w:numFmt w:val="decimal"/>
      <w:start w:val="6"/>
    </w:lvl>
  </w:abstractNum>
  <w:abstractNum w:abstractNumId="21">
    <w:nsid w:val="6CEAF087"/>
    <w:multiLevelType w:val="hybridMultilevel"/>
    <w:lvl w:ilvl="0">
      <w:lvlJc w:val="left"/>
      <w:lvlText w:val="(%1)"/>
      <w:numFmt w:val="lowerRoman"/>
      <w:start w:val="1"/>
    </w:lvl>
  </w:abstractNum>
  <w:abstractNum w:abstractNumId="22">
    <w:nsid w:val="22221A70"/>
    <w:multiLevelType w:val="hybridMultilevel"/>
    <w:lvl w:ilvl="0">
      <w:lvlJc w:val="left"/>
      <w:lvlText w:val="%1."/>
      <w:numFmt w:val="decimal"/>
      <w:start w:val="8"/>
    </w:lvl>
  </w:abstractNum>
  <w:abstractNum w:abstractNumId="23">
    <w:nsid w:val="4516DDE9"/>
    <w:multiLevelType w:val="hybridMultilevel"/>
    <w:lvl w:ilvl="0">
      <w:lvlJc w:val="left"/>
      <w:lvlText w:val="%1."/>
      <w:numFmt w:val="decimal"/>
      <w:start w:val="9"/>
    </w:lvl>
  </w:abstractNum>
  <w:abstractNum w:abstractNumId="24">
    <w:nsid w:val="3006C83E"/>
    <w:multiLevelType w:val="hybridMultilevel"/>
    <w:lvl w:ilvl="0">
      <w:lvlJc w:val="left"/>
      <w:lvlText w:val="%1."/>
      <w:numFmt w:val="decimal"/>
      <w:start w:val="10"/>
    </w:lvl>
  </w:abstractNum>
  <w:abstractNum w:abstractNumId="25">
    <w:nsid w:val="614FD4A1"/>
    <w:multiLevelType w:val="hybridMultilevel"/>
    <w:lvl w:ilvl="0">
      <w:lvlJc w:val="left"/>
      <w:lvlText w:val="%1."/>
      <w:numFmt w:val="decimal"/>
      <w:start w:val="11"/>
    </w:lvl>
  </w:abstractNum>
  <w:abstractNum w:abstractNumId="26">
    <w:nsid w:val="419AC241"/>
    <w:multiLevelType w:val="hybridMultilevel"/>
    <w:lvl w:ilvl="0">
      <w:lvlJc w:val="left"/>
      <w:lvlText w:val="%1."/>
      <w:numFmt w:val="decimal"/>
      <w:start w:val="12"/>
    </w:lvl>
  </w:abstractNum>
  <w:abstractNum w:abstractNumId="27">
    <w:nsid w:val="5577F8E1"/>
    <w:multiLevelType w:val="hybridMultilevel"/>
    <w:lvl w:ilvl="0">
      <w:lvlJc w:val="left"/>
      <w:lvlText w:val="%1."/>
      <w:numFmt w:val="decimal"/>
      <w:start w:val="13"/>
    </w:lvl>
  </w:abstractNum>
  <w:abstractNum w:abstractNumId="28">
    <w:nsid w:val="440BADFC"/>
    <w:multiLevelType w:val="hybridMultilevel"/>
    <w:lvl w:ilvl="0">
      <w:lvlJc w:val="left"/>
      <w:lvlText w:val="%1."/>
      <w:numFmt w:val="decimal"/>
      <w:start w:val="14"/>
    </w:lvl>
  </w:abstractNum>
  <w:abstractNum w:abstractNumId="29">
    <w:nsid w:val="5072367"/>
    <w:multiLevelType w:val="hybridMultilevel"/>
    <w:lvl w:ilvl="0">
      <w:lvlJc w:val="left"/>
      <w:lvlText w:val="%1."/>
      <w:numFmt w:val="decimal"/>
      <w:start w:val="15"/>
    </w:lvl>
  </w:abstractNum>
  <w:abstractNum w:abstractNumId="30">
    <w:nsid w:val="3804823E"/>
    <w:multiLevelType w:val="hybridMultilevel"/>
    <w:lvl w:ilvl="0">
      <w:lvlJc w:val="left"/>
      <w:lvlText w:val="%1."/>
      <w:numFmt w:val="decimal"/>
      <w:start w:val="16"/>
    </w:lvl>
  </w:abstractNum>
  <w:abstractNum w:abstractNumId="31">
    <w:nsid w:val="77465F01"/>
    <w:multiLevelType w:val="hybridMultilevel"/>
    <w:lvl w:ilvl="0">
      <w:lvlJc w:val="left"/>
      <w:lvlText w:val="%1."/>
      <w:numFmt w:val="decimal"/>
      <w:start w:val="17"/>
    </w:lvl>
  </w:abstractNum>
  <w:abstractNum w:abstractNumId="32">
    <w:nsid w:val="7724C67E"/>
    <w:multiLevelType w:val="hybridMultilevel"/>
    <w:lvl w:ilvl="0">
      <w:lvlJc w:val="left"/>
      <w:lvlText w:val="%1."/>
      <w:numFmt w:val="decimal"/>
      <w:start w:val="18"/>
    </w:lvl>
  </w:abstractNum>
  <w:abstractNum w:abstractNumId="33">
    <w:nsid w:val="5C482A97"/>
    <w:multiLevelType w:val="hybridMultilevel"/>
    <w:lvl w:ilvl="0">
      <w:lvlJc w:val="left"/>
      <w:lvlText w:val="%1."/>
      <w:numFmt w:val="decimal"/>
      <w:start w:val="19"/>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20"/>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3"/>
    </w:lvl>
  </w:abstractNum>
  <w:abstractNum w:abstractNumId="39">
    <w:nsid w:val="153EA438"/>
    <w:multiLevelType w:val="hybridMultilevel"/>
    <w:lvl w:ilvl="0">
      <w:lvlJc w:val="left"/>
      <w:lvlText w:val="%1."/>
      <w:numFmt w:val="decimal"/>
      <w:start w:val="4"/>
    </w:lvl>
  </w:abstractNum>
  <w:abstractNum w:abstractNumId="40">
    <w:nsid w:val="3855585C"/>
    <w:multiLevelType w:val="hybridMultilevel"/>
    <w:lvl w:ilvl="0">
      <w:lvlJc w:val="left"/>
      <w:lvlText w:val="%1."/>
      <w:numFmt w:val="decimal"/>
      <w:start w:val="5"/>
    </w:lvl>
  </w:abstractNum>
  <w:abstractNum w:abstractNumId="41">
    <w:nsid w:val="70A64E2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2019-12-15T07:26:40Z</dcterms:created>
  <dcterms:modified xsi:type="dcterms:W3CDTF">2019-12-15T07:26:40Z</dcterms:modified>
</cp:coreProperties>
</file>