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ind w:left="8180"/>
        <w:spacing w:after="0"/>
        <w:rPr>
          <w:sz w:val="20"/>
          <w:szCs w:val="20"/>
          <w:color w:val="auto"/>
        </w:rPr>
      </w:pPr>
      <w:r>
        <w:rPr>
          <w:rFonts w:ascii="Arial" w:cs="Arial" w:eastAsia="Arial" w:hAnsi="Arial"/>
          <w:sz w:val="15"/>
          <w:szCs w:val="15"/>
          <w:b w:val="1"/>
          <w:bCs w:val="1"/>
          <w:color w:val="auto"/>
        </w:rPr>
        <w:t>Registration Nos. 333-11064, 333-111064-01</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4"/>
          <w:szCs w:val="24"/>
          <w:color w:val="auto"/>
        </w:rPr>
      </w:pPr>
    </w:p>
    <w:p>
      <w:pPr>
        <w:ind w:right="24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beginning on January 15, 2004.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4"/>
          <w:szCs w:val="24"/>
          <w:color w:val="auto"/>
        </w:rPr>
      </w:pPr>
    </w:p>
    <w:p>
      <w:pPr>
        <w:ind w:right="80"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December 31, 2003, Wynn Resorts had $1.56 billion of senior indebtedness outstanding, including $1 billion available for borrowing under our credit facilities and $150.5 million available for borrowing under our FF&amp;E facility.</w:t>
      </w:r>
    </w:p>
    <w:p>
      <w:pPr>
        <w:spacing w:after="0" w:line="105" w:lineRule="exact"/>
        <w:rPr>
          <w:sz w:val="24"/>
          <w:szCs w:val="24"/>
          <w:color w:val="auto"/>
        </w:rPr>
      </w:pPr>
    </w:p>
    <w:p>
      <w:pPr>
        <w:ind w:right="10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March 22, 2004 was $34.47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42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4"/>
          <w:szCs w:val="24"/>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March 23,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200" w:type="dxa"/>
            <w:vAlign w:val="bottom"/>
            <w:gridSpan w:val="4"/>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THE OFFERING</w:t>
              </w:r>
            </w:hyperlink>
          </w:p>
        </w:tc>
        <w:tc>
          <w:tcPr>
            <w:tcW w:w="566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35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DESCRIPTION OF CAPITAL STOCK</w:t>
              </w:r>
            </w:hyperlink>
          </w:p>
        </w:tc>
        <w:tc>
          <w:tcPr>
            <w:tcW w:w="394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7"/>
          </w:tcPr>
          <w:p>
            <w:pPr>
              <w:spacing w:after="0"/>
              <w:rPr>
                <w:sz w:val="17"/>
                <w:szCs w:val="17"/>
                <w:color w:val="auto"/>
              </w:rPr>
            </w:pPr>
          </w:p>
        </w:tc>
        <w:tc>
          <w:tcPr>
            <w:tcW w:w="22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4920" w:type="dxa"/>
            <w:vAlign w:val="bottom"/>
            <w:gridSpan w:val="10"/>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5500" w:type="dxa"/>
            <w:vAlign w:val="bottom"/>
            <w:gridSpan w:val="1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April 14, 2004 (which due date may be extended). We will invest additional capital in the Wynn Macau Companies as part of the financing of the Macau opportunity. We have additional capital available from a portion of the net proceeds we received from our initial public offering (including as a result of the exercise of the overallotment option in connection therewith) and the net proceeds of our original issuance of the debentures.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first or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July 15,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 beginning January 15, 2004.</w:t>
      </w:r>
    </w:p>
    <w:p>
      <w:pPr>
        <w:spacing w:after="0" w:line="18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90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otherwise secured.</w:t>
            </w:r>
          </w:p>
        </w:tc>
      </w:tr>
      <w:tr>
        <w:trPr>
          <w:trHeight w:val="42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“Description of the Debentures—Security”) obligation and will rank:</w:t>
            </w:r>
          </w:p>
        </w:tc>
      </w:tr>
      <w:tr>
        <w:trPr>
          <w:trHeight w:val="318"/>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including its guarantees of $1.56 billion principal amount of secured indebtedness of the Wynn</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Las Vegas entities;</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r>
      <w:tr>
        <w:trPr>
          <w:trHeight w:val="318"/>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At December 31, 2003, we had approximately $1.81 billion of indebtedness outstanding, of which</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$1.56 billion would have been senior indebtedness, including $1 billion available for borrowing</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5"/>
              </w:rPr>
              <w:t>under our credit facilities and $150.5 million available for borrowing under our FF&amp;E facility.</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7"/>
              </w:rPr>
              <w:t>Other than the Guarantee, at the parent level, we do not currently have any secured indebtedness.</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1960" w:type="dxa"/>
            <w:vAlign w:val="bottom"/>
          </w:tcPr>
          <w:p>
            <w:pPr>
              <w:ind w:left="1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Debentures at Our Option</w:t>
      </w:r>
    </w:p>
    <w:p>
      <w:pPr>
        <w:ind w:left="3960" w:right="40"/>
        <w:spacing w:after="0" w:line="287" w:lineRule="auto"/>
        <w:rPr>
          <w:sz w:val="20"/>
          <w:szCs w:val="20"/>
          <w:color w:val="auto"/>
        </w:rPr>
      </w:pPr>
      <w:r>
        <w:rPr>
          <w:rFonts w:ascii="Arial" w:cs="Arial" w:eastAsia="Arial" w:hAnsi="Arial"/>
          <w:sz w:val="16"/>
          <w:szCs w:val="16"/>
          <w:color w:val="auto"/>
        </w:rPr>
        <w:t>We may redeem all or a portion of the debentures at any time on or after July 20, 2007 at the redemption 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The Nevada State Gaming Control Board Chairman has issued an administrative ruling that it was not necessary for us to submit an application for prior approval of the registration of the debentures, the Guarantee and shares of our common stock.</w:t>
      </w:r>
    </w:p>
    <w:p>
      <w:pPr>
        <w:spacing w:after="0" w:line="17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ind w:left="390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 be exchanged for certificated securities, except in limited circumstances. See “Description of the Debentures—Book-Entry System.”</w:t>
      </w:r>
    </w:p>
    <w:p>
      <w:pPr>
        <w:spacing w:after="0" w:line="107"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20" w:type="dxa"/>
            <w:vAlign w:val="bottom"/>
          </w:tcPr>
          <w:p>
            <w:pPr>
              <w:ind w:left="50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89"/>
              </w:rPr>
              <w:t>resold pursuant to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20" w:type="dxa"/>
            <w:vAlign w:val="bottom"/>
            <w:vMerge w:val="restart"/>
          </w:tcPr>
          <w:p>
            <w:pPr>
              <w:ind w:left="50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20" w:type="dxa"/>
            <w:vAlign w:val="bottom"/>
          </w:tcPr>
          <w:p>
            <w:pPr>
              <w:ind w:left="500"/>
              <w:spacing w:after="0"/>
              <w:rPr>
                <w:sz w:val="20"/>
                <w:szCs w:val="20"/>
                <w:color w:val="auto"/>
              </w:rPr>
            </w:pPr>
            <w:r>
              <w:rPr>
                <w:rFonts w:ascii="Arial" w:cs="Arial" w:eastAsia="Arial" w:hAnsi="Arial"/>
                <w:sz w:val="18"/>
                <w:szCs w:val="18"/>
                <w:color w:val="auto"/>
                <w:w w:val="90"/>
              </w:rPr>
              <w:t>See “Risk Factors” and other information included in, and incorporated by reference into, this prospectus</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for a discussion of factors you should carefully 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20" w:type="dxa"/>
            <w:vAlign w:val="bottom"/>
          </w:tcPr>
          <w:p>
            <w:pPr>
              <w:ind w:left="22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into this prospectus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While approximately $328.7 million in unrestricted cash was available at the holding company level as of December 31, 2003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 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debentures are unsecured and subordinated in right of payment to all of our existing and future senior indebtedness, including our guarantees of $1.56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due on, 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December 31, 2003, our subsidiaries had approximately </w:t>
      </w:r>
      <w:r>
        <w:rPr>
          <w:rFonts w:ascii="Arial" w:cs="Arial" w:eastAsia="Arial" w:hAnsi="Arial"/>
          <w:sz w:val="16"/>
          <w:szCs w:val="16"/>
          <w:b w:val="1"/>
          <w:bCs w:val="1"/>
          <w:color w:val="auto"/>
        </w:rPr>
        <w:t>$</w:t>
      </w:r>
      <w:r>
        <w:rPr>
          <w:rFonts w:ascii="Arial" w:cs="Arial" w:eastAsia="Arial" w:hAnsi="Arial"/>
          <w:sz w:val="16"/>
          <w:szCs w:val="16"/>
          <w:color w:val="auto"/>
        </w:rPr>
        <w:t>472.1 million of outstanding liabilities and had assets constituting 80.5% of our consolidated assets.</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2003, the debentures are effectively subordinated to approximately $1.56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not restricted under the terms of the indenture governing the debentures from incurring additional indebtedness, including senior indebtedness. In addition, the limited covenants applicable to the debentures do 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46" w:lineRule="exact"/>
        <w:rPr>
          <w:sz w:val="20"/>
          <w:szCs w:val="20"/>
          <w:color w:val="auto"/>
        </w:rPr>
      </w:pPr>
    </w:p>
    <w:p>
      <w:pPr>
        <w:ind w:left="800" w:right="2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cost;</w:t>
      </w:r>
    </w:p>
    <w:p>
      <w:pPr>
        <w:spacing w:after="0" w:line="76" w:lineRule="exact"/>
        <w:rPr>
          <w:rFonts w:ascii="Arial" w:cs="Arial" w:eastAsia="Arial" w:hAnsi="Arial"/>
          <w:sz w:val="18"/>
          <w:szCs w:val="18"/>
          <w:color w:val="auto"/>
        </w:rPr>
      </w:pPr>
    </w:p>
    <w:p>
      <w:pPr>
        <w:ind w:left="1260" w:right="380" w:hanging="455"/>
        <w:spacing w:after="0" w:line="332"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w:t>
      </w:r>
    </w:p>
    <w:p>
      <w:pPr>
        <w:spacing w:after="0" w:line="114"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trading price of the debentures. Holders who receive common stock upon conversion also will be subject to the risk of volatility and depressed prices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 or continue.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debentures were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continue or that holders will be able to sell their debentures at prices they desire.</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Société des Bains de Mer et du Cercle des Etrangers à Monaco, a société anonyme Monegasque organized under the laws of the Principality of Monaco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December 31, 2003, we had outstanding approximately 43,000,000 such “restricted” shares of common stock, approximately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we have granted our Chairman and Chief Executive Officer, Stephen A. Wynn, demand and piggyback registration rights with respect to any shares of our common stock he purchases from Aruze USA. 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20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Fixed charges include interest expense and a portion of rental expense deemed a reasonable approximation of the interest factor.</w:t>
      </w:r>
    </w:p>
    <w:p>
      <w:pPr>
        <w:spacing w:after="0" w:line="12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commencing on January 15, 2004.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71" w:lineRule="exact"/>
        <w:rPr>
          <w:sz w:val="20"/>
          <w:szCs w:val="20"/>
          <w:color w:val="auto"/>
        </w:rPr>
      </w:pPr>
    </w:p>
    <w:p>
      <w:pPr>
        <w:ind w:right="68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4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to the extent described above under “—Security,” the debentures are subordinated, unsecured obligations of Wynn Resorts and are junior in right of payment to all existing and future senior debt of Wynn Resorts, including its guarantees of $1.56 billion principal amount of our subsidiaries’ secured indebtedness. The debentures rank equally with all existing and future subordinated indebtedness of Wynn Resorts. See “—Subordination of Debentures.” In addition, the debentures are effectively subordinated to our subsidiaries’ indebtedness and liabilities, including trade payables. As of December 31, 2003, our subsidiaries had approximately $1.78 billion of total indebtedness and liabilities to which the debentures were effectively subordinated. As of December 31, 2003, we and our subsidiaries had $1.81 billion of total indebtedness outstanding, including $1 billion available for borrowing under our subsidiaries’ credit facilities and $150.5 million available for borrowing under our subsidiaries’ FF&amp;E facility. See “Capitalization.” The debentures do not contain any limitation on the amount of indebtedness ranking senior to or on a parity with the indebtedness evidenced by the debentures that we may hereafter incur.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4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been informed that DTC’s practice is to credit participants’ accounts on that payment date with payments in amounts proportionate to their respective beneficial interests in the principal amount of the relevant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 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24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principal amounts of the debentures provided in the table below is based on information provided to us by each of the selling securityholders as of March 15, 2004, and the percentages are based on $250,000,000 principal amount at maturity of debentures outstanding. The number of shares of common stock that may be sold is calculated based on the current conversion price of $23.00 per share.</w:t>
      </w:r>
    </w:p>
    <w:p>
      <w:pPr>
        <w:spacing w:after="0" w:line="9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amendments to the registration statement or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3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Principal</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Amount at</w:t>
            </w: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Maturity of</w:t>
            </w: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Offered</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1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May Be</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80" w:type="dxa"/>
            <w:vAlign w:val="bottom"/>
            <w:gridSpan w:val="3"/>
          </w:tcPr>
          <w:p>
            <w:pPr>
              <w:ind w:left="260"/>
              <w:spacing w:after="0"/>
              <w:rPr>
                <w:sz w:val="20"/>
                <w:szCs w:val="20"/>
                <w:color w:val="auto"/>
              </w:rPr>
            </w:pPr>
            <w:r>
              <w:rPr>
                <w:rFonts w:ascii="Arial" w:cs="Arial" w:eastAsia="Arial" w:hAnsi="Arial"/>
                <w:sz w:val="14"/>
                <w:szCs w:val="14"/>
                <w:b w:val="1"/>
                <w:bCs w:val="1"/>
                <w:color w:val="auto"/>
              </w:rPr>
              <w:t>Name of Selling Security Holder</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Owned</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Hereby</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Owned(1)(2)</w:t>
            </w: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Sold(1)(2)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369,564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Arbitex Master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26,086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13,043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BAMCO, Inc., on behalf of its investment advisory clients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9,555,087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1,391,302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c/o Forest Investment 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6,521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18,739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BP Amoco PLC Master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848,000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36,869</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260,869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356,521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43,478</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426,000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426,000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18,521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18,521</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DBAG—LONDON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565,216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10,790,000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10,790,000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469,129</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469,129</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Durango Investments,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217,391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Equitec Group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43,478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43,478</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937,000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40,739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2,475,000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2,475,000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107,608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Forest Multi-Strategy Master Fund SPC, on behalf of its Multi-</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Strategy Segregated Portfolio</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750,000</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4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32,608</w:t>
            </w: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GLG Global Convertible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141,304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GLG Market Neutral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434,782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173,912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Highbridge International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14,391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LLT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2,025,000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2,025,000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Marsico Capital Management, LLC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5,534,215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Morgan Stanley Convertible Securities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203,260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203,260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28,695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28,695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Nisswa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86,956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OIP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78,260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78,260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608,694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608,694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w w:val="99"/>
              </w:rPr>
              <w:t>RBC Alternative Assets LP c/o Forest Investment Management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4,217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9,782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Silvercreek II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83,912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83,912</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178,695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178,695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3,565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3,565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13,217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w w:val="96"/>
              </w:rPr>
              <w:t>Sphinx Convertible Arbitrage SPC c/o Forest Investment Management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113,000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4,913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4,913</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23,043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878,000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878,000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Sturgeon Limited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2,652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1,086,955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1,086,955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Tempo Master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347,825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347,825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Tribeca Investments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16,500,000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717,390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717,390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Univest Convertible Arbitrage Fund c/o Forest Investment</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Management LLC</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53,000</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53,000</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2,304</w:t>
            </w: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2,304</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8,695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Xavex Convertible Arbitrage 4 Fund c/o Forest Investment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6,521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Zurich Institutional Benchmarks Master Fund Ltd. c/o Forest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Investment 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225,000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225,000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9,782</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9,782</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2,080,000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90,434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90,434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w w:val="94"/>
              </w:rPr>
              <w:t>All other holders of debentures or future transferees, pledgees, donees,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gridSpan w:val="4"/>
          </w:tcPr>
          <w:p>
            <w:pPr>
              <w:ind w:left="60"/>
              <w:spacing w:after="0"/>
              <w:rPr>
                <w:sz w:val="20"/>
                <w:szCs w:val="20"/>
                <w:color w:val="auto"/>
              </w:rPr>
            </w:pPr>
            <w:r>
              <w:rPr>
                <w:rFonts w:ascii="Arial" w:cs="Arial" w:eastAsia="Arial" w:hAnsi="Arial"/>
                <w:sz w:val="14"/>
                <w:szCs w:val="14"/>
                <w:color w:val="auto"/>
              </w:rPr>
              <w:t>assignees, or successors of any such holders(2)(4)</w:t>
            </w:r>
          </w:p>
        </w:tc>
        <w:tc>
          <w:tcPr>
            <w:tcW w:w="780" w:type="dxa"/>
            <w:vAlign w:val="bottom"/>
          </w:tcPr>
          <w:p>
            <w:pPr>
              <w:jc w:val="right"/>
              <w:spacing w:after="0"/>
              <w:rPr>
                <w:sz w:val="20"/>
                <w:szCs w:val="20"/>
                <w:color w:val="auto"/>
              </w:rPr>
            </w:pPr>
            <w:r>
              <w:rPr>
                <w:rFonts w:ascii="Arial" w:cs="Arial" w:eastAsia="Arial" w:hAnsi="Arial"/>
                <w:sz w:val="14"/>
                <w:szCs w:val="14"/>
                <w:color w:val="auto"/>
              </w:rPr>
              <w:t>1,155,000</w:t>
            </w:r>
          </w:p>
        </w:tc>
        <w:tc>
          <w:tcPr>
            <w:tcW w:w="5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1,155,000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4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50,217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50,217</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$ 250,000,000(5)</w:t>
            </w:r>
          </w:p>
        </w:tc>
        <w:tc>
          <w:tcPr>
            <w:tcW w:w="13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$ 250,000,000(5)</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23,697,986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7"/>
              </w:rPr>
              <w:t>10,869,550(6)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11.68(7)</w:t>
            </w:r>
          </w:p>
        </w:tc>
        <w:tc>
          <w:tcPr>
            <w:tcW w:w="0" w:type="dxa"/>
            <w:vAlign w:val="bottom"/>
          </w:tcPr>
          <w:p>
            <w:pPr>
              <w:spacing w:after="0"/>
              <w:rPr>
                <w:sz w:val="1"/>
                <w:szCs w:val="1"/>
                <w:color w:val="auto"/>
              </w:rPr>
            </w:pPr>
          </w:p>
        </w:tc>
      </w:tr>
      <w:tr>
        <w:trPr>
          <w:trHeight w:val="132"/>
        </w:trPr>
        <w:tc>
          <w:tcPr>
            <w:tcW w:w="16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3040" w:type="dxa"/>
            <w:vAlign w:val="bottom"/>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04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060" w:type="dxa"/>
            <w:vAlign w:val="bottom"/>
            <w:gridSpan w:val="4"/>
          </w:tcPr>
          <w:p>
            <w:pPr>
              <w:ind w:left="180"/>
              <w:spacing w:after="0"/>
              <w:rPr>
                <w:sz w:val="20"/>
                <w:szCs w:val="20"/>
                <w:color w:val="auto"/>
              </w:rPr>
            </w:pPr>
            <w:r>
              <w:rPr>
                <w:rFonts w:ascii="Arial" w:cs="Arial" w:eastAsia="Arial" w:hAnsi="Arial"/>
                <w:sz w:val="14"/>
                <w:szCs w:val="14"/>
                <w:color w:val="auto"/>
              </w:rPr>
              <w:t>Represents less than 0.1% of the Debentures outstanding.</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5"/>
          </w:tcPr>
          <w:p>
            <w:pPr>
              <w:ind w:left="20"/>
              <w:spacing w:after="0"/>
              <w:rPr>
                <w:sz w:val="20"/>
                <w:szCs w:val="20"/>
                <w:color w:val="auto"/>
              </w:rPr>
            </w:pPr>
            <w:r>
              <w:rPr>
                <w:rFonts w:ascii="Arial" w:cs="Arial" w:eastAsia="Arial" w:hAnsi="Arial"/>
                <w:sz w:val="14"/>
                <w:szCs w:val="14"/>
                <w:color w:val="auto"/>
              </w:rPr>
              <w:t>**   Represents less than 0.01%.</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-438150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-438150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-438150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-438150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-438150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-438150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-438150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-438150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-438150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-438150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-438150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-438150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-438150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-438150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27"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ind w:left="340" w:right="300" w:hanging="332"/>
        <w:spacing w:after="0" w:line="25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82,168,484 common shares outstanding as of March 5, 2004. In calculating this amount for each holder, we treated as outstanding the number of shares of common stock issuable upon conversion of all that holder’s debentures, but we did not assume conversion of any other holder’s debentures.</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Information about other selling shareholders will be set forth in prospectus supplements, if required.</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$6,250,000 aggregate principal amount of debentures previously sold pursuant to this prospectus.</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number of shares of common stock into which $250,000,000 of debentures would be convertible at the conversion rate described in footnote (1) above.</w:t>
      </w:r>
    </w:p>
    <w:p>
      <w:pPr>
        <w:ind w:left="340" w:right="320" w:hanging="332"/>
        <w:spacing w:after="0" w:line="23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amount that the selling securityholders may sell under this prospectus divided by the sum of the common stock outstanding as of March 5, 2004, plus the 10,869,550 shares of common stock into which the $250,000,000 debentures are convertible.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Annual Report on Form 10-K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2)"/>
      <w:numFmt w:val="decimal"/>
      <w:start w:val="1"/>
    </w:lvl>
  </w:abstractNum>
  <w:abstractNum w:abstractNumId="18">
    <w:nsid w:val="7C3DBD3D"/>
    <w:multiLevelType w:val="hybridMultilevel"/>
    <w:lvl w:ilvl="0">
      <w:lvlJc w:val="left"/>
      <w:lvlText w:val="•"/>
      <w:numFmt w:val="bullet"/>
      <w:start w:val="1"/>
    </w:lvl>
    <w:lvl w:ilvl="1">
      <w:lvlJc w:val="left"/>
      <w:lvlText w:val="(%2)"/>
      <w:numFmt w:val="decimal"/>
      <w:start w:val="2"/>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lvl w:ilvl="1">
      <w:lvlJc w:val="left"/>
      <w:lvlText w:val="(%2)"/>
      <w:numFmt w:val="lowerLetter"/>
      <w:start w:val="1"/>
    </w:lvl>
  </w:abstractNum>
  <w:abstractNum w:abstractNumId="21">
    <w:nsid w:val="22221A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4516D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4"/>
    </w:lvl>
    <w:lvl w:ilvl="1">
      <w:lvlJc w:val="left"/>
      <w:lvlText w:val="(%2)"/>
      <w:numFmt w:val="lowerLetter"/>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9"/>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lowerRoman"/>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2019-12-15T05:47:30Z</dcterms:created>
  <dcterms:modified xsi:type="dcterms:W3CDTF">2019-12-15T05:47:30Z</dcterms:modified>
</cp:coreProperties>
</file>