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07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40"/>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GOLDSMITH RUSSELL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8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WYNN RESORTS,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3131 LAS VEGAS BOULEVARD SOUTH</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LAS VEGAS</w:t>
            </w:r>
          </w:p>
        </w:tc>
        <w:tc>
          <w:tcPr>
            <w:tcW w:w="760" w:type="dxa"/>
            <w:vAlign w:val="bottom"/>
          </w:tcPr>
          <w:p>
            <w:pPr>
              <w:ind w:left="60"/>
              <w:spacing w:after="0"/>
              <w:rPr>
                <w:sz w:val="20"/>
                <w:szCs w:val="20"/>
                <w:color w:val="auto"/>
              </w:rPr>
            </w:pPr>
            <w:r>
              <w:rPr>
                <w:rFonts w:ascii="Arial" w:cs="Arial" w:eastAsia="Arial" w:hAnsi="Arial"/>
                <w:sz w:val="18"/>
                <w:szCs w:val="18"/>
                <w:color w:val="0000FF"/>
              </w:rPr>
              <w:t>NV</w:t>
            </w:r>
          </w:p>
        </w:tc>
        <w:tc>
          <w:tcPr>
            <w:tcW w:w="1420" w:type="dxa"/>
            <w:vAlign w:val="bottom"/>
          </w:tcPr>
          <w:p>
            <w:pPr>
              <w:ind w:left="380"/>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000" w:type="dxa"/>
            <w:vAlign w:val="bottom"/>
          </w:tcPr>
          <w:p>
            <w:pPr>
              <w:ind w:left="10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0" w:type="dxa"/>
            <w:vAlign w:val="bottom"/>
          </w:tcPr>
          <w:p>
            <w:pPr>
              <w:ind w:left="10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6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60" w:type="dxa"/>
            <w:vAlign w:val="bottom"/>
          </w:tcPr>
          <w:p>
            <w:pPr>
              <w:ind w:left="60"/>
              <w:spacing w:after="0"/>
              <w:rPr>
                <w:sz w:val="20"/>
                <w:szCs w:val="20"/>
                <w:color w:val="auto"/>
              </w:rPr>
            </w:pPr>
            <w:r>
              <w:rPr>
                <w:rFonts w:ascii="Arial" w:cs="Arial" w:eastAsia="Arial" w:hAnsi="Arial"/>
                <w:sz w:val="18"/>
                <w:szCs w:val="18"/>
                <w:color w:val="0000FF"/>
              </w:rPr>
              <w:t>Common Stock, par value $0.01 per share</w:t>
            </w:r>
          </w:p>
        </w:tc>
        <w:tc>
          <w:tcPr>
            <w:tcW w:w="3000" w:type="dxa"/>
            <w:vAlign w:val="bottom"/>
          </w:tcPr>
          <w:p>
            <w:pPr>
              <w:jc w:val="center"/>
              <w:ind w:left="997"/>
              <w:spacing w:after="0"/>
              <w:rPr>
                <w:sz w:val="20"/>
                <w:szCs w:val="20"/>
                <w:color w:val="auto"/>
              </w:rPr>
            </w:pPr>
            <w:r>
              <w:rPr>
                <w:rFonts w:ascii="Arial" w:cs="Arial" w:eastAsia="Arial" w:hAnsi="Arial"/>
                <w:sz w:val="18"/>
                <w:szCs w:val="18"/>
                <w:color w:val="0000FF"/>
                <w:w w:val="88"/>
              </w:rPr>
              <w:t>5,700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Russell Goldsmith Trust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6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60" w:type="dxa"/>
            <w:vAlign w:val="bottom"/>
          </w:tcPr>
          <w:p>
            <w:pPr>
              <w:ind w:left="60"/>
              <w:spacing w:after="0"/>
              <w:rPr>
                <w:sz w:val="20"/>
                <w:szCs w:val="20"/>
                <w:color w:val="auto"/>
              </w:rPr>
            </w:pPr>
            <w:r>
              <w:rPr>
                <w:rFonts w:ascii="Arial" w:cs="Arial" w:eastAsia="Arial" w:hAnsi="Arial"/>
                <w:sz w:val="18"/>
                <w:szCs w:val="18"/>
                <w:color w:val="0000FF"/>
              </w:rPr>
              <w:t>Common Stock, par value $0.01 per share</w:t>
            </w:r>
          </w:p>
        </w:tc>
        <w:tc>
          <w:tcPr>
            <w:tcW w:w="3000" w:type="dxa"/>
            <w:vAlign w:val="bottom"/>
          </w:tcPr>
          <w:p>
            <w:pPr>
              <w:jc w:val="center"/>
              <w:ind w:left="997"/>
              <w:spacing w:after="0"/>
              <w:rPr>
                <w:sz w:val="20"/>
                <w:szCs w:val="20"/>
                <w:color w:val="auto"/>
              </w:rPr>
            </w:pPr>
            <w:r>
              <w:rPr>
                <w:rFonts w:ascii="Arial" w:cs="Arial" w:eastAsia="Arial" w:hAnsi="Arial"/>
                <w:sz w:val="18"/>
                <w:szCs w:val="18"/>
                <w:color w:val="0000FF"/>
                <w:w w:val="88"/>
              </w:rPr>
              <w:t>1,500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California Quintet LLC</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6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60" w:type="dxa"/>
            <w:vAlign w:val="bottom"/>
            <w:vMerge w:val="restart"/>
          </w:tcPr>
          <w:p>
            <w:pPr>
              <w:ind w:left="60"/>
              <w:spacing w:after="0"/>
              <w:rPr>
                <w:sz w:val="20"/>
                <w:szCs w:val="20"/>
                <w:color w:val="auto"/>
              </w:rPr>
            </w:pPr>
            <w:r>
              <w:rPr>
                <w:rFonts w:ascii="Arial" w:cs="Arial" w:eastAsia="Arial" w:hAnsi="Arial"/>
                <w:sz w:val="18"/>
                <w:szCs w:val="18"/>
                <w:color w:val="0000FF"/>
              </w:rPr>
              <w:t>Common Stock, par value $0.01 per share</w:t>
            </w:r>
          </w:p>
        </w:tc>
        <w:tc>
          <w:tcPr>
            <w:tcW w:w="3000" w:type="dxa"/>
            <w:vAlign w:val="bottom"/>
            <w:vMerge w:val="restart"/>
          </w:tcPr>
          <w:p>
            <w:pPr>
              <w:jc w:val="center"/>
              <w:ind w:left="997"/>
              <w:spacing w:after="0"/>
              <w:rPr>
                <w:sz w:val="20"/>
                <w:szCs w:val="20"/>
                <w:color w:val="auto"/>
              </w:rPr>
            </w:pPr>
            <w:r>
              <w:rPr>
                <w:rFonts w:ascii="Arial" w:cs="Arial" w:eastAsia="Arial" w:hAnsi="Arial"/>
                <w:sz w:val="18"/>
                <w:szCs w:val="18"/>
                <w:color w:val="0000FF"/>
                <w:w w:val="88"/>
              </w:rPr>
              <w:t>1,000</w:t>
            </w:r>
          </w:p>
        </w:tc>
        <w:tc>
          <w:tcPr>
            <w:tcW w:w="13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w w:val="96"/>
              </w:rPr>
              <w:t>By Nevada Productions, Inc. Pension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3000" w:type="dxa"/>
            <w:vAlign w:val="bottom"/>
            <w:vMerge w:val="restart"/>
          </w:tcPr>
          <w:p>
            <w:pPr>
              <w:ind w:left="120"/>
              <w:spacing w:after="0"/>
              <w:rPr>
                <w:sz w:val="20"/>
                <w:szCs w:val="20"/>
                <w:color w:val="auto"/>
              </w:rPr>
            </w:pPr>
            <w:r>
              <w:rPr>
                <w:rFonts w:ascii="Arial" w:cs="Arial" w:eastAsia="Arial" w:hAnsi="Arial"/>
                <w:sz w:val="18"/>
                <w:szCs w:val="18"/>
                <w:color w:val="0000FF"/>
              </w:rPr>
              <w:t>Plan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6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$0.01 per share</w:t>
            </w:r>
          </w:p>
        </w:tc>
        <w:tc>
          <w:tcPr>
            <w:tcW w:w="3000" w:type="dxa"/>
            <w:vAlign w:val="bottom"/>
            <w:tcBorders>
              <w:bottom w:val="single" w:sz="8" w:color="2C2C2C"/>
            </w:tcBorders>
          </w:tcPr>
          <w:p>
            <w:pPr>
              <w:jc w:val="center"/>
              <w:ind w:left="997"/>
              <w:spacing w:after="0"/>
              <w:rPr>
                <w:sz w:val="20"/>
                <w:szCs w:val="20"/>
                <w:color w:val="auto"/>
              </w:rPr>
            </w:pPr>
            <w:r>
              <w:rPr>
                <w:rFonts w:ascii="Arial" w:cs="Arial" w:eastAsia="Arial" w:hAnsi="Arial"/>
                <w:sz w:val="18"/>
                <w:szCs w:val="18"/>
                <w:color w:val="0000FF"/>
                <w:w w:val="93"/>
              </w:rPr>
              <w:t>300</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Via trust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$0.01 per share</w:t>
            </w:r>
          </w:p>
        </w:tc>
        <w:tc>
          <w:tcPr>
            <w:tcW w:w="3000" w:type="dxa"/>
            <w:vAlign w:val="bottom"/>
            <w:tcBorders>
              <w:bottom w:val="single" w:sz="8" w:color="2C2C2C"/>
            </w:tcBorders>
          </w:tcPr>
          <w:p>
            <w:pPr>
              <w:jc w:val="center"/>
              <w:ind w:left="997"/>
              <w:spacing w:after="0"/>
              <w:rPr>
                <w:sz w:val="20"/>
                <w:szCs w:val="20"/>
                <w:color w:val="auto"/>
              </w:rPr>
            </w:pPr>
            <w:r>
              <w:rPr>
                <w:rFonts w:ascii="Arial" w:cs="Arial" w:eastAsia="Arial" w:hAnsi="Arial"/>
                <w:sz w:val="18"/>
                <w:szCs w:val="18"/>
                <w:color w:val="0000FF"/>
                <w:w w:val="93"/>
              </w:rPr>
              <w:t>500</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Via trust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4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$0.01 per share</w:t>
            </w:r>
          </w:p>
        </w:tc>
        <w:tc>
          <w:tcPr>
            <w:tcW w:w="3000" w:type="dxa"/>
            <w:vAlign w:val="bottom"/>
            <w:tcBorders>
              <w:bottom w:val="single" w:sz="8" w:color="2C2C2C"/>
            </w:tcBorders>
          </w:tcPr>
          <w:p>
            <w:pPr>
              <w:jc w:val="center"/>
              <w:ind w:left="997"/>
              <w:spacing w:after="0"/>
              <w:rPr>
                <w:sz w:val="20"/>
                <w:szCs w:val="20"/>
                <w:color w:val="auto"/>
              </w:rPr>
            </w:pPr>
            <w:r>
              <w:rPr>
                <w:rFonts w:ascii="Arial" w:cs="Arial" w:eastAsia="Arial" w:hAnsi="Arial"/>
                <w:sz w:val="18"/>
                <w:szCs w:val="18"/>
                <w:color w:val="0000FF"/>
                <w:w w:val="93"/>
              </w:rPr>
              <w:t>500</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Via trust</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06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5"/>
          </w:tcPr>
          <w:p>
            <w:pPr>
              <w:ind w:left="40"/>
              <w:spacing w:after="0"/>
              <w:rPr>
                <w:sz w:val="20"/>
                <w:szCs w:val="20"/>
                <w:color w:val="auto"/>
              </w:rPr>
            </w:pPr>
            <w:r>
              <w:rPr>
                <w:rFonts w:ascii="Arial" w:cs="Arial" w:eastAsia="Arial" w:hAnsi="Arial"/>
                <w:sz w:val="14"/>
                <w:szCs w:val="14"/>
                <w:color w:val="008000"/>
                <w:w w:val="92"/>
              </w:rPr>
              <w:t>1. Shares are held in a trust for which Mr. Goldsmith is trustee and certain members of Mr. Goldsmith's immediate family are beneficiaries.</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8"/>
              </w:rPr>
              <w:t>/s/ Kevin Tourek, as attorney-</w:t>
            </w:r>
          </w:p>
        </w:tc>
        <w:tc>
          <w:tcPr>
            <w:tcW w:w="246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06/02/2008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2"/>
              </w:rPr>
              <w:t>in-fact for Russell Goldsmith</w:t>
            </w:r>
          </w:p>
        </w:tc>
        <w:tc>
          <w:tcPr>
            <w:tcW w:w="2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3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29th day of May,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Russell Goldsmith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7188"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2019-12-24T02:22:11Z</dcterms:created>
  <dcterms:modified xsi:type="dcterms:W3CDTF">2019-12-24T02:22:11Z</dcterms:modified>
</cp:coreProperties>
</file>