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11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Wynn Resorts,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11 Pages</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620" w:type="dxa"/>
            <w:vAlign w:val="bottom"/>
          </w:tcPr>
          <w:p>
            <w:pPr>
              <w:spacing w:after="0"/>
              <w:rPr>
                <w:sz w:val="17"/>
                <w:szCs w:val="17"/>
                <w:color w:val="auto"/>
              </w:rPr>
            </w:pPr>
          </w:p>
        </w:tc>
        <w:tc>
          <w:tcPr>
            <w:tcW w:w="6120" w:type="dxa"/>
            <w:vAlign w:val="bottom"/>
          </w:tcPr>
          <w:p>
            <w:pPr>
              <w:jc w:val="right"/>
              <w:ind w:right="4872"/>
              <w:spacing w:after="0" w:line="203" w:lineRule="exact"/>
              <w:rPr>
                <w:sz w:val="20"/>
                <w:szCs w:val="20"/>
                <w:color w:val="auto"/>
              </w:rPr>
            </w:pPr>
            <w:r>
              <w:rPr>
                <w:rFonts w:ascii="Courier New" w:cs="Courier New" w:eastAsia="Courier New" w:hAnsi="Courier New"/>
                <w:sz w:val="18"/>
                <w:szCs w:val="18"/>
                <w:color w:val="auto"/>
              </w:rPr>
              <w:t>115,000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20" w:type="dxa"/>
            <w:vAlign w:val="bottom"/>
          </w:tcPr>
          <w:p>
            <w:pPr>
              <w:spacing w:after="0"/>
              <w:rPr>
                <w:sz w:val="17"/>
                <w:szCs w:val="17"/>
                <w:color w:val="auto"/>
              </w:rPr>
            </w:pPr>
          </w:p>
        </w:tc>
        <w:tc>
          <w:tcPr>
            <w:tcW w:w="6120" w:type="dxa"/>
            <w:vAlign w:val="bottom"/>
          </w:tcPr>
          <w:p>
            <w:pPr>
              <w:jc w:val="right"/>
              <w:ind w:right="5072"/>
              <w:spacing w:after="0" w:line="203" w:lineRule="exact"/>
              <w:rPr>
                <w:sz w:val="20"/>
                <w:szCs w:val="20"/>
                <w:color w:val="auto"/>
              </w:rPr>
            </w:pPr>
            <w:r>
              <w:rPr>
                <w:rFonts w:ascii="Courier New" w:cs="Courier New" w:eastAsia="Courier New" w:hAnsi="Courier New"/>
                <w:sz w:val="18"/>
                <w:szCs w:val="18"/>
                <w:color w:val="auto"/>
                <w:w w:val="96"/>
              </w:rPr>
              <w:t>7,654,689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20" w:type="dxa"/>
            <w:vAlign w:val="bottom"/>
          </w:tcPr>
          <w:p>
            <w:pPr>
              <w:spacing w:after="0"/>
              <w:rPr>
                <w:sz w:val="17"/>
                <w:szCs w:val="17"/>
                <w:color w:val="auto"/>
              </w:rPr>
            </w:pPr>
          </w:p>
        </w:tc>
        <w:tc>
          <w:tcPr>
            <w:tcW w:w="612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115,000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12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7,894,489</w:t>
            </w:r>
          </w:p>
        </w:tc>
      </w:tr>
    </w:tbl>
    <w:p>
      <w:pPr>
        <w:sectPr>
          <w:pgSz w:w="11900" w:h="16838" w:orient="portrait"/>
          <w:cols w:equalWidth="0" w:num="1">
            <w:col w:w="10219"/>
          </w:cols>
          <w:pgMar w:left="240" w:top="649" w:right="1440" w:bottom="0" w:gutter="0" w:footer="0" w:header="0"/>
        </w:sectPr>
      </w:pPr>
    </w:p>
    <w:bookmarkStart w:id="1" w:name="page2"/>
    <w:bookmarkEnd w:id="1"/>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8,009,489</w:t>
      </w:r>
    </w:p>
    <w:p>
      <w:pPr>
        <w:spacing w:after="0" w:line="4" w:lineRule="exact"/>
        <w:rPr>
          <w:sz w:val="20"/>
          <w:szCs w:val="20"/>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7.5%</w:t>
      </w:r>
    </w:p>
    <w:p>
      <w:pPr>
        <w:spacing w:after="0" w:line="4"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42"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11 Pages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7,176,389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7,401,889</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7,401,889</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6.9%</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p>
      <w:pPr>
        <w:ind w:left="4640"/>
        <w:spacing w:after="0"/>
        <w:rPr>
          <w:sz w:val="20"/>
          <w:szCs w:val="20"/>
          <w:color w:val="auto"/>
        </w:rPr>
      </w:pPr>
      <w:r>
        <w:rPr>
          <w:rFonts w:ascii="Courier New" w:cs="Courier New" w:eastAsia="Courier New" w:hAnsi="Courier New"/>
          <w:sz w:val="18"/>
          <w:szCs w:val="18"/>
          <w:color w:val="auto"/>
        </w:rPr>
        <w:t>Page 4 of 11 Pages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Capital Management, Inc.</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115,000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478,300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115,000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860" w:right="5259" w:hanging="956"/>
        <w:spacing w:after="0" w:line="235" w:lineRule="auto"/>
        <w:tabs>
          <w:tab w:leader="none" w:pos="2439"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492,600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607,600</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0.6%</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11 Pages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115,000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7,654,689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115,000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540" w:right="5259" w:hanging="636"/>
        <w:spacing w:after="0" w:line="235" w:lineRule="auto"/>
        <w:tabs>
          <w:tab w:leader="none" w:pos="243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7,894,489</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8,009,489</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7.5%</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380" w:right="6939" w:hanging="529"/>
        <w:spacing w:after="0" w:line="290" w:lineRule="auto"/>
        <w:tabs>
          <w:tab w:leader="none" w:pos="13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Wynn Resorts, Ltd.</w:t>
      </w:r>
    </w:p>
    <w:p>
      <w:pPr>
        <w:spacing w:after="0" w:line="169" w:lineRule="exact"/>
        <w:rPr>
          <w:rFonts w:ascii="Courier New" w:cs="Courier New" w:eastAsia="Courier New" w:hAnsi="Courier New"/>
          <w:sz w:val="16"/>
          <w:szCs w:val="16"/>
          <w:color w:val="auto"/>
        </w:rPr>
      </w:pPr>
    </w:p>
    <w:p>
      <w:pPr>
        <w:ind w:left="1380" w:right="3779" w:hanging="529"/>
        <w:spacing w:after="0" w:line="235"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3131 Las Vegas Blvd. South</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Las Vegas, Nevada  89109</w:t>
      </w: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ind w:left="1380" w:hanging="529"/>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4" w:lineRule="exact"/>
        <w:rPr>
          <w:rFonts w:ascii="Courier New" w:cs="Courier New" w:eastAsia="Courier New" w:hAnsi="Courier New"/>
          <w:sz w:val="18"/>
          <w:szCs w:val="18"/>
          <w:color w:val="auto"/>
        </w:rPr>
      </w:pPr>
    </w:p>
    <w:p>
      <w:pPr>
        <w:ind w:left="138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Capital Group, Inc. ("BCG") BAMCO, Inc. ("BAMCO")</w:t>
      </w:r>
    </w:p>
    <w:p>
      <w:pPr>
        <w:spacing w:after="0" w:line="5" w:lineRule="exact"/>
        <w:rPr>
          <w:rFonts w:ascii="Courier New" w:cs="Courier New" w:eastAsia="Courier New" w:hAnsi="Courier New"/>
          <w:sz w:val="18"/>
          <w:szCs w:val="18"/>
          <w:color w:val="auto"/>
        </w:rPr>
      </w:pPr>
    </w:p>
    <w:p>
      <w:pPr>
        <w:ind w:left="1380"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Capital Management, Inc. ("BCM") Ronald Baron</w:t>
      </w:r>
    </w:p>
    <w:p>
      <w:pPr>
        <w:spacing w:after="0" w:line="5" w:lineRule="exact"/>
        <w:rPr>
          <w:rFonts w:ascii="Courier New" w:cs="Courier New" w:eastAsia="Courier New" w:hAnsi="Courier New"/>
          <w:sz w:val="18"/>
          <w:szCs w:val="18"/>
          <w:color w:val="auto"/>
        </w:rPr>
      </w:pPr>
    </w:p>
    <w:p>
      <w:pPr>
        <w:ind w:left="1580" w:right="4939" w:hanging="729"/>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0" w:lineRule="exact"/>
        <w:rPr>
          <w:sz w:val="20"/>
          <w:szCs w:val="20"/>
          <w:color w:val="auto"/>
        </w:rPr>
      </w:pPr>
    </w:p>
    <w:p>
      <w:pPr>
        <w:spacing w:after="0" w:line="210" w:lineRule="exact"/>
        <w:rPr>
          <w:sz w:val="20"/>
          <w:szCs w:val="20"/>
          <w:color w:val="auto"/>
        </w:rPr>
      </w:pPr>
    </w:p>
    <w:p>
      <w:pPr>
        <w:ind w:left="1580" w:right="6099" w:hanging="729"/>
        <w:spacing w:after="0" w:line="235"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983134107</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spacing w:after="0" w:line="4" w:lineRule="exact"/>
        <w:rPr>
          <w:sz w:val="20"/>
          <w:szCs w:val="20"/>
          <w:color w:val="auto"/>
        </w:rPr>
      </w:pPr>
    </w:p>
    <w:p>
      <w:pPr>
        <w:ind w:left="1900" w:right="3679" w:hanging="417"/>
        <w:spacing w:after="0" w:line="235" w:lineRule="auto"/>
        <w:tabs>
          <w:tab w:leader="none" w:pos="19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companies, in accordance with Section 240.13d-1(b)(ii)(G)</w:t>
      </w:r>
    </w:p>
    <w:p>
      <w:pPr>
        <w:spacing w:after="0" w:line="208" w:lineRule="exact"/>
        <w:rPr>
          <w:sz w:val="20"/>
          <w:szCs w:val="20"/>
          <w:color w:val="auto"/>
        </w:rPr>
      </w:pPr>
    </w:p>
    <w:p>
      <w:pPr>
        <w:ind w:left="1900" w:right="2939" w:hanging="417"/>
        <w:spacing w:after="0" w:line="235" w:lineRule="auto"/>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Advisers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(h) Group, in accordance with Rule 13d-1(b)(1)(ii)(F)</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2004:</w:t>
      </w: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BCG:</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8,009,489</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BAMCO: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7,401,889</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607,600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8,009,489</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BCG:</w:t>
      </w:r>
      <w:r>
        <w:rPr>
          <w:sz w:val="20"/>
          <w:szCs w:val="20"/>
          <w:color w:val="auto"/>
        </w:rPr>
        <w:tab/>
      </w:r>
      <w:r>
        <w:rPr>
          <w:rFonts w:ascii="Courier New" w:cs="Courier New" w:eastAsia="Courier New" w:hAnsi="Courier New"/>
          <w:sz w:val="18"/>
          <w:szCs w:val="18"/>
          <w:color w:val="auto"/>
        </w:rPr>
        <w:t>7.5%</w:t>
      </w:r>
    </w:p>
    <w:p>
      <w:pPr>
        <w:ind w:left="1580"/>
        <w:spacing w:after="0" w:line="238" w:lineRule="auto"/>
        <w:tabs>
          <w:tab w:leader="none" w:pos="3260" w:val="left"/>
        </w:tabs>
        <w:rPr>
          <w:sz w:val="20"/>
          <w:szCs w:val="20"/>
          <w:color w:val="auto"/>
        </w:rPr>
      </w:pPr>
      <w:r>
        <w:rPr>
          <w:rFonts w:ascii="Courier New" w:cs="Courier New" w:eastAsia="Courier New" w:hAnsi="Courier New"/>
          <w:sz w:val="18"/>
          <w:szCs w:val="18"/>
          <w:color w:val="auto"/>
        </w:rPr>
        <w:t>BAMCO:</w:t>
      </w:r>
      <w:r>
        <w:rPr>
          <w:sz w:val="20"/>
          <w:szCs w:val="20"/>
          <w:color w:val="auto"/>
        </w:rPr>
        <w:tab/>
      </w:r>
      <w:r>
        <w:rPr>
          <w:rFonts w:ascii="Courier New" w:cs="Courier New" w:eastAsia="Courier New" w:hAnsi="Courier New"/>
          <w:sz w:val="18"/>
          <w:szCs w:val="18"/>
          <w:color w:val="auto"/>
        </w:rPr>
        <w:t>6.9%</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BCM:</w:t>
      </w:r>
      <w:r>
        <w:rPr>
          <w:sz w:val="20"/>
          <w:szCs w:val="20"/>
          <w:color w:val="auto"/>
        </w:rPr>
        <w:tab/>
      </w:r>
      <w:r>
        <w:rPr>
          <w:rFonts w:ascii="Courier New" w:cs="Courier New" w:eastAsia="Courier New" w:hAnsi="Courier New"/>
          <w:sz w:val="18"/>
          <w:szCs w:val="18"/>
          <w:color w:val="auto"/>
        </w:rPr>
        <w:t>0.6%</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Ronald Baron:</w:t>
      </w:r>
      <w:r>
        <w:rPr>
          <w:sz w:val="20"/>
          <w:szCs w:val="20"/>
          <w:color w:val="auto"/>
        </w:rPr>
        <w:tab/>
      </w:r>
      <w:r>
        <w:rPr>
          <w:rFonts w:ascii="Courier New" w:cs="Courier New" w:eastAsia="Courier New" w:hAnsi="Courier New"/>
          <w:sz w:val="16"/>
          <w:szCs w:val="16"/>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3779" w:hanging="104"/>
        <w:spacing w:after="0" w:line="268" w:lineRule="auto"/>
        <w:rPr>
          <w:sz w:val="20"/>
          <w:szCs w:val="20"/>
          <w:color w:val="auto"/>
        </w:rPr>
      </w:pPr>
      <w:r>
        <w:rPr>
          <w:rFonts w:ascii="Courier New" w:cs="Courier New" w:eastAsia="Courier New" w:hAnsi="Courier New"/>
          <w:sz w:val="16"/>
          <w:szCs w:val="16"/>
          <w:color w:val="auto"/>
        </w:rPr>
        <w:t>^BCG and Ronald Baron disclaim beneficial ownership of shares held by their controlled entities (or the investment advisory clients thereof) to the extent such shares are held by persons other than BCG and Ronald Baron. BAMCO and</w:t>
      </w:r>
    </w:p>
    <w:p>
      <w:pPr>
        <w:spacing w:after="0" w:line="1" w:lineRule="exact"/>
        <w:rPr>
          <w:sz w:val="20"/>
          <w:szCs w:val="20"/>
          <w:color w:val="auto"/>
        </w:rPr>
      </w:pPr>
    </w:p>
    <w:p>
      <w:pPr>
        <w:ind w:left="120" w:right="3579"/>
        <w:spacing w:after="0" w:line="236" w:lineRule="auto"/>
        <w:rPr>
          <w:sz w:val="20"/>
          <w:szCs w:val="20"/>
          <w:color w:val="auto"/>
        </w:rPr>
      </w:pPr>
      <w:r>
        <w:rPr>
          <w:rFonts w:ascii="Courier New" w:cs="Courier New" w:eastAsia="Courier New" w:hAnsi="Courier New"/>
          <w:sz w:val="18"/>
          <w:szCs w:val="18"/>
          <w:color w:val="auto"/>
        </w:rPr>
        <w:t>BCM disclaim beneficial ownership of shares held by their investment advisory clients to the extent such shares are held by persons other than BAMCO, BCM and their affiliates.</w:t>
      </w:r>
    </w:p>
    <w:p>
      <w:pPr>
        <w:sectPr>
          <w:pgSz w:w="11900" w:h="16838" w:orient="portrait"/>
          <w:cols w:equalWidth="0" w:num="1">
            <w:col w:w="10219"/>
          </w:cols>
          <w:pgMar w:left="240" w:top="514"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8 of 11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115,000</w:t>
      </w:r>
    </w:p>
    <w:tbl>
      <w:tblPr>
        <w:tblLayout w:type="fixed"/>
        <w:tblInd w:w="274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115,000</w:t>
            </w:r>
          </w:p>
        </w:tc>
      </w:tr>
    </w:tbl>
    <w:p>
      <w:pPr>
        <w:ind w:left="2320" w:hanging="627"/>
        <w:spacing w:after="0" w:line="238" w:lineRule="auto"/>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7,654,689</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7,176,389</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478,300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w:t>
      </w:r>
      <w:r>
        <w:rPr>
          <w:rFonts w:ascii="Courier New" w:cs="Courier New" w:eastAsia="Courier New" w:hAnsi="Courier New"/>
          <w:sz w:val="16"/>
          <w:szCs w:val="16"/>
          <w:color w:val="auto"/>
        </w:rPr>
        <w:t>7,654,689</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115,000</w:t>
      </w:r>
    </w:p>
    <w:tbl>
      <w:tblPr>
        <w:tblLayout w:type="fixed"/>
        <w:tblInd w:w="274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115,000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7,894,489</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7,401,889</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492,600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7,894,489</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w:t>
      </w:r>
    </w:p>
    <w:p>
      <w:pPr>
        <w:spacing w:after="0" w:line="4" w:lineRule="exact"/>
        <w:rPr>
          <w:sz w:val="20"/>
          <w:szCs w:val="20"/>
          <w:color w:val="auto"/>
        </w:rPr>
      </w:pPr>
    </w:p>
    <w:p>
      <w:pPr>
        <w:ind w:right="2619" w:firstLine="948"/>
        <w:spacing w:after="0" w:line="273" w:lineRule="auto"/>
        <w:rPr>
          <w:sz w:val="20"/>
          <w:szCs w:val="20"/>
          <w:color w:val="auto"/>
        </w:rPr>
      </w:pPr>
      <w:r>
        <w:rPr>
          <w:rFonts w:ascii="Courier New" w:cs="Courier New" w:eastAsia="Courier New" w:hAnsi="Courier New"/>
          <w:sz w:val="16"/>
          <w:szCs w:val="16"/>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85"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BAMCO and BCM are subsidiaries of BCG. Ronald Baron owns a controlling interest in BCG.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9" w:lineRule="exact"/>
        <w:rPr>
          <w:sz w:val="20"/>
          <w:szCs w:val="20"/>
          <w:color w:val="auto"/>
        </w:rPr>
      </w:pPr>
    </w:p>
    <w:p>
      <w:pPr>
        <w:ind w:left="220" w:right="3159" w:hanging="212"/>
        <w:spacing w:after="0" w:line="268" w:lineRule="auto"/>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their respective clients, BAMCO and BCM have been given the discretion to dispose or the disposition of the securities in the advisory accounts.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such discretionary agreements, are however, revocable.</w:t>
      </w:r>
    </w:p>
    <w:p>
      <w:pPr>
        <w:sectPr>
          <w:pgSz w:w="11900" w:h="16838" w:orient="portrait"/>
          <w:cols w:equalWidth="0" w:num="1">
            <w:col w:w="10219"/>
          </w:cols>
          <w:pgMar w:left="240" w:top="514" w:right="1440" w:bottom="1440" w:gutter="0" w:footer="0" w:header="0"/>
        </w:sectPr>
      </w:pPr>
    </w:p>
    <w:bookmarkStart w:id="8" w:name="page9"/>
    <w:bookmarkEnd w:id="8"/>
    <w:p>
      <w:pPr>
        <w:ind w:left="5160"/>
        <w:spacing w:after="0"/>
        <w:tabs>
          <w:tab w:leader="none" w:pos="57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9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February 11, 2005</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and</w:t>
      </w:r>
    </w:p>
    <w:p>
      <w:pPr>
        <w:ind w:left="2540"/>
        <w:spacing w:after="0"/>
        <w:rPr>
          <w:sz w:val="20"/>
          <w:szCs w:val="20"/>
          <w:color w:val="auto"/>
        </w:rPr>
      </w:pPr>
      <w:r>
        <w:rPr>
          <w:rFonts w:ascii="Courier New" w:cs="Courier New" w:eastAsia="Courier New" w:hAnsi="Courier New"/>
          <w:sz w:val="18"/>
          <w:szCs w:val="18"/>
          <w:color w:val="auto"/>
        </w:rPr>
        <w:t>Baron Capital Management, Inc.</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10 of 11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undersigned each hereby agree that the Schedule 13G dated February 11, 2005, which relates to the common stock of Universal Technical Institute, Inc., is to be filed jointly on behalf of each of them for the reasons stated therein, and any amendments thereto shall be filed jointly by the undersigned.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11, 2005</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and</w:t>
      </w:r>
    </w:p>
    <w:p>
      <w:pPr>
        <w:ind w:left="2540"/>
        <w:spacing w:after="0"/>
        <w:rPr>
          <w:sz w:val="20"/>
          <w:szCs w:val="20"/>
          <w:color w:val="auto"/>
        </w:rPr>
      </w:pPr>
      <w:r>
        <w:rPr>
          <w:rFonts w:ascii="Courier New" w:cs="Courier New" w:eastAsia="Courier New" w:hAnsi="Courier New"/>
          <w:sz w:val="18"/>
          <w:szCs w:val="18"/>
          <w:color w:val="auto"/>
        </w:rPr>
        <w:t>Baron Capital Management, Inc.</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2"/>
      <w:numFmt w:val="decimal"/>
      <w:start w:val="1"/>
    </w:lvl>
  </w:abstractNum>
  <w:abstractNum w:abstractNumId="1">
    <w:nsid w:val="519B500D"/>
    <w:multiLevelType w:val="hybridMultilevel"/>
    <w:lvl w:ilvl="0">
      <w:lvlJc w:val="left"/>
      <w:lvlText w:val="-"/>
      <w:numFmt w:val="bullet"/>
      <w:start w:val="1"/>
    </w:lvl>
    <w:lvl w:ilvl="1">
      <w:lvlJc w:val="left"/>
      <w:lvlText w:val="(%2)"/>
      <w:numFmt w:val="lowerLetter"/>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lvl w:ilvl="1">
      <w:lvlJc w:val="left"/>
      <w:lvlText w:val="%2"/>
      <w:numFmt w:val="decimal"/>
      <w:start w:val="1"/>
    </w:lvl>
  </w:abstractNum>
  <w:abstractNum w:abstractNumId="7">
    <w:nsid w:val="436C6125"/>
    <w:multiLevelType w:val="hybridMultilevel"/>
    <w:lvl w:ilvl="0">
      <w:lvlJc w:val="left"/>
      <w:lvlText w:val="-"/>
      <w:numFmt w:val="bullet"/>
      <w:start w:val="1"/>
    </w:lvl>
    <w:lvl w:ilvl="1">
      <w:lvlJc w:val="left"/>
      <w:lvlText w:val="(%2)"/>
      <w:numFmt w:val="lowerLetter"/>
      <w:start w:val="1"/>
    </w:lvl>
  </w:abstractNum>
  <w:abstractNum w:abstractNumId="8">
    <w:nsid w:val="628C895D"/>
    <w:multiLevelType w:val="hybridMultilevel"/>
    <w:lvl w:ilvl="0">
      <w:lvlJc w:val="left"/>
      <w:lvlText w:val="-"/>
      <w:numFmt w:val="bullet"/>
      <w:start w:val="1"/>
    </w:lvl>
    <w:lvl w:ilvl="1">
      <w:lvlJc w:val="left"/>
      <w:lvlText w:val="8"/>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lvl w:ilvl="1">
      <w:lvlJc w:val="left"/>
      <w:lvlText w:val="%2"/>
      <w:numFmt w:val="decimal"/>
      <w:start w:val="1"/>
    </w:lvl>
  </w:abstractNum>
  <w:abstractNum w:abstractNumId="13">
    <w:nsid w:val="6763845E"/>
    <w:multiLevelType w:val="hybridMultilevel"/>
    <w:lvl w:ilvl="0">
      <w:lvlJc w:val="left"/>
      <w:lvlText w:val="-"/>
      <w:numFmt w:val="bullet"/>
      <w:start w:val="1"/>
    </w:lvl>
    <w:lvl w:ilvl="1">
      <w:lvlJc w:val="left"/>
      <w:lvlText w:val="(%2)"/>
      <w:numFmt w:val="lowerLetter"/>
      <w:start w:val="1"/>
    </w:lvl>
  </w:abstractNum>
  <w:abstractNum w:abstractNumId="14">
    <w:nsid w:val="75A2A8D4"/>
    <w:multiLevelType w:val="hybridMultilevel"/>
    <w:lvl w:ilvl="0">
      <w:lvlJc w:val="left"/>
      <w:lvlText w:val="-"/>
      <w:numFmt w:val="bullet"/>
      <w:start w:val="1"/>
    </w:lvl>
    <w:lvl w:ilvl="1">
      <w:lvlJc w:val="left"/>
      <w:lvlText w:val="8"/>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lvl w:ilvl="1">
      <w:lvlJc w:val="left"/>
      <w:lvlText w:val="%2"/>
      <w:numFmt w:val="decimal"/>
      <w:start w:val="1"/>
    </w:lvl>
  </w:abstractNum>
  <w:abstractNum w:abstractNumId="19">
    <w:nsid w:val="189A769B"/>
    <w:multiLevelType w:val="hybridMultilevel"/>
    <w:lvl w:ilvl="0">
      <w:lvlJc w:val="left"/>
      <w:lvlText w:val="-"/>
      <w:numFmt w:val="bullet"/>
      <w:start w:val="1"/>
    </w:lvl>
    <w:lvl w:ilvl="1">
      <w:lvlJc w:val="left"/>
      <w:lvlText w:val="(%2)"/>
      <w:numFmt w:val="lowerLetter"/>
      <w:start w:val="1"/>
    </w:lvl>
  </w:abstractNum>
  <w:abstractNum w:abstractNumId="20">
    <w:nsid w:val="54E49EB4"/>
    <w:multiLevelType w:val="hybridMultilevel"/>
    <w:lvl w:ilvl="0">
      <w:lvlJc w:val="left"/>
      <w:lvlText w:val="-"/>
      <w:numFmt w:val="bullet"/>
      <w:start w:val="1"/>
    </w:lvl>
    <w:lvl w:ilvl="1">
      <w:lvlJc w:val="left"/>
      <w:lvlText w:val="8"/>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4"/>
    </w:lvl>
  </w:abstractNum>
  <w:abstractNum w:abstractNumId="27">
    <w:nsid w:val="1E7FF521"/>
    <w:multiLevelType w:val="hybridMultilevel"/>
    <w:lvl w:ilvl="0">
      <w:lvlJc w:val="left"/>
      <w:lvlText w:val="(%1)"/>
      <w:numFmt w:val="lowerLetter"/>
      <w:start w:val="7"/>
    </w:lvl>
  </w:abstractNum>
  <w:abstractNum w:abstractNumId="28">
    <w:nsid w:val="7C3DBD3D"/>
    <w:multiLevelType w:val="hybridMultilevel"/>
    <w:lvl w:ilvl="0">
      <w:lvlJc w:val="left"/>
      <w:lvlText w:val="(%1)"/>
      <w:numFmt w:val="lowerLetter"/>
      <w:start w:val="5"/>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1)"/>
      <w:numFmt w:val="lowerRoman"/>
      <w:start w:val="2"/>
    </w:lvl>
  </w:abstractNum>
  <w:abstractNum w:abstractNumId="31">
    <w:nsid w:val="22221A70"/>
    <w:multiLevelType w:val="hybridMultilevel"/>
    <w:lvl w:ilvl="0">
      <w:lvlJc w:val="left"/>
      <w:lvlText w:val="(%1)"/>
      <w:numFmt w:val="lowerRoman"/>
      <w:start w:val="4"/>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2019-12-15T05:46:46Z</dcterms:created>
  <dcterms:modified xsi:type="dcterms:W3CDTF">2019-12-15T05:46:46Z</dcterms:modified>
</cp:coreProperties>
</file>