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10,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3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September 10, 2018, Wynn Macau, Limited ("WML"), an indirect subsidiary of Wynn Resorts, Limited (the "Registrant") with its ordinary shares of common stock listed on The Stock Exchange of Hong Kong Limited (the "HKSE"), filed with the HKSE its interim report in respect of the six months ended June 30, 2018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79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652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Interim Report of Wynn Macau, Limited in respect of the six months ended June 30, 2018.</w:t>
              </w:r>
            </w:hyperlink>
          </w:p>
        </w:tc>
      </w:tr>
    </w:tbl>
    <w:p>
      <w:pPr>
        <w:sectPr>
          <w:pgSz w:w="11900" w:h="16838" w:orient="portrait"/>
          <w:cols w:equalWidth="0" w:num="1">
            <w:col w:w="11340"/>
          </w:cols>
          <w:pgMar w:left="240" w:top="1229" w:right="31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September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363220</wp:posOffset>
            </wp:positionV>
            <wp:extent cx="6478905" cy="894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3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890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9460230</wp:posOffset>
            </wp:positionV>
            <wp:extent cx="64789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890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9443085</wp:posOffset>
            </wp:positionV>
            <wp:extent cx="647890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890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63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7890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9451975</wp:posOffset>
            </wp:positionV>
            <wp:extent cx="647890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7890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55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7890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517525</wp:posOffset>
            </wp:positionV>
            <wp:extent cx="6478905" cy="8946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890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2019-12-28T19:28:30Z</dcterms:created>
  <dcterms:modified xsi:type="dcterms:W3CDTF">2019-12-28T19:28:30Z</dcterms:modified>
</cp:coreProperties>
</file>