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February 2, 2010</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Wynn Resorts,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Charter)</w:t>
      </w:r>
    </w:p>
    <w:p>
      <w:pPr>
        <w:spacing w:after="0" w:line="224" w:lineRule="exact"/>
        <w:rPr>
          <w:sz w:val="24"/>
          <w:szCs w:val="24"/>
          <w:color w:val="auto"/>
        </w:rPr>
      </w:pPr>
    </w:p>
    <w:tbl>
      <w:tblPr>
        <w:tblLayout w:type="fixed"/>
        <w:tblInd w:w="660" w:type="dxa"/>
        <w:tblCellMar>
          <w:top w:w="0" w:type="dxa"/>
          <w:left w:w="0" w:type="dxa"/>
          <w:bottom w:w="0" w:type="dxa"/>
          <w:right w:w="0" w:type="dxa"/>
        </w:tblCellMar>
      </w:tblPr>
      <w:tr>
        <w:trPr>
          <w:trHeight w:val="231"/>
        </w:trPr>
        <w:tc>
          <w:tcPr>
            <w:tcW w:w="2400" w:type="dxa"/>
            <w:vAlign w:val="bottom"/>
          </w:tcPr>
          <w:p>
            <w:pPr>
              <w:jc w:val="center"/>
              <w:ind w:right="163"/>
              <w:spacing w:after="0"/>
              <w:rPr>
                <w:sz w:val="20"/>
                <w:szCs w:val="20"/>
                <w:color w:val="auto"/>
              </w:rPr>
            </w:pPr>
            <w:r>
              <w:rPr>
                <w:rFonts w:ascii="Arial" w:cs="Arial" w:eastAsia="Arial" w:hAnsi="Arial"/>
                <w:sz w:val="19"/>
                <w:szCs w:val="19"/>
                <w:b w:val="1"/>
                <w:bCs w:val="1"/>
                <w:color w:val="auto"/>
                <w:w w:val="91"/>
              </w:rPr>
              <w:t>Nevada</w:t>
            </w:r>
          </w:p>
        </w:tc>
        <w:tc>
          <w:tcPr>
            <w:tcW w:w="5400" w:type="dxa"/>
            <w:vAlign w:val="bottom"/>
          </w:tcPr>
          <w:p>
            <w:pPr>
              <w:jc w:val="center"/>
              <w:spacing w:after="0"/>
              <w:rPr>
                <w:sz w:val="20"/>
                <w:szCs w:val="20"/>
                <w:color w:val="auto"/>
              </w:rPr>
            </w:pPr>
            <w:r>
              <w:rPr>
                <w:rFonts w:ascii="Arial" w:cs="Arial" w:eastAsia="Arial" w:hAnsi="Arial"/>
                <w:sz w:val="19"/>
                <w:szCs w:val="19"/>
                <w:b w:val="1"/>
                <w:bCs w:val="1"/>
                <w:color w:val="auto"/>
                <w:w w:val="92"/>
              </w:rPr>
              <w:t>000-50028</w:t>
            </w:r>
          </w:p>
        </w:tc>
        <w:tc>
          <w:tcPr>
            <w:tcW w:w="2140" w:type="dxa"/>
            <w:vAlign w:val="bottom"/>
          </w:tcPr>
          <w:p>
            <w:pPr>
              <w:jc w:val="center"/>
              <w:ind w:left="263"/>
              <w:spacing w:after="0"/>
              <w:rPr>
                <w:sz w:val="20"/>
                <w:szCs w:val="20"/>
                <w:color w:val="auto"/>
              </w:rPr>
            </w:pPr>
            <w:r>
              <w:rPr>
                <w:rFonts w:ascii="Arial" w:cs="Arial" w:eastAsia="Arial" w:hAnsi="Arial"/>
                <w:sz w:val="19"/>
                <w:szCs w:val="19"/>
                <w:b w:val="1"/>
                <w:bCs w:val="1"/>
                <w:color w:val="auto"/>
                <w:w w:val="92"/>
              </w:rPr>
              <w:t>46-0484987</w:t>
            </w:r>
          </w:p>
        </w:tc>
      </w:tr>
      <w:tr>
        <w:trPr>
          <w:trHeight w:val="225"/>
        </w:trPr>
        <w:tc>
          <w:tcPr>
            <w:tcW w:w="2400" w:type="dxa"/>
            <w:vAlign w:val="bottom"/>
          </w:tcPr>
          <w:p>
            <w:pPr>
              <w:jc w:val="center"/>
              <w:ind w:right="183"/>
              <w:spacing w:after="0"/>
              <w:rPr>
                <w:sz w:val="20"/>
                <w:szCs w:val="20"/>
                <w:color w:val="auto"/>
              </w:rPr>
            </w:pPr>
            <w:r>
              <w:rPr>
                <w:rFonts w:ascii="Arial" w:cs="Arial" w:eastAsia="Arial" w:hAnsi="Arial"/>
                <w:sz w:val="19"/>
                <w:szCs w:val="19"/>
                <w:color w:val="auto"/>
                <w:w w:val="93"/>
              </w:rPr>
              <w:t>(State or Other Jurisdiction</w:t>
            </w:r>
          </w:p>
        </w:tc>
        <w:tc>
          <w:tcPr>
            <w:tcW w:w="5400" w:type="dxa"/>
            <w:vAlign w:val="bottom"/>
          </w:tcPr>
          <w:p>
            <w:pPr>
              <w:jc w:val="center"/>
              <w:spacing w:after="0"/>
              <w:rPr>
                <w:sz w:val="20"/>
                <w:szCs w:val="20"/>
                <w:color w:val="auto"/>
              </w:rPr>
            </w:pPr>
            <w:r>
              <w:rPr>
                <w:rFonts w:ascii="Arial" w:cs="Arial" w:eastAsia="Arial" w:hAnsi="Arial"/>
                <w:sz w:val="19"/>
                <w:szCs w:val="19"/>
                <w:color w:val="auto"/>
                <w:w w:val="95"/>
              </w:rPr>
              <w:t>(Commission File</w:t>
            </w:r>
          </w:p>
        </w:tc>
        <w:tc>
          <w:tcPr>
            <w:tcW w:w="2140" w:type="dxa"/>
            <w:vAlign w:val="bottom"/>
          </w:tcPr>
          <w:p>
            <w:pPr>
              <w:jc w:val="center"/>
              <w:ind w:left="263"/>
              <w:spacing w:after="0"/>
              <w:rPr>
                <w:sz w:val="20"/>
                <w:szCs w:val="20"/>
                <w:color w:val="auto"/>
              </w:rPr>
            </w:pPr>
            <w:r>
              <w:rPr>
                <w:rFonts w:ascii="Arial" w:cs="Arial" w:eastAsia="Arial" w:hAnsi="Arial"/>
                <w:sz w:val="19"/>
                <w:szCs w:val="19"/>
                <w:color w:val="auto"/>
                <w:w w:val="96"/>
              </w:rPr>
              <w:t>(I.R.S. Employer</w:t>
            </w:r>
          </w:p>
        </w:tc>
      </w:tr>
      <w:tr>
        <w:trPr>
          <w:trHeight w:val="247"/>
        </w:trPr>
        <w:tc>
          <w:tcPr>
            <w:tcW w:w="2400" w:type="dxa"/>
            <w:vAlign w:val="bottom"/>
          </w:tcPr>
          <w:p>
            <w:pPr>
              <w:jc w:val="center"/>
              <w:ind w:right="183"/>
              <w:spacing w:after="0"/>
              <w:rPr>
                <w:sz w:val="20"/>
                <w:szCs w:val="20"/>
                <w:color w:val="auto"/>
              </w:rPr>
            </w:pPr>
            <w:r>
              <w:rPr>
                <w:rFonts w:ascii="Arial" w:cs="Arial" w:eastAsia="Arial" w:hAnsi="Arial"/>
                <w:sz w:val="19"/>
                <w:szCs w:val="19"/>
                <w:color w:val="auto"/>
                <w:w w:val="95"/>
              </w:rPr>
              <w:t>of Incorporation)</w:t>
            </w:r>
          </w:p>
        </w:tc>
        <w:tc>
          <w:tcPr>
            <w:tcW w:w="5400" w:type="dxa"/>
            <w:vAlign w:val="bottom"/>
          </w:tcPr>
          <w:p>
            <w:pPr>
              <w:jc w:val="center"/>
              <w:spacing w:after="0"/>
              <w:rPr>
                <w:sz w:val="20"/>
                <w:szCs w:val="20"/>
                <w:color w:val="auto"/>
              </w:rPr>
            </w:pPr>
            <w:r>
              <w:rPr>
                <w:rFonts w:ascii="Arial" w:cs="Arial" w:eastAsia="Arial" w:hAnsi="Arial"/>
                <w:sz w:val="19"/>
                <w:szCs w:val="19"/>
                <w:color w:val="auto"/>
                <w:w w:val="97"/>
              </w:rPr>
              <w:t>Number)</w:t>
            </w:r>
          </w:p>
        </w:tc>
        <w:tc>
          <w:tcPr>
            <w:tcW w:w="2140" w:type="dxa"/>
            <w:vAlign w:val="bottom"/>
          </w:tcPr>
          <w:p>
            <w:pPr>
              <w:jc w:val="center"/>
              <w:ind w:left="263"/>
              <w:spacing w:after="0"/>
              <w:rPr>
                <w:sz w:val="20"/>
                <w:szCs w:val="20"/>
                <w:color w:val="auto"/>
              </w:rPr>
            </w:pPr>
            <w:r>
              <w:rPr>
                <w:rFonts w:ascii="Arial" w:cs="Arial" w:eastAsia="Arial" w:hAnsi="Arial"/>
                <w:sz w:val="19"/>
                <w:szCs w:val="19"/>
                <w:color w:val="auto"/>
                <w:w w:val="95"/>
              </w:rPr>
              <w:t>Identification Number)</w:t>
            </w:r>
          </w:p>
        </w:tc>
      </w:tr>
      <w:tr>
        <w:trPr>
          <w:trHeight w:val="675"/>
        </w:trPr>
        <w:tc>
          <w:tcPr>
            <w:tcW w:w="2400" w:type="dxa"/>
            <w:vAlign w:val="bottom"/>
          </w:tcPr>
          <w:p>
            <w:pPr>
              <w:spacing w:after="0"/>
              <w:rPr>
                <w:sz w:val="24"/>
                <w:szCs w:val="24"/>
                <w:color w:val="auto"/>
              </w:rPr>
            </w:pPr>
          </w:p>
        </w:tc>
        <w:tc>
          <w:tcPr>
            <w:tcW w:w="5400" w:type="dxa"/>
            <w:vAlign w:val="bottom"/>
          </w:tcPr>
          <w:p>
            <w:pPr>
              <w:jc w:val="center"/>
              <w:spacing w:after="0"/>
              <w:rPr>
                <w:sz w:val="20"/>
                <w:szCs w:val="20"/>
                <w:color w:val="auto"/>
              </w:rPr>
            </w:pPr>
            <w:r>
              <w:rPr>
                <w:rFonts w:ascii="Arial" w:cs="Arial" w:eastAsia="Arial" w:hAnsi="Arial"/>
                <w:sz w:val="19"/>
                <w:szCs w:val="19"/>
                <w:b w:val="1"/>
                <w:bCs w:val="1"/>
                <w:color w:val="auto"/>
                <w:w w:val="91"/>
              </w:rPr>
              <w:t>3131 Las Vegas Boulevard South</w:t>
            </w:r>
          </w:p>
        </w:tc>
        <w:tc>
          <w:tcPr>
            <w:tcW w:w="2140" w:type="dxa"/>
            <w:vAlign w:val="bottom"/>
          </w:tcPr>
          <w:p>
            <w:pPr>
              <w:spacing w:after="0"/>
              <w:rPr>
                <w:sz w:val="24"/>
                <w:szCs w:val="24"/>
                <w:color w:val="auto"/>
              </w:rPr>
            </w:pPr>
          </w:p>
        </w:tc>
      </w:tr>
      <w:tr>
        <w:trPr>
          <w:trHeight w:val="231"/>
        </w:trPr>
        <w:tc>
          <w:tcPr>
            <w:tcW w:w="2400" w:type="dxa"/>
            <w:vAlign w:val="bottom"/>
          </w:tcPr>
          <w:p>
            <w:pPr>
              <w:spacing w:after="0"/>
              <w:rPr>
                <w:sz w:val="20"/>
                <w:szCs w:val="20"/>
                <w:color w:val="auto"/>
              </w:rPr>
            </w:pPr>
          </w:p>
        </w:tc>
        <w:tc>
          <w:tcPr>
            <w:tcW w:w="5400" w:type="dxa"/>
            <w:vAlign w:val="bottom"/>
          </w:tcPr>
          <w:p>
            <w:pPr>
              <w:jc w:val="center"/>
              <w:spacing w:after="0"/>
              <w:rPr>
                <w:sz w:val="20"/>
                <w:szCs w:val="20"/>
                <w:color w:val="auto"/>
              </w:rPr>
            </w:pPr>
            <w:r>
              <w:rPr>
                <w:rFonts w:ascii="Arial" w:cs="Arial" w:eastAsia="Arial" w:hAnsi="Arial"/>
                <w:sz w:val="19"/>
                <w:szCs w:val="19"/>
                <w:b w:val="1"/>
                <w:bCs w:val="1"/>
                <w:color w:val="auto"/>
                <w:w w:val="90"/>
              </w:rPr>
              <w:t>Las Vegas, Nevada 89109</w:t>
            </w:r>
          </w:p>
        </w:tc>
        <w:tc>
          <w:tcPr>
            <w:tcW w:w="2140" w:type="dxa"/>
            <w:vAlign w:val="bottom"/>
          </w:tcPr>
          <w:p>
            <w:pPr>
              <w:spacing w:after="0"/>
              <w:rPr>
                <w:sz w:val="20"/>
                <w:szCs w:val="20"/>
                <w:color w:val="auto"/>
              </w:rPr>
            </w:pPr>
          </w:p>
        </w:tc>
      </w:tr>
      <w:tr>
        <w:trPr>
          <w:trHeight w:val="247"/>
        </w:trPr>
        <w:tc>
          <w:tcPr>
            <w:tcW w:w="2400" w:type="dxa"/>
            <w:vAlign w:val="bottom"/>
          </w:tcPr>
          <w:p>
            <w:pPr>
              <w:spacing w:after="0"/>
              <w:rPr>
                <w:sz w:val="21"/>
                <w:szCs w:val="21"/>
                <w:color w:val="auto"/>
              </w:rPr>
            </w:pPr>
          </w:p>
        </w:tc>
        <w:tc>
          <w:tcPr>
            <w:tcW w:w="5400" w:type="dxa"/>
            <w:vAlign w:val="bottom"/>
          </w:tcPr>
          <w:p>
            <w:pPr>
              <w:jc w:val="center"/>
              <w:ind w:right="3"/>
              <w:spacing w:after="0"/>
              <w:rPr>
                <w:sz w:val="20"/>
                <w:szCs w:val="20"/>
                <w:color w:val="auto"/>
              </w:rPr>
            </w:pPr>
            <w:r>
              <w:rPr>
                <w:rFonts w:ascii="Arial" w:cs="Arial" w:eastAsia="Arial" w:hAnsi="Arial"/>
                <w:sz w:val="19"/>
                <w:szCs w:val="19"/>
                <w:color w:val="auto"/>
                <w:w w:val="94"/>
              </w:rPr>
              <w:t>(Address of principal executive offices) (Zip Code)</w:t>
            </w:r>
          </w:p>
        </w:tc>
        <w:tc>
          <w:tcPr>
            <w:tcW w:w="2140" w:type="dxa"/>
            <w:vAlign w:val="bottom"/>
          </w:tcPr>
          <w:p>
            <w:pPr>
              <w:spacing w:after="0"/>
              <w:rPr>
                <w:sz w:val="21"/>
                <w:szCs w:val="21"/>
                <w:color w:val="auto"/>
              </w:rPr>
            </w:pPr>
          </w:p>
        </w:tc>
      </w:tr>
      <w:tr>
        <w:trPr>
          <w:trHeight w:val="442"/>
        </w:trPr>
        <w:tc>
          <w:tcPr>
            <w:tcW w:w="2400" w:type="dxa"/>
            <w:vAlign w:val="bottom"/>
          </w:tcPr>
          <w:p>
            <w:pPr>
              <w:spacing w:after="0"/>
              <w:rPr>
                <w:sz w:val="24"/>
                <w:szCs w:val="24"/>
                <w:color w:val="auto"/>
              </w:rPr>
            </w:pPr>
          </w:p>
        </w:tc>
        <w:tc>
          <w:tcPr>
            <w:tcW w:w="5400" w:type="dxa"/>
            <w:vAlign w:val="bottom"/>
          </w:tcPr>
          <w:p>
            <w:pPr>
              <w:jc w:val="center"/>
              <w:ind w:right="3"/>
              <w:spacing w:after="0"/>
              <w:rPr>
                <w:sz w:val="20"/>
                <w:szCs w:val="20"/>
                <w:color w:val="auto"/>
              </w:rPr>
            </w:pPr>
            <w:r>
              <w:rPr>
                <w:rFonts w:ascii="Arial" w:cs="Arial" w:eastAsia="Arial" w:hAnsi="Arial"/>
                <w:sz w:val="19"/>
                <w:szCs w:val="19"/>
                <w:b w:val="1"/>
                <w:bCs w:val="1"/>
                <w:color w:val="auto"/>
                <w:w w:val="93"/>
              </w:rPr>
              <w:t>(702) 770-7555</w:t>
            </w:r>
          </w:p>
        </w:tc>
        <w:tc>
          <w:tcPr>
            <w:tcW w:w="2140" w:type="dxa"/>
            <w:vAlign w:val="bottom"/>
          </w:tcPr>
          <w:p>
            <w:pPr>
              <w:spacing w:after="0"/>
              <w:rPr>
                <w:sz w:val="24"/>
                <w:szCs w:val="24"/>
                <w:color w:val="auto"/>
              </w:rPr>
            </w:pPr>
          </w:p>
        </w:tc>
      </w:tr>
      <w:tr>
        <w:trPr>
          <w:trHeight w:val="247"/>
        </w:trPr>
        <w:tc>
          <w:tcPr>
            <w:tcW w:w="2400" w:type="dxa"/>
            <w:vAlign w:val="bottom"/>
          </w:tcPr>
          <w:p>
            <w:pPr>
              <w:spacing w:after="0"/>
              <w:rPr>
                <w:sz w:val="21"/>
                <w:szCs w:val="21"/>
                <w:color w:val="auto"/>
              </w:rPr>
            </w:pPr>
          </w:p>
        </w:tc>
        <w:tc>
          <w:tcPr>
            <w:tcW w:w="5400" w:type="dxa"/>
            <w:vAlign w:val="bottom"/>
          </w:tcPr>
          <w:p>
            <w:pPr>
              <w:jc w:val="center"/>
              <w:spacing w:after="0"/>
              <w:rPr>
                <w:sz w:val="20"/>
                <w:szCs w:val="20"/>
                <w:color w:val="auto"/>
              </w:rPr>
            </w:pPr>
            <w:r>
              <w:rPr>
                <w:rFonts w:ascii="Arial" w:cs="Arial" w:eastAsia="Arial" w:hAnsi="Arial"/>
                <w:sz w:val="19"/>
                <w:szCs w:val="19"/>
                <w:color w:val="auto"/>
                <w:w w:val="92"/>
              </w:rPr>
              <w:t>(Registrant’s telephone number, including area code)</w:t>
            </w:r>
          </w:p>
        </w:tc>
        <w:tc>
          <w:tcPr>
            <w:tcW w:w="2140" w:type="dxa"/>
            <w:vAlign w:val="bottom"/>
          </w:tcPr>
          <w:p>
            <w:pPr>
              <w:spacing w:after="0"/>
              <w:rPr>
                <w:sz w:val="21"/>
                <w:szCs w:val="21"/>
                <w:color w:val="auto"/>
              </w:rPr>
            </w:pPr>
          </w:p>
        </w:tc>
      </w:tr>
      <w:tr>
        <w:trPr>
          <w:trHeight w:val="442"/>
        </w:trPr>
        <w:tc>
          <w:tcPr>
            <w:tcW w:w="2400" w:type="dxa"/>
            <w:vAlign w:val="bottom"/>
          </w:tcPr>
          <w:p>
            <w:pPr>
              <w:spacing w:after="0"/>
              <w:rPr>
                <w:sz w:val="24"/>
                <w:szCs w:val="24"/>
                <w:color w:val="auto"/>
              </w:rPr>
            </w:pPr>
          </w:p>
        </w:tc>
        <w:tc>
          <w:tcPr>
            <w:tcW w:w="5400" w:type="dxa"/>
            <w:vAlign w:val="bottom"/>
          </w:tcPr>
          <w:p>
            <w:pPr>
              <w:jc w:val="center"/>
              <w:ind w:right="3"/>
              <w:spacing w:after="0"/>
              <w:rPr>
                <w:sz w:val="20"/>
                <w:szCs w:val="20"/>
                <w:color w:val="auto"/>
              </w:rPr>
            </w:pPr>
            <w:r>
              <w:rPr>
                <w:rFonts w:ascii="Arial" w:cs="Arial" w:eastAsia="Arial" w:hAnsi="Arial"/>
                <w:sz w:val="19"/>
                <w:szCs w:val="19"/>
                <w:b w:val="1"/>
                <w:bCs w:val="1"/>
                <w:color w:val="auto"/>
                <w:w w:val="93"/>
              </w:rPr>
              <w:t>Not applicable.</w:t>
            </w:r>
          </w:p>
        </w:tc>
        <w:tc>
          <w:tcPr>
            <w:tcW w:w="2140" w:type="dxa"/>
            <w:vAlign w:val="bottom"/>
          </w:tcPr>
          <w:p>
            <w:pPr>
              <w:spacing w:after="0"/>
              <w:rPr>
                <w:sz w:val="24"/>
                <w:szCs w:val="24"/>
                <w:color w:val="auto"/>
              </w:rPr>
            </w:pPr>
          </w:p>
        </w:tc>
      </w:tr>
      <w:tr>
        <w:trPr>
          <w:trHeight w:val="247"/>
        </w:trPr>
        <w:tc>
          <w:tcPr>
            <w:tcW w:w="2400" w:type="dxa"/>
            <w:vAlign w:val="bottom"/>
          </w:tcPr>
          <w:p>
            <w:pPr>
              <w:spacing w:after="0"/>
              <w:rPr>
                <w:sz w:val="21"/>
                <w:szCs w:val="21"/>
                <w:color w:val="auto"/>
              </w:rPr>
            </w:pPr>
          </w:p>
        </w:tc>
        <w:tc>
          <w:tcPr>
            <w:tcW w:w="5400" w:type="dxa"/>
            <w:vAlign w:val="bottom"/>
          </w:tcPr>
          <w:p>
            <w:pPr>
              <w:jc w:val="center"/>
              <w:ind w:right="3"/>
              <w:spacing w:after="0"/>
              <w:rPr>
                <w:sz w:val="20"/>
                <w:szCs w:val="20"/>
                <w:color w:val="auto"/>
              </w:rPr>
            </w:pPr>
            <w:r>
              <w:rPr>
                <w:rFonts w:ascii="Arial" w:cs="Arial" w:eastAsia="Arial" w:hAnsi="Arial"/>
                <w:sz w:val="19"/>
                <w:szCs w:val="19"/>
                <w:color w:val="auto"/>
                <w:w w:val="92"/>
              </w:rPr>
              <w:t>(Former name or former address, if changed since last report)</w:t>
            </w:r>
          </w:p>
        </w:tc>
        <w:tc>
          <w:tcPr>
            <w:tcW w:w="2140" w:type="dxa"/>
            <w:vAlign w:val="bottom"/>
          </w:tcPr>
          <w:p>
            <w:pPr>
              <w:spacing w:after="0"/>
              <w:rPr>
                <w:sz w:val="21"/>
                <w:szCs w:val="21"/>
                <w:color w:val="auto"/>
              </w:rPr>
            </w:pPr>
          </w:p>
        </w:tc>
      </w:tr>
    </w:tbl>
    <w:p>
      <w:pPr>
        <w:spacing w:after="0" w:line="200" w:lineRule="exact"/>
        <w:rPr>
          <w:sz w:val="24"/>
          <w:szCs w:val="24"/>
          <w:color w:val="auto"/>
        </w:rPr>
      </w:pPr>
    </w:p>
    <w:p>
      <w:pPr>
        <w:spacing w:after="0" w:line="256"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1040" w:type="dxa"/>
            <w:vAlign w:val="bottom"/>
          </w:tcPr>
          <w:p>
            <w:pPr>
              <w:ind w:left="100"/>
              <w:spacing w:after="0"/>
              <w:rPr>
                <w:sz w:val="20"/>
                <w:szCs w:val="20"/>
                <w:color w:val="auto"/>
              </w:rPr>
            </w:pPr>
            <w:r>
              <w:rPr>
                <w:rFonts w:ascii="Arial" w:cs="Arial" w:eastAsia="Arial" w:hAnsi="Arial"/>
                <w:sz w:val="19"/>
                <w:szCs w:val="19"/>
                <w:color w:val="auto"/>
              </w:rPr>
              <w:t>Written communications pursuant to Rule 425 under the Securities Act (17 CFR 230.425)</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1040" w:type="dxa"/>
            <w:vAlign w:val="bottom"/>
          </w:tcPr>
          <w:p>
            <w:pPr>
              <w:ind w:left="100"/>
              <w:spacing w:after="0"/>
              <w:rPr>
                <w:sz w:val="20"/>
                <w:szCs w:val="20"/>
                <w:color w:val="auto"/>
              </w:rPr>
            </w:pPr>
            <w:r>
              <w:rPr>
                <w:rFonts w:ascii="Arial" w:cs="Arial" w:eastAsia="Arial" w:hAnsi="Arial"/>
                <w:sz w:val="19"/>
                <w:szCs w:val="19"/>
                <w:color w:val="auto"/>
              </w:rPr>
              <w:t>Soliciting material pursuant to Rule 14a-12 under the Exchange Act (17 CFR 240.14a-12)</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1040" w:type="dxa"/>
            <w:vAlign w:val="bottom"/>
          </w:tcPr>
          <w:p>
            <w:pPr>
              <w:ind w:left="100"/>
              <w:spacing w:after="0"/>
              <w:rPr>
                <w:sz w:val="20"/>
                <w:szCs w:val="20"/>
                <w:color w:val="auto"/>
              </w:rPr>
            </w:pPr>
            <w:r>
              <w:rPr>
                <w:rFonts w:ascii="Arial" w:cs="Arial" w:eastAsia="Arial" w:hAnsi="Arial"/>
                <w:sz w:val="19"/>
                <w:szCs w:val="19"/>
                <w:color w:val="auto"/>
              </w:rPr>
              <w:t>Pre-commencement communications pursuant to Rule 14d-2(b) under the Exchange Act (17 CFR 240.14d-2(b))</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1040" w:type="dxa"/>
            <w:vAlign w:val="bottom"/>
          </w:tcPr>
          <w:p>
            <w:pPr>
              <w:ind w:left="100"/>
              <w:spacing w:after="0"/>
              <w:rPr>
                <w:sz w:val="20"/>
                <w:szCs w:val="20"/>
                <w:color w:val="auto"/>
              </w:rPr>
            </w:pPr>
            <w:r>
              <w:rPr>
                <w:rFonts w:ascii="Arial" w:cs="Arial" w:eastAsia="Arial" w:hAnsi="Arial"/>
                <w:sz w:val="19"/>
                <w:szCs w:val="19"/>
                <w:color w:val="auto"/>
              </w:rPr>
              <w:t>Pre-commencement communications pursuant to Rule 13e-4(c) under the Exchange Act (17 CFR 240.13e-4(c))</w:t>
            </w:r>
          </w:p>
        </w:tc>
      </w:tr>
      <w:tr>
        <w:trPr>
          <w:trHeight w:val="350"/>
        </w:trPr>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40" w:type="dxa"/>
            <w:vAlign w:val="bottom"/>
          </w:tcPr>
          <w:p>
            <w:pPr>
              <w:spacing w:after="0"/>
              <w:rPr>
                <w:sz w:val="24"/>
                <w:szCs w:val="24"/>
                <w:color w:val="auto"/>
              </w:rPr>
            </w:pPr>
          </w:p>
        </w:tc>
      </w:tr>
      <w:tr>
        <w:trPr>
          <w:trHeight w:val="70"/>
        </w:trPr>
        <w:tc>
          <w:tcPr>
            <w:tcW w:w="140" w:type="dxa"/>
            <w:vAlign w:val="bottom"/>
            <w:shd w:val="clear" w:color="auto" w:fill="808080"/>
          </w:tcPr>
          <w:p>
            <w:pPr>
              <w:spacing w:after="0"/>
              <w:rPr>
                <w:sz w:val="6"/>
                <w:szCs w:val="6"/>
                <w:color w:val="auto"/>
              </w:rPr>
            </w:pPr>
          </w:p>
        </w:tc>
        <w:tc>
          <w:tcPr>
            <w:tcW w:w="240" w:type="dxa"/>
            <w:vAlign w:val="bottom"/>
            <w:shd w:val="clear" w:color="auto" w:fill="808080"/>
          </w:tcPr>
          <w:p>
            <w:pPr>
              <w:spacing w:after="0"/>
              <w:rPr>
                <w:sz w:val="6"/>
                <w:szCs w:val="6"/>
                <w:color w:val="auto"/>
              </w:rPr>
            </w:pPr>
          </w:p>
        </w:tc>
        <w:tc>
          <w:tcPr>
            <w:tcW w:w="11040" w:type="dxa"/>
            <w:vAlign w:val="bottom"/>
            <w:shd w:val="clear" w:color="auto" w:fill="808080"/>
          </w:tcPr>
          <w:p>
            <w:pPr>
              <w:spacing w:after="0"/>
              <w:rPr>
                <w:sz w:val="6"/>
                <w:szCs w:val="6"/>
                <w:color w:val="auto"/>
              </w:rPr>
            </w:pPr>
          </w:p>
        </w:tc>
      </w:tr>
      <w:tr>
        <w:trPr>
          <w:trHeight w:val="447"/>
        </w:trPr>
        <w:tc>
          <w:tcPr>
            <w:tcW w:w="1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1.01. Entry Into a Material Definitive Agreement.</w:t>
      </w:r>
    </w:p>
    <w:p>
      <w:pPr>
        <w:spacing w:after="0" w:line="242" w:lineRule="exact"/>
        <w:rPr>
          <w:sz w:val="20"/>
          <w:szCs w:val="20"/>
          <w:color w:val="auto"/>
        </w:rPr>
      </w:pPr>
    </w:p>
    <w:p>
      <w:pPr>
        <w:ind w:right="140"/>
        <w:spacing w:after="0" w:line="263" w:lineRule="auto"/>
        <w:rPr>
          <w:sz w:val="20"/>
          <w:szCs w:val="20"/>
          <w:color w:val="auto"/>
        </w:rPr>
      </w:pPr>
      <w:r>
        <w:rPr>
          <w:rFonts w:ascii="Arial" w:cs="Arial" w:eastAsia="Arial" w:hAnsi="Arial"/>
          <w:sz w:val="20"/>
          <w:szCs w:val="20"/>
          <w:color w:val="auto"/>
        </w:rPr>
        <w:t>On February 2, 2010, Wynn Resorts, Limited (the “Company”) entered into a fifth amendment to the Employment Agreement, dated as of October 1, 2005, by and between the Company and Matt Maddox, the Company’s Chief Financial Officer and Treasurer. The amendment provides for a base salary payable to Mr. Maddox of $1,000,000 per annum effective November 6, 2009. A copy of the amendment is attached hereto as Exhibit 10.1 and is hereby incorporated by reference.</w:t>
      </w:r>
    </w:p>
    <w:p>
      <w:pPr>
        <w:spacing w:after="0" w:line="179" w:lineRule="exact"/>
        <w:rPr>
          <w:sz w:val="20"/>
          <w:szCs w:val="20"/>
          <w:color w:val="auto"/>
        </w:rPr>
      </w:pPr>
    </w:p>
    <w:p>
      <w:pPr>
        <w:spacing w:after="0" w:line="272"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The information contained in Item 1.01 of this report is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(d)  Exhibits</w:t>
      </w:r>
    </w:p>
    <w:p>
      <w:pPr>
        <w:spacing w:after="0" w:line="236" w:lineRule="exact"/>
        <w:rPr>
          <w:sz w:val="20"/>
          <w:szCs w:val="20"/>
          <w:color w:val="auto"/>
        </w:rPr>
      </w:pPr>
    </w:p>
    <w:p>
      <w:pPr>
        <w:ind w:left="1040" w:right="120" w:hanging="702"/>
        <w:spacing w:after="0" w:line="266" w:lineRule="auto"/>
        <w:tabs>
          <w:tab w:leader="none" w:pos="102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21"/>
          <w:szCs w:val="21"/>
          <w:color w:val="auto"/>
        </w:rPr>
        <w:t>Fifth Amendment to Employment Agreement, dated as of February 2, 2010, by and between Wynn Resorts, Limited and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480060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89"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tabs>
          <w:tab w:leader="none" w:pos="720" w:val="left"/>
        </w:tabs>
        <w:rPr>
          <w:sz w:val="20"/>
          <w:szCs w:val="20"/>
          <w:color w:val="auto"/>
        </w:rPr>
      </w:pPr>
      <w:r>
        <w:rPr>
          <w:rFonts w:ascii="Arial" w:cs="Arial" w:eastAsia="Arial" w:hAnsi="Arial"/>
          <w:sz w:val="21"/>
          <w:szCs w:val="21"/>
          <w:color w:val="auto"/>
        </w:rPr>
        <w:t>Date:</w:t>
        <w:tab/>
        <w:t>February 5, 2010</w:t>
      </w:r>
    </w:p>
    <w:p>
      <w:pPr>
        <w:spacing w:after="0" w:line="236" w:lineRule="exact"/>
        <w:rPr>
          <w:sz w:val="20"/>
          <w:szCs w:val="20"/>
          <w:color w:val="auto"/>
        </w:rPr>
      </w:pPr>
    </w:p>
    <w:p>
      <w:pPr>
        <w:ind w:left="6060"/>
        <w:spacing w:after="0"/>
        <w:rPr>
          <w:sz w:val="20"/>
          <w:szCs w:val="20"/>
          <w:color w:val="auto"/>
        </w:rPr>
      </w:pPr>
      <w:r>
        <w:rPr>
          <w:rFonts w:ascii="Arial" w:cs="Arial" w:eastAsia="Arial" w:hAnsi="Arial"/>
          <w:sz w:val="21"/>
          <w:szCs w:val="21"/>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6060" w:type="dxa"/>
        <w:tblCellMar>
          <w:top w:w="0" w:type="dxa"/>
          <w:left w:w="0" w:type="dxa"/>
          <w:bottom w:w="0" w:type="dxa"/>
          <w:right w:w="0" w:type="dxa"/>
        </w:tblCellMar>
      </w:tblPr>
      <w:tr>
        <w:trPr>
          <w:trHeight w:val="260"/>
        </w:trPr>
        <w:tc>
          <w:tcPr>
            <w:tcW w:w="440" w:type="dxa"/>
            <w:vAlign w:val="bottom"/>
          </w:tcPr>
          <w:p>
            <w:pPr>
              <w:spacing w:after="0"/>
              <w:rPr>
                <w:sz w:val="20"/>
                <w:szCs w:val="20"/>
                <w:color w:val="auto"/>
              </w:rPr>
            </w:pPr>
            <w:r>
              <w:rPr>
                <w:rFonts w:ascii="Arial" w:cs="Arial" w:eastAsia="Arial" w:hAnsi="Arial"/>
                <w:sz w:val="21"/>
                <w:szCs w:val="21"/>
                <w:color w:val="auto"/>
              </w:rPr>
              <w:t>By:</w:t>
            </w:r>
          </w:p>
        </w:tc>
        <w:tc>
          <w:tcPr>
            <w:tcW w:w="140" w:type="dxa"/>
            <w:vAlign w:val="bottom"/>
          </w:tcPr>
          <w:p>
            <w:pPr>
              <w:spacing w:after="0"/>
              <w:rPr>
                <w:sz w:val="22"/>
                <w:szCs w:val="22"/>
                <w:color w:val="auto"/>
              </w:rPr>
            </w:pPr>
          </w:p>
        </w:tc>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Kim Sinatra</w:t>
            </w:r>
          </w:p>
        </w:tc>
      </w:tr>
      <w:tr>
        <w:trPr>
          <w:trHeight w:val="211"/>
        </w:trPr>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Pr>
          <w:p>
            <w:pPr>
              <w:spacing w:after="0" w:line="211" w:lineRule="exact"/>
              <w:rPr>
                <w:sz w:val="20"/>
                <w:szCs w:val="20"/>
                <w:color w:val="auto"/>
              </w:rPr>
            </w:pPr>
            <w:r>
              <w:rPr>
                <w:rFonts w:ascii="Arial" w:cs="Arial" w:eastAsia="Arial" w:hAnsi="Arial"/>
                <w:sz w:val="21"/>
                <w:szCs w:val="21"/>
                <w:color w:val="auto"/>
              </w:rPr>
              <w:t>Kim Sinatra</w:t>
            </w:r>
          </w:p>
        </w:tc>
      </w:tr>
      <w:tr>
        <w:trPr>
          <w:trHeight w:val="239"/>
        </w:trPr>
        <w:tc>
          <w:tcPr>
            <w:tcW w:w="440" w:type="dxa"/>
            <w:vAlign w:val="bottom"/>
          </w:tcPr>
          <w:p>
            <w:pPr>
              <w:spacing w:after="0"/>
              <w:rPr>
                <w:sz w:val="20"/>
                <w:szCs w:val="20"/>
                <w:color w:val="auto"/>
              </w:rPr>
            </w:pPr>
          </w:p>
        </w:tc>
        <w:tc>
          <w:tcPr>
            <w:tcW w:w="4920" w:type="dxa"/>
            <w:vAlign w:val="bottom"/>
            <w:gridSpan w:val="2"/>
          </w:tcPr>
          <w:p>
            <w:pPr>
              <w:ind w:left="140"/>
              <w:spacing w:after="0" w:line="239" w:lineRule="exact"/>
              <w:rPr>
                <w:sz w:val="20"/>
                <w:szCs w:val="20"/>
                <w:color w:val="auto"/>
              </w:rPr>
            </w:pPr>
            <w:r>
              <w:rPr>
                <w:rFonts w:ascii="Arial" w:cs="Arial" w:eastAsia="Arial" w:hAnsi="Arial"/>
                <w:sz w:val="21"/>
                <w:szCs w:val="21"/>
                <w:color w:val="auto"/>
              </w:rPr>
              <w:t>Senior Vice President, General</w:t>
            </w:r>
          </w:p>
        </w:tc>
      </w:tr>
      <w:tr>
        <w:trPr>
          <w:trHeight w:val="271"/>
        </w:trPr>
        <w:tc>
          <w:tcPr>
            <w:tcW w:w="440" w:type="dxa"/>
            <w:vAlign w:val="bottom"/>
          </w:tcPr>
          <w:p>
            <w:pPr>
              <w:spacing w:after="0"/>
              <w:rPr>
                <w:sz w:val="23"/>
                <w:szCs w:val="23"/>
                <w:color w:val="auto"/>
              </w:rPr>
            </w:pPr>
          </w:p>
        </w:tc>
        <w:tc>
          <w:tcPr>
            <w:tcW w:w="4920" w:type="dxa"/>
            <w:vAlign w:val="bottom"/>
            <w:gridSpan w:val="2"/>
          </w:tcPr>
          <w:p>
            <w:pPr>
              <w:ind w:left="140"/>
              <w:spacing w:after="0"/>
              <w:rPr>
                <w:sz w:val="20"/>
                <w:szCs w:val="20"/>
                <w:color w:val="auto"/>
              </w:rPr>
            </w:pPr>
            <w:r>
              <w:rPr>
                <w:rFonts w:ascii="Arial" w:cs="Arial" w:eastAsia="Arial" w:hAnsi="Arial"/>
                <w:sz w:val="21"/>
                <w:szCs w:val="21"/>
                <w:color w:val="auto"/>
              </w:rPr>
              <w:t>Counsel and Secretary</w:t>
            </w:r>
          </w:p>
        </w:tc>
      </w:tr>
    </w:tbl>
    <w:p>
      <w:pPr>
        <w:sectPr>
          <w:pgSz w:w="11900" w:h="16838" w:orient="portrait"/>
          <w:cols w:equalWidth="0" w:num="1">
            <w:col w:w="11420"/>
          </w:cols>
          <w:pgMar w:left="240" w:top="828" w:right="2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21"/>
          <w:szCs w:val="21"/>
          <w:b w:val="1"/>
          <w:bCs w:val="1"/>
          <w:color w:val="auto"/>
        </w:rPr>
        <w:t>Exhibit 10.1</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FIFTH AMENDMENT TO</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EMPLOYMENT AGREEMENT</w:t>
      </w:r>
    </w:p>
    <w:p>
      <w:pPr>
        <w:spacing w:after="0" w:line="210" w:lineRule="exact"/>
        <w:rPr>
          <w:sz w:val="20"/>
          <w:szCs w:val="20"/>
          <w:color w:val="auto"/>
        </w:rPr>
      </w:pPr>
    </w:p>
    <w:p>
      <w:pPr>
        <w:jc w:val="both"/>
        <w:ind w:right="40" w:firstLine="636"/>
        <w:spacing w:after="0" w:line="257" w:lineRule="auto"/>
        <w:rPr>
          <w:sz w:val="20"/>
          <w:szCs w:val="20"/>
          <w:color w:val="auto"/>
        </w:rPr>
      </w:pPr>
      <w:r>
        <w:rPr>
          <w:rFonts w:ascii="Arial" w:cs="Arial" w:eastAsia="Arial" w:hAnsi="Arial"/>
          <w:sz w:val="21"/>
          <w:szCs w:val="21"/>
          <w:color w:val="auto"/>
        </w:rPr>
        <w:t>This FIFTH AMENDMENT TO EMPLOYMENT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is entered into on the 2nd day of February 2010, by and between Wynn Resorts, Limited (“</w:t>
      </w:r>
      <w:r>
        <w:rPr>
          <w:rFonts w:ascii="Arial" w:cs="Arial" w:eastAsia="Arial" w:hAnsi="Arial"/>
          <w:sz w:val="21"/>
          <w:szCs w:val="21"/>
          <w:b w:val="1"/>
          <w:bCs w:val="1"/>
          <w:color w:val="auto"/>
        </w:rPr>
        <w:t>Employer</w:t>
      </w:r>
      <w:r>
        <w:rPr>
          <w:rFonts w:ascii="Arial" w:cs="Arial" w:eastAsia="Arial" w:hAnsi="Arial"/>
          <w:sz w:val="21"/>
          <w:szCs w:val="21"/>
          <w:color w:val="auto"/>
        </w:rPr>
        <w:t>”) and Matt Maddox ("</w:t>
      </w:r>
      <w:r>
        <w:rPr>
          <w:rFonts w:ascii="Arial" w:cs="Arial" w:eastAsia="Arial" w:hAnsi="Arial"/>
          <w:sz w:val="21"/>
          <w:szCs w:val="21"/>
          <w:b w:val="1"/>
          <w:bCs w:val="1"/>
          <w:color w:val="auto"/>
        </w:rPr>
        <w:t>Employee</w:t>
      </w:r>
      <w:r>
        <w:rPr>
          <w:rFonts w:ascii="Arial" w:cs="Arial" w:eastAsia="Arial" w:hAnsi="Arial"/>
          <w:sz w:val="21"/>
          <w:szCs w:val="21"/>
          <w:color w:val="auto"/>
        </w:rPr>
        <w:t>"). Capitalized terms that are not defined herein shall have the meanings ascribed to them in the Agreement (as defined below).</w:t>
      </w:r>
    </w:p>
    <w:p>
      <w:pPr>
        <w:spacing w:after="0" w:line="200" w:lineRule="exact"/>
        <w:rPr>
          <w:sz w:val="20"/>
          <w:szCs w:val="20"/>
          <w:color w:val="auto"/>
        </w:rPr>
      </w:pPr>
    </w:p>
    <w:p>
      <w:pPr>
        <w:spacing w:after="0" w:line="218" w:lineRule="exact"/>
        <w:rPr>
          <w:sz w:val="20"/>
          <w:szCs w:val="20"/>
          <w:color w:val="auto"/>
        </w:rPr>
      </w:pPr>
    </w:p>
    <w:p>
      <w:pPr>
        <w:jc w:val="center"/>
        <w:ind w:right="260"/>
        <w:spacing w:after="0"/>
        <w:rPr>
          <w:sz w:val="20"/>
          <w:szCs w:val="20"/>
          <w:color w:val="auto"/>
        </w:rPr>
      </w:pPr>
      <w:r>
        <w:rPr>
          <w:rFonts w:ascii="Arial" w:cs="Arial" w:eastAsia="Arial" w:hAnsi="Arial"/>
          <w:sz w:val="21"/>
          <w:szCs w:val="21"/>
          <w:b w:val="1"/>
          <w:bCs w:val="1"/>
          <w:color w:val="auto"/>
        </w:rPr>
        <w:t>RECITALS</w:t>
      </w:r>
    </w:p>
    <w:p>
      <w:pPr>
        <w:spacing w:after="0" w:line="262" w:lineRule="exact"/>
        <w:rPr>
          <w:sz w:val="20"/>
          <w:szCs w:val="20"/>
          <w:color w:val="auto"/>
        </w:rPr>
      </w:pPr>
    </w:p>
    <w:p>
      <w:pPr>
        <w:jc w:val="both"/>
        <w:ind w:right="40" w:firstLine="636"/>
        <w:spacing w:after="0"/>
        <w:rPr>
          <w:sz w:val="20"/>
          <w:szCs w:val="20"/>
          <w:color w:val="auto"/>
        </w:rPr>
      </w:pPr>
      <w:r>
        <w:rPr>
          <w:rFonts w:ascii="Arial" w:cs="Arial" w:eastAsia="Arial" w:hAnsi="Arial"/>
          <w:sz w:val="21"/>
          <w:szCs w:val="21"/>
          <w:color w:val="auto"/>
        </w:rPr>
        <w:t>WHEREAS, Employer and Employee are party to that certain Employment Agreement, dated as of October 1, 2005, by and between Wynn Las Vegas, LLC and Employee, subsequently assigned to Employer, as amended by that certain First Amendment to Employment Agreement, dated as of May 5, 2008, as further amended by that certain Second Amendment to Employment Agreement, dated as of December 31, 2008, and as further amended by that certain Amendment to Employment Agreement, dated as of February 13, 2009, and Fourth Amendment to Employment Agreement dated March 9, 2009 (collectively, the "</w:t>
      </w:r>
      <w:r>
        <w:rPr>
          <w:rFonts w:ascii="Arial" w:cs="Arial" w:eastAsia="Arial" w:hAnsi="Arial"/>
          <w:sz w:val="21"/>
          <w:szCs w:val="21"/>
          <w:b w:val="1"/>
          <w:bCs w:val="1"/>
          <w:color w:val="auto"/>
        </w:rPr>
        <w:t>Agreement</w:t>
      </w:r>
      <w:r>
        <w:rPr>
          <w:rFonts w:ascii="Arial" w:cs="Arial" w:eastAsia="Arial" w:hAnsi="Arial"/>
          <w:sz w:val="21"/>
          <w:szCs w:val="21"/>
          <w:color w:val="auto"/>
        </w:rPr>
        <w:t>"); and</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WHEREAS, the parties have agreed to amend the Agreement as provided herein;</w:t>
      </w:r>
    </w:p>
    <w:p>
      <w:pPr>
        <w:spacing w:after="0" w:line="236" w:lineRule="exact"/>
        <w:rPr>
          <w:sz w:val="20"/>
          <w:szCs w:val="20"/>
          <w:color w:val="auto"/>
        </w:rPr>
      </w:pPr>
    </w:p>
    <w:p>
      <w:pPr>
        <w:jc w:val="both"/>
        <w:ind w:right="40" w:firstLine="636"/>
        <w:spacing w:after="0" w:line="251" w:lineRule="auto"/>
        <w:rPr>
          <w:sz w:val="20"/>
          <w:szCs w:val="20"/>
          <w:color w:val="auto"/>
        </w:rPr>
      </w:pPr>
      <w:r>
        <w:rPr>
          <w:rFonts w:ascii="Arial" w:cs="Arial" w:eastAsia="Arial" w:hAnsi="Arial"/>
          <w:sz w:val="21"/>
          <w:szCs w:val="21"/>
          <w:color w:val="auto"/>
        </w:rPr>
        <w:t>NOW THEREFORE, in consideration of the above and other good and valuable consideration, the receipt and sufficiency of which is hereby acknowledged, the parties agree as follows:</w:t>
      </w:r>
    </w:p>
    <w:p>
      <w:pPr>
        <w:spacing w:after="0" w:line="211" w:lineRule="exact"/>
        <w:rPr>
          <w:sz w:val="20"/>
          <w:szCs w:val="20"/>
          <w:color w:val="auto"/>
        </w:rPr>
      </w:pPr>
    </w:p>
    <w:p>
      <w:pPr>
        <w:ind w:right="460" w:firstLine="642"/>
        <w:spacing w:after="0" w:line="251" w:lineRule="auto"/>
        <w:tabs>
          <w:tab w:leader="none" w:pos="1026"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Section 7(a) of the Agreement is amended to provide that effective November 6, 2009, Base Salary paid to Employee shall be One Million Dollars per annum.</w:t>
      </w:r>
    </w:p>
    <w:p>
      <w:pPr>
        <w:spacing w:after="0" w:line="210" w:lineRule="exact"/>
        <w:rPr>
          <w:rFonts w:ascii="Arial" w:cs="Arial" w:eastAsia="Arial" w:hAnsi="Arial"/>
          <w:sz w:val="21"/>
          <w:szCs w:val="21"/>
          <w:color w:val="auto"/>
        </w:rPr>
      </w:pPr>
    </w:p>
    <w:p>
      <w:pPr>
        <w:ind w:right="100" w:firstLine="642"/>
        <w:spacing w:after="0" w:line="251" w:lineRule="auto"/>
        <w:tabs>
          <w:tab w:leader="none" w:pos="1026"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Other Provisions of Agreement</w:t>
      </w:r>
      <w:r>
        <w:rPr>
          <w:rFonts w:ascii="Arial" w:cs="Arial" w:eastAsia="Arial" w:hAnsi="Arial"/>
          <w:sz w:val="21"/>
          <w:szCs w:val="21"/>
          <w:color w:val="auto"/>
        </w:rPr>
        <w:t>. The parties acknowledge that the Agreement is being modified only as stated herein, and agree that nothing else in the Agreement shall be affected by this Amendment.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80" w:firstLine="636"/>
        <w:spacing w:after="0" w:line="251" w:lineRule="auto"/>
        <w:rPr>
          <w:sz w:val="20"/>
          <w:szCs w:val="20"/>
          <w:color w:val="auto"/>
        </w:rPr>
      </w:pPr>
      <w:r>
        <w:rPr>
          <w:rFonts w:ascii="Arial" w:cs="Arial" w:eastAsia="Arial" w:hAnsi="Arial"/>
          <w:sz w:val="21"/>
          <w:szCs w:val="21"/>
          <w:color w:val="auto"/>
        </w:rPr>
        <w:t>IN WITNESS WHEREOF, the parties hereto have caused this Amendment to be executed as of the date first written above.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40" w:type="dxa"/>
            <w:vAlign w:val="bottom"/>
            <w:gridSpan w:val="2"/>
          </w:tcPr>
          <w:p>
            <w:pPr>
              <w:spacing w:after="0"/>
              <w:rPr>
                <w:sz w:val="20"/>
                <w:szCs w:val="20"/>
                <w:color w:val="auto"/>
              </w:rPr>
            </w:pPr>
            <w:r>
              <w:rPr>
                <w:rFonts w:ascii="Arial" w:cs="Arial" w:eastAsia="Arial" w:hAnsi="Arial"/>
                <w:sz w:val="21"/>
                <w:szCs w:val="21"/>
                <w:b w:val="1"/>
                <w:bCs w:val="1"/>
                <w:color w:val="auto"/>
              </w:rPr>
              <w:t>WYNN RESORTS, LIMITED</w:t>
            </w:r>
          </w:p>
        </w:tc>
        <w:tc>
          <w:tcPr>
            <w:tcW w:w="6280" w:type="dxa"/>
            <w:vAlign w:val="bottom"/>
            <w:gridSpan w:val="2"/>
          </w:tcPr>
          <w:p>
            <w:pPr>
              <w:ind w:left="560"/>
              <w:spacing w:after="0"/>
              <w:rPr>
                <w:sz w:val="20"/>
                <w:szCs w:val="20"/>
                <w:color w:val="auto"/>
              </w:rPr>
            </w:pPr>
            <w:r>
              <w:rPr>
                <w:rFonts w:ascii="Arial" w:cs="Arial" w:eastAsia="Arial" w:hAnsi="Arial"/>
                <w:sz w:val="21"/>
                <w:szCs w:val="21"/>
                <w:b w:val="1"/>
                <w:bCs w:val="1"/>
                <w:color w:val="auto"/>
              </w:rPr>
              <w:t>EMPLOYEE</w:t>
            </w:r>
          </w:p>
        </w:tc>
        <w:tc>
          <w:tcPr>
            <w:tcW w:w="20" w:type="dxa"/>
            <w:vAlign w:val="bottom"/>
          </w:tcPr>
          <w:p>
            <w:pPr>
              <w:spacing w:after="0"/>
              <w:rPr>
                <w:sz w:val="24"/>
                <w:szCs w:val="24"/>
                <w:color w:val="auto"/>
              </w:rPr>
            </w:pPr>
          </w:p>
        </w:tc>
      </w:tr>
      <w:tr>
        <w:trPr>
          <w:trHeight w:val="652"/>
        </w:trPr>
        <w:tc>
          <w:tcPr>
            <w:tcW w:w="5140" w:type="dxa"/>
            <w:vAlign w:val="bottom"/>
            <w:gridSpan w:val="2"/>
          </w:tcPr>
          <w:p>
            <w:pPr>
              <w:spacing w:after="0"/>
              <w:rPr>
                <w:sz w:val="20"/>
                <w:szCs w:val="20"/>
                <w:color w:val="auto"/>
              </w:rPr>
            </w:pPr>
            <w:r>
              <w:rPr>
                <w:rFonts w:ascii="Arial" w:cs="Arial" w:eastAsia="Arial" w:hAnsi="Arial"/>
                <w:sz w:val="21"/>
                <w:szCs w:val="21"/>
                <w:color w:val="auto"/>
              </w:rPr>
              <w:t>By:   /s/ Marc D. Schorr</w:t>
            </w:r>
          </w:p>
        </w:tc>
        <w:tc>
          <w:tcPr>
            <w:tcW w:w="800" w:type="dxa"/>
            <w:vAlign w:val="bottom"/>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21"/>
                <w:szCs w:val="21"/>
                <w:color w:val="auto"/>
              </w:rPr>
              <w:t>/s/ Matt Maddox</w:t>
            </w:r>
          </w:p>
        </w:tc>
        <w:tc>
          <w:tcPr>
            <w:tcW w:w="20" w:type="dxa"/>
            <w:vAlign w:val="bottom"/>
          </w:tcPr>
          <w:p>
            <w:pPr>
              <w:spacing w:after="0"/>
              <w:rPr>
                <w:sz w:val="24"/>
                <w:szCs w:val="24"/>
                <w:color w:val="auto"/>
              </w:rPr>
            </w:pPr>
          </w:p>
        </w:tc>
      </w:tr>
      <w:tr>
        <w:trPr>
          <w:trHeight w:val="249"/>
        </w:trPr>
        <w:tc>
          <w:tcPr>
            <w:tcW w:w="580" w:type="dxa"/>
            <w:vAlign w:val="bottom"/>
          </w:tcPr>
          <w:p>
            <w:pPr>
              <w:spacing w:after="0"/>
              <w:rPr>
                <w:sz w:val="21"/>
                <w:szCs w:val="21"/>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Marc D. Schorr, COO</w:t>
            </w:r>
          </w:p>
        </w:tc>
        <w:tc>
          <w:tcPr>
            <w:tcW w:w="800" w:type="dxa"/>
            <w:vAlign w:val="bottom"/>
          </w:tcPr>
          <w:p>
            <w:pPr>
              <w:spacing w:after="0"/>
              <w:rPr>
                <w:sz w:val="21"/>
                <w:szCs w:val="21"/>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Matt Maddox</w:t>
            </w:r>
          </w:p>
        </w:tc>
        <w:tc>
          <w:tcPr>
            <w:tcW w:w="20" w:type="dxa"/>
            <w:vAlign w:val="bottom"/>
          </w:tcPr>
          <w:p>
            <w:pPr>
              <w:spacing w:after="0"/>
              <w:rPr>
                <w:sz w:val="21"/>
                <w:szCs w:val="21"/>
                <w:color w:val="auto"/>
              </w:rPr>
            </w:pPr>
          </w:p>
        </w:tc>
      </w:tr>
      <w:tr>
        <w:trPr>
          <w:trHeight w:val="788"/>
        </w:trPr>
        <w:tc>
          <w:tcPr>
            <w:tcW w:w="5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7259320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40"/>
      </w:cols>
      <w:pgMar w:left="240" w:top="11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2019-12-10T20:50:56Z</dcterms:created>
  <dcterms:modified xsi:type="dcterms:W3CDTF">2019-12-10T20:50:56Z</dcterms:modified>
</cp:coreProperties>
</file>