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December 14, 2004</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55"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(I.E.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2520" w:space="420"/>
            <w:col w:w="3899"/>
          </w:cols>
          <w:pgMar w:left="240" w:top="447" w:right="1440" w:bottom="55" w:gutter="0" w:footer="0" w:header="0"/>
          <w:type w:val="continuous"/>
        </w:sectPr>
      </w:pPr>
    </w:p>
    <w:p>
      <w:pPr>
        <w:spacing w:after="0" w:line="204"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2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447" w:right="1440" w:bottom="55" w:gutter="0" w:footer="0" w:header="0"/>
          <w:type w:val="continuous"/>
        </w:sectPr>
      </w:pPr>
    </w:p>
    <w:p>
      <w:pPr>
        <w:spacing w:after="0" w:line="226"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(702) 770-7555</w:t>
      </w:r>
    </w:p>
    <w:p>
      <w:pPr>
        <w:sectPr>
          <w:pgSz w:w="11900" w:h="16838" w:orient="portrait"/>
          <w:cols w:equalWidth="0" w:num="1">
            <w:col w:w="10219"/>
          </w:cols>
          <w:pgMar w:left="240" w:top="447" w:right="1440" w:bottom="55"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On December 14, 2004, Wynn Las Vegas, LLC, a subsidiary of the Registrant, entered into an interest rate swap agreement with Deutsche Bank AG and JPMorgan Chase Bank, NA (together, the "Banks") to hedge a portion of the underlying interest risk on future borrowings under Wynn Las Vegas' new $1.0 billion credit facility. Pursuant to the hedge agreement, Wynn Las Vegas will pay to the Banks a fixed interest rate of approximately 3.8% on borrowings estimated to be incurred under the $400 million term loan portion of the credit facilities, in exchange for payments from the Banks on the same amounts at a variable interest rate based on the applicable London Interbank Offered Rate ("LIBOR") at the time of payment. The term of the hedge agreement is March 15, 2005 through December 31, 2008. Wynn Las Vegas' credit facility currently provides for interest charged on outstanding borrowings at LIBOR plus up to</w:t>
      </w:r>
    </w:p>
    <w:p>
      <w:pPr>
        <w:spacing w:after="0" w:line="18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2.25% on up to $600 million of revolving loans and LIBOR plus up to 2.125% on up to $400 million of available term loans. Wynn Las Vegas currently has no amounts outstanding under the credit facility. As a result of this hedge agreement, and the recent issuance of $1.3 billion of 6.625% First Mortgage Notes due 2014 by Wynn Las Vegas, LLC and Wynn Las Vegas Capital Corp., interest rates are effectively fixed on approximately 74% of Wynn Las Vegas, LLC's total available debt.</w:t>
      </w:r>
    </w:p>
    <w:p>
      <w:pPr>
        <w:sectPr>
          <w:pgSz w:w="11900" w:h="16838" w:orient="portrait"/>
          <w:cols w:equalWidth="0" w:num="1">
            <w:col w:w="10219"/>
          </w:cols>
          <w:pgMar w:left="240" w:top="447" w:right="1440" w:bottom="55"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Marc Schorr</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Marc Schorr</w:t>
      </w:r>
    </w:p>
    <w:p>
      <w:pPr>
        <w:ind w:left="5060"/>
        <w:spacing w:after="0" w:line="238" w:lineRule="auto"/>
        <w:rPr>
          <w:sz w:val="20"/>
          <w:szCs w:val="20"/>
          <w:color w:val="auto"/>
        </w:rPr>
      </w:pPr>
      <w:r>
        <w:rPr>
          <w:rFonts w:ascii="Courier New" w:cs="Courier New" w:eastAsia="Courier New" w:hAnsi="Courier New"/>
          <w:sz w:val="18"/>
          <w:szCs w:val="18"/>
          <w:color w:val="auto"/>
        </w:rPr>
        <w:t>Chief Operating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2019-12-15T07:19:49Z</dcterms:created>
  <dcterms:modified xsi:type="dcterms:W3CDTF">2019-12-15T07:19:49Z</dcterms:modified>
</cp:coreProperties>
</file>