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339090</wp:posOffset>
            </wp:positionV>
            <wp:extent cx="28987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384175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66" w:lineRule="exact"/>
        <w:rPr>
          <w:sz w:val="24"/>
          <w:szCs w:val="24"/>
          <w:color w:val="auto"/>
        </w:rPr>
      </w:pPr>
    </w:p>
    <w:p>
      <w:pPr>
        <w:ind w:left="4280"/>
        <w:spacing w:after="0"/>
        <w:rPr>
          <w:sz w:val="20"/>
          <w:szCs w:val="20"/>
          <w:color w:val="auto"/>
        </w:rPr>
      </w:pPr>
      <w:r>
        <w:rPr>
          <w:rFonts w:ascii="Arial" w:cs="Arial" w:eastAsia="Arial" w:hAnsi="Arial"/>
          <w:sz w:val="22"/>
          <w:szCs w:val="22"/>
          <w:b w:val="1"/>
          <w:bCs w:val="1"/>
          <w:color w:val="auto"/>
        </w:rPr>
        <w:t>Pursuant to Section 13 or 15(d)</w:t>
      </w:r>
    </w:p>
    <w:p>
      <w:pPr>
        <w:spacing w:after="0" w:line="2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4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April 14,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474345</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4"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WYNN RESORTS, LIMITED</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347980</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tbl>
      <w:tblPr>
        <w:tblLayout w:type="fixed"/>
        <w:tblInd w:w="700" w:type="dxa"/>
        <w:tblCellMar>
          <w:top w:w="0" w:type="dxa"/>
          <w:left w:w="0" w:type="dxa"/>
          <w:bottom w:w="0" w:type="dxa"/>
          <w:right w:w="0" w:type="dxa"/>
        </w:tblCellMar>
      </w:tblPr>
      <w:tr>
        <w:trPr>
          <w:trHeight w:val="234"/>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90"/>
              </w:rPr>
              <w:t>Nevada</w:t>
            </w:r>
          </w:p>
        </w:tc>
        <w:tc>
          <w:tcPr>
            <w:tcW w:w="4800" w:type="dxa"/>
            <w:vAlign w:val="bottom"/>
          </w:tcPr>
          <w:p>
            <w:pPr>
              <w:ind w:left="1900"/>
              <w:spacing w:after="0"/>
              <w:rPr>
                <w:sz w:val="20"/>
                <w:szCs w:val="20"/>
                <w:color w:val="auto"/>
              </w:rPr>
            </w:pPr>
            <w:r>
              <w:rPr>
                <w:rFonts w:ascii="Arial" w:cs="Arial" w:eastAsia="Arial" w:hAnsi="Arial"/>
                <w:sz w:val="18"/>
                <w:szCs w:val="18"/>
                <w:b w:val="1"/>
                <w:bCs w:val="1"/>
                <w:color w:val="auto"/>
              </w:rPr>
              <w:t>000-50028</w:t>
            </w:r>
          </w:p>
        </w:tc>
        <w:tc>
          <w:tcPr>
            <w:tcW w:w="1800" w:type="dxa"/>
            <w:vAlign w:val="bottom"/>
          </w:tcPr>
          <w:p>
            <w:pPr>
              <w:jc w:val="right"/>
              <w:ind w:right="41"/>
              <w:spacing w:after="0"/>
              <w:rPr>
                <w:sz w:val="20"/>
                <w:szCs w:val="20"/>
                <w:color w:val="auto"/>
              </w:rPr>
            </w:pPr>
            <w:r>
              <w:rPr>
                <w:rFonts w:ascii="Arial" w:cs="Arial" w:eastAsia="Arial" w:hAnsi="Arial"/>
                <w:sz w:val="18"/>
                <w:szCs w:val="18"/>
                <w:b w:val="1"/>
                <w:bCs w:val="1"/>
                <w:color w:val="auto"/>
              </w:rPr>
              <w:t>46-0484987</w:t>
            </w:r>
          </w:p>
        </w:tc>
        <w:tc>
          <w:tcPr>
            <w:tcW w:w="0" w:type="dxa"/>
            <w:vAlign w:val="bottom"/>
          </w:tcPr>
          <w:p>
            <w:pPr>
              <w:spacing w:after="0"/>
              <w:rPr>
                <w:sz w:val="1"/>
                <w:szCs w:val="1"/>
                <w:color w:val="auto"/>
              </w:rPr>
            </w:pPr>
          </w:p>
        </w:tc>
      </w:tr>
      <w:tr>
        <w:trPr>
          <w:trHeight w:val="180"/>
        </w:trPr>
        <w:tc>
          <w:tcPr>
            <w:tcW w:w="280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(State or other jurisdiction</w:t>
            </w:r>
          </w:p>
        </w:tc>
        <w:tc>
          <w:tcPr>
            <w:tcW w:w="4800" w:type="dxa"/>
            <w:vAlign w:val="bottom"/>
          </w:tcPr>
          <w:p>
            <w:pPr>
              <w:ind w:left="1880"/>
              <w:spacing w:after="0"/>
              <w:rPr>
                <w:sz w:val="20"/>
                <w:szCs w:val="20"/>
                <w:color w:val="auto"/>
              </w:rPr>
            </w:pPr>
            <w:r>
              <w:rPr>
                <w:rFonts w:ascii="Arial" w:cs="Arial" w:eastAsia="Arial" w:hAnsi="Arial"/>
                <w:sz w:val="14"/>
                <w:szCs w:val="14"/>
                <w:b w:val="1"/>
                <w:bCs w:val="1"/>
                <w:color w:val="auto"/>
              </w:rPr>
              <w:t>(Commission</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6"/>
              </w:rPr>
              <w:t>(IRS Employer</w:t>
            </w:r>
          </w:p>
        </w:tc>
        <w:tc>
          <w:tcPr>
            <w:tcW w:w="0" w:type="dxa"/>
            <w:vAlign w:val="bottom"/>
          </w:tcPr>
          <w:p>
            <w:pPr>
              <w:spacing w:after="0"/>
              <w:rPr>
                <w:sz w:val="1"/>
                <w:szCs w:val="1"/>
                <w:color w:val="auto"/>
              </w:rPr>
            </w:pPr>
          </w:p>
        </w:tc>
      </w:tr>
      <w:tr>
        <w:trPr>
          <w:trHeight w:val="186"/>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4"/>
              </w:rPr>
              <w:t>of incorporation)</w:t>
            </w:r>
          </w:p>
        </w:tc>
        <w:tc>
          <w:tcPr>
            <w:tcW w:w="4800" w:type="dxa"/>
            <w:vAlign w:val="bottom"/>
          </w:tcPr>
          <w:p>
            <w:pPr>
              <w:ind w:left="1860"/>
              <w:spacing w:after="0"/>
              <w:rPr>
                <w:sz w:val="20"/>
                <w:szCs w:val="20"/>
                <w:color w:val="auto"/>
              </w:rPr>
            </w:pPr>
            <w:r>
              <w:rPr>
                <w:rFonts w:ascii="Arial" w:cs="Arial" w:eastAsia="Arial" w:hAnsi="Arial"/>
                <w:sz w:val="14"/>
                <w:szCs w:val="14"/>
                <w:b w:val="1"/>
                <w:bCs w:val="1"/>
                <w:color w:val="auto"/>
              </w:rPr>
              <w:t>File Number)</w:t>
            </w:r>
          </w:p>
        </w:tc>
        <w:tc>
          <w:tcPr>
            <w:tcW w:w="1800" w:type="dxa"/>
            <w:vAlign w:val="bottom"/>
          </w:tcPr>
          <w:p>
            <w:pPr>
              <w:jc w:val="center"/>
              <w:ind w:left="601"/>
              <w:spacing w:after="0"/>
              <w:rPr>
                <w:sz w:val="20"/>
                <w:szCs w:val="20"/>
                <w:color w:val="auto"/>
              </w:rPr>
            </w:pPr>
            <w:r>
              <w:rPr>
                <w:rFonts w:ascii="Arial" w:cs="Arial" w:eastAsia="Arial" w:hAnsi="Arial"/>
                <w:sz w:val="14"/>
                <w:szCs w:val="14"/>
                <w:b w:val="1"/>
                <w:bCs w:val="1"/>
                <w:color w:val="auto"/>
                <w:w w:val="94"/>
              </w:rPr>
              <w:t>Identification No.)</w:t>
            </w:r>
          </w:p>
        </w:tc>
        <w:tc>
          <w:tcPr>
            <w:tcW w:w="0" w:type="dxa"/>
            <w:vAlign w:val="bottom"/>
          </w:tcPr>
          <w:p>
            <w:pPr>
              <w:spacing w:after="0"/>
              <w:rPr>
                <w:sz w:val="1"/>
                <w:szCs w:val="1"/>
                <w:color w:val="auto"/>
              </w:rPr>
            </w:pPr>
          </w:p>
        </w:tc>
      </w:tr>
      <w:tr>
        <w:trPr>
          <w:trHeight w:val="561"/>
        </w:trPr>
        <w:tc>
          <w:tcPr>
            <w:tcW w:w="2800" w:type="dxa"/>
            <w:vAlign w:val="bottom"/>
          </w:tcPr>
          <w:p>
            <w:pPr>
              <w:jc w:val="center"/>
              <w:ind w:right="219"/>
              <w:spacing w:after="0"/>
              <w:rPr>
                <w:sz w:val="20"/>
                <w:szCs w:val="20"/>
                <w:color w:val="auto"/>
              </w:rPr>
            </w:pPr>
            <w:r>
              <w:rPr>
                <w:rFonts w:ascii="Arial" w:cs="Arial" w:eastAsia="Arial" w:hAnsi="Arial"/>
                <w:sz w:val="18"/>
                <w:szCs w:val="18"/>
                <w:b w:val="1"/>
                <w:bCs w:val="1"/>
                <w:color w:val="auto"/>
                <w:w w:val="88"/>
              </w:rPr>
              <w:t>3131 Las Vegas Boulevard South</w:t>
            </w:r>
          </w:p>
        </w:tc>
        <w:tc>
          <w:tcPr>
            <w:tcW w:w="48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0" w:type="dxa"/>
            <w:vAlign w:val="bottom"/>
          </w:tcPr>
          <w:p>
            <w:pPr>
              <w:jc w:val="center"/>
              <w:ind w:right="199"/>
              <w:spacing w:after="0"/>
              <w:rPr>
                <w:sz w:val="20"/>
                <w:szCs w:val="20"/>
                <w:color w:val="auto"/>
              </w:rPr>
            </w:pPr>
            <w:r>
              <w:rPr>
                <w:rFonts w:ascii="Arial" w:cs="Arial" w:eastAsia="Arial" w:hAnsi="Arial"/>
                <w:sz w:val="18"/>
                <w:szCs w:val="18"/>
                <w:b w:val="1"/>
                <w:bCs w:val="1"/>
                <w:color w:val="auto"/>
                <w:w w:val="88"/>
              </w:rPr>
              <w:t>Las Vegas, Nevada</w:t>
            </w:r>
          </w:p>
        </w:tc>
        <w:tc>
          <w:tcPr>
            <w:tcW w:w="4800" w:type="dxa"/>
            <w:vAlign w:val="bottom"/>
          </w:tcPr>
          <w:p>
            <w:pPr>
              <w:spacing w:after="0"/>
              <w:rPr>
                <w:sz w:val="20"/>
                <w:szCs w:val="20"/>
                <w:color w:val="auto"/>
              </w:rPr>
            </w:pPr>
          </w:p>
        </w:tc>
        <w:tc>
          <w:tcPr>
            <w:tcW w:w="1800" w:type="dxa"/>
            <w:vAlign w:val="bottom"/>
          </w:tcPr>
          <w:p>
            <w:pPr>
              <w:jc w:val="right"/>
              <w:ind w:right="261"/>
              <w:spacing w:after="0"/>
              <w:rPr>
                <w:sz w:val="20"/>
                <w:szCs w:val="20"/>
                <w:color w:val="auto"/>
              </w:rPr>
            </w:pPr>
            <w:r>
              <w:rPr>
                <w:rFonts w:ascii="Arial" w:cs="Arial" w:eastAsia="Arial" w:hAnsi="Arial"/>
                <w:sz w:val="18"/>
                <w:szCs w:val="18"/>
                <w:b w:val="1"/>
                <w:bCs w:val="1"/>
                <w:color w:val="auto"/>
              </w:rPr>
              <w:t>89109</w:t>
            </w:r>
          </w:p>
        </w:tc>
        <w:tc>
          <w:tcPr>
            <w:tcW w:w="0" w:type="dxa"/>
            <w:vAlign w:val="bottom"/>
          </w:tcPr>
          <w:p>
            <w:pPr>
              <w:spacing w:after="0"/>
              <w:rPr>
                <w:sz w:val="1"/>
                <w:szCs w:val="1"/>
                <w:color w:val="auto"/>
              </w:rPr>
            </w:pPr>
          </w:p>
        </w:tc>
      </w:tr>
      <w:tr>
        <w:trPr>
          <w:trHeight w:val="218"/>
        </w:trPr>
        <w:tc>
          <w:tcPr>
            <w:tcW w:w="2800" w:type="dxa"/>
            <w:vAlign w:val="bottom"/>
          </w:tcPr>
          <w:p>
            <w:pPr>
              <w:jc w:val="center"/>
              <w:ind w:right="21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800" w:type="dxa"/>
            <w:vAlign w:val="bottom"/>
          </w:tcPr>
          <w:p>
            <w:pPr>
              <w:spacing w:after="0"/>
              <w:rPr>
                <w:sz w:val="18"/>
                <w:szCs w:val="18"/>
                <w:color w:val="auto"/>
              </w:rPr>
            </w:pPr>
          </w:p>
        </w:tc>
        <w:tc>
          <w:tcPr>
            <w:tcW w:w="1800" w:type="dxa"/>
            <w:vAlign w:val="bottom"/>
            <w:vMerge w:val="restart"/>
          </w:tcPr>
          <w:p>
            <w:pPr>
              <w:jc w:val="center"/>
              <w:ind w:left="601"/>
              <w:spacing w:after="0"/>
              <w:rPr>
                <w:sz w:val="20"/>
                <w:szCs w:val="20"/>
                <w:color w:val="auto"/>
              </w:rPr>
            </w:pPr>
            <w:r>
              <w:rPr>
                <w:rFonts w:ascii="Arial" w:cs="Arial" w:eastAsia="Arial" w:hAnsi="Arial"/>
                <w:sz w:val="14"/>
                <w:szCs w:val="14"/>
                <w:b w:val="1"/>
                <w:bCs w:val="1"/>
                <w:color w:val="auto"/>
                <w:w w:val="98"/>
              </w:rPr>
              <w:t>(Zip Code)</w:t>
            </w:r>
          </w:p>
        </w:tc>
        <w:tc>
          <w:tcPr>
            <w:tcW w:w="0" w:type="dxa"/>
            <w:vAlign w:val="bottom"/>
          </w:tcPr>
          <w:p>
            <w:pPr>
              <w:spacing w:after="0"/>
              <w:rPr>
                <w:sz w:val="1"/>
                <w:szCs w:val="1"/>
                <w:color w:val="auto"/>
              </w:rPr>
            </w:pPr>
          </w:p>
        </w:tc>
      </w:tr>
      <w:tr>
        <w:trPr>
          <w:trHeight w:val="68"/>
        </w:trPr>
        <w:tc>
          <w:tcPr>
            <w:tcW w:w="2800" w:type="dxa"/>
            <w:vAlign w:val="bottom"/>
          </w:tcPr>
          <w:p>
            <w:pPr>
              <w:spacing w:after="0"/>
              <w:rPr>
                <w:sz w:val="5"/>
                <w:szCs w:val="5"/>
                <w:color w:val="auto"/>
              </w:rPr>
            </w:pPr>
          </w:p>
        </w:tc>
        <w:tc>
          <w:tcPr>
            <w:tcW w:w="480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0"/>
              </w:rPr>
              <w:t>(702) 770-7555</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30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4"/>
        </w:trPr>
        <w:tc>
          <w:tcPr>
            <w:tcW w:w="2800" w:type="dxa"/>
            <w:vAlign w:val="bottom"/>
          </w:tcPr>
          <w:p>
            <w:pPr>
              <w:spacing w:after="0"/>
              <w:rPr>
                <w:sz w:val="24"/>
                <w:szCs w:val="24"/>
                <w:color w:val="auto"/>
              </w:rPr>
            </w:pPr>
          </w:p>
        </w:tc>
        <w:tc>
          <w:tcPr>
            <w:tcW w:w="4800" w:type="dxa"/>
            <w:vAlign w:val="bottom"/>
          </w:tcPr>
          <w:p>
            <w:pPr>
              <w:jc w:val="center"/>
              <w:ind w:right="280"/>
              <w:spacing w:after="0"/>
              <w:rPr>
                <w:sz w:val="20"/>
                <w:szCs w:val="20"/>
                <w:color w:val="auto"/>
              </w:rPr>
            </w:pPr>
            <w:r>
              <w:rPr>
                <w:rFonts w:ascii="Arial" w:cs="Arial" w:eastAsia="Arial" w:hAnsi="Arial"/>
                <w:sz w:val="18"/>
                <w:szCs w:val="18"/>
                <w:b w:val="1"/>
                <w:bCs w:val="1"/>
                <w:color w:val="auto"/>
                <w:w w:val="92"/>
              </w:rPr>
              <w:t>Not Applicable</w:t>
            </w: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800" w:type="dxa"/>
            <w:vAlign w:val="bottom"/>
          </w:tcPr>
          <w:p>
            <w:pPr>
              <w:spacing w:after="0"/>
              <w:rPr>
                <w:sz w:val="16"/>
                <w:szCs w:val="16"/>
                <w:color w:val="auto"/>
              </w:rPr>
            </w:pPr>
          </w:p>
        </w:tc>
        <w:tc>
          <w:tcPr>
            <w:tcW w:w="4800" w:type="dxa"/>
            <w:vAlign w:val="bottom"/>
          </w:tcPr>
          <w:p>
            <w:pPr>
              <w:jc w:val="center"/>
              <w:ind w:right="280"/>
              <w:spacing w:after="0"/>
              <w:rPr>
                <w:sz w:val="20"/>
                <w:szCs w:val="20"/>
                <w:color w:val="auto"/>
              </w:rPr>
            </w:pPr>
            <w:r>
              <w:rPr>
                <w:rFonts w:ascii="Arial" w:cs="Arial" w:eastAsia="Arial" w:hAnsi="Arial"/>
                <w:sz w:val="14"/>
                <w:szCs w:val="14"/>
                <w:b w:val="1"/>
                <w:bCs w:val="1"/>
                <w:color w:val="auto"/>
                <w:w w:val="92"/>
              </w:rPr>
              <w:t>(Former name or former address, if changed since last report.)</w:t>
            </w:r>
          </w:p>
        </w:tc>
        <w:tc>
          <w:tcPr>
            <w:tcW w:w="18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222250</wp:posOffset>
            </wp:positionV>
            <wp:extent cx="2898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6"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300"/>
          </w:cols>
          <w:pgMar w:left="240" w:top="679" w:right="359" w:bottom="1440" w:gutter="0" w:footer="0" w:header="0"/>
        </w:sectPr>
      </w:pPr>
    </w:p>
    <w:bookmarkStart w:id="1" w:name="page2"/>
    <w:bookmarkEnd w:id="1"/>
    <w:p>
      <w:pPr>
        <w:ind w:left="40"/>
        <w:spacing w:after="0"/>
        <w:tabs>
          <w:tab w:leader="none" w:pos="12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02"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On April 14, 2016, Wynn Resorts, Limited (the “Company”) held its 2016 Annual Meeting of Stockholders (the “Annual Meeting”). The proposals voted upon at the Annual Meeting and the final results of the stockholder vote on each proposal, as certified by IVS Associates, Inc. (“IVS”), the independent inspector of elections for the Annual Meeting, were as follows:</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1: Election of Directors</w:t>
      </w:r>
    </w:p>
    <w:p>
      <w:pPr>
        <w:spacing w:after="0" w:line="171" w:lineRule="exact"/>
        <w:rPr>
          <w:sz w:val="20"/>
          <w:szCs w:val="20"/>
          <w:color w:val="auto"/>
        </w:rPr>
      </w:pPr>
    </w:p>
    <w:p>
      <w:pPr>
        <w:ind w:right="700" w:firstLine="432"/>
        <w:spacing w:after="0" w:line="277" w:lineRule="auto"/>
        <w:rPr>
          <w:sz w:val="20"/>
          <w:szCs w:val="20"/>
          <w:color w:val="auto"/>
        </w:rPr>
      </w:pPr>
      <w:r>
        <w:rPr>
          <w:rFonts w:ascii="Arial" w:cs="Arial" w:eastAsia="Arial" w:hAnsi="Arial"/>
          <w:sz w:val="18"/>
          <w:szCs w:val="18"/>
          <w:color w:val="auto"/>
        </w:rPr>
        <w:t>To elect three Class II directors, each to serve until the 2019 Annual Meeting of Stockholders and until his successor has been duly elected and qualified, or until such director’s earlier death, resignation, removal or retirement: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gridSpan w:val="2"/>
          </w:tcPr>
          <w:p>
            <w:pPr>
              <w:ind w:left="40"/>
              <w:spacing w:after="0"/>
              <w:rPr>
                <w:sz w:val="20"/>
                <w:szCs w:val="20"/>
                <w:color w:val="auto"/>
              </w:rPr>
            </w:pPr>
            <w:r>
              <w:rPr>
                <w:rFonts w:ascii="Arial" w:cs="Arial" w:eastAsia="Arial" w:hAnsi="Arial"/>
                <w:sz w:val="18"/>
                <w:szCs w:val="18"/>
                <w:b w:val="1"/>
                <w:bCs w:val="1"/>
                <w:color w:val="auto"/>
              </w:rPr>
              <w:t>Director Nominees</w:t>
            </w:r>
          </w:p>
        </w:tc>
        <w:tc>
          <w:tcPr>
            <w:tcW w:w="19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Votes For</w:t>
            </w:r>
          </w:p>
        </w:tc>
        <w:tc>
          <w:tcPr>
            <w:tcW w:w="1940" w:type="dxa"/>
            <w:vAlign w:val="bottom"/>
            <w:gridSpan w:val="2"/>
          </w:tcPr>
          <w:p>
            <w:pPr>
              <w:ind w:left="320"/>
              <w:spacing w:after="0"/>
              <w:rPr>
                <w:sz w:val="20"/>
                <w:szCs w:val="20"/>
                <w:color w:val="auto"/>
              </w:rPr>
            </w:pPr>
            <w:r>
              <w:rPr>
                <w:rFonts w:ascii="Arial" w:cs="Arial" w:eastAsia="Arial" w:hAnsi="Arial"/>
                <w:sz w:val="18"/>
                <w:szCs w:val="18"/>
                <w:b w:val="1"/>
                <w:bCs w:val="1"/>
                <w:color w:val="auto"/>
              </w:rPr>
              <w:t>Votes Withheld</w:t>
            </w:r>
          </w:p>
        </w:tc>
        <w:tc>
          <w:tcPr>
            <w:tcW w:w="1820" w:type="dxa"/>
            <w:vAlign w:val="bottom"/>
          </w:tcPr>
          <w:p>
            <w:pPr>
              <w:ind w:left="220"/>
              <w:spacing w:after="0"/>
              <w:rPr>
                <w:sz w:val="20"/>
                <w:szCs w:val="20"/>
                <w:color w:val="auto"/>
              </w:rPr>
            </w:pPr>
            <w:r>
              <w:rPr>
                <w:rFonts w:ascii="Arial" w:cs="Arial" w:eastAsia="Arial" w:hAnsi="Arial"/>
                <w:sz w:val="18"/>
                <w:szCs w:val="18"/>
                <w:b w:val="1"/>
                <w:bCs w:val="1"/>
                <w:color w:val="auto"/>
              </w:rPr>
              <w:t>Broker Non-Votes</w:t>
            </w:r>
          </w:p>
        </w:tc>
      </w:tr>
      <w:tr>
        <w:trPr>
          <w:trHeight w:val="27"/>
        </w:trPr>
        <w:tc>
          <w:tcPr>
            <w:tcW w:w="5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Dr. Ray R. Irani</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42,293,123</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25,358,596</w:t>
            </w:r>
          </w:p>
        </w:tc>
        <w:tc>
          <w:tcPr>
            <w:tcW w:w="12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12,551,896</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Alvin V. Shoemaker</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40,295,574</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16,356,145</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12,551,896</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Stephen A. Wynn</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77,454,052</w:t>
            </w:r>
          </w:p>
        </w:tc>
        <w:tc>
          <w:tcPr>
            <w:tcW w:w="10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594,029</w:t>
            </w:r>
          </w:p>
        </w:tc>
        <w:tc>
          <w:tcPr>
            <w:tcW w:w="12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12,551,896</w:t>
            </w:r>
          </w:p>
        </w:tc>
      </w:tr>
      <w:tr>
        <w:trPr>
          <w:trHeight w:val="270"/>
        </w:trPr>
        <w:tc>
          <w:tcPr>
            <w:tcW w:w="5740" w:type="dxa"/>
            <w:vAlign w:val="bottom"/>
            <w:gridSpan w:val="2"/>
          </w:tcPr>
          <w:p>
            <w:pPr>
              <w:ind w:left="40"/>
              <w:spacing w:after="0"/>
              <w:rPr>
                <w:sz w:val="20"/>
                <w:szCs w:val="20"/>
                <w:color w:val="auto"/>
              </w:rPr>
            </w:pPr>
            <w:r>
              <w:rPr>
                <w:rFonts w:ascii="Arial" w:cs="Arial" w:eastAsia="Arial" w:hAnsi="Arial"/>
                <w:sz w:val="18"/>
                <w:szCs w:val="18"/>
                <w:color w:val="auto"/>
              </w:rPr>
              <w:t>Elaine P. Wynn</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21,396,362</w:t>
            </w:r>
          </w:p>
        </w:tc>
        <w:tc>
          <w:tcPr>
            <w:tcW w:w="100" w:type="dxa"/>
            <w:vAlign w:val="bottom"/>
          </w:tcPr>
          <w:p>
            <w:pPr>
              <w:spacing w:after="0"/>
              <w:rPr>
                <w:sz w:val="23"/>
                <w:szCs w:val="23"/>
                <w:color w:val="auto"/>
              </w:rPr>
            </w:pPr>
          </w:p>
        </w:tc>
        <w:tc>
          <w:tcPr>
            <w:tcW w:w="194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Company’s nominees for election as directors were Dr. Ray R. Irani, Alvin V. Shoemaker and Stephen A. Wynn. Based on the final voting results, the following Class II directors were elected with their terms expiring in 2019: Dr. Ray R. Irani, Alvin V. Shoemaker and Stephen A. Wynn. The following Class III directors remain in office with their terms expiring in 2017: Robert J. Miller, Clark T. Randt, Jr. and D. Boone Wayson. The following Class I directors remain in office with their terms expiring in 2018: John J. Hagenbuch, Patricia Mulroy and J. Edward Virtue. The 21,396,362 votes received for Ms. Wynn consist of 9,396,362 shares owned by Ms. Wynn and 12,000,000 shares owned by the Wynn Family Limited Partnership (Stephen A. Wynn’s shares), all of which were voted by Mr. Wynn in favor of Ms. Wynn in accordance with the terms of the Amended and Restated Stockholders Agreement dated as of January 6, 2010.</w:t>
      </w:r>
    </w:p>
    <w:p>
      <w:pPr>
        <w:spacing w:after="0" w:line="13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2: Ratification of Appointment of Independent Registered Public Accounting Firm</w:t>
      </w:r>
    </w:p>
    <w:p>
      <w:pPr>
        <w:spacing w:after="0" w:line="171" w:lineRule="exact"/>
        <w:rPr>
          <w:sz w:val="20"/>
          <w:szCs w:val="20"/>
          <w:color w:val="auto"/>
        </w:rPr>
      </w:pPr>
    </w:p>
    <w:p>
      <w:pPr>
        <w:ind w:right="440" w:firstLine="432"/>
        <w:spacing w:after="0" w:line="277" w:lineRule="auto"/>
        <w:rPr>
          <w:sz w:val="20"/>
          <w:szCs w:val="20"/>
          <w:color w:val="auto"/>
        </w:rPr>
      </w:pPr>
      <w:r>
        <w:rPr>
          <w:rFonts w:ascii="Arial" w:cs="Arial" w:eastAsia="Arial" w:hAnsi="Arial"/>
          <w:sz w:val="18"/>
          <w:szCs w:val="18"/>
          <w:color w:val="auto"/>
        </w:rPr>
        <w:t>To ratify the Audit Committee’s appointment of Ernst &amp; Young LLP as the independent registered public accounting firm for the Company and its subsidiaries for fiscal year ending December 31, 2016:</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2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2880" w:type="dxa"/>
            <w:vAlign w:val="bottom"/>
          </w:tcPr>
          <w:p>
            <w:pPr>
              <w:jc w:val="right"/>
              <w:ind w:right="950"/>
              <w:spacing w:after="0"/>
              <w:rPr>
                <w:sz w:val="20"/>
                <w:szCs w:val="20"/>
                <w:color w:val="auto"/>
              </w:rPr>
            </w:pPr>
            <w:r>
              <w:rPr>
                <w:rFonts w:ascii="Arial" w:cs="Arial" w:eastAsia="Arial" w:hAnsi="Arial"/>
                <w:sz w:val="18"/>
                <w:szCs w:val="18"/>
                <w:color w:val="auto"/>
              </w:rPr>
              <w:t>80,951,158</w:t>
            </w:r>
          </w:p>
        </w:tc>
        <w:tc>
          <w:tcPr>
            <w:tcW w:w="120" w:type="dxa"/>
            <w:vAlign w:val="bottom"/>
          </w:tcPr>
          <w:p>
            <w:pPr>
              <w:spacing w:after="0"/>
              <w:rPr>
                <w:sz w:val="20"/>
                <w:szCs w:val="20"/>
                <w:color w:val="auto"/>
              </w:rPr>
            </w:pPr>
          </w:p>
        </w:tc>
        <w:tc>
          <w:tcPr>
            <w:tcW w:w="2740" w:type="dxa"/>
            <w:vAlign w:val="bottom"/>
          </w:tcPr>
          <w:p>
            <w:pPr>
              <w:jc w:val="right"/>
              <w:ind w:right="990"/>
              <w:spacing w:after="0"/>
              <w:rPr>
                <w:sz w:val="20"/>
                <w:szCs w:val="20"/>
                <w:color w:val="auto"/>
              </w:rPr>
            </w:pPr>
            <w:r>
              <w:rPr>
                <w:rFonts w:ascii="Arial" w:cs="Arial" w:eastAsia="Arial" w:hAnsi="Arial"/>
                <w:sz w:val="18"/>
                <w:szCs w:val="18"/>
                <w:color w:val="auto"/>
              </w:rPr>
              <w:t>170,000</w:t>
            </w:r>
          </w:p>
        </w:tc>
        <w:tc>
          <w:tcPr>
            <w:tcW w:w="120" w:type="dxa"/>
            <w:vAlign w:val="bottom"/>
          </w:tcPr>
          <w:p>
            <w:pPr>
              <w:spacing w:after="0"/>
              <w:rPr>
                <w:sz w:val="20"/>
                <w:szCs w:val="20"/>
                <w:color w:val="auto"/>
              </w:rPr>
            </w:pPr>
          </w:p>
        </w:tc>
        <w:tc>
          <w:tcPr>
            <w:tcW w:w="2720" w:type="dxa"/>
            <w:vAlign w:val="bottom"/>
          </w:tcPr>
          <w:p>
            <w:pPr>
              <w:jc w:val="right"/>
              <w:ind w:right="1030"/>
              <w:spacing w:after="0"/>
              <w:rPr>
                <w:sz w:val="20"/>
                <w:szCs w:val="20"/>
                <w:color w:val="auto"/>
              </w:rPr>
            </w:pPr>
            <w:r>
              <w:rPr>
                <w:rFonts w:ascii="Arial" w:cs="Arial" w:eastAsia="Arial" w:hAnsi="Arial"/>
                <w:sz w:val="18"/>
                <w:szCs w:val="18"/>
                <w:color w:val="auto"/>
              </w:rPr>
              <w:t>82,457</w:t>
            </w:r>
          </w:p>
        </w:tc>
        <w:tc>
          <w:tcPr>
            <w:tcW w:w="120" w:type="dxa"/>
            <w:vAlign w:val="bottom"/>
          </w:tcPr>
          <w:p>
            <w:pPr>
              <w:spacing w:after="0"/>
              <w:rPr>
                <w:sz w:val="20"/>
                <w:szCs w:val="20"/>
                <w:color w:val="auto"/>
              </w:rPr>
            </w:pPr>
          </w:p>
        </w:tc>
        <w:tc>
          <w:tcPr>
            <w:tcW w:w="27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Proposal 3: Stockholder Proposal Regarding A Political Contributions Report</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To request that the Company provide a political contributions report, updated semiannually, setting forth specified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Pr>
          <w:p>
            <w:pPr>
              <w:spacing w:after="0"/>
              <w:rPr>
                <w:sz w:val="20"/>
                <w:szCs w:val="20"/>
                <w:color w:val="auto"/>
              </w:rPr>
            </w:pPr>
          </w:p>
        </w:tc>
        <w:tc>
          <w:tcPr>
            <w:tcW w:w="2060" w:type="dxa"/>
            <w:vAlign w:val="bottom"/>
            <w:gridSpan w:val="2"/>
          </w:tcPr>
          <w:p>
            <w:pPr>
              <w:ind w:left="140"/>
              <w:spacing w:after="0"/>
              <w:rPr>
                <w:sz w:val="20"/>
                <w:szCs w:val="20"/>
                <w:color w:val="auto"/>
              </w:rPr>
            </w:pPr>
            <w:r>
              <w:rPr>
                <w:rFonts w:ascii="Arial" w:cs="Arial" w:eastAsia="Arial" w:hAnsi="Arial"/>
                <w:sz w:val="18"/>
                <w:szCs w:val="18"/>
                <w:b w:val="1"/>
                <w:bCs w:val="1"/>
                <w:color w:val="auto"/>
              </w:rPr>
              <w:t>Votes For</w:t>
            </w:r>
          </w:p>
        </w:tc>
        <w:tc>
          <w:tcPr>
            <w:tcW w:w="2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Votes Against</w:t>
            </w:r>
          </w:p>
        </w:tc>
        <w:tc>
          <w:tcPr>
            <w:tcW w:w="2840" w:type="dxa"/>
            <w:vAlign w:val="bottom"/>
            <w:gridSpan w:val="2"/>
          </w:tcPr>
          <w:p>
            <w:pPr>
              <w:ind w:left="1060"/>
              <w:spacing w:after="0"/>
              <w:rPr>
                <w:sz w:val="20"/>
                <w:szCs w:val="20"/>
                <w:color w:val="auto"/>
              </w:rPr>
            </w:pPr>
            <w:r>
              <w:rPr>
                <w:rFonts w:ascii="Arial" w:cs="Arial" w:eastAsia="Arial" w:hAnsi="Arial"/>
                <w:sz w:val="18"/>
                <w:szCs w:val="18"/>
                <w:b w:val="1"/>
                <w:bCs w:val="1"/>
                <w:color w:val="auto"/>
              </w:rPr>
              <w:t>Abstain</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7"/>
        </w:trPr>
        <w:tc>
          <w:tcPr>
            <w:tcW w:w="9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37"/>
        </w:trPr>
        <w:tc>
          <w:tcPr>
            <w:tcW w:w="940" w:type="dxa"/>
            <w:vAlign w:val="bottom"/>
          </w:tcPr>
          <w:p>
            <w:pPr>
              <w:spacing w:after="0"/>
              <w:rPr>
                <w:sz w:val="20"/>
                <w:szCs w:val="20"/>
                <w:color w:val="auto"/>
              </w:rPr>
            </w:pPr>
          </w:p>
        </w:tc>
        <w:tc>
          <w:tcPr>
            <w:tcW w:w="1940" w:type="dxa"/>
            <w:vAlign w:val="bottom"/>
          </w:tcPr>
          <w:p>
            <w:pPr>
              <w:ind w:left="140"/>
              <w:spacing w:after="0"/>
              <w:rPr>
                <w:sz w:val="20"/>
                <w:szCs w:val="20"/>
                <w:color w:val="auto"/>
              </w:rPr>
            </w:pPr>
            <w:r>
              <w:rPr>
                <w:rFonts w:ascii="Arial" w:cs="Arial" w:eastAsia="Arial" w:hAnsi="Arial"/>
                <w:sz w:val="18"/>
                <w:szCs w:val="18"/>
                <w:color w:val="auto"/>
              </w:rPr>
              <w:t>9,930,081</w:t>
            </w:r>
          </w:p>
        </w:tc>
        <w:tc>
          <w:tcPr>
            <w:tcW w:w="120" w:type="dxa"/>
            <w:vAlign w:val="bottom"/>
          </w:tcPr>
          <w:p>
            <w:pPr>
              <w:spacing w:after="0"/>
              <w:rPr>
                <w:sz w:val="20"/>
                <w:szCs w:val="20"/>
                <w:color w:val="auto"/>
              </w:rPr>
            </w:pPr>
          </w:p>
        </w:tc>
        <w:tc>
          <w:tcPr>
            <w:tcW w:w="2740" w:type="dxa"/>
            <w:vAlign w:val="bottom"/>
          </w:tcPr>
          <w:p>
            <w:pPr>
              <w:jc w:val="right"/>
              <w:ind w:right="890"/>
              <w:spacing w:after="0"/>
              <w:rPr>
                <w:sz w:val="20"/>
                <w:szCs w:val="20"/>
                <w:color w:val="auto"/>
              </w:rPr>
            </w:pPr>
            <w:r>
              <w:rPr>
                <w:rFonts w:ascii="Arial" w:cs="Arial" w:eastAsia="Arial" w:hAnsi="Arial"/>
                <w:sz w:val="18"/>
                <w:szCs w:val="18"/>
                <w:color w:val="auto"/>
              </w:rPr>
              <w:t>58,018,997</w:t>
            </w:r>
          </w:p>
        </w:tc>
        <w:tc>
          <w:tcPr>
            <w:tcW w:w="120" w:type="dxa"/>
            <w:vAlign w:val="bottom"/>
          </w:tcPr>
          <w:p>
            <w:pPr>
              <w:spacing w:after="0"/>
              <w:rPr>
                <w:sz w:val="20"/>
                <w:szCs w:val="20"/>
                <w:color w:val="auto"/>
              </w:rPr>
            </w:pPr>
          </w:p>
        </w:tc>
        <w:tc>
          <w:tcPr>
            <w:tcW w:w="2720" w:type="dxa"/>
            <w:vAlign w:val="bottom"/>
          </w:tcPr>
          <w:p>
            <w:pPr>
              <w:ind w:left="1060"/>
              <w:spacing w:after="0"/>
              <w:rPr>
                <w:sz w:val="20"/>
                <w:szCs w:val="20"/>
                <w:color w:val="auto"/>
              </w:rPr>
            </w:pPr>
            <w:r>
              <w:rPr>
                <w:rFonts w:ascii="Arial" w:cs="Arial" w:eastAsia="Arial" w:hAnsi="Arial"/>
                <w:sz w:val="18"/>
                <w:szCs w:val="18"/>
                <w:color w:val="auto"/>
              </w:rPr>
              <w:t>702,641</w:t>
            </w:r>
          </w:p>
        </w:tc>
        <w:tc>
          <w:tcPr>
            <w:tcW w:w="120" w:type="dxa"/>
            <w:vAlign w:val="bottom"/>
          </w:tcPr>
          <w:p>
            <w:pPr>
              <w:spacing w:after="0"/>
              <w:rPr>
                <w:sz w:val="20"/>
                <w:szCs w:val="20"/>
                <w:color w:val="auto"/>
              </w:rPr>
            </w:pPr>
          </w:p>
        </w:tc>
        <w:tc>
          <w:tcPr>
            <w:tcW w:w="2720" w:type="dxa"/>
            <w:vAlign w:val="bottom"/>
          </w:tcPr>
          <w:p>
            <w:pPr>
              <w:jc w:val="right"/>
              <w:ind w:right="870"/>
              <w:spacing w:after="0"/>
              <w:rPr>
                <w:sz w:val="20"/>
                <w:szCs w:val="20"/>
                <w:color w:val="auto"/>
              </w:rPr>
            </w:pPr>
            <w:r>
              <w:rPr>
                <w:rFonts w:ascii="Arial" w:cs="Arial" w:eastAsia="Arial" w:hAnsi="Arial"/>
                <w:sz w:val="18"/>
                <w:szCs w:val="18"/>
                <w:color w:val="auto"/>
              </w:rPr>
              <w:t>12,551,896</w:t>
            </w:r>
          </w:p>
        </w:tc>
      </w:tr>
      <w:tr>
        <w:trPr>
          <w:trHeight w:val="567"/>
        </w:trPr>
        <w:tc>
          <w:tcPr>
            <w:tcW w:w="940" w:type="dxa"/>
            <w:vAlign w:val="bottom"/>
          </w:tcPr>
          <w:p>
            <w:pPr>
              <w:ind w:left="60"/>
              <w:spacing w:after="0"/>
              <w:rPr>
                <w:sz w:val="20"/>
                <w:szCs w:val="20"/>
                <w:color w:val="auto"/>
              </w:rPr>
            </w:pPr>
            <w:r>
              <w:rPr>
                <w:rFonts w:ascii="Arial" w:cs="Arial" w:eastAsia="Arial" w:hAnsi="Arial"/>
                <w:sz w:val="18"/>
                <w:szCs w:val="18"/>
                <w:b w:val="1"/>
                <w:bCs w:val="1"/>
                <w:color w:val="auto"/>
              </w:rPr>
              <w:t>Item 8.01.</w:t>
            </w:r>
          </w:p>
        </w:tc>
        <w:tc>
          <w:tcPr>
            <w:tcW w:w="2060" w:type="dxa"/>
            <w:vAlign w:val="bottom"/>
            <w:gridSpan w:val="2"/>
          </w:tcPr>
          <w:p>
            <w:pPr>
              <w:ind w:left="380"/>
              <w:spacing w:after="0"/>
              <w:rPr>
                <w:sz w:val="20"/>
                <w:szCs w:val="20"/>
                <w:color w:val="auto"/>
              </w:rPr>
            </w:pPr>
            <w:r>
              <w:rPr>
                <w:rFonts w:ascii="Arial" w:cs="Arial" w:eastAsia="Arial" w:hAnsi="Arial"/>
                <w:sz w:val="18"/>
                <w:szCs w:val="18"/>
                <w:b w:val="1"/>
                <w:bCs w:val="1"/>
                <w:color w:val="auto"/>
              </w:rPr>
              <w:t>Other Events.</w:t>
            </w:r>
          </w:p>
        </w:tc>
        <w:tc>
          <w:tcPr>
            <w:tcW w:w="2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tcPr>
          <w:p>
            <w:pPr>
              <w:spacing w:after="0"/>
              <w:rPr>
                <w:sz w:val="24"/>
                <w:szCs w:val="24"/>
                <w:color w:val="auto"/>
              </w:rPr>
            </w:pPr>
          </w:p>
        </w:tc>
      </w:tr>
    </w:tbl>
    <w:p>
      <w:pPr>
        <w:spacing w:after="0" w:line="175" w:lineRule="exact"/>
        <w:rPr>
          <w:sz w:val="20"/>
          <w:szCs w:val="20"/>
          <w:color w:val="auto"/>
        </w:rPr>
      </w:pPr>
    </w:p>
    <w:p>
      <w:pPr>
        <w:ind w:right="220" w:firstLine="432"/>
        <w:spacing w:after="0" w:line="264" w:lineRule="auto"/>
        <w:rPr>
          <w:sz w:val="20"/>
          <w:szCs w:val="20"/>
          <w:color w:val="auto"/>
        </w:rPr>
      </w:pPr>
      <w:r>
        <w:rPr>
          <w:rFonts w:ascii="Arial" w:cs="Arial" w:eastAsia="Arial" w:hAnsi="Arial"/>
          <w:sz w:val="18"/>
          <w:szCs w:val="18"/>
          <w:color w:val="auto"/>
        </w:rPr>
        <w:t>On April 14, 2016, the Company’s Board of Directors authorized the Company to repurchase a total of up to $1 billion of the Company’s outstanding shares, increasing the previous available repurchase authorization by approximately $420 million. The repurchase program may include repurchases from time to time through open market purchases or negotiated transactions, depending upon market conditions.</w:t>
      </w:r>
    </w:p>
    <w:p>
      <w:pPr>
        <w:sectPr>
          <w:pgSz w:w="11900" w:h="16838" w:orient="portrait"/>
          <w:cols w:equalWidth="0" w:num="1">
            <w:col w:w="11420"/>
          </w:cols>
          <w:pgMar w:left="240" w:top="742"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right="2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7480" w:type="dxa"/>
            <w:vAlign w:val="bottom"/>
            <w:gridSpan w:val="2"/>
          </w:tcPr>
          <w:p>
            <w:pPr>
              <w:ind w:left="2400"/>
              <w:spacing w:after="0"/>
              <w:rPr>
                <w:sz w:val="20"/>
                <w:szCs w:val="20"/>
                <w:color w:val="auto"/>
              </w:rPr>
            </w:pPr>
            <w:r>
              <w:rPr>
                <w:rFonts w:ascii="Arial" w:cs="Arial" w:eastAsia="Arial" w:hAnsi="Arial"/>
                <w:sz w:val="18"/>
                <w:szCs w:val="18"/>
                <w:b w:val="1"/>
                <w:bCs w:val="1"/>
                <w:color w:val="auto"/>
              </w:rPr>
              <w:t>WYNN RESORTS, LIMITED</w:t>
            </w:r>
          </w:p>
        </w:tc>
      </w:tr>
      <w:tr>
        <w:trPr>
          <w:trHeight w:val="594"/>
        </w:trPr>
        <w:tc>
          <w:tcPr>
            <w:tcW w:w="3900" w:type="dxa"/>
            <w:vAlign w:val="bottom"/>
          </w:tcPr>
          <w:p>
            <w:pPr>
              <w:spacing w:after="0"/>
              <w:rPr>
                <w:sz w:val="20"/>
                <w:szCs w:val="20"/>
                <w:color w:val="auto"/>
              </w:rPr>
            </w:pPr>
            <w:r>
              <w:rPr>
                <w:rFonts w:ascii="Arial" w:cs="Arial" w:eastAsia="Arial" w:hAnsi="Arial"/>
                <w:sz w:val="18"/>
                <w:szCs w:val="18"/>
                <w:color w:val="auto"/>
              </w:rPr>
              <w:t>Date: April 20, 2016</w:t>
            </w:r>
          </w:p>
        </w:tc>
        <w:tc>
          <w:tcPr>
            <w:tcW w:w="3500" w:type="dxa"/>
            <w:vAlign w:val="bottom"/>
          </w:tcPr>
          <w:p>
            <w:pPr>
              <w:ind w:left="2400"/>
              <w:spacing w:after="0"/>
              <w:rPr>
                <w:sz w:val="20"/>
                <w:szCs w:val="20"/>
                <w:color w:val="auto"/>
              </w:rPr>
            </w:pPr>
            <w:r>
              <w:rPr>
                <w:rFonts w:ascii="Arial" w:cs="Arial" w:eastAsia="Arial" w:hAnsi="Arial"/>
                <w:sz w:val="18"/>
                <w:szCs w:val="18"/>
                <w:color w:val="auto"/>
              </w:rPr>
              <w:t>By:</w:t>
            </w:r>
          </w:p>
        </w:tc>
        <w:tc>
          <w:tcPr>
            <w:tcW w:w="3980" w:type="dxa"/>
            <w:vAlign w:val="bottom"/>
          </w:tcPr>
          <w:p>
            <w:pPr>
              <w:ind w:left="20"/>
              <w:spacing w:after="0"/>
              <w:rPr>
                <w:sz w:val="20"/>
                <w:szCs w:val="20"/>
                <w:color w:val="auto"/>
              </w:rPr>
            </w:pPr>
            <w:r>
              <w:rPr>
                <w:rFonts w:ascii="Arial" w:cs="Arial" w:eastAsia="Arial" w:hAnsi="Arial"/>
                <w:sz w:val="18"/>
                <w:szCs w:val="18"/>
                <w:color w:val="auto"/>
              </w:rPr>
              <w:t>/s/ Kim Sinatra</w:t>
            </w:r>
          </w:p>
        </w:tc>
      </w:tr>
      <w:tr>
        <w:trPr>
          <w:trHeight w:val="27"/>
        </w:trPr>
        <w:tc>
          <w:tcPr>
            <w:tcW w:w="39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3500" w:type="dxa"/>
            <w:vAlign w:val="bottom"/>
          </w:tcPr>
          <w:p>
            <w:pPr>
              <w:ind w:left="2400"/>
              <w:spacing w:after="0"/>
              <w:rPr>
                <w:sz w:val="20"/>
                <w:szCs w:val="20"/>
                <w:color w:val="auto"/>
              </w:rPr>
            </w:pPr>
            <w:r>
              <w:rPr>
                <w:rFonts w:ascii="Arial" w:cs="Arial" w:eastAsia="Arial" w:hAnsi="Arial"/>
                <w:sz w:val="18"/>
                <w:szCs w:val="18"/>
                <w:color w:val="auto"/>
              </w:rPr>
              <w:t>Name:</w:t>
            </w:r>
          </w:p>
        </w:tc>
        <w:tc>
          <w:tcPr>
            <w:tcW w:w="3980" w:type="dxa"/>
            <w:vAlign w:val="bottom"/>
          </w:tcPr>
          <w:p>
            <w:pPr>
              <w:ind w:left="20"/>
              <w:spacing w:after="0"/>
              <w:rPr>
                <w:sz w:val="20"/>
                <w:szCs w:val="20"/>
                <w:color w:val="auto"/>
              </w:rPr>
            </w:pPr>
            <w:r>
              <w:rPr>
                <w:rFonts w:ascii="Arial" w:cs="Arial" w:eastAsia="Arial" w:hAnsi="Arial"/>
                <w:sz w:val="18"/>
                <w:szCs w:val="18"/>
                <w:color w:val="auto"/>
              </w:rPr>
              <w:t>Kim Sinatra</w:t>
            </w:r>
          </w:p>
        </w:tc>
      </w:tr>
      <w:tr>
        <w:trPr>
          <w:trHeight w:val="270"/>
        </w:trPr>
        <w:tc>
          <w:tcPr>
            <w:tcW w:w="3900" w:type="dxa"/>
            <w:vAlign w:val="bottom"/>
          </w:tcPr>
          <w:p>
            <w:pPr>
              <w:spacing w:after="0"/>
              <w:rPr>
                <w:sz w:val="23"/>
                <w:szCs w:val="23"/>
                <w:color w:val="auto"/>
              </w:rPr>
            </w:pPr>
          </w:p>
        </w:tc>
        <w:tc>
          <w:tcPr>
            <w:tcW w:w="3500" w:type="dxa"/>
            <w:vAlign w:val="bottom"/>
          </w:tcPr>
          <w:p>
            <w:pPr>
              <w:ind w:left="2400"/>
              <w:spacing w:after="0"/>
              <w:rPr>
                <w:sz w:val="20"/>
                <w:szCs w:val="20"/>
                <w:color w:val="auto"/>
              </w:rPr>
            </w:pPr>
            <w:r>
              <w:rPr>
                <w:rFonts w:ascii="Arial" w:cs="Arial" w:eastAsia="Arial" w:hAnsi="Arial"/>
                <w:sz w:val="18"/>
                <w:szCs w:val="18"/>
                <w:color w:val="auto"/>
              </w:rPr>
              <w:t>Title:</w:t>
            </w:r>
          </w:p>
        </w:tc>
        <w:tc>
          <w:tcPr>
            <w:tcW w:w="3980" w:type="dxa"/>
            <w:vAlign w:val="bottom"/>
          </w:tcPr>
          <w:p>
            <w:pPr>
              <w:ind w:left="20"/>
              <w:spacing w:after="0"/>
              <w:rPr>
                <w:sz w:val="20"/>
                <w:szCs w:val="20"/>
                <w:color w:val="auto"/>
              </w:rPr>
            </w:pPr>
            <w:r>
              <w:rPr>
                <w:rFonts w:ascii="Arial" w:cs="Arial" w:eastAsia="Arial" w:hAnsi="Arial"/>
                <w:sz w:val="18"/>
                <w:szCs w:val="18"/>
                <w:color w:val="auto"/>
              </w:rPr>
              <w:t>Executive Vice President and General Counsel</w:t>
            </w:r>
          </w:p>
        </w:tc>
      </w:tr>
    </w:tbl>
    <w:p>
      <w:pPr>
        <w:spacing w:after="0" w:line="1" w:lineRule="exact"/>
        <w:rPr>
          <w:sz w:val="20"/>
          <w:szCs w:val="20"/>
          <w:color w:val="auto"/>
        </w:rPr>
      </w:pPr>
    </w:p>
    <w:sectPr>
      <w:pgSz w:w="11900" w:h="16838" w:orient="portrait"/>
      <w:cols w:equalWidth="0" w:num="1">
        <w:col w:w="11420"/>
      </w:cols>
      <w:pgMar w:left="240" w:top="79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2019-12-07T16:52:37Z</dcterms:created>
  <dcterms:modified xsi:type="dcterms:W3CDTF">2019-12-07T16:52:37Z</dcterms:modified>
</cp:coreProperties>
</file>