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4525" cy="5126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512635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Billings Craig Scott</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WYNN RESORTS, LIMITED</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WYNN RESORTS LTD</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WYNN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01/12/2023</w:t>
      </w:r>
    </w:p>
    <w:p>
      <w:pPr>
        <w:spacing w:after="0" w:line="20" w:lineRule="exact"/>
        <w:rPr>
          <w:sz w:val="24"/>
          <w:szCs w:val="24"/>
          <w:color w:val="auto"/>
        </w:rPr>
      </w:pPr>
      <w:r>
        <w:rPr>
          <w:sz w:val="24"/>
          <w:szCs w:val="24"/>
          <w:color w:val="auto"/>
        </w:rPr>
        <w:br w:type="column"/>
      </w:r>
    </w:p>
    <w:p>
      <w:pPr>
        <w:ind w:left="-9" w:right="660" w:firstLine="9"/>
        <w:spacing w:after="0" w:line="255"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tbl>
      <w:tblPr>
        <w:tblLayout w:type="fixed"/>
        <w:tblInd w:w="191"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5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960" w:type="dxa"/>
            <w:vAlign w:val="bottom"/>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5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960" w:type="dxa"/>
            <w:vAlign w:val="bottom"/>
          </w:tcPr>
          <w:p>
            <w:pPr>
              <w:ind w:left="1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5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96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20" w:type="dxa"/>
            <w:vAlign w:val="bottom"/>
          </w:tcPr>
          <w:p>
            <w:pPr>
              <w:spacing w:after="0"/>
              <w:rPr>
                <w:sz w:val="20"/>
                <w:szCs w:val="20"/>
                <w:color w:val="auto"/>
              </w:rPr>
            </w:pPr>
          </w:p>
        </w:tc>
        <w:tc>
          <w:tcPr>
            <w:tcW w:w="1520" w:type="dxa"/>
            <w:vAlign w:val="bottom"/>
          </w:tcPr>
          <w:p>
            <w:pPr>
              <w:ind w:left="1000"/>
              <w:spacing w:after="0"/>
              <w:rPr>
                <w:sz w:val="20"/>
                <w:szCs w:val="20"/>
                <w:color w:val="auto"/>
              </w:rPr>
            </w:pPr>
            <w:r>
              <w:rPr>
                <w:rFonts w:ascii="Times New Roman" w:cs="Times New Roman" w:eastAsia="Times New Roman" w:hAnsi="Times New Roman"/>
                <w:sz w:val="17"/>
                <w:szCs w:val="17"/>
                <w:color w:val="0000FF"/>
              </w:rPr>
              <w:t>CEO</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72" w:lineRule="exact"/>
        <w:rPr>
          <w:sz w:val="24"/>
          <w:szCs w:val="24"/>
          <w:color w:val="auto"/>
        </w:rPr>
      </w:pPr>
    </w:p>
    <w:p>
      <w:pPr>
        <w:sectPr>
          <w:pgSz w:w="11900" w:h="16838" w:orient="portrait"/>
          <w:cols w:equalWidth="0" w:num="3">
            <w:col w:w="3180" w:space="720"/>
            <w:col w:w="3109" w:space="720"/>
            <w:col w:w="3351"/>
          </w:cols>
          <w:pgMar w:left="460" w:top="217" w:right="359" w:bottom="1440" w:gutter="0" w:footer="0" w:header="0"/>
          <w:type w:val="continuous"/>
        </w:sectPr>
      </w:pPr>
    </w:p>
    <w:p>
      <w:pPr>
        <w:spacing w:after="0" w:line="204"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LAS VEGAS</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NV</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89109</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40"/>
        <w:spacing w:after="0" w:line="227"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49"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3"/>
                <w:szCs w:val="13"/>
                <w:color w:val="auto"/>
              </w:rPr>
            </w:pPr>
          </w:p>
        </w:tc>
        <w:tc>
          <w:tcPr>
            <w:tcW w:w="120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w w:val="93"/>
              </w:rPr>
              <w:t>2A. Deemed</w:t>
            </w:r>
          </w:p>
        </w:tc>
        <w:tc>
          <w:tcPr>
            <w:tcW w:w="300" w:type="dxa"/>
            <w:vAlign w:val="bottom"/>
          </w:tcPr>
          <w:p>
            <w:pPr>
              <w:spacing w:after="0"/>
              <w:rPr>
                <w:sz w:val="13"/>
                <w:szCs w:val="13"/>
                <w:color w:val="auto"/>
              </w:rPr>
            </w:pP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ind w:left="180"/>
              <w:spacing w:after="0" w:line="127"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5"/>
          </w:tcPr>
          <w:p>
            <w:pPr>
              <w:ind w:left="100"/>
              <w:spacing w:after="0" w:line="127" w:lineRule="exact"/>
              <w:rPr>
                <w:sz w:val="20"/>
                <w:szCs w:val="20"/>
                <w:color w:val="auto"/>
              </w:rPr>
            </w:pPr>
            <w:r>
              <w:rPr>
                <w:rFonts w:ascii="Arial" w:cs="Arial" w:eastAsia="Arial" w:hAnsi="Arial"/>
                <w:sz w:val="12"/>
                <w:szCs w:val="12"/>
                <w:b w:val="1"/>
                <w:bCs w:val="1"/>
                <w:color w:val="auto"/>
                <w:w w:val="95"/>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gridSpan w:val="2"/>
          </w:tcPr>
          <w:p>
            <w:pPr>
              <w:ind w:left="180"/>
              <w:spacing w:after="0" w:line="128"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20" w:type="dxa"/>
            <w:vAlign w:val="bottom"/>
            <w:tcBorders>
              <w:bottom w:val="single" w:sz="8" w:color="2C2C2C"/>
            </w:tcBorders>
            <w:gridSpan w:val="4"/>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1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200" w:type="dxa"/>
            <w:vAlign w:val="bottom"/>
            <w:tcBorders>
              <w:bottom w:val="single" w:sz="8" w:color="2C2C2C"/>
            </w:tcBorders>
            <w:gridSpan w:val="2"/>
          </w:tcPr>
          <w:p>
            <w:pPr>
              <w:jc w:val="right"/>
              <w:ind w:right="121"/>
              <w:spacing w:after="0"/>
              <w:rPr>
                <w:sz w:val="20"/>
                <w:szCs w:val="20"/>
                <w:color w:val="auto"/>
              </w:rPr>
            </w:pPr>
            <w:r>
              <w:rPr>
                <w:rFonts w:ascii="Times New Roman" w:cs="Times New Roman" w:eastAsia="Times New Roman" w:hAnsi="Times New Roman"/>
                <w:sz w:val="17"/>
                <w:szCs w:val="17"/>
                <w:color w:val="0000FF"/>
              </w:rPr>
              <w:t>01/12/2023</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37,649</w:t>
            </w:r>
            <w:r>
              <w:rPr>
                <w:rFonts w:ascii="Times New Roman" w:cs="Times New Roman" w:eastAsia="Times New Roman" w:hAnsi="Times New Roman"/>
                <w:sz w:val="21"/>
                <w:szCs w:val="21"/>
                <w:color w:val="008000"/>
                <w:w w:val="95"/>
                <w:vertAlign w:val="superscript"/>
              </w:rPr>
              <w:t>(1)</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251,417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200" w:type="dxa"/>
            <w:vAlign w:val="bottom"/>
            <w:tcBorders>
              <w:bottom w:val="single" w:sz="8" w:color="2C2C2C"/>
            </w:tcBorders>
            <w:gridSpan w:val="2"/>
          </w:tcPr>
          <w:p>
            <w:pPr>
              <w:jc w:val="right"/>
              <w:ind w:right="121"/>
              <w:spacing w:after="0"/>
              <w:rPr>
                <w:sz w:val="20"/>
                <w:szCs w:val="20"/>
                <w:color w:val="auto"/>
              </w:rPr>
            </w:pPr>
            <w:r>
              <w:rPr>
                <w:rFonts w:ascii="Times New Roman" w:cs="Times New Roman" w:eastAsia="Times New Roman" w:hAnsi="Times New Roman"/>
                <w:sz w:val="17"/>
                <w:szCs w:val="17"/>
                <w:color w:val="0000FF"/>
              </w:rPr>
              <w:t>01/12/2023</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25,099</w:t>
            </w:r>
            <w:r>
              <w:rPr>
                <w:rFonts w:ascii="Times New Roman" w:cs="Times New Roman" w:eastAsia="Times New Roman" w:hAnsi="Times New Roman"/>
                <w:sz w:val="21"/>
                <w:szCs w:val="21"/>
                <w:color w:val="008000"/>
                <w:w w:val="95"/>
                <w:vertAlign w:val="superscript"/>
              </w:rPr>
              <w:t>(2)</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276,516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6"/>
          </w:tcPr>
          <w:p>
            <w:pPr>
              <w:jc w:val="center"/>
              <w:ind w:left="696"/>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920" w:type="dxa"/>
            <w:vAlign w:val="bottom"/>
            <w:gridSpan w:val="12"/>
          </w:tcPr>
          <w:p>
            <w:pPr>
              <w:jc w:val="center"/>
              <w:ind w:right="12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1060" w:type="dxa"/>
            <w:vAlign w:val="bottom"/>
            <w:vMerge w:val="restart"/>
          </w:tcPr>
          <w:p>
            <w:pPr>
              <w:jc w:val="right"/>
              <w:ind w:right="176"/>
              <w:spacing w:after="0"/>
              <w:rPr>
                <w:sz w:val="20"/>
                <w:szCs w:val="20"/>
                <w:color w:val="auto"/>
              </w:rPr>
            </w:pPr>
            <w:r>
              <w:rPr>
                <w:rFonts w:ascii="Times New Roman" w:cs="Times New Roman" w:eastAsia="Times New Roman" w:hAnsi="Times New Roman"/>
                <w:sz w:val="13"/>
                <w:szCs w:val="13"/>
                <w:color w:val="0000FF"/>
              </w:rPr>
              <w:t>01/12/2023</w:t>
            </w: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2"/>
                <w:szCs w:val="12"/>
                <w:color w:val="auto"/>
              </w:rPr>
            </w:pPr>
          </w:p>
        </w:tc>
        <w:tc>
          <w:tcPr>
            <w:tcW w:w="5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20,916</w:t>
            </w:r>
          </w:p>
        </w:tc>
        <w:tc>
          <w:tcPr>
            <w:tcW w:w="30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01/01/2026</w:t>
            </w: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01/01/2026</w:t>
            </w:r>
          </w:p>
        </w:tc>
        <w:tc>
          <w:tcPr>
            <w:tcW w:w="120" w:type="dxa"/>
            <w:vAlign w:val="bottom"/>
          </w:tcPr>
          <w:p>
            <w:pPr>
              <w:spacing w:after="0"/>
              <w:rPr>
                <w:sz w:val="12"/>
                <w:szCs w:val="12"/>
                <w:color w:val="auto"/>
              </w:rPr>
            </w:pPr>
          </w:p>
        </w:tc>
        <w:tc>
          <w:tcPr>
            <w:tcW w:w="56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1"/>
                <w:szCs w:val="11"/>
                <w:color w:val="008000"/>
              </w:rPr>
              <w:t>(3)</w:t>
            </w:r>
          </w:p>
        </w:tc>
        <w:tc>
          <w:tcPr>
            <w:tcW w:w="60" w:type="dxa"/>
            <w:vAlign w:val="bottom"/>
          </w:tcPr>
          <w:p>
            <w:pPr>
              <w:spacing w:after="0"/>
              <w:rPr>
                <w:sz w:val="12"/>
                <w:szCs w:val="12"/>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89"/>
              </w:rPr>
              <w:t>20,916</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 Units</w:t>
            </w:r>
          </w:p>
        </w:tc>
        <w:tc>
          <w:tcPr>
            <w:tcW w:w="78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80" w:type="dxa"/>
            <w:vAlign w:val="bottom"/>
            <w:gridSpan w:val="2"/>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$0.01</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-2083435</wp:posOffset>
            </wp:positionV>
            <wp:extent cx="29210" cy="2088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885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2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Wynn Resorts, Limited (the "Company") granted pursuant to the Company's Amended and Restated 2014 Omnibus Incentive Plan (the "Plan"). Vesting of the shares is conditioned on continued service through January 12, 2026, with 1/3 of the shares vesting on each of the three consecutive anniversary dates from the date of grant; provided that if the reporting person's employment with the Company is terminated, certain accelerated vesting provisions may apply.</w:t>
      </w:r>
    </w:p>
    <w:p>
      <w:pPr>
        <w:spacing w:after="0" w:line="26" w:lineRule="exact"/>
        <w:rPr>
          <w:rFonts w:ascii="Times New Roman" w:cs="Times New Roman" w:eastAsia="Times New Roman" w:hAnsi="Times New Roman"/>
          <w:sz w:val="13"/>
          <w:szCs w:val="13"/>
          <w:color w:val="008000"/>
        </w:rPr>
      </w:pPr>
    </w:p>
    <w:p>
      <w:pPr>
        <w:jc w:val="both"/>
        <w:ind w:left="40" w:right="36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the Company granted pursuant to the Plan. Vesting of the shares is is based on achievement of pre-established financial performance goals in each of the years ended December 31, 2023, 2024 and 2025, and if met, 1/3 of the shares will vest on each of the dates of February 28, 2024, 2025 and 2026; provided that if the reporting person's employment with the Company is terminated, certain accelerated vesting provisions may apply.</w:t>
      </w:r>
    </w:p>
    <w:p>
      <w:pPr>
        <w:spacing w:after="0" w:line="26" w:lineRule="exact"/>
        <w:rPr>
          <w:rFonts w:ascii="Times New Roman" w:cs="Times New Roman" w:eastAsia="Times New Roman" w:hAnsi="Times New Roman"/>
          <w:sz w:val="13"/>
          <w:szCs w:val="13"/>
          <w:color w:val="008000"/>
        </w:rPr>
      </w:pPr>
    </w:p>
    <w:p>
      <w:pPr>
        <w:jc w:val="both"/>
        <w:ind w:left="40" w:right="160" w:firstLine="1"/>
        <w:spacing w:after="0" w:line="236"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performance share units ("PSUs") pursuant to the Plan. Each PSU represents the right to receive between 0 and 1.6 shares of Company common stock depending on the performance of the common stock from January 1, 2023 to January 1, 2026 (the "Vesting Date"), with such performance determined as the multiple of the average closing price of Company common stock over the 60-calendar day period ending on the Vesting Date, as adjusted to include dividends paid during the term of the PSU, to the average closing price of Company common stock over the 60-calendar day period ending on January 1, 2023.</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9" w:lineRule="auto"/>
        <w:rPr>
          <w:sz w:val="20"/>
          <w:szCs w:val="20"/>
          <w:color w:val="auto"/>
        </w:rPr>
      </w:pPr>
      <w:r>
        <w:rPr>
          <w:rFonts w:ascii="Times New Roman" w:cs="Times New Roman" w:eastAsia="Times New Roman" w:hAnsi="Times New Roman"/>
          <w:sz w:val="17"/>
          <w:szCs w:val="17"/>
          <w:color w:val="0000FF"/>
        </w:rPr>
        <w:t xml:space="preserve">/s/ Nicholas Pannucci, attorney- </w:t>
      </w:r>
      <w:r>
        <w:rPr>
          <w:rFonts w:ascii="Times New Roman" w:cs="Times New Roman" w:eastAsia="Times New Roman" w:hAnsi="Times New Roman"/>
          <w:sz w:val="33"/>
          <w:szCs w:val="33"/>
          <w:color w:val="0000FF"/>
          <w:vertAlign w:val="subscript"/>
        </w:rPr>
        <w:t>01/17/2023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487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Craig Scott Billings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1290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9032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1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99174"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2023-01-17T19:14:19Z</dcterms:created>
  <dcterms:modified xsi:type="dcterms:W3CDTF">2023-01-17T19:14:19Z</dcterms:modified>
</cp:coreProperties>
</file>