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STRZEMP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Chief Administrative Ofc</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60" w:type="dxa"/>
            <w:vAlign w:val="bottom"/>
            <w:gridSpan w:val="7"/>
          </w:tcPr>
          <w:p>
            <w:pPr>
              <w:jc w:val="center"/>
              <w:ind w:right="57"/>
              <w:spacing w:after="0"/>
              <w:rPr>
                <w:sz w:val="20"/>
                <w:szCs w:val="20"/>
                <w:color w:val="auto"/>
              </w:rPr>
            </w:pPr>
            <w:r>
              <w:rPr>
                <w:rFonts w:ascii="Arial" w:cs="Arial" w:eastAsia="Arial" w:hAnsi="Arial"/>
                <w:sz w:val="14"/>
                <w:szCs w:val="14"/>
                <w:color w:val="auto"/>
                <w:w w:val="95"/>
              </w:rPr>
              <w:t>4. If Amendment, Date of Original Filed (Month/Day/Year)</w:t>
            </w:r>
          </w:p>
        </w:tc>
        <w:tc>
          <w:tcPr>
            <w:tcW w:w="3640" w:type="dxa"/>
            <w:vAlign w:val="bottom"/>
            <w:gridSpan w:val="7"/>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LAS VEGAS</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8"/>
                <w:szCs w:val="18"/>
                <w:color w:val="0000FF"/>
              </w:rPr>
              <w:t>89109</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4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5"/>
                <w:szCs w:val="15"/>
                <w:color w:val="auto"/>
              </w:rPr>
            </w:pPr>
          </w:p>
        </w:tc>
        <w:tc>
          <w:tcPr>
            <w:tcW w:w="1280" w:type="dxa"/>
            <w:vAlign w:val="bottom"/>
            <w:gridSpan w:val="3"/>
          </w:tcPr>
          <w:p>
            <w:pPr>
              <w:ind w:left="1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1280" w:type="dxa"/>
            <w:vAlign w:val="bottom"/>
            <w:tcBorders>
              <w:bottom w:val="single" w:sz="8" w:color="2C2C2C"/>
            </w:tcBorders>
            <w:gridSpan w:val="3"/>
          </w:tcPr>
          <w:p>
            <w:pPr>
              <w:jc w:val="right"/>
              <w:ind w:right="138"/>
              <w:spacing w:after="0"/>
              <w:rPr>
                <w:sz w:val="20"/>
                <w:szCs w:val="20"/>
                <w:color w:val="auto"/>
              </w:rPr>
            </w:pPr>
            <w:r>
              <w:rPr>
                <w:rFonts w:ascii="Arial" w:cs="Arial" w:eastAsia="Arial" w:hAnsi="Arial"/>
                <w:sz w:val="18"/>
                <w:szCs w:val="18"/>
                <w:color w:val="0000FF"/>
              </w:rPr>
              <w:t>02/23/2015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92"/>
              </w:rPr>
              <w:t>F</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5"/>
              </w:rPr>
              <w:t>1,049</w:t>
            </w:r>
            <w:r>
              <w:rPr>
                <w:rFonts w:ascii="Arial" w:cs="Arial" w:eastAsia="Arial" w:hAnsi="Arial"/>
                <w:sz w:val="22"/>
                <w:szCs w:val="22"/>
                <w:color w:val="008000"/>
                <w:w w:val="85"/>
                <w:vertAlign w:val="superscript"/>
              </w:rPr>
              <w:t>(1)</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154.33</w:t>
            </w:r>
          </w:p>
        </w:tc>
        <w:tc>
          <w:tcPr>
            <w:tcW w:w="1240" w:type="dxa"/>
            <w:vAlign w:val="bottom"/>
            <w:tcBorders>
              <w:bottom w:val="single" w:sz="8" w:color="2C2C2C"/>
            </w:tcBorders>
            <w:gridSpan w:val="2"/>
          </w:tcPr>
          <w:p>
            <w:pPr>
              <w:jc w:val="right"/>
              <w:ind w:right="297"/>
              <w:spacing w:after="0"/>
              <w:rPr>
                <w:sz w:val="20"/>
                <w:szCs w:val="20"/>
                <w:color w:val="auto"/>
              </w:rPr>
            </w:pPr>
            <w:r>
              <w:rPr>
                <w:rFonts w:ascii="Arial" w:cs="Arial" w:eastAsia="Arial" w:hAnsi="Arial"/>
                <w:sz w:val="18"/>
                <w:szCs w:val="18"/>
                <w:color w:val="0000FF"/>
              </w:rPr>
              <w:t>244,030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vMerge w:val="restart"/>
          </w:tcPr>
          <w:p>
            <w:pPr>
              <w:jc w:val="right"/>
              <w:ind w:right="457"/>
              <w:spacing w:after="0"/>
              <w:rPr>
                <w:sz w:val="20"/>
                <w:szCs w:val="20"/>
                <w:color w:val="auto"/>
              </w:rPr>
            </w:pPr>
            <w:r>
              <w:rPr>
                <w:rFonts w:ascii="Arial" w:cs="Arial" w:eastAsia="Arial" w:hAnsi="Arial"/>
                <w:sz w:val="18"/>
                <w:szCs w:val="18"/>
                <w:color w:val="0000FF"/>
                <w:w w:val="86"/>
              </w:rPr>
              <w:t>500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mother</w:t>
            </w:r>
            <w:r>
              <w:rPr>
                <w:rFonts w:ascii="Arial" w:cs="Arial" w:eastAsia="Arial" w:hAnsi="Arial"/>
                <w:sz w:val="22"/>
                <w:szCs w:val="22"/>
                <w:color w:val="008000"/>
                <w:w w:val="97"/>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60" w:type="dxa"/>
            <w:vAlign w:val="bottom"/>
            <w:gridSpan w:val="11"/>
          </w:tcPr>
          <w:p>
            <w:pPr>
              <w:jc w:val="center"/>
              <w:ind w:right="15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withheld upon vesting of previously granted restricted stock to satisfy tax withholding obligations.</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and this report shall not be deemed an admission that the reporting person is the beneficial owner of the securities for purposes of Section 16.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Kevin Tourek, Attorney-in-</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02/25/2015</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John Strzemp</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4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2019-12-08T01:49:15Z</dcterms:created>
  <dcterms:modified xsi:type="dcterms:W3CDTF">2019-12-08T01:49:15Z</dcterms:modified>
</cp:coreProperties>
</file>