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8412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8412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GOLDSMITH RUSSELL D</w:t>
              </w:r>
            </w:hyperlink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Officer (give title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C/O WYNN RESORTS, LIMITED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10/29/2012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3131 LAS VEGAS BOULEVARD SOUTH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3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Common Stock, par value $0.01 per share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10/29/2012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47.12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5,500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Common Stock, par value $0.01 per share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10/29/2012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84.28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6,500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Common Stock, par value $0.01 per share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20,700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Russell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Goldsmith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Common Stock, par value $0.01 per share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California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Quintet,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Karen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Common Stock, par value $0.01 per share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Goldsmith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IRA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$0.01 per share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Via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FF"/>
                <w:vertAlign w:val="subscript"/>
              </w:rPr>
              <w:t>Trust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gridSpan w:val="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7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47.12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10/29/2012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05/06/2019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$0.01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9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84.28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10/29/2012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1,000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05/11/2020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7"/>
        </w:trPr>
        <w:tc>
          <w:tcPr>
            <w:tcW w:w="3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3880" w:type="dxa"/>
            <w:vAlign w:val="bottom"/>
          </w:tcPr>
          <w:p>
            <w:pPr>
              <w:jc w:val="center"/>
              <w:ind w:left="329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vMerge w:val="restart"/>
          </w:tcPr>
          <w:p>
            <w:pPr>
              <w:jc w:val="center"/>
              <w:ind w:left="3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9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disclaims beneficial ownership of the securities except to the extent of his pecuniary interest therein, if any.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are held in a trust for which Mr. Goldsmith is trustee and certain members of Mr. Goldsmith's immediate family are beneficiaries.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Options vest 10% per year on each anniversary of the date of grant (May 6, 2009) for the first four years, with the remaining 60% vesting on the five year anniversary of the date of grant; provided, that if the reporting person ceases to be a director of the Company any options that are unvested at such time will be forfeited.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Options vest 20% per year on each anniversary of the date of grant (May 11, 2010); provided, that if the reporting person ceases to be a director of the Company any options that are unvested at such time will be forfeited.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/s/ Kevin Tourek, attorney-in-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10/31/2012</w:t>
            </w:r>
          </w:p>
        </w:tc>
      </w:tr>
      <w:tr>
        <w:trPr>
          <w:trHeight w:val="196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fact for Russell D. Goldsmith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08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7188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2019-12-18T03:00:19Z</dcterms:created>
  <dcterms:modified xsi:type="dcterms:W3CDTF">2019-12-18T03:00:19Z</dcterms:modified>
</cp:coreProperties>
</file>