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125095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5" w:lineRule="exact"/>
        <w:rPr>
          <w:sz w:val="24"/>
          <w:szCs w:val="24"/>
          <w:color w:val="auto"/>
        </w:rPr>
      </w:pPr>
    </w:p>
    <w:p>
      <w:pPr>
        <w:jc w:val="center"/>
        <w:ind w:right="-359"/>
        <w:spacing w:after="0"/>
        <w:rPr>
          <w:sz w:val="20"/>
          <w:szCs w:val="20"/>
          <w:color w:val="auto"/>
        </w:rPr>
      </w:pPr>
      <w:r>
        <w:rPr>
          <w:rFonts w:ascii="Arial" w:cs="Arial" w:eastAsia="Arial" w:hAnsi="Arial"/>
          <w:sz w:val="29"/>
          <w:szCs w:val="29"/>
          <w:b w:val="1"/>
          <w:bCs w:val="1"/>
          <w:color w:val="auto"/>
        </w:rPr>
        <w:t>SCHEDULE 14A</w:t>
      </w:r>
    </w:p>
    <w:p>
      <w:pPr>
        <w:spacing w:after="0" w:line="94" w:lineRule="exact"/>
        <w:rPr>
          <w:sz w:val="24"/>
          <w:szCs w:val="24"/>
          <w:color w:val="auto"/>
        </w:rPr>
      </w:pPr>
    </w:p>
    <w:p>
      <w:pPr>
        <w:jc w:val="center"/>
        <w:ind w:right="-35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2" w:lineRule="exact"/>
        <w:rPr>
          <w:sz w:val="24"/>
          <w:szCs w:val="24"/>
          <w:color w:val="auto"/>
        </w:rPr>
      </w:pPr>
    </w:p>
    <w:p>
      <w:pPr>
        <w:jc w:val="center"/>
        <w:ind w:right="-359"/>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120650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4" w:lineRule="exact"/>
        <w:rPr>
          <w:sz w:val="24"/>
          <w:szCs w:val="24"/>
          <w:color w:val="auto"/>
        </w:rPr>
      </w:pPr>
    </w:p>
    <w:p>
      <w:pPr>
        <w:ind w:left="20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1" w:lineRule="exact"/>
        <w:rPr>
          <w:rFonts w:ascii="MS PGothic" w:cs="MS PGothic" w:eastAsia="MS PGothic" w:hAnsi="MS PGothic"/>
          <w:sz w:val="18"/>
          <w:szCs w:val="18"/>
          <w:color w:val="auto"/>
        </w:rPr>
      </w:pPr>
    </w:p>
    <w:p>
      <w:pPr>
        <w:ind w:left="2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97" w:lineRule="exact"/>
        <w:rPr>
          <w:sz w:val="24"/>
          <w:szCs w:val="24"/>
          <w:color w:val="auto"/>
        </w:rPr>
      </w:pPr>
    </w:p>
    <w:p>
      <w:pPr>
        <w:jc w:val="center"/>
        <w:ind w:right="-359"/>
        <w:spacing w:after="0"/>
        <w:rPr>
          <w:sz w:val="20"/>
          <w:szCs w:val="20"/>
          <w:color w:val="auto"/>
        </w:rPr>
      </w:pPr>
      <w:r>
        <w:rPr>
          <w:rFonts w:ascii="Arial" w:cs="Arial" w:eastAsia="Arial" w:hAnsi="Arial"/>
          <w:sz w:val="34"/>
          <w:szCs w:val="34"/>
          <w:b w:val="1"/>
          <w:bCs w:val="1"/>
          <w:color w:val="auto"/>
        </w:rPr>
        <w:t>WYNN RESORTS, LIMITED</w:t>
      </w:r>
    </w:p>
    <w:p>
      <w:pPr>
        <w:spacing w:after="0" w:line="28"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93"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560" w:hanging="356"/>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60" w:hanging="356"/>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80" w:hanging="425"/>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80" w:hanging="425"/>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80" w:right="280" w:hanging="425"/>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980" w:hanging="425"/>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80" w:hanging="425"/>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0" w:hanging="356"/>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60" w:hanging="356"/>
        <w:spacing w:after="0" w:line="308" w:lineRule="auto"/>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980" w:hanging="425"/>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80" w:hanging="425"/>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80" w:hanging="425"/>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80" w:hanging="425"/>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631190</wp:posOffset>
            </wp:positionH>
            <wp:positionV relativeFrom="paragraph">
              <wp:posOffset>-3312160</wp:posOffset>
            </wp:positionV>
            <wp:extent cx="6500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-2968625</wp:posOffset>
            </wp:positionV>
            <wp:extent cx="6500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-2488565</wp:posOffset>
            </wp:positionV>
            <wp:extent cx="6500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-2145665</wp:posOffset>
            </wp:positionV>
            <wp:extent cx="6500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-1802765</wp:posOffset>
            </wp:positionV>
            <wp:extent cx="65004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-824865</wp:posOffset>
            </wp:positionV>
            <wp:extent cx="6500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-481965</wp:posOffset>
            </wp:positionV>
            <wp:extent cx="65004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-139065</wp:posOffset>
            </wp:positionV>
            <wp:extent cx="6500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203835</wp:posOffset>
            </wp:positionV>
            <wp:extent cx="6500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306705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349250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80"/>
          </w:cols>
          <w:pgMar w:left="240" w:top="230" w:right="57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220345</wp:posOffset>
            </wp:positionV>
            <wp:extent cx="7031990" cy="659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1990" cy="659511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220345</wp:posOffset>
            </wp:positionV>
            <wp:extent cx="7031990" cy="6938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1990" cy="693801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0" w:right="2959"/>
        <w:spacing w:after="0" w:line="315" w:lineRule="auto"/>
        <w:rPr>
          <w:sz w:val="20"/>
          <w:szCs w:val="20"/>
          <w:color w:val="auto"/>
        </w:rPr>
      </w:pPr>
      <w:r>
        <w:rPr>
          <w:rFonts w:ascii="Arial" w:cs="Arial" w:eastAsia="Arial" w:hAnsi="Arial"/>
          <w:sz w:val="41"/>
          <w:szCs w:val="41"/>
          <w:b w:val="1"/>
          <w:bCs w:val="1"/>
          <w:color w:val="665B4F"/>
        </w:rPr>
        <w:t>LETTER FROM OUR INDEPENDENT BOARD CHAIR</w:t>
      </w: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Arial" w:cs="Arial" w:eastAsia="Arial" w:hAnsi="Arial"/>
          <w:sz w:val="29"/>
          <w:szCs w:val="29"/>
          <w:color w:val="665B4F"/>
        </w:rPr>
        <w:t>DEAR FELLOW SHAREHOLDERS,</w:t>
      </w:r>
    </w:p>
    <w:p>
      <w:pPr>
        <w:spacing w:after="0" w:line="226" w:lineRule="exact"/>
        <w:rPr>
          <w:sz w:val="20"/>
          <w:szCs w:val="20"/>
          <w:color w:val="auto"/>
        </w:rPr>
      </w:pPr>
    </w:p>
    <w:p>
      <w:pPr>
        <w:ind w:left="200" w:right="699"/>
        <w:spacing w:after="0" w:line="253" w:lineRule="auto"/>
        <w:rPr>
          <w:sz w:val="20"/>
          <w:szCs w:val="20"/>
          <w:color w:val="auto"/>
        </w:rPr>
      </w:pPr>
      <w:r>
        <w:rPr>
          <w:rFonts w:ascii="Arial" w:cs="Arial" w:eastAsia="Arial" w:hAnsi="Arial"/>
          <w:sz w:val="16"/>
          <w:szCs w:val="16"/>
          <w:color w:val="auto"/>
        </w:rPr>
        <w:t>Last year was a strong financial year for Wynn Resorts. My sincere thanks go out to our 25,000 dedicated employees who made it happen; their efforts and commitment were vital to our Company’s success. This year, we face very different challenges. Commencing with the appointment of Matt Maddox as our new CEO on February 6, we have important work ahead of us.</w:t>
      </w:r>
    </w:p>
    <w:p>
      <w:pPr>
        <w:spacing w:after="0" w:line="201" w:lineRule="exact"/>
        <w:rPr>
          <w:sz w:val="20"/>
          <w:szCs w:val="20"/>
          <w:color w:val="auto"/>
        </w:rPr>
      </w:pPr>
    </w:p>
    <w:p>
      <w:pPr>
        <w:jc w:val="both"/>
        <w:ind w:left="200" w:right="799"/>
        <w:spacing w:after="0" w:line="253" w:lineRule="auto"/>
        <w:rPr>
          <w:sz w:val="20"/>
          <w:szCs w:val="20"/>
          <w:color w:val="auto"/>
        </w:rPr>
      </w:pPr>
      <w:r>
        <w:rPr>
          <w:rFonts w:ascii="Arial" w:cs="Arial" w:eastAsia="Arial" w:hAnsi="Arial"/>
          <w:sz w:val="16"/>
          <w:szCs w:val="16"/>
          <w:color w:val="auto"/>
        </w:rPr>
        <w:t>With thoughtfulness and a profound understanding of the moment, we are taking all due measures to protect the interests of our shareholders, our 25,000 employees, our customers in the US and abroad, and the communities in which we live and work. Most notably, we have pledged ourselves to further enhancing our overall corporate governance.</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only a few months we have:</w:t>
      </w:r>
    </w:p>
    <w:p>
      <w:pPr>
        <w:spacing w:after="0" w:line="127" w:lineRule="exact"/>
        <w:rPr>
          <w:sz w:val="20"/>
          <w:szCs w:val="20"/>
          <w:color w:val="auto"/>
        </w:rPr>
      </w:pPr>
    </w:p>
    <w:p>
      <w:pPr>
        <w:ind w:left="520" w:right="639" w:hanging="208"/>
        <w:spacing w:after="0" w:line="250" w:lineRule="auto"/>
        <w:tabs>
          <w:tab w:leader="none" w:pos="520" w:val="left"/>
        </w:tabs>
        <w:numPr>
          <w:ilvl w:val="0"/>
          <w:numId w:val="4"/>
        </w:numPr>
        <w:rPr>
          <w:rFonts w:ascii="Arial" w:cs="Arial" w:eastAsia="Arial" w:hAnsi="Arial"/>
          <w:sz w:val="16"/>
          <w:szCs w:val="16"/>
          <w:color w:val="665B4F"/>
        </w:rPr>
      </w:pPr>
      <w:r>
        <w:rPr>
          <w:rFonts w:ascii="Arial" w:cs="Arial" w:eastAsia="Arial" w:hAnsi="Arial"/>
          <w:sz w:val="16"/>
          <w:szCs w:val="16"/>
          <w:color w:val="auto"/>
        </w:rPr>
        <w:t>Commenced a board refreshment process to strengthen our Board going forward. On April 17, 2018, after an in-depth process to identify and evaluate potential candidates, our Board appointed Betsy Atkins, Dee Dee Myers, and Wendy Webb to the Board. With these new appointments and following Mr. Virtue’s retirement from the Board, 40% of our directors are women, a milestone shared by fewer than 10% of the S&amp;P 400. Our three new directors bring diverse experience and expertise to our Board, and each will enhance and strengthen our Board’s oversight of the Company.</w:t>
      </w:r>
    </w:p>
    <w:p>
      <w:pPr>
        <w:spacing w:after="0" w:line="108" w:lineRule="exact"/>
        <w:rPr>
          <w:rFonts w:ascii="Arial" w:cs="Arial" w:eastAsia="Arial" w:hAnsi="Arial"/>
          <w:sz w:val="16"/>
          <w:szCs w:val="16"/>
          <w:color w:val="665B4F"/>
        </w:rPr>
      </w:pPr>
    </w:p>
    <w:p>
      <w:pPr>
        <w:ind w:left="520" w:right="959" w:hanging="208"/>
        <w:spacing w:after="0" w:line="260" w:lineRule="auto"/>
        <w:tabs>
          <w:tab w:leader="none" w:pos="520" w:val="left"/>
        </w:tabs>
        <w:numPr>
          <w:ilvl w:val="0"/>
          <w:numId w:val="4"/>
        </w:numPr>
        <w:rPr>
          <w:rFonts w:ascii="Arial" w:cs="Arial" w:eastAsia="Arial" w:hAnsi="Arial"/>
          <w:sz w:val="16"/>
          <w:szCs w:val="16"/>
          <w:color w:val="665B4F"/>
        </w:rPr>
      </w:pPr>
      <w:r>
        <w:rPr>
          <w:rFonts w:ascii="Arial" w:cs="Arial" w:eastAsia="Arial" w:hAnsi="Arial"/>
          <w:sz w:val="16"/>
          <w:szCs w:val="16"/>
          <w:color w:val="auto"/>
        </w:rPr>
        <w:t>Formed a Special Committee of independent directors to investigate allegations regarding former CEO, Stephen A. Wynn, and conduct a comprehensive review of internal workplace policies and procedures.</w:t>
      </w:r>
    </w:p>
    <w:p>
      <w:pPr>
        <w:spacing w:after="0" w:line="101" w:lineRule="exact"/>
        <w:rPr>
          <w:rFonts w:ascii="Arial" w:cs="Arial" w:eastAsia="Arial" w:hAnsi="Arial"/>
          <w:sz w:val="16"/>
          <w:szCs w:val="16"/>
          <w:color w:val="665B4F"/>
        </w:rPr>
      </w:pPr>
    </w:p>
    <w:p>
      <w:pPr>
        <w:ind w:left="520" w:right="719" w:hanging="208"/>
        <w:spacing w:after="0" w:line="253" w:lineRule="auto"/>
        <w:tabs>
          <w:tab w:leader="none" w:pos="520" w:val="left"/>
        </w:tabs>
        <w:numPr>
          <w:ilvl w:val="0"/>
          <w:numId w:val="4"/>
        </w:numPr>
        <w:rPr>
          <w:rFonts w:ascii="Arial" w:cs="Arial" w:eastAsia="Arial" w:hAnsi="Arial"/>
          <w:sz w:val="16"/>
          <w:szCs w:val="16"/>
          <w:color w:val="665B4F"/>
        </w:rPr>
      </w:pPr>
      <w:r>
        <w:rPr>
          <w:rFonts w:ascii="Arial" w:cs="Arial" w:eastAsia="Arial" w:hAnsi="Arial"/>
          <w:sz w:val="16"/>
          <w:szCs w:val="16"/>
          <w:color w:val="auto"/>
        </w:rPr>
        <w:t>Sold 5.3 million newly issued shares (at $175 a share) to Galaxy Entertainment Group, a Hong-Kong listed leading resort, hospitality and gaming company; the remaining 8 million shares held by Stephen A. Wynn were sold to two existing long-term investors, which we believe demonstrates their confidence in the ongoing strength of the Company.</w:t>
      </w:r>
    </w:p>
    <w:p>
      <w:pPr>
        <w:spacing w:after="0" w:line="106" w:lineRule="exact"/>
        <w:rPr>
          <w:rFonts w:ascii="Arial" w:cs="Arial" w:eastAsia="Arial" w:hAnsi="Arial"/>
          <w:sz w:val="16"/>
          <w:szCs w:val="16"/>
          <w:color w:val="665B4F"/>
        </w:rPr>
      </w:pPr>
    </w:p>
    <w:p>
      <w:pPr>
        <w:ind w:left="520" w:right="879" w:hanging="208"/>
        <w:spacing w:after="0" w:line="260" w:lineRule="auto"/>
        <w:tabs>
          <w:tab w:leader="none" w:pos="520" w:val="left"/>
        </w:tabs>
        <w:numPr>
          <w:ilvl w:val="0"/>
          <w:numId w:val="4"/>
        </w:numPr>
        <w:rPr>
          <w:rFonts w:ascii="Arial" w:cs="Arial" w:eastAsia="Arial" w:hAnsi="Arial"/>
          <w:sz w:val="16"/>
          <w:szCs w:val="16"/>
          <w:color w:val="665B4F"/>
        </w:rPr>
      </w:pPr>
      <w:r>
        <w:rPr>
          <w:rFonts w:ascii="Arial" w:cs="Arial" w:eastAsia="Arial" w:hAnsi="Arial"/>
          <w:sz w:val="16"/>
          <w:szCs w:val="16"/>
          <w:color w:val="auto"/>
        </w:rPr>
        <w:t>Settled long-running litigation with Universal Entertainment Corporation and Aruze USA, Inc., which we believe the markets received positively.</w:t>
      </w:r>
    </w:p>
    <w:p>
      <w:pPr>
        <w:spacing w:after="0" w:line="101" w:lineRule="exact"/>
        <w:rPr>
          <w:rFonts w:ascii="Arial" w:cs="Arial" w:eastAsia="Arial" w:hAnsi="Arial"/>
          <w:sz w:val="16"/>
          <w:szCs w:val="16"/>
          <w:color w:val="665B4F"/>
        </w:rPr>
      </w:pPr>
    </w:p>
    <w:p>
      <w:pPr>
        <w:ind w:left="520" w:right="859" w:hanging="208"/>
        <w:spacing w:after="0" w:line="260" w:lineRule="auto"/>
        <w:tabs>
          <w:tab w:leader="none" w:pos="520" w:val="left"/>
        </w:tabs>
        <w:numPr>
          <w:ilvl w:val="0"/>
          <w:numId w:val="4"/>
        </w:numPr>
        <w:rPr>
          <w:rFonts w:ascii="Arial" w:cs="Arial" w:eastAsia="Arial" w:hAnsi="Arial"/>
          <w:sz w:val="16"/>
          <w:szCs w:val="16"/>
          <w:color w:val="665B4F"/>
        </w:rPr>
      </w:pPr>
      <w:r>
        <w:rPr>
          <w:rFonts w:ascii="Arial" w:cs="Arial" w:eastAsia="Arial" w:hAnsi="Arial"/>
          <w:sz w:val="16"/>
          <w:szCs w:val="16"/>
          <w:color w:val="auto"/>
        </w:rPr>
        <w:t>Affirmatively engaged our largest shareholders to invite advice and input and ensure their confidence in our forward-looking plans.</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4"/>
        </w:numPr>
        <w:rPr>
          <w:rFonts w:ascii="Arial" w:cs="Arial" w:eastAsia="Arial" w:hAnsi="Arial"/>
          <w:sz w:val="16"/>
          <w:szCs w:val="16"/>
          <w:color w:val="665B4F"/>
        </w:rPr>
      </w:pPr>
      <w:r>
        <w:rPr>
          <w:rFonts w:ascii="Arial" w:cs="Arial" w:eastAsia="Arial" w:hAnsi="Arial"/>
          <w:sz w:val="16"/>
          <w:szCs w:val="16"/>
          <w:color w:val="auto"/>
        </w:rPr>
        <w:t>Worked actively to maintain good relationships with our regulators.</w:t>
      </w:r>
    </w:p>
    <w:p>
      <w:pPr>
        <w:spacing w:after="0" w:line="235" w:lineRule="exact"/>
        <w:rPr>
          <w:sz w:val="20"/>
          <w:szCs w:val="20"/>
          <w:color w:val="auto"/>
        </w:rPr>
      </w:pPr>
    </w:p>
    <w:p>
      <w:pPr>
        <w:ind w:left="200" w:right="699"/>
        <w:spacing w:after="0" w:line="251" w:lineRule="auto"/>
        <w:rPr>
          <w:sz w:val="20"/>
          <w:szCs w:val="20"/>
          <w:color w:val="auto"/>
        </w:rPr>
      </w:pPr>
      <w:r>
        <w:rPr>
          <w:rFonts w:ascii="Arial" w:cs="Arial" w:eastAsia="Arial" w:hAnsi="Arial"/>
          <w:sz w:val="16"/>
          <w:szCs w:val="16"/>
          <w:color w:val="auto"/>
        </w:rPr>
        <w:t>Managers at every level have expanded the channels of communications with our employees around the world, to convey our respect for, and commitment to, them and to a diverse and inclusive community and environment in which to work. Part and parcel of this is to express and to affirm our belief that they are integral to our success. Day in and day out, they deliver the 5-star service for which our Company is proudly known, and thus, they perform a vital role essential to our future.</w:t>
      </w:r>
    </w:p>
    <w:p>
      <w:pPr>
        <w:spacing w:after="0" w:line="203" w:lineRule="exact"/>
        <w:rPr>
          <w:sz w:val="20"/>
          <w:szCs w:val="20"/>
          <w:color w:val="auto"/>
        </w:rPr>
      </w:pPr>
    </w:p>
    <w:p>
      <w:pPr>
        <w:ind w:left="200" w:right="919"/>
        <w:spacing w:after="0" w:line="253" w:lineRule="auto"/>
        <w:rPr>
          <w:sz w:val="20"/>
          <w:szCs w:val="20"/>
          <w:color w:val="auto"/>
        </w:rPr>
      </w:pPr>
      <w:r>
        <w:rPr>
          <w:rFonts w:ascii="Arial" w:cs="Arial" w:eastAsia="Arial" w:hAnsi="Arial"/>
          <w:sz w:val="16"/>
          <w:szCs w:val="16"/>
          <w:color w:val="auto"/>
        </w:rPr>
        <w:t>When you vote your proxy this year, we ask for your support not only of your Board of Directors, but for all of the 25,000 people who, indeed, are Wynn Resorts. Our journey through this transition has begun. We are proud to be furthering an important transition for our Company. With your support, we are committed to completing what we have started.</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Sincerely,</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 Boone Wayson</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224790</wp:posOffset>
            </wp:positionV>
            <wp:extent cx="6997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41"/>
          <w:szCs w:val="41"/>
          <w:b w:val="1"/>
          <w:bCs w:val="1"/>
          <w:color w:val="665B4F"/>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1878330" cy="7246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78330" cy="724662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DATE AND TIME</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May 16, 2018</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9:00 am PT.</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PLACE</w:t>
      </w:r>
    </w:p>
    <w:p>
      <w:pPr>
        <w:spacing w:after="0" w:line="88" w:lineRule="exact"/>
        <w:rPr>
          <w:sz w:val="20"/>
          <w:szCs w:val="20"/>
          <w:color w:val="auto"/>
        </w:rPr>
      </w:pPr>
    </w:p>
    <w:p>
      <w:pPr>
        <w:ind w:left="520" w:right="520"/>
        <w:spacing w:after="0" w:line="251" w:lineRule="auto"/>
        <w:rPr>
          <w:sz w:val="20"/>
          <w:szCs w:val="20"/>
          <w:color w:val="auto"/>
        </w:rPr>
      </w:pPr>
      <w:r>
        <w:rPr>
          <w:rFonts w:ascii="Arial" w:cs="Arial" w:eastAsia="Arial" w:hAnsi="Arial"/>
          <w:sz w:val="16"/>
          <w:szCs w:val="16"/>
          <w:color w:val="auto"/>
        </w:rPr>
        <w:t>Encore Theater at Wynn Las Vegas, 3131 Las Vegas Boulevard South, Las Vegas, Nevada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spacing w:after="0"/>
        <w:rPr>
          <w:sz w:val="20"/>
          <w:szCs w:val="20"/>
          <w:color w:val="auto"/>
        </w:rPr>
      </w:pPr>
      <w:r>
        <w:rPr>
          <w:rFonts w:ascii="Arial" w:cs="Arial" w:eastAsia="Arial" w:hAnsi="Arial"/>
          <w:sz w:val="13"/>
          <w:szCs w:val="13"/>
          <w:color w:val="665B4F"/>
        </w:rPr>
        <w:t>This Proxy Statement and our</w:t>
      </w:r>
    </w:p>
    <w:p>
      <w:pPr>
        <w:ind w:left="520"/>
        <w:spacing w:after="0" w:line="216" w:lineRule="auto"/>
        <w:rPr>
          <w:sz w:val="20"/>
          <w:szCs w:val="20"/>
          <w:color w:val="auto"/>
        </w:rPr>
      </w:pPr>
      <w:r>
        <w:rPr>
          <w:rFonts w:ascii="Arial" w:cs="Arial" w:eastAsia="Arial" w:hAnsi="Arial"/>
          <w:sz w:val="13"/>
          <w:szCs w:val="13"/>
          <w:color w:val="665B4F"/>
        </w:rPr>
        <w:t>2017 Annual Report on Form</w:t>
      </w:r>
    </w:p>
    <w:p>
      <w:pPr>
        <w:ind w:left="520"/>
        <w:spacing w:after="0" w:line="217" w:lineRule="auto"/>
        <w:rPr>
          <w:sz w:val="20"/>
          <w:szCs w:val="20"/>
          <w:color w:val="auto"/>
        </w:rPr>
      </w:pPr>
      <w:r>
        <w:rPr>
          <w:rFonts w:ascii="Arial" w:cs="Arial" w:eastAsia="Arial" w:hAnsi="Arial"/>
          <w:sz w:val="13"/>
          <w:szCs w:val="13"/>
          <w:color w:val="665B4F"/>
        </w:rPr>
        <w:t>10-K are available at</w:t>
      </w:r>
    </w:p>
    <w:p>
      <w:pPr>
        <w:ind w:left="520"/>
        <w:spacing w:after="0" w:line="217" w:lineRule="auto"/>
        <w:rPr>
          <w:sz w:val="20"/>
          <w:szCs w:val="20"/>
          <w:color w:val="auto"/>
        </w:rPr>
      </w:pPr>
      <w:r>
        <w:rPr>
          <w:rFonts w:ascii="Arial" w:cs="Arial" w:eastAsia="Arial" w:hAnsi="Arial"/>
          <w:sz w:val="13"/>
          <w:szCs w:val="13"/>
          <w:color w:val="665B4F"/>
        </w:rPr>
        <w:t>http://www.wynnresorts.com on</w:t>
      </w:r>
    </w:p>
    <w:p>
      <w:pPr>
        <w:ind w:left="520"/>
        <w:spacing w:after="0" w:line="217" w:lineRule="auto"/>
        <w:rPr>
          <w:sz w:val="20"/>
          <w:szCs w:val="20"/>
          <w:color w:val="auto"/>
        </w:rPr>
      </w:pPr>
      <w:r>
        <w:rPr>
          <w:rFonts w:ascii="Arial" w:cs="Arial" w:eastAsia="Arial" w:hAnsi="Arial"/>
          <w:sz w:val="13"/>
          <w:szCs w:val="13"/>
          <w:color w:val="665B4F"/>
        </w:rPr>
        <w:t>the Company Information</w:t>
      </w:r>
    </w:p>
    <w:p>
      <w:pPr>
        <w:ind w:left="520"/>
        <w:spacing w:after="0" w:line="217" w:lineRule="auto"/>
        <w:rPr>
          <w:sz w:val="20"/>
          <w:szCs w:val="20"/>
          <w:color w:val="auto"/>
        </w:rPr>
      </w:pPr>
      <w:r>
        <w:rPr>
          <w:rFonts w:ascii="Arial" w:cs="Arial" w:eastAsia="Arial" w:hAnsi="Arial"/>
          <w:sz w:val="13"/>
          <w:szCs w:val="13"/>
          <w:color w:val="665B4F"/>
        </w:rPr>
        <w:t>page under the “Annual</w:t>
      </w:r>
    </w:p>
    <w:p>
      <w:pPr>
        <w:ind w:left="520"/>
        <w:spacing w:after="0"/>
        <w:rPr>
          <w:sz w:val="20"/>
          <w:szCs w:val="20"/>
          <w:color w:val="auto"/>
        </w:rPr>
      </w:pPr>
      <w:r>
        <w:rPr>
          <w:rFonts w:ascii="Arial" w:cs="Arial" w:eastAsia="Arial" w:hAnsi="Arial"/>
          <w:sz w:val="13"/>
          <w:szCs w:val="13"/>
          <w:color w:val="665B4F"/>
        </w:rPr>
        <w:t>Meeting” heading.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457835</wp:posOffset>
            </wp:positionV>
            <wp:extent cx="60896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MEETING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will be held for the following purposes:</w:t>
      </w:r>
    </w:p>
    <w:p>
      <w:pPr>
        <w:spacing w:after="0" w:line="127" w:lineRule="exact"/>
        <w:rPr>
          <w:sz w:val="20"/>
          <w:szCs w:val="20"/>
          <w:color w:val="auto"/>
        </w:rPr>
      </w:pPr>
    </w:p>
    <w:p>
      <w:pPr>
        <w:ind w:left="260" w:hanging="158"/>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three Class I directors to serve until the 2021 Annual Meeting of Shareholders;</w:t>
      </w:r>
    </w:p>
    <w:p>
      <w:pPr>
        <w:spacing w:after="0" w:line="126" w:lineRule="exact"/>
        <w:rPr>
          <w:rFonts w:ascii="Arial" w:cs="Arial" w:eastAsia="Arial" w:hAnsi="Arial"/>
          <w:sz w:val="16"/>
          <w:szCs w:val="16"/>
          <w:color w:val="auto"/>
        </w:rPr>
      </w:pPr>
    </w:p>
    <w:p>
      <w:pPr>
        <w:ind w:left="280" w:right="220" w:hanging="178"/>
        <w:spacing w:after="0" w:line="260"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2018;</w:t>
      </w:r>
    </w:p>
    <w:p>
      <w:pPr>
        <w:spacing w:after="0" w:line="101" w:lineRule="exact"/>
        <w:rPr>
          <w:rFonts w:ascii="Arial" w:cs="Arial" w:eastAsia="Arial" w:hAnsi="Arial"/>
          <w:sz w:val="16"/>
          <w:szCs w:val="16"/>
          <w:color w:val="auto"/>
        </w:rPr>
      </w:pPr>
    </w:p>
    <w:p>
      <w:pPr>
        <w:ind w:left="280" w:right="20" w:hanging="178"/>
        <w:spacing w:after="0" w:line="260"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on a non-binding advisory basis, the compensation of our named executive officers as described in the Proxy Statement;</w:t>
      </w:r>
    </w:p>
    <w:p>
      <w:pPr>
        <w:spacing w:after="0" w:line="101" w:lineRule="exact"/>
        <w:rPr>
          <w:rFonts w:ascii="Arial" w:cs="Arial" w:eastAsia="Arial" w:hAnsi="Arial"/>
          <w:sz w:val="16"/>
          <w:szCs w:val="16"/>
          <w:color w:val="auto"/>
        </w:rPr>
      </w:pPr>
    </w:p>
    <w:p>
      <w:pPr>
        <w:ind w:left="280" w:right="380" w:hanging="178"/>
        <w:spacing w:after="0" w:line="260"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consider and vote on the shareholder proposal requesting a political contributions report, if properly presented at the Annual Meeting; and</w:t>
      </w:r>
    </w:p>
    <w:p>
      <w:pPr>
        <w:spacing w:after="0" w:line="101" w:lineRule="exact"/>
        <w:rPr>
          <w:rFonts w:ascii="Arial" w:cs="Arial" w:eastAsia="Arial" w:hAnsi="Arial"/>
          <w:sz w:val="16"/>
          <w:szCs w:val="16"/>
          <w:color w:val="auto"/>
        </w:rPr>
      </w:pPr>
    </w:p>
    <w:p>
      <w:pPr>
        <w:ind w:left="280" w:hanging="178"/>
        <w:spacing w:after="0" w:line="260"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consider and transact such other business as may properly come before the Annual Meeting, or at any adjournments or postponements thereof.</w:t>
      </w:r>
    </w:p>
    <w:p>
      <w:pPr>
        <w:spacing w:after="0" w:line="223"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Only the Company’s shareholders of record at the close of business on March 19, 2018, the record date fixed by the Board of Directors, are entitled to notice of, and to vote at, the Annual Meeting, and at any adjournments or postponements thereof. Only such shareholders, their proxy holders and our invited guests may attend the Annual Meeting.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AVAILABILITY OF PROXY MATERIALS</w:t>
      </w:r>
    </w:p>
    <w:p>
      <w:pPr>
        <w:spacing w:after="0" w:line="14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This Proxy Statement and our Annual Report for the fiscal year ended December 31, 2017, are available at http://www.wynnresorts.com on the Company Information page under the “Annual Meeting” heading. We first mailed our Annual Meeting materials (including the Proxy Statement, proxy card and our Annual Report for the fiscal year ended December 31, 2017) to shareholders on or about April 18, 2018.</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w:t>
      </w:r>
    </w:p>
    <w:p>
      <w:pPr>
        <w:spacing w:after="0" w:line="14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Whether or not you plan to attend the Annual Meeting, you are encouraged to read the attached Proxy Statement and then cast your vote as promptly as possible by following the instructions on the proxy card you receive.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therefore, your vote is especially important.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2126615" cy="377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Kim Sinatra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Las Vegas, Nevada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1322705</wp:posOffset>
            </wp:positionV>
            <wp:extent cx="6997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2">
            <w:col w:w="3140" w:space="720"/>
            <w:col w:w="7340"/>
          </w:cols>
          <w:pgMar w:left="240" w:top="459" w:right="45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228600</wp:posOffset>
            </wp:positionV>
            <wp:extent cx="6997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Arial" w:cs="Arial" w:eastAsia="Arial" w:hAnsi="Arial"/>
          <w:sz w:val="41"/>
          <w:szCs w:val="41"/>
          <w:b w:val="1"/>
          <w:bCs w:val="1"/>
          <w:color w:val="665B4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4560" w:type="dxa"/>
            <w:vAlign w:val="bottom"/>
            <w:gridSpan w:val="11"/>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OUR BOARD AND CORPORATE GOVERNANCE</w:t>
              </w:r>
            </w:hyperlink>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
        </w:trPr>
        <w:tc>
          <w:tcPr>
            <w:tcW w:w="1360" w:type="dxa"/>
            <w:vAlign w:val="bottom"/>
            <w:tcBorders>
              <w:top w:val="single" w:sz="8" w:color="0000EE"/>
              <w:bottom w:val="single" w:sz="8" w:color="665B4F"/>
            </w:tcBorders>
          </w:tcPr>
          <w:p>
            <w:pPr>
              <w:spacing w:after="0" w:line="20" w:lineRule="exact"/>
              <w:rPr>
                <w:sz w:val="1"/>
                <w:szCs w:val="1"/>
                <w:color w:val="auto"/>
              </w:rPr>
            </w:pPr>
          </w:p>
        </w:tc>
        <w:tc>
          <w:tcPr>
            <w:tcW w:w="12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380" w:type="dxa"/>
            <w:vAlign w:val="bottom"/>
            <w:tcBorders>
              <w:top w:val="single" w:sz="8" w:color="0000EE"/>
              <w:bottom w:val="single" w:sz="8" w:color="665B4F"/>
            </w:tcBorders>
          </w:tcPr>
          <w:p>
            <w:pPr>
              <w:spacing w:after="0" w:line="20" w:lineRule="exact"/>
              <w:rPr>
                <w:sz w:val="1"/>
                <w:szCs w:val="1"/>
                <w:color w:val="auto"/>
              </w:rPr>
            </w:pPr>
          </w:p>
        </w:tc>
        <w:tc>
          <w:tcPr>
            <w:tcW w:w="160" w:type="dxa"/>
            <w:vAlign w:val="bottom"/>
            <w:tcBorders>
              <w:top w:val="single" w:sz="8" w:color="0000EE"/>
              <w:bottom w:val="single" w:sz="8" w:color="665B4F"/>
            </w:tcBorders>
          </w:tcPr>
          <w:p>
            <w:pPr>
              <w:spacing w:after="0" w:line="20" w:lineRule="exact"/>
              <w:rPr>
                <w:sz w:val="1"/>
                <w:szCs w:val="1"/>
                <w:color w:val="auto"/>
              </w:rPr>
            </w:pPr>
          </w:p>
        </w:tc>
        <w:tc>
          <w:tcPr>
            <w:tcW w:w="240" w:type="dxa"/>
            <w:vAlign w:val="bottom"/>
            <w:tcBorders>
              <w:top w:val="single" w:sz="8" w:color="0000EE"/>
              <w:bottom w:val="single" w:sz="8" w:color="665B4F"/>
            </w:tcBorders>
          </w:tcPr>
          <w:p>
            <w:pPr>
              <w:spacing w:after="0" w:line="20" w:lineRule="exact"/>
              <w:rPr>
                <w:sz w:val="1"/>
                <w:szCs w:val="1"/>
                <w:color w:val="auto"/>
              </w:rPr>
            </w:pPr>
          </w:p>
        </w:tc>
        <w:tc>
          <w:tcPr>
            <w:tcW w:w="36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140" w:type="dxa"/>
            <w:vAlign w:val="bottom"/>
            <w:tcBorders>
              <w:top w:val="single" w:sz="8" w:color="0000EE"/>
              <w:bottom w:val="single" w:sz="8" w:color="665B4F"/>
            </w:tcBorders>
          </w:tcPr>
          <w:p>
            <w:pPr>
              <w:spacing w:after="0" w:line="20" w:lineRule="exact"/>
              <w:rPr>
                <w:sz w:val="1"/>
                <w:szCs w:val="1"/>
                <w:color w:val="auto"/>
              </w:rPr>
            </w:pPr>
          </w:p>
        </w:tc>
        <w:tc>
          <w:tcPr>
            <w:tcW w:w="1180" w:type="dxa"/>
            <w:vAlign w:val="bottom"/>
            <w:tcBorders>
              <w:top w:val="single" w:sz="8" w:color="0000EE"/>
              <w:bottom w:val="single" w:sz="8" w:color="665B4F"/>
            </w:tcBorders>
          </w:tcPr>
          <w:p>
            <w:pPr>
              <w:spacing w:after="0" w:line="20" w:lineRule="exact"/>
              <w:rPr>
                <w:sz w:val="1"/>
                <w:szCs w:val="1"/>
                <w:color w:val="auto"/>
              </w:rPr>
            </w:pPr>
          </w:p>
        </w:tc>
        <w:tc>
          <w:tcPr>
            <w:tcW w:w="480" w:type="dxa"/>
            <w:vAlign w:val="bottom"/>
            <w:tcBorders>
              <w:bottom w:val="single" w:sz="8" w:color="665B4F"/>
            </w:tcBorders>
          </w:tcPr>
          <w:p>
            <w:pPr>
              <w:spacing w:after="0" w:line="20" w:lineRule="exact"/>
              <w:rPr>
                <w:sz w:val="1"/>
                <w:szCs w:val="1"/>
                <w:color w:val="auto"/>
              </w:rPr>
            </w:pPr>
          </w:p>
        </w:tc>
        <w:tc>
          <w:tcPr>
            <w:tcW w:w="740" w:type="dxa"/>
            <w:vAlign w:val="bottom"/>
            <w:tcBorders>
              <w:bottom w:val="single" w:sz="8" w:color="665B4F"/>
            </w:tcBorders>
          </w:tcPr>
          <w:p>
            <w:pPr>
              <w:spacing w:after="0" w:line="20" w:lineRule="exact"/>
              <w:rPr>
                <w:sz w:val="1"/>
                <w:szCs w:val="1"/>
                <w:color w:val="auto"/>
              </w:rPr>
            </w:pPr>
          </w:p>
        </w:tc>
      </w:tr>
      <w:tr>
        <w:trPr>
          <w:trHeight w:val="210"/>
        </w:trPr>
        <w:tc>
          <w:tcPr>
            <w:tcW w:w="2680" w:type="dxa"/>
            <w:vAlign w:val="bottom"/>
            <w:tcBorders>
              <w:bottom w:val="single" w:sz="8" w:color="0000EE"/>
            </w:tcBorders>
            <w:gridSpan w:val="7"/>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Board Composition and Refreshment</w:t>
              </w:r>
            </w:hyperlink>
          </w:p>
        </w:tc>
        <w:tc>
          <w:tcPr>
            <w:tcW w:w="1880" w:type="dxa"/>
            <w:vAlign w:val="bottom"/>
            <w:gridSpan w:val="4"/>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2760" w:type="dxa"/>
            <w:vAlign w:val="bottom"/>
            <w:tcBorders>
              <w:bottom w:val="single" w:sz="8" w:color="0000EE"/>
            </w:tcBorders>
            <w:gridSpan w:val="8"/>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Director Skills, Experience and Tenure</w:t>
              </w:r>
            </w:hyperlink>
          </w:p>
        </w:tc>
        <w:tc>
          <w:tcPr>
            <w:tcW w:w="180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1480" w:type="dxa"/>
            <w:vAlign w:val="bottom"/>
            <w:tcBorders>
              <w:bottom w:val="single" w:sz="8" w:color="0000EE"/>
            </w:tcBorders>
            <w:gridSpan w:val="2"/>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Director Biographies</w:t>
              </w:r>
            </w:hyperlink>
          </w:p>
        </w:tc>
        <w:tc>
          <w:tcPr>
            <w:tcW w:w="3080" w:type="dxa"/>
            <w:vAlign w:val="bottom"/>
            <w:gridSpan w:val="9"/>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1360" w:type="dxa"/>
            <w:vAlign w:val="bottom"/>
            <w:tcBorders>
              <w:bottom w:val="single" w:sz="8" w:color="0000EE"/>
            </w:tcBorders>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Board Committees</w:t>
              </w:r>
            </w:hyperlink>
          </w:p>
        </w:tc>
        <w:tc>
          <w:tcPr>
            <w:tcW w:w="320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4560" w:type="dxa"/>
            <w:vAlign w:val="bottom"/>
            <w:gridSpan w:val="11"/>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Board Governance</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
        </w:trPr>
        <w:tc>
          <w:tcPr>
            <w:tcW w:w="13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4560" w:type="dxa"/>
            <w:vAlign w:val="bottom"/>
            <w:gridSpan w:val="11"/>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Board Role in Risk Oversight</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15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2320" w:type="dxa"/>
            <w:vAlign w:val="bottom"/>
            <w:tcBorders>
              <w:bottom w:val="single" w:sz="8" w:color="0000EE"/>
            </w:tcBorders>
            <w:gridSpan w:val="6"/>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Board Meetings/Annual Meeting</w:t>
              </w:r>
            </w:hyperlink>
          </w:p>
        </w:tc>
        <w:tc>
          <w:tcPr>
            <w:tcW w:w="2240" w:type="dxa"/>
            <w:vAlign w:val="bottom"/>
            <w:gridSpan w:val="5"/>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2900" w:type="dxa"/>
            <w:vAlign w:val="bottom"/>
            <w:tcBorders>
              <w:bottom w:val="single" w:sz="8" w:color="0000EE"/>
            </w:tcBorders>
            <w:gridSpan w:val="9"/>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Board Communication and Engagement</w:t>
              </w:r>
            </w:hyperlink>
          </w:p>
        </w:tc>
        <w:tc>
          <w:tcPr>
            <w:tcW w:w="166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1540" w:type="dxa"/>
            <w:vAlign w:val="bottom"/>
            <w:tcBorders>
              <w:bottom w:val="single" w:sz="8" w:color="0000EE"/>
            </w:tcBorders>
            <w:gridSpan w:val="3"/>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Board Compensation</w:t>
              </w:r>
            </w:hyperlink>
          </w:p>
        </w:tc>
        <w:tc>
          <w:tcPr>
            <w:tcW w:w="3020" w:type="dxa"/>
            <w:vAlign w:val="bottom"/>
            <w:gridSpan w:val="8"/>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1920" w:type="dxa"/>
            <w:vAlign w:val="bottom"/>
            <w:tcBorders>
              <w:bottom w:val="single" w:sz="8" w:color="0000EE"/>
            </w:tcBorders>
            <w:gridSpan w:val="4"/>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Certain Legal Proceedings</w:t>
              </w:r>
            </w:hyperlink>
          </w:p>
        </w:tc>
        <w:tc>
          <w:tcPr>
            <w:tcW w:w="2640" w:type="dxa"/>
            <w:vAlign w:val="bottom"/>
            <w:gridSpan w:val="7"/>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4680" w:type="dxa"/>
            <w:vAlign w:val="bottom"/>
            <w:gridSpan w:val="2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OUR PEOPLE AND OUR STEWARDSHIP</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0"/>
        </w:trPr>
        <w:tc>
          <w:tcPr>
            <w:tcW w:w="620" w:type="dxa"/>
            <w:vAlign w:val="bottom"/>
            <w:tcBorders>
              <w:top w:val="single" w:sz="8" w:color="0000EE"/>
              <w:bottom w:val="single" w:sz="8" w:color="665B4F"/>
            </w:tcBorders>
          </w:tcPr>
          <w:p>
            <w:pPr>
              <w:spacing w:after="0" w:line="20" w:lineRule="exact"/>
              <w:rPr>
                <w:sz w:val="1"/>
                <w:szCs w:val="1"/>
                <w:color w:val="auto"/>
              </w:rPr>
            </w:pPr>
          </w:p>
        </w:tc>
        <w:tc>
          <w:tcPr>
            <w:tcW w:w="16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26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200" w:type="dxa"/>
            <w:vAlign w:val="bottom"/>
            <w:tcBorders>
              <w:top w:val="single" w:sz="8" w:color="0000EE"/>
              <w:bottom w:val="single" w:sz="8" w:color="665B4F"/>
            </w:tcBorders>
          </w:tcPr>
          <w:p>
            <w:pPr>
              <w:spacing w:after="0" w:line="20" w:lineRule="exact"/>
              <w:rPr>
                <w:sz w:val="1"/>
                <w:szCs w:val="1"/>
                <w:color w:val="auto"/>
              </w:rPr>
            </w:pPr>
          </w:p>
        </w:tc>
        <w:tc>
          <w:tcPr>
            <w:tcW w:w="30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100" w:type="dxa"/>
            <w:vAlign w:val="bottom"/>
            <w:tcBorders>
              <w:top w:val="single" w:sz="8" w:color="0000EE"/>
              <w:bottom w:val="single" w:sz="8" w:color="665B4F"/>
            </w:tcBorders>
          </w:tcPr>
          <w:p>
            <w:pPr>
              <w:spacing w:after="0" w:line="20" w:lineRule="exact"/>
              <w:rPr>
                <w:sz w:val="1"/>
                <w:szCs w:val="1"/>
                <w:color w:val="auto"/>
              </w:rPr>
            </w:pPr>
          </w:p>
        </w:tc>
        <w:tc>
          <w:tcPr>
            <w:tcW w:w="16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240" w:type="dxa"/>
            <w:vAlign w:val="bottom"/>
            <w:tcBorders>
              <w:top w:val="single" w:sz="8" w:color="0000EE"/>
              <w:bottom w:val="single" w:sz="8" w:color="665B4F"/>
            </w:tcBorders>
          </w:tcPr>
          <w:p>
            <w:pPr>
              <w:spacing w:after="0" w:line="20" w:lineRule="exact"/>
              <w:rPr>
                <w:sz w:val="1"/>
                <w:szCs w:val="1"/>
                <w:color w:val="auto"/>
              </w:rPr>
            </w:pPr>
          </w:p>
        </w:tc>
        <w:tc>
          <w:tcPr>
            <w:tcW w:w="540" w:type="dxa"/>
            <w:vAlign w:val="bottom"/>
            <w:tcBorders>
              <w:top w:val="single" w:sz="8" w:color="0000EE"/>
              <w:bottom w:val="single" w:sz="8" w:color="665B4F"/>
            </w:tcBorders>
          </w:tcPr>
          <w:p>
            <w:pPr>
              <w:spacing w:after="0" w:line="20" w:lineRule="exact"/>
              <w:rPr>
                <w:sz w:val="1"/>
                <w:szCs w:val="1"/>
                <w:color w:val="auto"/>
              </w:rPr>
            </w:pPr>
          </w:p>
        </w:tc>
        <w:tc>
          <w:tcPr>
            <w:tcW w:w="260" w:type="dxa"/>
            <w:vAlign w:val="bottom"/>
            <w:tcBorders>
              <w:top w:val="single" w:sz="8" w:color="0000EE"/>
              <w:bottom w:val="single" w:sz="8" w:color="665B4F"/>
            </w:tcBorders>
          </w:tcPr>
          <w:p>
            <w:pPr>
              <w:spacing w:after="0" w:line="20" w:lineRule="exact"/>
              <w:rPr>
                <w:sz w:val="1"/>
                <w:szCs w:val="1"/>
                <w:color w:val="auto"/>
              </w:rPr>
            </w:pPr>
          </w:p>
        </w:tc>
        <w:tc>
          <w:tcPr>
            <w:tcW w:w="1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580" w:type="dxa"/>
            <w:vAlign w:val="bottom"/>
            <w:tcBorders>
              <w:bottom w:val="single" w:sz="8" w:color="665B4F"/>
            </w:tcBorders>
          </w:tcPr>
          <w:p>
            <w:pPr>
              <w:spacing w:after="0" w:line="20" w:lineRule="exact"/>
              <w:rPr>
                <w:sz w:val="1"/>
                <w:szCs w:val="1"/>
                <w:color w:val="auto"/>
              </w:rPr>
            </w:pPr>
          </w:p>
        </w:tc>
        <w:tc>
          <w:tcPr>
            <w:tcW w:w="160" w:type="dxa"/>
            <w:vAlign w:val="bottom"/>
            <w:tcBorders>
              <w:bottom w:val="single" w:sz="8" w:color="665B4F"/>
            </w:tcBorders>
          </w:tcPr>
          <w:p>
            <w:pPr>
              <w:spacing w:after="0" w:line="20" w:lineRule="exact"/>
              <w:rPr>
                <w:sz w:val="1"/>
                <w:szCs w:val="1"/>
                <w:color w:val="auto"/>
              </w:rPr>
            </w:pPr>
          </w:p>
        </w:tc>
        <w:tc>
          <w:tcPr>
            <w:tcW w:w="500" w:type="dxa"/>
            <w:vAlign w:val="bottom"/>
            <w:tcBorders>
              <w:bottom w:val="single" w:sz="8" w:color="665B4F"/>
            </w:tcBorders>
          </w:tcPr>
          <w:p>
            <w:pPr>
              <w:spacing w:after="0" w:line="20" w:lineRule="exact"/>
              <w:rPr>
                <w:sz w:val="1"/>
                <w:szCs w:val="1"/>
                <w:color w:val="auto"/>
              </w:rPr>
            </w:pPr>
          </w:p>
        </w:tc>
        <w:tc>
          <w:tcPr>
            <w:tcW w:w="620" w:type="dxa"/>
            <w:vAlign w:val="bottom"/>
            <w:tcBorders>
              <w:bottom w:val="single" w:sz="8" w:color="665B4F"/>
            </w:tcBorders>
          </w:tcPr>
          <w:p>
            <w:pPr>
              <w:spacing w:after="0" w:line="20" w:lineRule="exact"/>
              <w:rPr>
                <w:sz w:val="1"/>
                <w:szCs w:val="1"/>
                <w:color w:val="auto"/>
              </w:rPr>
            </w:pPr>
          </w:p>
        </w:tc>
      </w:tr>
      <w:tr>
        <w:trPr>
          <w:trHeight w:val="197"/>
        </w:trPr>
        <w:tc>
          <w:tcPr>
            <w:tcW w:w="860" w:type="dxa"/>
            <w:vAlign w:val="bottom"/>
            <w:tcBorders>
              <w:bottom w:val="single" w:sz="8" w:color="0000EE"/>
            </w:tcBorders>
            <w:gridSpan w:val="3"/>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Introduction</w:t>
              </w:r>
            </w:hyperlink>
          </w:p>
        </w:tc>
        <w:tc>
          <w:tcPr>
            <w:tcW w:w="3820" w:type="dxa"/>
            <w:vAlign w:val="bottom"/>
            <w:gridSpan w:val="19"/>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4680" w:type="dxa"/>
            <w:vAlign w:val="bottom"/>
            <w:gridSpan w:val="22"/>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Our People</w:t>
              </w:r>
            </w:hyperlink>
          </w:p>
        </w:tc>
        <w:tc>
          <w:tcPr>
            <w:tcW w:w="6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7"/>
        </w:trPr>
        <w:tc>
          <w:tcPr>
            <w:tcW w:w="1280" w:type="dxa"/>
            <w:vAlign w:val="bottom"/>
            <w:tcBorders>
              <w:bottom w:val="single" w:sz="8" w:color="0000EE"/>
            </w:tcBorders>
            <w:gridSpan w:val="7"/>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Our Communities</w:t>
              </w:r>
            </w:hyperlink>
          </w:p>
        </w:tc>
        <w:tc>
          <w:tcPr>
            <w:tcW w:w="3400" w:type="dxa"/>
            <w:vAlign w:val="bottom"/>
            <w:gridSpan w:val="15"/>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4680" w:type="dxa"/>
            <w:vAlign w:val="bottom"/>
            <w:gridSpan w:val="22"/>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Our Planet</w:t>
              </w:r>
            </w:hyperlink>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58"/>
        </w:trPr>
        <w:tc>
          <w:tcPr>
            <w:tcW w:w="4680" w:type="dxa"/>
            <w:vAlign w:val="bottom"/>
            <w:gridSpan w:val="22"/>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EXECUTIVE OFFICERS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0"/>
        </w:trPr>
        <w:tc>
          <w:tcPr>
            <w:tcW w:w="620" w:type="dxa"/>
            <w:vAlign w:val="bottom"/>
            <w:tcBorders>
              <w:top w:val="single" w:sz="8" w:color="0000EE"/>
              <w:bottom w:val="single" w:sz="8" w:color="665B4F"/>
            </w:tcBorders>
          </w:tcPr>
          <w:p>
            <w:pPr>
              <w:spacing w:after="0" w:line="20" w:lineRule="exact"/>
              <w:rPr>
                <w:sz w:val="1"/>
                <w:szCs w:val="1"/>
                <w:color w:val="auto"/>
              </w:rPr>
            </w:pPr>
          </w:p>
        </w:tc>
        <w:tc>
          <w:tcPr>
            <w:tcW w:w="16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26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200" w:type="dxa"/>
            <w:vAlign w:val="bottom"/>
            <w:tcBorders>
              <w:top w:val="single" w:sz="8" w:color="0000EE"/>
              <w:bottom w:val="single" w:sz="8" w:color="665B4F"/>
            </w:tcBorders>
          </w:tcPr>
          <w:p>
            <w:pPr>
              <w:spacing w:after="0" w:line="20" w:lineRule="exact"/>
              <w:rPr>
                <w:sz w:val="1"/>
                <w:szCs w:val="1"/>
                <w:color w:val="auto"/>
              </w:rPr>
            </w:pPr>
          </w:p>
        </w:tc>
        <w:tc>
          <w:tcPr>
            <w:tcW w:w="30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100" w:type="dxa"/>
            <w:vAlign w:val="bottom"/>
            <w:tcBorders>
              <w:top w:val="single" w:sz="8" w:color="0000EE"/>
              <w:bottom w:val="single" w:sz="8" w:color="665B4F"/>
            </w:tcBorders>
          </w:tcPr>
          <w:p>
            <w:pPr>
              <w:spacing w:after="0" w:line="20" w:lineRule="exact"/>
              <w:rPr>
                <w:sz w:val="1"/>
                <w:szCs w:val="1"/>
                <w:color w:val="auto"/>
              </w:rPr>
            </w:pPr>
          </w:p>
        </w:tc>
        <w:tc>
          <w:tcPr>
            <w:tcW w:w="160" w:type="dxa"/>
            <w:vAlign w:val="bottom"/>
            <w:tcBorders>
              <w:bottom w:val="single" w:sz="8" w:color="665B4F"/>
            </w:tcBorders>
          </w:tcPr>
          <w:p>
            <w:pPr>
              <w:spacing w:after="0" w:line="20" w:lineRule="exact"/>
              <w:rPr>
                <w:sz w:val="1"/>
                <w:szCs w:val="1"/>
                <w:color w:val="auto"/>
              </w:rPr>
            </w:pPr>
          </w:p>
        </w:tc>
        <w:tc>
          <w:tcPr>
            <w:tcW w:w="40" w:type="dxa"/>
            <w:vAlign w:val="bottom"/>
            <w:tcBorders>
              <w:bottom w:val="single" w:sz="8" w:color="665B4F"/>
            </w:tcBorders>
          </w:tcPr>
          <w:p>
            <w:pPr>
              <w:spacing w:after="0" w:line="20" w:lineRule="exact"/>
              <w:rPr>
                <w:sz w:val="1"/>
                <w:szCs w:val="1"/>
                <w:color w:val="auto"/>
              </w:rPr>
            </w:pPr>
          </w:p>
        </w:tc>
        <w:tc>
          <w:tcPr>
            <w:tcW w:w="240" w:type="dxa"/>
            <w:vAlign w:val="bottom"/>
            <w:tcBorders>
              <w:bottom w:val="single" w:sz="8" w:color="665B4F"/>
            </w:tcBorders>
          </w:tcPr>
          <w:p>
            <w:pPr>
              <w:spacing w:after="0" w:line="20" w:lineRule="exact"/>
              <w:rPr>
                <w:sz w:val="1"/>
                <w:szCs w:val="1"/>
                <w:color w:val="auto"/>
              </w:rPr>
            </w:pPr>
          </w:p>
        </w:tc>
        <w:tc>
          <w:tcPr>
            <w:tcW w:w="540" w:type="dxa"/>
            <w:vAlign w:val="bottom"/>
            <w:tcBorders>
              <w:bottom w:val="single" w:sz="8" w:color="665B4F"/>
            </w:tcBorders>
          </w:tcPr>
          <w:p>
            <w:pPr>
              <w:spacing w:after="0" w:line="20" w:lineRule="exact"/>
              <w:rPr>
                <w:sz w:val="1"/>
                <w:szCs w:val="1"/>
                <w:color w:val="auto"/>
              </w:rPr>
            </w:pPr>
          </w:p>
        </w:tc>
        <w:tc>
          <w:tcPr>
            <w:tcW w:w="260" w:type="dxa"/>
            <w:vAlign w:val="bottom"/>
            <w:tcBorders>
              <w:bottom w:val="single" w:sz="8" w:color="665B4F"/>
            </w:tcBorders>
          </w:tcPr>
          <w:p>
            <w:pPr>
              <w:spacing w:after="0" w:line="20" w:lineRule="exact"/>
              <w:rPr>
                <w:sz w:val="1"/>
                <w:szCs w:val="1"/>
                <w:color w:val="auto"/>
              </w:rPr>
            </w:pPr>
          </w:p>
        </w:tc>
        <w:tc>
          <w:tcPr>
            <w:tcW w:w="14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580" w:type="dxa"/>
            <w:vAlign w:val="bottom"/>
            <w:tcBorders>
              <w:bottom w:val="single" w:sz="8" w:color="665B4F"/>
            </w:tcBorders>
          </w:tcPr>
          <w:p>
            <w:pPr>
              <w:spacing w:after="0" w:line="20" w:lineRule="exact"/>
              <w:rPr>
                <w:sz w:val="1"/>
                <w:szCs w:val="1"/>
                <w:color w:val="auto"/>
              </w:rPr>
            </w:pPr>
          </w:p>
        </w:tc>
        <w:tc>
          <w:tcPr>
            <w:tcW w:w="160" w:type="dxa"/>
            <w:vAlign w:val="bottom"/>
            <w:tcBorders>
              <w:bottom w:val="single" w:sz="8" w:color="665B4F"/>
            </w:tcBorders>
          </w:tcPr>
          <w:p>
            <w:pPr>
              <w:spacing w:after="0" w:line="20" w:lineRule="exact"/>
              <w:rPr>
                <w:sz w:val="1"/>
                <w:szCs w:val="1"/>
                <w:color w:val="auto"/>
              </w:rPr>
            </w:pPr>
          </w:p>
        </w:tc>
        <w:tc>
          <w:tcPr>
            <w:tcW w:w="500" w:type="dxa"/>
            <w:vAlign w:val="bottom"/>
            <w:tcBorders>
              <w:bottom w:val="single" w:sz="8" w:color="665B4F"/>
            </w:tcBorders>
          </w:tcPr>
          <w:p>
            <w:pPr>
              <w:spacing w:after="0" w:line="20" w:lineRule="exact"/>
              <w:rPr>
                <w:sz w:val="1"/>
                <w:szCs w:val="1"/>
                <w:color w:val="auto"/>
              </w:rPr>
            </w:pPr>
          </w:p>
        </w:tc>
        <w:tc>
          <w:tcPr>
            <w:tcW w:w="620" w:type="dxa"/>
            <w:vAlign w:val="bottom"/>
            <w:tcBorders>
              <w:bottom w:val="single" w:sz="8" w:color="665B4F"/>
            </w:tcBorders>
          </w:tcPr>
          <w:p>
            <w:pPr>
              <w:spacing w:after="0" w:line="20" w:lineRule="exact"/>
              <w:rPr>
                <w:sz w:val="1"/>
                <w:szCs w:val="1"/>
                <w:color w:val="auto"/>
              </w:rPr>
            </w:pPr>
          </w:p>
        </w:tc>
      </w:tr>
      <w:tr>
        <w:trPr>
          <w:trHeight w:val="318"/>
        </w:trPr>
        <w:tc>
          <w:tcPr>
            <w:tcW w:w="4680" w:type="dxa"/>
            <w:vAlign w:val="bottom"/>
            <w:gridSpan w:val="2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COMPENSATION DISCUSSION AND ANALYSIS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0"/>
        </w:trPr>
        <w:tc>
          <w:tcPr>
            <w:tcW w:w="620" w:type="dxa"/>
            <w:vAlign w:val="bottom"/>
            <w:tcBorders>
              <w:top w:val="single" w:sz="8" w:color="0000EE"/>
              <w:bottom w:val="single" w:sz="8" w:color="665B4F"/>
            </w:tcBorders>
          </w:tcPr>
          <w:p>
            <w:pPr>
              <w:spacing w:after="0" w:line="20" w:lineRule="exact"/>
              <w:rPr>
                <w:sz w:val="1"/>
                <w:szCs w:val="1"/>
                <w:color w:val="auto"/>
              </w:rPr>
            </w:pPr>
          </w:p>
        </w:tc>
        <w:tc>
          <w:tcPr>
            <w:tcW w:w="16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26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200" w:type="dxa"/>
            <w:vAlign w:val="bottom"/>
            <w:tcBorders>
              <w:top w:val="single" w:sz="8" w:color="0000EE"/>
              <w:bottom w:val="single" w:sz="8" w:color="665B4F"/>
            </w:tcBorders>
          </w:tcPr>
          <w:p>
            <w:pPr>
              <w:spacing w:after="0" w:line="20" w:lineRule="exact"/>
              <w:rPr>
                <w:sz w:val="1"/>
                <w:szCs w:val="1"/>
                <w:color w:val="auto"/>
              </w:rPr>
            </w:pPr>
          </w:p>
        </w:tc>
        <w:tc>
          <w:tcPr>
            <w:tcW w:w="30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100" w:type="dxa"/>
            <w:vAlign w:val="bottom"/>
            <w:tcBorders>
              <w:top w:val="single" w:sz="8" w:color="0000EE"/>
              <w:bottom w:val="single" w:sz="8" w:color="665B4F"/>
            </w:tcBorders>
          </w:tcPr>
          <w:p>
            <w:pPr>
              <w:spacing w:after="0" w:line="20" w:lineRule="exact"/>
              <w:rPr>
                <w:sz w:val="1"/>
                <w:szCs w:val="1"/>
                <w:color w:val="auto"/>
              </w:rPr>
            </w:pPr>
          </w:p>
        </w:tc>
        <w:tc>
          <w:tcPr>
            <w:tcW w:w="16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240" w:type="dxa"/>
            <w:vAlign w:val="bottom"/>
            <w:tcBorders>
              <w:top w:val="single" w:sz="8" w:color="0000EE"/>
              <w:bottom w:val="single" w:sz="8" w:color="665B4F"/>
            </w:tcBorders>
          </w:tcPr>
          <w:p>
            <w:pPr>
              <w:spacing w:after="0" w:line="20" w:lineRule="exact"/>
              <w:rPr>
                <w:sz w:val="1"/>
                <w:szCs w:val="1"/>
                <w:color w:val="auto"/>
              </w:rPr>
            </w:pPr>
          </w:p>
        </w:tc>
        <w:tc>
          <w:tcPr>
            <w:tcW w:w="540" w:type="dxa"/>
            <w:vAlign w:val="bottom"/>
            <w:tcBorders>
              <w:top w:val="single" w:sz="8" w:color="0000EE"/>
              <w:bottom w:val="single" w:sz="8" w:color="665B4F"/>
            </w:tcBorders>
          </w:tcPr>
          <w:p>
            <w:pPr>
              <w:spacing w:after="0" w:line="20" w:lineRule="exact"/>
              <w:rPr>
                <w:sz w:val="1"/>
                <w:szCs w:val="1"/>
                <w:color w:val="auto"/>
              </w:rPr>
            </w:pPr>
          </w:p>
        </w:tc>
        <w:tc>
          <w:tcPr>
            <w:tcW w:w="260" w:type="dxa"/>
            <w:vAlign w:val="bottom"/>
            <w:tcBorders>
              <w:top w:val="single" w:sz="8" w:color="0000EE"/>
              <w:bottom w:val="single" w:sz="8" w:color="665B4F"/>
            </w:tcBorders>
          </w:tcPr>
          <w:p>
            <w:pPr>
              <w:spacing w:after="0" w:line="20" w:lineRule="exact"/>
              <w:rPr>
                <w:sz w:val="1"/>
                <w:szCs w:val="1"/>
                <w:color w:val="auto"/>
              </w:rPr>
            </w:pPr>
          </w:p>
        </w:tc>
        <w:tc>
          <w:tcPr>
            <w:tcW w:w="1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580" w:type="dxa"/>
            <w:vAlign w:val="bottom"/>
            <w:tcBorders>
              <w:top w:val="single" w:sz="8" w:color="0000EE"/>
              <w:bottom w:val="single" w:sz="8" w:color="665B4F"/>
            </w:tcBorders>
          </w:tcPr>
          <w:p>
            <w:pPr>
              <w:spacing w:after="0" w:line="20" w:lineRule="exact"/>
              <w:rPr>
                <w:sz w:val="1"/>
                <w:szCs w:val="1"/>
                <w:color w:val="auto"/>
              </w:rPr>
            </w:pPr>
          </w:p>
        </w:tc>
        <w:tc>
          <w:tcPr>
            <w:tcW w:w="160" w:type="dxa"/>
            <w:vAlign w:val="bottom"/>
            <w:tcBorders>
              <w:bottom w:val="single" w:sz="8" w:color="665B4F"/>
            </w:tcBorders>
          </w:tcPr>
          <w:p>
            <w:pPr>
              <w:spacing w:after="0" w:line="20" w:lineRule="exact"/>
              <w:rPr>
                <w:sz w:val="1"/>
                <w:szCs w:val="1"/>
                <w:color w:val="auto"/>
              </w:rPr>
            </w:pPr>
          </w:p>
        </w:tc>
        <w:tc>
          <w:tcPr>
            <w:tcW w:w="500" w:type="dxa"/>
            <w:vAlign w:val="bottom"/>
            <w:tcBorders>
              <w:bottom w:val="single" w:sz="8" w:color="665B4F"/>
            </w:tcBorders>
          </w:tcPr>
          <w:p>
            <w:pPr>
              <w:spacing w:after="0" w:line="20" w:lineRule="exact"/>
              <w:rPr>
                <w:sz w:val="1"/>
                <w:szCs w:val="1"/>
                <w:color w:val="auto"/>
              </w:rPr>
            </w:pPr>
          </w:p>
        </w:tc>
        <w:tc>
          <w:tcPr>
            <w:tcW w:w="620" w:type="dxa"/>
            <w:vAlign w:val="bottom"/>
            <w:tcBorders>
              <w:bottom w:val="single" w:sz="8" w:color="665B4F"/>
            </w:tcBorders>
          </w:tcPr>
          <w:p>
            <w:pPr>
              <w:spacing w:after="0" w:line="20" w:lineRule="exact"/>
              <w:rPr>
                <w:sz w:val="1"/>
                <w:szCs w:val="1"/>
                <w:color w:val="auto"/>
              </w:rPr>
            </w:pPr>
          </w:p>
        </w:tc>
      </w:tr>
      <w:tr>
        <w:trPr>
          <w:trHeight w:val="197"/>
        </w:trPr>
        <w:tc>
          <w:tcPr>
            <w:tcW w:w="4680" w:type="dxa"/>
            <w:vAlign w:val="bottom"/>
            <w:gridSpan w:val="22"/>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Who We Are</w:t>
              </w:r>
            </w:hyperlink>
          </w:p>
        </w:tc>
        <w:tc>
          <w:tcPr>
            <w:tcW w:w="6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6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7"/>
        </w:trPr>
        <w:tc>
          <w:tcPr>
            <w:tcW w:w="4680" w:type="dxa"/>
            <w:vAlign w:val="bottom"/>
            <w:gridSpan w:val="22"/>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How We Did in 2017</w:t>
              </w:r>
            </w:hyperlink>
          </w:p>
        </w:tc>
        <w:tc>
          <w:tcPr>
            <w:tcW w:w="6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6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7"/>
        </w:trPr>
        <w:tc>
          <w:tcPr>
            <w:tcW w:w="4680" w:type="dxa"/>
            <w:vAlign w:val="bottom"/>
            <w:tcBorders>
              <w:bottom w:val="single" w:sz="8" w:color="0000EE"/>
            </w:tcBorders>
            <w:gridSpan w:val="22"/>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How We Use Compensation to Further Our Strategy and Support</w:t>
              </w:r>
            </w:hyperlink>
          </w:p>
        </w:tc>
        <w:tc>
          <w:tcPr>
            <w:tcW w:w="620" w:type="dxa"/>
            <w:vAlign w:val="bottom"/>
          </w:tcPr>
          <w:p>
            <w:pPr>
              <w:spacing w:after="0"/>
              <w:rPr>
                <w:sz w:val="20"/>
                <w:szCs w:val="20"/>
                <w:color w:val="auto"/>
              </w:rPr>
            </w:pPr>
          </w:p>
        </w:tc>
      </w:tr>
      <w:tr>
        <w:trPr>
          <w:trHeight w:val="169"/>
        </w:trPr>
        <w:tc>
          <w:tcPr>
            <w:tcW w:w="126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w:anchor="page31">
              <w:r>
                <w:rPr>
                  <w:rFonts w:ascii="Arial" w:cs="Arial" w:eastAsia="Arial" w:hAnsi="Arial"/>
                  <w:sz w:val="16"/>
                  <w:szCs w:val="16"/>
                  <w:color w:val="0000EE"/>
                </w:rPr>
                <w:t>Our Performance</w:t>
              </w:r>
            </w:hyperlink>
          </w:p>
        </w:tc>
        <w:tc>
          <w:tcPr>
            <w:tcW w:w="3420" w:type="dxa"/>
            <w:vAlign w:val="bottom"/>
            <w:gridSpan w:val="16"/>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6"/>
                <w:szCs w:val="16"/>
                <w:color w:val="auto"/>
              </w:rPr>
              <w:t>25</w:t>
            </w:r>
          </w:p>
        </w:tc>
      </w:tr>
      <w:tr>
        <w:trPr>
          <w:trHeight w:val="237"/>
        </w:trPr>
        <w:tc>
          <w:tcPr>
            <w:tcW w:w="1860" w:type="dxa"/>
            <w:vAlign w:val="bottom"/>
            <w:tcBorders>
              <w:bottom w:val="single" w:sz="8" w:color="0000EE"/>
            </w:tcBorders>
            <w:gridSpan w:val="10"/>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Shareholder Engagement</w:t>
              </w:r>
            </w:hyperlink>
          </w:p>
        </w:tc>
        <w:tc>
          <w:tcPr>
            <w:tcW w:w="2820" w:type="dxa"/>
            <w:vAlign w:val="bottom"/>
            <w:gridSpan w:val="12"/>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1780" w:type="dxa"/>
            <w:vAlign w:val="bottom"/>
            <w:tcBorders>
              <w:bottom w:val="single" w:sz="8" w:color="0000EE"/>
            </w:tcBorders>
            <w:gridSpan w:val="9"/>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Say-on-Pay Vote History</w:t>
              </w:r>
            </w:hyperlink>
          </w:p>
        </w:tc>
        <w:tc>
          <w:tcPr>
            <w:tcW w:w="2900" w:type="dxa"/>
            <w:vAlign w:val="bottom"/>
            <w:gridSpan w:val="13"/>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4680" w:type="dxa"/>
            <w:vAlign w:val="bottom"/>
            <w:gridSpan w:val="22"/>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Executive Compensation Program Highlights</w:t>
              </w:r>
            </w:hyperlink>
          </w:p>
        </w:tc>
        <w:tc>
          <w:tcPr>
            <w:tcW w:w="6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6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7"/>
        </w:trPr>
        <w:tc>
          <w:tcPr>
            <w:tcW w:w="4180" w:type="dxa"/>
            <w:vAlign w:val="bottom"/>
            <w:tcBorders>
              <w:bottom w:val="single" w:sz="8" w:color="0000EE"/>
            </w:tcBorders>
            <w:gridSpan w:val="21"/>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Philosophy and Overview of Our Executive Compensation</w:t>
              </w:r>
            </w:hyperlink>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69"/>
        </w:trPr>
        <w:tc>
          <w:tcPr>
            <w:tcW w:w="4680" w:type="dxa"/>
            <w:vAlign w:val="bottom"/>
            <w:gridSpan w:val="22"/>
          </w:tcPr>
          <w:p>
            <w:pPr>
              <w:spacing w:after="0" w:line="169" w:lineRule="exact"/>
              <w:rPr>
                <w:rFonts w:ascii="Arial" w:cs="Arial" w:eastAsia="Arial" w:hAnsi="Arial"/>
                <w:sz w:val="16"/>
                <w:szCs w:val="16"/>
                <w:color w:val="0000EE"/>
              </w:rPr>
            </w:pPr>
            <w:hyperlink w:anchor="page32">
              <w:r>
                <w:rPr>
                  <w:rFonts w:ascii="Arial" w:cs="Arial" w:eastAsia="Arial" w:hAnsi="Arial"/>
                  <w:sz w:val="16"/>
                  <w:szCs w:val="16"/>
                  <w:color w:val="0000EE"/>
                </w:rPr>
                <w:t>Program</w:t>
              </w:r>
            </w:hyperlink>
          </w:p>
        </w:tc>
        <w:tc>
          <w:tcPr>
            <w:tcW w:w="620" w:type="dxa"/>
            <w:vAlign w:val="bottom"/>
          </w:tcPr>
          <w:p>
            <w:pPr>
              <w:jc w:val="right"/>
              <w:spacing w:after="0" w:line="169" w:lineRule="exact"/>
              <w:rPr>
                <w:sz w:val="20"/>
                <w:szCs w:val="20"/>
                <w:color w:val="auto"/>
              </w:rPr>
            </w:pPr>
            <w:r>
              <w:rPr>
                <w:rFonts w:ascii="Arial" w:cs="Arial" w:eastAsia="Arial" w:hAnsi="Arial"/>
                <w:sz w:val="16"/>
                <w:szCs w:val="16"/>
                <w:color w:val="auto"/>
              </w:rPr>
              <w:t>26</w:t>
            </w:r>
          </w:p>
        </w:tc>
      </w:tr>
      <w:tr>
        <w:trPr>
          <w:trHeight w:val="20"/>
        </w:trPr>
        <w:tc>
          <w:tcPr>
            <w:tcW w:w="62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7"/>
        </w:trPr>
        <w:tc>
          <w:tcPr>
            <w:tcW w:w="1880" w:type="dxa"/>
            <w:vAlign w:val="bottom"/>
            <w:tcBorders>
              <w:bottom w:val="single" w:sz="8" w:color="0000EE"/>
            </w:tcBorders>
            <w:gridSpan w:val="11"/>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Named Executive Officers</w:t>
              </w:r>
            </w:hyperlink>
          </w:p>
        </w:tc>
        <w:tc>
          <w:tcPr>
            <w:tcW w:w="2800" w:type="dxa"/>
            <w:vAlign w:val="bottom"/>
            <w:gridSpan w:val="11"/>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4680" w:type="dxa"/>
            <w:vAlign w:val="bottom"/>
            <w:gridSpan w:val="22"/>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Elements of Pay</w:t>
              </w:r>
            </w:hyperlink>
          </w:p>
        </w:tc>
        <w:tc>
          <w:tcPr>
            <w:tcW w:w="6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1180" w:type="dxa"/>
            <w:vAlign w:val="bottom"/>
            <w:gridSpan w:val="5"/>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7"/>
        </w:trPr>
        <w:tc>
          <w:tcPr>
            <w:tcW w:w="2960" w:type="dxa"/>
            <w:vAlign w:val="bottom"/>
            <w:tcBorders>
              <w:bottom w:val="single" w:sz="8" w:color="0000EE"/>
            </w:tcBorders>
            <w:gridSpan w:val="16"/>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2017 Executive Compensation Decisions</w:t>
              </w:r>
            </w:hyperlink>
          </w:p>
        </w:tc>
        <w:tc>
          <w:tcPr>
            <w:tcW w:w="1720" w:type="dxa"/>
            <w:vAlign w:val="bottom"/>
            <w:gridSpan w:val="6"/>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4680" w:type="dxa"/>
            <w:vAlign w:val="bottom"/>
            <w:gridSpan w:val="22"/>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Recent Compensation Actions</w:t>
              </w:r>
            </w:hyperlink>
          </w:p>
        </w:tc>
        <w:tc>
          <w:tcPr>
            <w:tcW w:w="6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2140" w:type="dxa"/>
            <w:vAlign w:val="bottom"/>
            <w:tcBorders>
              <w:top w:val="single" w:sz="8" w:color="0000EE"/>
              <w:bottom w:val="single" w:sz="8" w:color="0000EE"/>
            </w:tcBorders>
            <w:gridSpan w:val="13"/>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How We Make Pay Decisions</w:t>
              </w:r>
            </w:hyperlink>
          </w:p>
        </w:tc>
        <w:tc>
          <w:tcPr>
            <w:tcW w:w="40" w:type="dxa"/>
            <w:vAlign w:val="bottom"/>
            <w:tcBorders>
              <w:top w:val="single" w:sz="8" w:color="0000EE"/>
            </w:tcBorders>
          </w:tcPr>
          <w:p>
            <w:pPr>
              <w:spacing w:after="0"/>
              <w:rPr>
                <w:sz w:val="20"/>
                <w:szCs w:val="20"/>
                <w:color w:val="auto"/>
              </w:rPr>
            </w:pPr>
          </w:p>
        </w:tc>
        <w:tc>
          <w:tcPr>
            <w:tcW w:w="2500" w:type="dxa"/>
            <w:vAlign w:val="bottom"/>
            <w:gridSpan w:val="8"/>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4680" w:type="dxa"/>
            <w:vAlign w:val="bottom"/>
            <w:gridSpan w:val="22"/>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Other Aspects of Our Executive Compensation</w:t>
              </w:r>
            </w:hyperlink>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2420" w:type="dxa"/>
            <w:vAlign w:val="bottom"/>
            <w:tcBorders>
              <w:top w:val="single" w:sz="8" w:color="0000EE"/>
              <w:bottom w:val="single" w:sz="8" w:color="0000EE"/>
            </w:tcBorders>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Compensation Committee Report</w:t>
              </w:r>
            </w:hyperlink>
          </w:p>
        </w:tc>
        <w:tc>
          <w:tcPr>
            <w:tcW w:w="940" w:type="dxa"/>
            <w:vAlign w:val="bottom"/>
            <w:tcBorders>
              <w:top w:val="single" w:sz="8" w:color="0000EE"/>
            </w:tcBorders>
            <w:gridSpan w:val="3"/>
          </w:tcPr>
          <w:p>
            <w:pPr>
              <w:spacing w:after="0"/>
              <w:rPr>
                <w:sz w:val="20"/>
                <w:szCs w:val="20"/>
                <w:color w:val="auto"/>
              </w:rPr>
            </w:pPr>
          </w:p>
        </w:tc>
        <w:tc>
          <w:tcPr>
            <w:tcW w:w="1320" w:type="dxa"/>
            <w:vAlign w:val="bottom"/>
            <w:gridSpan w:val="4"/>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800" w:type="dxa"/>
            <w:vAlign w:val="bottom"/>
            <w:gridSpan w:val="29"/>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EXECUTIVE COMPENSATION TABLES</w:t>
              </w:r>
            </w:hyperlink>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10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2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1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42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100" w:type="dxa"/>
            <w:vAlign w:val="bottom"/>
            <w:tcBorders>
              <w:top w:val="single" w:sz="8" w:color="0000EE"/>
              <w:bottom w:val="single" w:sz="8" w:color="665B4F"/>
            </w:tcBorders>
          </w:tcPr>
          <w:p>
            <w:pPr>
              <w:spacing w:after="0" w:line="20" w:lineRule="exact"/>
              <w:rPr>
                <w:sz w:val="1"/>
                <w:szCs w:val="1"/>
                <w:color w:val="auto"/>
              </w:rPr>
            </w:pPr>
          </w:p>
        </w:tc>
        <w:tc>
          <w:tcPr>
            <w:tcW w:w="6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12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220" w:type="dxa"/>
            <w:vAlign w:val="bottom"/>
            <w:tcBorders>
              <w:bottom w:val="single" w:sz="8" w:color="665B4F"/>
            </w:tcBorders>
          </w:tcPr>
          <w:p>
            <w:pPr>
              <w:spacing w:after="0" w:line="20" w:lineRule="exact"/>
              <w:rPr>
                <w:sz w:val="1"/>
                <w:szCs w:val="1"/>
                <w:color w:val="auto"/>
              </w:rPr>
            </w:pPr>
          </w:p>
        </w:tc>
        <w:tc>
          <w:tcPr>
            <w:tcW w:w="420" w:type="dxa"/>
            <w:vAlign w:val="bottom"/>
            <w:tcBorders>
              <w:bottom w:val="single" w:sz="8" w:color="665B4F"/>
            </w:tcBorders>
          </w:tcPr>
          <w:p>
            <w:pPr>
              <w:spacing w:after="0" w:line="20" w:lineRule="exact"/>
              <w:rPr>
                <w:sz w:val="1"/>
                <w:szCs w:val="1"/>
                <w:color w:val="auto"/>
              </w:rPr>
            </w:pPr>
          </w:p>
        </w:tc>
        <w:tc>
          <w:tcPr>
            <w:tcW w:w="14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320" w:type="dxa"/>
            <w:vAlign w:val="bottom"/>
            <w:tcBorders>
              <w:bottom w:val="single" w:sz="8" w:color="665B4F"/>
            </w:tcBorders>
          </w:tcPr>
          <w:p>
            <w:pPr>
              <w:spacing w:after="0" w:line="20" w:lineRule="exact"/>
              <w:rPr>
                <w:sz w:val="1"/>
                <w:szCs w:val="1"/>
                <w:color w:val="auto"/>
              </w:rPr>
            </w:pPr>
          </w:p>
        </w:tc>
        <w:tc>
          <w:tcPr>
            <w:tcW w:w="220" w:type="dxa"/>
            <w:vAlign w:val="bottom"/>
            <w:tcBorders>
              <w:bottom w:val="single" w:sz="8" w:color="665B4F"/>
            </w:tcBorders>
          </w:tcPr>
          <w:p>
            <w:pPr>
              <w:spacing w:after="0" w:line="20" w:lineRule="exact"/>
              <w:rPr>
                <w:sz w:val="1"/>
                <w:szCs w:val="1"/>
                <w:color w:val="auto"/>
              </w:rPr>
            </w:pPr>
          </w:p>
        </w:tc>
        <w:tc>
          <w:tcPr>
            <w:tcW w:w="600" w:type="dxa"/>
            <w:vAlign w:val="bottom"/>
            <w:tcBorders>
              <w:bottom w:val="single" w:sz="8" w:color="665B4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9"/>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Summary Compensation Table</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tcBorders>
              <w:bottom w:val="single" w:sz="8" w:color="0000EE"/>
            </w:tcBorders>
            <w:gridSpan w:val="20"/>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Discussion of Summary Compensation Table</w:t>
              </w:r>
            </w:hyperlink>
          </w:p>
        </w:tc>
        <w:tc>
          <w:tcPr>
            <w:tcW w:w="1560" w:type="dxa"/>
            <w:vAlign w:val="bottom"/>
            <w:gridSpan w:val="9"/>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4800" w:type="dxa"/>
            <w:vAlign w:val="bottom"/>
            <w:gridSpan w:val="29"/>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2017 Grants of Plan-based Awards Table</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tcBorders>
              <w:bottom w:val="single" w:sz="8" w:color="0000EE"/>
            </w:tcBorders>
            <w:gridSpan w:val="22"/>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Outstanding Equity Awards at Fiscal Year-end</w:t>
              </w:r>
            </w:hyperlink>
          </w:p>
        </w:tc>
        <w:tc>
          <w:tcPr>
            <w:tcW w:w="1480" w:type="dxa"/>
            <w:vAlign w:val="bottom"/>
            <w:gridSpan w:val="7"/>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0000EE"/>
            </w:tcBorders>
            <w:gridSpan w:val="19"/>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Option Exercises and Stock Vested in 2017</w:t>
              </w:r>
            </w:hyperlink>
          </w:p>
        </w:tc>
        <w:tc>
          <w:tcPr>
            <w:tcW w:w="1680" w:type="dxa"/>
            <w:vAlign w:val="bottom"/>
            <w:gridSpan w:val="10"/>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4800" w:type="dxa"/>
            <w:vAlign w:val="bottom"/>
            <w:gridSpan w:val="29"/>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Potential Payments Upon Termination or Change in Control</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58"/>
        </w:trPr>
        <w:tc>
          <w:tcPr>
            <w:tcW w:w="4260" w:type="dxa"/>
            <w:vAlign w:val="bottom"/>
            <w:tcBorders>
              <w:top w:val="single" w:sz="8" w:color="0000EE"/>
            </w:tcBorders>
            <w:gridSpan w:val="27"/>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CERTAIN RELATIONSHIPS AND RELATED</w:t>
              </w:r>
            </w:hyperlink>
          </w:p>
        </w:tc>
        <w:tc>
          <w:tcPr>
            <w:tcW w:w="540" w:type="dxa"/>
            <w:vAlign w:val="bottom"/>
            <w:gridSpan w:val="2"/>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183"/>
        </w:trPr>
        <w:tc>
          <w:tcPr>
            <w:tcW w:w="3620" w:type="dxa"/>
            <w:vAlign w:val="bottom"/>
            <w:tcBorders>
              <w:top w:val="single" w:sz="8" w:color="0000EE"/>
            </w:tcBorders>
            <w:gridSpan w:val="24"/>
          </w:tcPr>
          <w:p>
            <w:pPr>
              <w:spacing w:after="0" w:line="18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TRANSACTIONS</w:t>
              </w:r>
            </w:hyperlink>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2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bottom w:val="single" w:sz="8" w:color="665B4F"/>
            </w:tcBorders>
          </w:tcPr>
          <w:p>
            <w:pPr>
              <w:spacing w:after="0" w:line="20" w:lineRule="exact"/>
              <w:rPr>
                <w:sz w:val="1"/>
                <w:szCs w:val="1"/>
                <w:color w:val="auto"/>
              </w:rPr>
            </w:pPr>
          </w:p>
        </w:tc>
        <w:tc>
          <w:tcPr>
            <w:tcW w:w="100" w:type="dxa"/>
            <w:vAlign w:val="bottom"/>
            <w:tcBorders>
              <w:bottom w:val="single" w:sz="8" w:color="665B4F"/>
            </w:tcBorders>
          </w:tcPr>
          <w:p>
            <w:pPr>
              <w:spacing w:after="0" w:line="20" w:lineRule="exact"/>
              <w:rPr>
                <w:sz w:val="1"/>
                <w:szCs w:val="1"/>
                <w:color w:val="auto"/>
              </w:rPr>
            </w:pPr>
          </w:p>
        </w:tc>
        <w:tc>
          <w:tcPr>
            <w:tcW w:w="40" w:type="dxa"/>
            <w:vAlign w:val="bottom"/>
            <w:tcBorders>
              <w:bottom w:val="single" w:sz="8" w:color="665B4F"/>
            </w:tcBorders>
          </w:tcPr>
          <w:p>
            <w:pPr>
              <w:spacing w:after="0" w:line="20" w:lineRule="exact"/>
              <w:rPr>
                <w:sz w:val="1"/>
                <w:szCs w:val="1"/>
                <w:color w:val="auto"/>
              </w:rPr>
            </w:pPr>
          </w:p>
        </w:tc>
        <w:tc>
          <w:tcPr>
            <w:tcW w:w="20" w:type="dxa"/>
            <w:vAlign w:val="bottom"/>
            <w:tcBorders>
              <w:bottom w:val="single" w:sz="8" w:color="665B4F"/>
            </w:tcBorders>
          </w:tcPr>
          <w:p>
            <w:pPr>
              <w:spacing w:after="0" w:line="20" w:lineRule="exact"/>
              <w:rPr>
                <w:sz w:val="1"/>
                <w:szCs w:val="1"/>
                <w:color w:val="auto"/>
              </w:rPr>
            </w:pPr>
          </w:p>
        </w:tc>
        <w:tc>
          <w:tcPr>
            <w:tcW w:w="420" w:type="dxa"/>
            <w:vAlign w:val="bottom"/>
            <w:tcBorders>
              <w:bottom w:val="single" w:sz="8" w:color="665B4F"/>
            </w:tcBorders>
          </w:tcPr>
          <w:p>
            <w:pPr>
              <w:spacing w:after="0" w:line="20" w:lineRule="exact"/>
              <w:rPr>
                <w:sz w:val="1"/>
                <w:szCs w:val="1"/>
                <w:color w:val="auto"/>
              </w:rPr>
            </w:pPr>
          </w:p>
        </w:tc>
        <w:tc>
          <w:tcPr>
            <w:tcW w:w="60" w:type="dxa"/>
            <w:vAlign w:val="bottom"/>
            <w:tcBorders>
              <w:bottom w:val="single" w:sz="8" w:color="665B4F"/>
            </w:tcBorders>
          </w:tcPr>
          <w:p>
            <w:pPr>
              <w:spacing w:after="0" w:line="20" w:lineRule="exact"/>
              <w:rPr>
                <w:sz w:val="1"/>
                <w:szCs w:val="1"/>
                <w:color w:val="auto"/>
              </w:rPr>
            </w:pPr>
          </w:p>
        </w:tc>
        <w:tc>
          <w:tcPr>
            <w:tcW w:w="20" w:type="dxa"/>
            <w:vAlign w:val="bottom"/>
            <w:tcBorders>
              <w:bottom w:val="single" w:sz="8" w:color="665B4F"/>
            </w:tcBorders>
          </w:tcPr>
          <w:p>
            <w:pPr>
              <w:spacing w:after="0" w:line="20" w:lineRule="exact"/>
              <w:rPr>
                <w:sz w:val="1"/>
                <w:szCs w:val="1"/>
                <w:color w:val="auto"/>
              </w:rPr>
            </w:pPr>
          </w:p>
        </w:tc>
        <w:tc>
          <w:tcPr>
            <w:tcW w:w="20" w:type="dxa"/>
            <w:vAlign w:val="bottom"/>
            <w:tcBorders>
              <w:bottom w:val="single" w:sz="8" w:color="665B4F"/>
            </w:tcBorders>
          </w:tcPr>
          <w:p>
            <w:pPr>
              <w:spacing w:after="0" w:line="20" w:lineRule="exact"/>
              <w:rPr>
                <w:sz w:val="1"/>
                <w:szCs w:val="1"/>
                <w:color w:val="auto"/>
              </w:rPr>
            </w:pPr>
          </w:p>
        </w:tc>
        <w:tc>
          <w:tcPr>
            <w:tcW w:w="40" w:type="dxa"/>
            <w:vAlign w:val="bottom"/>
            <w:tcBorders>
              <w:bottom w:val="single" w:sz="8" w:color="665B4F"/>
            </w:tcBorders>
          </w:tcPr>
          <w:p>
            <w:pPr>
              <w:spacing w:after="0" w:line="20" w:lineRule="exact"/>
              <w:rPr>
                <w:sz w:val="1"/>
                <w:szCs w:val="1"/>
                <w:color w:val="auto"/>
              </w:rPr>
            </w:pPr>
          </w:p>
        </w:tc>
        <w:tc>
          <w:tcPr>
            <w:tcW w:w="100" w:type="dxa"/>
            <w:vAlign w:val="bottom"/>
            <w:tcBorders>
              <w:bottom w:val="single" w:sz="8" w:color="665B4F"/>
            </w:tcBorders>
          </w:tcPr>
          <w:p>
            <w:pPr>
              <w:spacing w:after="0" w:line="20" w:lineRule="exact"/>
              <w:rPr>
                <w:sz w:val="1"/>
                <w:szCs w:val="1"/>
                <w:color w:val="auto"/>
              </w:rPr>
            </w:pPr>
          </w:p>
        </w:tc>
        <w:tc>
          <w:tcPr>
            <w:tcW w:w="64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120" w:type="dxa"/>
            <w:vAlign w:val="bottom"/>
            <w:tcBorders>
              <w:bottom w:val="single" w:sz="8" w:color="665B4F"/>
            </w:tcBorders>
          </w:tcPr>
          <w:p>
            <w:pPr>
              <w:spacing w:after="0" w:line="20" w:lineRule="exact"/>
              <w:rPr>
                <w:sz w:val="1"/>
                <w:szCs w:val="1"/>
                <w:color w:val="auto"/>
              </w:rPr>
            </w:pPr>
          </w:p>
        </w:tc>
        <w:tc>
          <w:tcPr>
            <w:tcW w:w="60" w:type="dxa"/>
            <w:vAlign w:val="bottom"/>
            <w:tcBorders>
              <w:bottom w:val="single" w:sz="8" w:color="665B4F"/>
            </w:tcBorders>
          </w:tcPr>
          <w:p>
            <w:pPr>
              <w:spacing w:after="0" w:line="20" w:lineRule="exact"/>
              <w:rPr>
                <w:sz w:val="1"/>
                <w:szCs w:val="1"/>
                <w:color w:val="auto"/>
              </w:rPr>
            </w:pPr>
          </w:p>
        </w:tc>
        <w:tc>
          <w:tcPr>
            <w:tcW w:w="2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220" w:type="dxa"/>
            <w:vAlign w:val="bottom"/>
            <w:tcBorders>
              <w:bottom w:val="single" w:sz="8" w:color="665B4F"/>
            </w:tcBorders>
          </w:tcPr>
          <w:p>
            <w:pPr>
              <w:spacing w:after="0" w:line="20" w:lineRule="exact"/>
              <w:rPr>
                <w:sz w:val="1"/>
                <w:szCs w:val="1"/>
                <w:color w:val="auto"/>
              </w:rPr>
            </w:pPr>
          </w:p>
        </w:tc>
        <w:tc>
          <w:tcPr>
            <w:tcW w:w="420" w:type="dxa"/>
            <w:vAlign w:val="bottom"/>
            <w:tcBorders>
              <w:bottom w:val="single" w:sz="8" w:color="665B4F"/>
            </w:tcBorders>
          </w:tcPr>
          <w:p>
            <w:pPr>
              <w:spacing w:after="0" w:line="20" w:lineRule="exact"/>
              <w:rPr>
                <w:sz w:val="1"/>
                <w:szCs w:val="1"/>
                <w:color w:val="auto"/>
              </w:rPr>
            </w:pPr>
          </w:p>
        </w:tc>
        <w:tc>
          <w:tcPr>
            <w:tcW w:w="14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320" w:type="dxa"/>
            <w:vAlign w:val="bottom"/>
            <w:tcBorders>
              <w:bottom w:val="single" w:sz="8" w:color="665B4F"/>
            </w:tcBorders>
          </w:tcPr>
          <w:p>
            <w:pPr>
              <w:spacing w:after="0" w:line="20" w:lineRule="exact"/>
              <w:rPr>
                <w:sz w:val="1"/>
                <w:szCs w:val="1"/>
                <w:color w:val="auto"/>
              </w:rPr>
            </w:pPr>
          </w:p>
        </w:tc>
        <w:tc>
          <w:tcPr>
            <w:tcW w:w="220" w:type="dxa"/>
            <w:vAlign w:val="bottom"/>
            <w:tcBorders>
              <w:bottom w:val="single" w:sz="8" w:color="665B4F"/>
            </w:tcBorders>
          </w:tcPr>
          <w:p>
            <w:pPr>
              <w:spacing w:after="0" w:line="20" w:lineRule="exact"/>
              <w:rPr>
                <w:sz w:val="1"/>
                <w:szCs w:val="1"/>
                <w:color w:val="auto"/>
              </w:rPr>
            </w:pPr>
          </w:p>
        </w:tc>
        <w:tc>
          <w:tcPr>
            <w:tcW w:w="600" w:type="dxa"/>
            <w:vAlign w:val="bottom"/>
            <w:tcBorders>
              <w:bottom w:val="single" w:sz="8" w:color="665B4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0" w:type="dxa"/>
            <w:vAlign w:val="bottom"/>
            <w:gridSpan w:val="29"/>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PAY RATIO DISCLOSURE</w:t>
              </w:r>
            </w:hyperlink>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0"/>
        </w:trPr>
        <w:tc>
          <w:tcPr>
            <w:tcW w:w="10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2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1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42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bottom w:val="single" w:sz="8" w:color="665B4F"/>
            </w:tcBorders>
          </w:tcPr>
          <w:p>
            <w:pPr>
              <w:spacing w:after="0" w:line="20" w:lineRule="exact"/>
              <w:rPr>
                <w:sz w:val="1"/>
                <w:szCs w:val="1"/>
                <w:color w:val="auto"/>
              </w:rPr>
            </w:pPr>
          </w:p>
        </w:tc>
        <w:tc>
          <w:tcPr>
            <w:tcW w:w="100" w:type="dxa"/>
            <w:vAlign w:val="bottom"/>
            <w:tcBorders>
              <w:bottom w:val="single" w:sz="8" w:color="665B4F"/>
            </w:tcBorders>
          </w:tcPr>
          <w:p>
            <w:pPr>
              <w:spacing w:after="0" w:line="20" w:lineRule="exact"/>
              <w:rPr>
                <w:sz w:val="1"/>
                <w:szCs w:val="1"/>
                <w:color w:val="auto"/>
              </w:rPr>
            </w:pPr>
          </w:p>
        </w:tc>
        <w:tc>
          <w:tcPr>
            <w:tcW w:w="64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120" w:type="dxa"/>
            <w:vAlign w:val="bottom"/>
            <w:tcBorders>
              <w:bottom w:val="single" w:sz="8" w:color="665B4F"/>
            </w:tcBorders>
          </w:tcPr>
          <w:p>
            <w:pPr>
              <w:spacing w:after="0" w:line="20" w:lineRule="exact"/>
              <w:rPr>
                <w:sz w:val="1"/>
                <w:szCs w:val="1"/>
                <w:color w:val="auto"/>
              </w:rPr>
            </w:pPr>
          </w:p>
        </w:tc>
        <w:tc>
          <w:tcPr>
            <w:tcW w:w="60" w:type="dxa"/>
            <w:vAlign w:val="bottom"/>
            <w:tcBorders>
              <w:bottom w:val="single" w:sz="8" w:color="665B4F"/>
            </w:tcBorders>
          </w:tcPr>
          <w:p>
            <w:pPr>
              <w:spacing w:after="0" w:line="20" w:lineRule="exact"/>
              <w:rPr>
                <w:sz w:val="1"/>
                <w:szCs w:val="1"/>
                <w:color w:val="auto"/>
              </w:rPr>
            </w:pPr>
          </w:p>
        </w:tc>
        <w:tc>
          <w:tcPr>
            <w:tcW w:w="2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220" w:type="dxa"/>
            <w:vAlign w:val="bottom"/>
            <w:tcBorders>
              <w:bottom w:val="single" w:sz="8" w:color="665B4F"/>
            </w:tcBorders>
          </w:tcPr>
          <w:p>
            <w:pPr>
              <w:spacing w:after="0" w:line="20" w:lineRule="exact"/>
              <w:rPr>
                <w:sz w:val="1"/>
                <w:szCs w:val="1"/>
                <w:color w:val="auto"/>
              </w:rPr>
            </w:pPr>
          </w:p>
        </w:tc>
        <w:tc>
          <w:tcPr>
            <w:tcW w:w="420" w:type="dxa"/>
            <w:vAlign w:val="bottom"/>
            <w:tcBorders>
              <w:bottom w:val="single" w:sz="8" w:color="665B4F"/>
            </w:tcBorders>
          </w:tcPr>
          <w:p>
            <w:pPr>
              <w:spacing w:after="0" w:line="20" w:lineRule="exact"/>
              <w:rPr>
                <w:sz w:val="1"/>
                <w:szCs w:val="1"/>
                <w:color w:val="auto"/>
              </w:rPr>
            </w:pPr>
          </w:p>
        </w:tc>
        <w:tc>
          <w:tcPr>
            <w:tcW w:w="14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320" w:type="dxa"/>
            <w:vAlign w:val="bottom"/>
            <w:tcBorders>
              <w:bottom w:val="single" w:sz="8" w:color="665B4F"/>
            </w:tcBorders>
          </w:tcPr>
          <w:p>
            <w:pPr>
              <w:spacing w:after="0" w:line="20" w:lineRule="exact"/>
              <w:rPr>
                <w:sz w:val="1"/>
                <w:szCs w:val="1"/>
                <w:color w:val="auto"/>
              </w:rPr>
            </w:pPr>
          </w:p>
        </w:tc>
        <w:tc>
          <w:tcPr>
            <w:tcW w:w="220" w:type="dxa"/>
            <w:vAlign w:val="bottom"/>
            <w:tcBorders>
              <w:bottom w:val="single" w:sz="8" w:color="665B4F"/>
            </w:tcBorders>
          </w:tcPr>
          <w:p>
            <w:pPr>
              <w:spacing w:after="0" w:line="20" w:lineRule="exact"/>
              <w:rPr>
                <w:sz w:val="1"/>
                <w:szCs w:val="1"/>
                <w:color w:val="auto"/>
              </w:rPr>
            </w:pPr>
          </w:p>
        </w:tc>
        <w:tc>
          <w:tcPr>
            <w:tcW w:w="600" w:type="dxa"/>
            <w:vAlign w:val="bottom"/>
            <w:tcBorders>
              <w:bottom w:val="single" w:sz="8" w:color="665B4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0" w:type="dxa"/>
            <w:vAlign w:val="bottom"/>
            <w:gridSpan w:val="29"/>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SECURITY OWNERSHIP</w:t>
              </w:r>
            </w:hyperlink>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0"/>
        </w:trPr>
        <w:tc>
          <w:tcPr>
            <w:tcW w:w="10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2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1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42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bottom w:val="single" w:sz="8" w:color="665B4F"/>
            </w:tcBorders>
          </w:tcPr>
          <w:p>
            <w:pPr>
              <w:spacing w:after="0" w:line="20" w:lineRule="exact"/>
              <w:rPr>
                <w:sz w:val="1"/>
                <w:szCs w:val="1"/>
                <w:color w:val="auto"/>
              </w:rPr>
            </w:pPr>
          </w:p>
        </w:tc>
        <w:tc>
          <w:tcPr>
            <w:tcW w:w="20" w:type="dxa"/>
            <w:vAlign w:val="bottom"/>
            <w:tcBorders>
              <w:bottom w:val="single" w:sz="8" w:color="665B4F"/>
            </w:tcBorders>
          </w:tcPr>
          <w:p>
            <w:pPr>
              <w:spacing w:after="0" w:line="20" w:lineRule="exact"/>
              <w:rPr>
                <w:sz w:val="1"/>
                <w:szCs w:val="1"/>
                <w:color w:val="auto"/>
              </w:rPr>
            </w:pPr>
          </w:p>
        </w:tc>
        <w:tc>
          <w:tcPr>
            <w:tcW w:w="20" w:type="dxa"/>
            <w:vAlign w:val="bottom"/>
            <w:tcBorders>
              <w:bottom w:val="single" w:sz="8" w:color="665B4F"/>
            </w:tcBorders>
          </w:tcPr>
          <w:p>
            <w:pPr>
              <w:spacing w:after="0" w:line="20" w:lineRule="exact"/>
              <w:rPr>
                <w:sz w:val="1"/>
                <w:szCs w:val="1"/>
                <w:color w:val="auto"/>
              </w:rPr>
            </w:pPr>
          </w:p>
        </w:tc>
        <w:tc>
          <w:tcPr>
            <w:tcW w:w="40" w:type="dxa"/>
            <w:vAlign w:val="bottom"/>
            <w:tcBorders>
              <w:bottom w:val="single" w:sz="8" w:color="665B4F"/>
            </w:tcBorders>
          </w:tcPr>
          <w:p>
            <w:pPr>
              <w:spacing w:after="0" w:line="20" w:lineRule="exact"/>
              <w:rPr>
                <w:sz w:val="1"/>
                <w:szCs w:val="1"/>
                <w:color w:val="auto"/>
              </w:rPr>
            </w:pPr>
          </w:p>
        </w:tc>
        <w:tc>
          <w:tcPr>
            <w:tcW w:w="100" w:type="dxa"/>
            <w:vAlign w:val="bottom"/>
            <w:tcBorders>
              <w:bottom w:val="single" w:sz="8" w:color="665B4F"/>
            </w:tcBorders>
          </w:tcPr>
          <w:p>
            <w:pPr>
              <w:spacing w:after="0" w:line="20" w:lineRule="exact"/>
              <w:rPr>
                <w:sz w:val="1"/>
                <w:szCs w:val="1"/>
                <w:color w:val="auto"/>
              </w:rPr>
            </w:pPr>
          </w:p>
        </w:tc>
        <w:tc>
          <w:tcPr>
            <w:tcW w:w="64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120" w:type="dxa"/>
            <w:vAlign w:val="bottom"/>
            <w:tcBorders>
              <w:bottom w:val="single" w:sz="8" w:color="665B4F"/>
            </w:tcBorders>
          </w:tcPr>
          <w:p>
            <w:pPr>
              <w:spacing w:after="0" w:line="20" w:lineRule="exact"/>
              <w:rPr>
                <w:sz w:val="1"/>
                <w:szCs w:val="1"/>
                <w:color w:val="auto"/>
              </w:rPr>
            </w:pPr>
          </w:p>
        </w:tc>
        <w:tc>
          <w:tcPr>
            <w:tcW w:w="60" w:type="dxa"/>
            <w:vAlign w:val="bottom"/>
            <w:tcBorders>
              <w:bottom w:val="single" w:sz="8" w:color="665B4F"/>
            </w:tcBorders>
          </w:tcPr>
          <w:p>
            <w:pPr>
              <w:spacing w:after="0" w:line="20" w:lineRule="exact"/>
              <w:rPr>
                <w:sz w:val="1"/>
                <w:szCs w:val="1"/>
                <w:color w:val="auto"/>
              </w:rPr>
            </w:pPr>
          </w:p>
        </w:tc>
        <w:tc>
          <w:tcPr>
            <w:tcW w:w="2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220" w:type="dxa"/>
            <w:vAlign w:val="bottom"/>
            <w:tcBorders>
              <w:bottom w:val="single" w:sz="8" w:color="665B4F"/>
            </w:tcBorders>
          </w:tcPr>
          <w:p>
            <w:pPr>
              <w:spacing w:after="0" w:line="20" w:lineRule="exact"/>
              <w:rPr>
                <w:sz w:val="1"/>
                <w:szCs w:val="1"/>
                <w:color w:val="auto"/>
              </w:rPr>
            </w:pPr>
          </w:p>
        </w:tc>
        <w:tc>
          <w:tcPr>
            <w:tcW w:w="420" w:type="dxa"/>
            <w:vAlign w:val="bottom"/>
            <w:tcBorders>
              <w:bottom w:val="single" w:sz="8" w:color="665B4F"/>
            </w:tcBorders>
          </w:tcPr>
          <w:p>
            <w:pPr>
              <w:spacing w:after="0" w:line="20" w:lineRule="exact"/>
              <w:rPr>
                <w:sz w:val="1"/>
                <w:szCs w:val="1"/>
                <w:color w:val="auto"/>
              </w:rPr>
            </w:pPr>
          </w:p>
        </w:tc>
        <w:tc>
          <w:tcPr>
            <w:tcW w:w="14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320" w:type="dxa"/>
            <w:vAlign w:val="bottom"/>
            <w:tcBorders>
              <w:bottom w:val="single" w:sz="8" w:color="665B4F"/>
            </w:tcBorders>
          </w:tcPr>
          <w:p>
            <w:pPr>
              <w:spacing w:after="0" w:line="20" w:lineRule="exact"/>
              <w:rPr>
                <w:sz w:val="1"/>
                <w:szCs w:val="1"/>
                <w:color w:val="auto"/>
              </w:rPr>
            </w:pPr>
          </w:p>
        </w:tc>
        <w:tc>
          <w:tcPr>
            <w:tcW w:w="220" w:type="dxa"/>
            <w:vAlign w:val="bottom"/>
            <w:tcBorders>
              <w:bottom w:val="single" w:sz="8" w:color="665B4F"/>
            </w:tcBorders>
          </w:tcPr>
          <w:p>
            <w:pPr>
              <w:spacing w:after="0" w:line="20" w:lineRule="exact"/>
              <w:rPr>
                <w:sz w:val="1"/>
                <w:szCs w:val="1"/>
                <w:color w:val="auto"/>
              </w:rPr>
            </w:pPr>
          </w:p>
        </w:tc>
        <w:tc>
          <w:tcPr>
            <w:tcW w:w="600" w:type="dxa"/>
            <w:vAlign w:val="bottom"/>
            <w:tcBorders>
              <w:bottom w:val="single" w:sz="8" w:color="665B4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9"/>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Certain Beneficial Ownership and Management</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gridSpan w:val="29"/>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Section 16(a) Beneficial Ownership Reporting Compliance</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58"/>
        </w:trPr>
        <w:tc>
          <w:tcPr>
            <w:tcW w:w="4180" w:type="dxa"/>
            <w:vAlign w:val="bottom"/>
            <w:tcBorders>
              <w:top w:val="single" w:sz="8" w:color="0000EE"/>
            </w:tcBorders>
            <w:gridSpan w:val="26"/>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ITEMS TO BE VOTED ON</w:t>
              </w:r>
            </w:hyperlink>
          </w:p>
        </w:tc>
        <w:tc>
          <w:tcPr>
            <w:tcW w:w="62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0"/>
        </w:trPr>
        <w:tc>
          <w:tcPr>
            <w:tcW w:w="10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2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1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42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bottom w:val="single" w:sz="8" w:color="665B4F"/>
            </w:tcBorders>
          </w:tcPr>
          <w:p>
            <w:pPr>
              <w:spacing w:after="0" w:line="20" w:lineRule="exact"/>
              <w:rPr>
                <w:sz w:val="1"/>
                <w:szCs w:val="1"/>
                <w:color w:val="auto"/>
              </w:rPr>
            </w:pPr>
          </w:p>
        </w:tc>
        <w:tc>
          <w:tcPr>
            <w:tcW w:w="40" w:type="dxa"/>
            <w:vAlign w:val="bottom"/>
            <w:tcBorders>
              <w:bottom w:val="single" w:sz="8" w:color="665B4F"/>
            </w:tcBorders>
          </w:tcPr>
          <w:p>
            <w:pPr>
              <w:spacing w:after="0" w:line="20" w:lineRule="exact"/>
              <w:rPr>
                <w:sz w:val="1"/>
                <w:szCs w:val="1"/>
                <w:color w:val="auto"/>
              </w:rPr>
            </w:pPr>
          </w:p>
        </w:tc>
        <w:tc>
          <w:tcPr>
            <w:tcW w:w="100" w:type="dxa"/>
            <w:vAlign w:val="bottom"/>
            <w:tcBorders>
              <w:bottom w:val="single" w:sz="8" w:color="665B4F"/>
            </w:tcBorders>
          </w:tcPr>
          <w:p>
            <w:pPr>
              <w:spacing w:after="0" w:line="20" w:lineRule="exact"/>
              <w:rPr>
                <w:sz w:val="1"/>
                <w:szCs w:val="1"/>
                <w:color w:val="auto"/>
              </w:rPr>
            </w:pPr>
          </w:p>
        </w:tc>
        <w:tc>
          <w:tcPr>
            <w:tcW w:w="64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120" w:type="dxa"/>
            <w:vAlign w:val="bottom"/>
            <w:tcBorders>
              <w:bottom w:val="single" w:sz="8" w:color="665B4F"/>
            </w:tcBorders>
          </w:tcPr>
          <w:p>
            <w:pPr>
              <w:spacing w:after="0" w:line="20" w:lineRule="exact"/>
              <w:rPr>
                <w:sz w:val="1"/>
                <w:szCs w:val="1"/>
                <w:color w:val="auto"/>
              </w:rPr>
            </w:pPr>
          </w:p>
        </w:tc>
        <w:tc>
          <w:tcPr>
            <w:tcW w:w="60" w:type="dxa"/>
            <w:vAlign w:val="bottom"/>
            <w:tcBorders>
              <w:bottom w:val="single" w:sz="8" w:color="665B4F"/>
            </w:tcBorders>
          </w:tcPr>
          <w:p>
            <w:pPr>
              <w:spacing w:after="0" w:line="20" w:lineRule="exact"/>
              <w:rPr>
                <w:sz w:val="1"/>
                <w:szCs w:val="1"/>
                <w:color w:val="auto"/>
              </w:rPr>
            </w:pPr>
          </w:p>
        </w:tc>
        <w:tc>
          <w:tcPr>
            <w:tcW w:w="2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220" w:type="dxa"/>
            <w:vAlign w:val="bottom"/>
            <w:tcBorders>
              <w:bottom w:val="single" w:sz="8" w:color="665B4F"/>
            </w:tcBorders>
          </w:tcPr>
          <w:p>
            <w:pPr>
              <w:spacing w:after="0" w:line="20" w:lineRule="exact"/>
              <w:rPr>
                <w:sz w:val="1"/>
                <w:szCs w:val="1"/>
                <w:color w:val="auto"/>
              </w:rPr>
            </w:pPr>
          </w:p>
        </w:tc>
        <w:tc>
          <w:tcPr>
            <w:tcW w:w="420" w:type="dxa"/>
            <w:vAlign w:val="bottom"/>
            <w:tcBorders>
              <w:bottom w:val="single" w:sz="8" w:color="665B4F"/>
            </w:tcBorders>
          </w:tcPr>
          <w:p>
            <w:pPr>
              <w:spacing w:after="0" w:line="20" w:lineRule="exact"/>
              <w:rPr>
                <w:sz w:val="1"/>
                <w:szCs w:val="1"/>
                <w:color w:val="auto"/>
              </w:rPr>
            </w:pPr>
          </w:p>
        </w:tc>
        <w:tc>
          <w:tcPr>
            <w:tcW w:w="14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320" w:type="dxa"/>
            <w:vAlign w:val="bottom"/>
            <w:tcBorders>
              <w:bottom w:val="single" w:sz="8" w:color="665B4F"/>
            </w:tcBorders>
          </w:tcPr>
          <w:p>
            <w:pPr>
              <w:spacing w:after="0" w:line="20" w:lineRule="exact"/>
              <w:rPr>
                <w:sz w:val="1"/>
                <w:szCs w:val="1"/>
                <w:color w:val="auto"/>
              </w:rPr>
            </w:pPr>
          </w:p>
        </w:tc>
        <w:tc>
          <w:tcPr>
            <w:tcW w:w="220" w:type="dxa"/>
            <w:vAlign w:val="bottom"/>
            <w:tcBorders>
              <w:bottom w:val="single" w:sz="8" w:color="665B4F"/>
            </w:tcBorders>
          </w:tcPr>
          <w:p>
            <w:pPr>
              <w:spacing w:after="0" w:line="20" w:lineRule="exact"/>
              <w:rPr>
                <w:sz w:val="1"/>
                <w:szCs w:val="1"/>
                <w:color w:val="auto"/>
              </w:rPr>
            </w:pPr>
          </w:p>
        </w:tc>
        <w:tc>
          <w:tcPr>
            <w:tcW w:w="600" w:type="dxa"/>
            <w:vAlign w:val="bottom"/>
            <w:tcBorders>
              <w:bottom w:val="single" w:sz="8" w:color="665B4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9"/>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Proposal 1: Election of Directors</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0000EE"/>
            </w:tcBorders>
            <w:gridSpan w:val="28"/>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Proposal 2: Ratification of Appointment of Independent Auditors</w:t>
              </w:r>
            </w:hyperlink>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4800" w:type="dxa"/>
            <w:vAlign w:val="bottom"/>
            <w:tcBorders>
              <w:bottom w:val="single" w:sz="8" w:color="0000EE"/>
            </w:tcBorders>
            <w:gridSpan w:val="29"/>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Proposal 3: Advisory Vote to Approve the Compensation of Named</w:t>
              </w:r>
            </w:hyperlink>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2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w:anchor="page58">
              <w:r>
                <w:rPr>
                  <w:rFonts w:ascii="Arial" w:cs="Arial" w:eastAsia="Arial" w:hAnsi="Arial"/>
                  <w:sz w:val="16"/>
                  <w:szCs w:val="16"/>
                  <w:color w:val="0000EE"/>
                </w:rPr>
                <w:t>Executive Officers</w:t>
              </w:r>
            </w:hyperlink>
          </w:p>
        </w:tc>
        <w:tc>
          <w:tcPr>
            <w:tcW w:w="3480" w:type="dxa"/>
            <w:vAlign w:val="bottom"/>
            <w:gridSpan w:val="25"/>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4800" w:type="dxa"/>
            <w:vAlign w:val="bottom"/>
            <w:gridSpan w:val="29"/>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Proposal 4: Shareholder Proposal Requesting a Political</w:t>
              </w:r>
            </w:hyperlink>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50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w:anchor="page59">
              <w:r>
                <w:rPr>
                  <w:rFonts w:ascii="Arial" w:cs="Arial" w:eastAsia="Arial" w:hAnsi="Arial"/>
                  <w:sz w:val="16"/>
                  <w:szCs w:val="16"/>
                  <w:color w:val="0000EE"/>
                </w:rPr>
                <w:t>Contributions Report</w:t>
              </w:r>
            </w:hyperlink>
          </w:p>
        </w:tc>
        <w:tc>
          <w:tcPr>
            <w:tcW w:w="2540" w:type="dxa"/>
            <w:vAlign w:val="bottom"/>
            <w:tcBorders>
              <w:top w:val="single" w:sz="8" w:color="0000EE"/>
            </w:tcBorders>
            <w:gridSpan w:val="18"/>
          </w:tcPr>
          <w:p>
            <w:pPr>
              <w:spacing w:after="0"/>
              <w:rPr>
                <w:sz w:val="14"/>
                <w:szCs w:val="14"/>
                <w:color w:val="auto"/>
              </w:rPr>
            </w:pPr>
          </w:p>
        </w:tc>
        <w:tc>
          <w:tcPr>
            <w:tcW w:w="760" w:type="dxa"/>
            <w:vAlign w:val="bottom"/>
            <w:gridSpan w:val="4"/>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58"/>
        </w:trPr>
        <w:tc>
          <w:tcPr>
            <w:tcW w:w="4800" w:type="dxa"/>
            <w:vAlign w:val="bottom"/>
            <w:gridSpan w:val="29"/>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GENERAL INFORMATION</w:t>
              </w:r>
            </w:hyperlink>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0"/>
        </w:trPr>
        <w:tc>
          <w:tcPr>
            <w:tcW w:w="10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2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8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10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420" w:type="dxa"/>
            <w:vAlign w:val="bottom"/>
            <w:tcBorders>
              <w:top w:val="single" w:sz="8" w:color="0000EE"/>
              <w:bottom w:val="single" w:sz="8" w:color="665B4F"/>
            </w:tcBorders>
          </w:tcPr>
          <w:p>
            <w:pPr>
              <w:spacing w:after="0" w:line="20" w:lineRule="exact"/>
              <w:rPr>
                <w:sz w:val="1"/>
                <w:szCs w:val="1"/>
                <w:color w:val="auto"/>
              </w:rPr>
            </w:pPr>
          </w:p>
        </w:tc>
        <w:tc>
          <w:tcPr>
            <w:tcW w:w="6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20" w:type="dxa"/>
            <w:vAlign w:val="bottom"/>
            <w:tcBorders>
              <w:top w:val="single" w:sz="8" w:color="0000EE"/>
              <w:bottom w:val="single" w:sz="8" w:color="665B4F"/>
            </w:tcBorders>
          </w:tcPr>
          <w:p>
            <w:pPr>
              <w:spacing w:after="0" w:line="20" w:lineRule="exact"/>
              <w:rPr>
                <w:sz w:val="1"/>
                <w:szCs w:val="1"/>
                <w:color w:val="auto"/>
              </w:rPr>
            </w:pPr>
          </w:p>
        </w:tc>
        <w:tc>
          <w:tcPr>
            <w:tcW w:w="40" w:type="dxa"/>
            <w:vAlign w:val="bottom"/>
            <w:tcBorders>
              <w:top w:val="single" w:sz="8" w:color="0000EE"/>
              <w:bottom w:val="single" w:sz="8" w:color="665B4F"/>
            </w:tcBorders>
          </w:tcPr>
          <w:p>
            <w:pPr>
              <w:spacing w:after="0" w:line="20" w:lineRule="exact"/>
              <w:rPr>
                <w:sz w:val="1"/>
                <w:szCs w:val="1"/>
                <w:color w:val="auto"/>
              </w:rPr>
            </w:pPr>
          </w:p>
        </w:tc>
        <w:tc>
          <w:tcPr>
            <w:tcW w:w="100" w:type="dxa"/>
            <w:vAlign w:val="bottom"/>
            <w:tcBorders>
              <w:bottom w:val="single" w:sz="8" w:color="665B4F"/>
            </w:tcBorders>
          </w:tcPr>
          <w:p>
            <w:pPr>
              <w:spacing w:after="0" w:line="20" w:lineRule="exact"/>
              <w:rPr>
                <w:sz w:val="1"/>
                <w:szCs w:val="1"/>
                <w:color w:val="auto"/>
              </w:rPr>
            </w:pPr>
          </w:p>
        </w:tc>
        <w:tc>
          <w:tcPr>
            <w:tcW w:w="64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120" w:type="dxa"/>
            <w:vAlign w:val="bottom"/>
            <w:tcBorders>
              <w:bottom w:val="single" w:sz="8" w:color="665B4F"/>
            </w:tcBorders>
          </w:tcPr>
          <w:p>
            <w:pPr>
              <w:spacing w:after="0" w:line="20" w:lineRule="exact"/>
              <w:rPr>
                <w:sz w:val="1"/>
                <w:szCs w:val="1"/>
                <w:color w:val="auto"/>
              </w:rPr>
            </w:pPr>
          </w:p>
        </w:tc>
        <w:tc>
          <w:tcPr>
            <w:tcW w:w="60" w:type="dxa"/>
            <w:vAlign w:val="bottom"/>
            <w:tcBorders>
              <w:bottom w:val="single" w:sz="8" w:color="665B4F"/>
            </w:tcBorders>
          </w:tcPr>
          <w:p>
            <w:pPr>
              <w:spacing w:after="0" w:line="20" w:lineRule="exact"/>
              <w:rPr>
                <w:sz w:val="1"/>
                <w:szCs w:val="1"/>
                <w:color w:val="auto"/>
              </w:rPr>
            </w:pPr>
          </w:p>
        </w:tc>
        <w:tc>
          <w:tcPr>
            <w:tcW w:w="2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220" w:type="dxa"/>
            <w:vAlign w:val="bottom"/>
            <w:tcBorders>
              <w:bottom w:val="single" w:sz="8" w:color="665B4F"/>
            </w:tcBorders>
          </w:tcPr>
          <w:p>
            <w:pPr>
              <w:spacing w:after="0" w:line="20" w:lineRule="exact"/>
              <w:rPr>
                <w:sz w:val="1"/>
                <w:szCs w:val="1"/>
                <w:color w:val="auto"/>
              </w:rPr>
            </w:pPr>
          </w:p>
        </w:tc>
        <w:tc>
          <w:tcPr>
            <w:tcW w:w="420" w:type="dxa"/>
            <w:vAlign w:val="bottom"/>
            <w:tcBorders>
              <w:bottom w:val="single" w:sz="8" w:color="665B4F"/>
            </w:tcBorders>
          </w:tcPr>
          <w:p>
            <w:pPr>
              <w:spacing w:after="0" w:line="20" w:lineRule="exact"/>
              <w:rPr>
                <w:sz w:val="1"/>
                <w:szCs w:val="1"/>
                <w:color w:val="auto"/>
              </w:rPr>
            </w:pPr>
          </w:p>
        </w:tc>
        <w:tc>
          <w:tcPr>
            <w:tcW w:w="140" w:type="dxa"/>
            <w:vAlign w:val="bottom"/>
            <w:tcBorders>
              <w:bottom w:val="single" w:sz="8" w:color="665B4F"/>
            </w:tcBorders>
          </w:tcPr>
          <w:p>
            <w:pPr>
              <w:spacing w:after="0" w:line="20" w:lineRule="exact"/>
              <w:rPr>
                <w:sz w:val="1"/>
                <w:szCs w:val="1"/>
                <w:color w:val="auto"/>
              </w:rPr>
            </w:pPr>
          </w:p>
        </w:tc>
        <w:tc>
          <w:tcPr>
            <w:tcW w:w="80" w:type="dxa"/>
            <w:vAlign w:val="bottom"/>
            <w:tcBorders>
              <w:bottom w:val="single" w:sz="8" w:color="665B4F"/>
            </w:tcBorders>
          </w:tcPr>
          <w:p>
            <w:pPr>
              <w:spacing w:after="0" w:line="20" w:lineRule="exact"/>
              <w:rPr>
                <w:sz w:val="1"/>
                <w:szCs w:val="1"/>
                <w:color w:val="auto"/>
              </w:rPr>
            </w:pPr>
          </w:p>
        </w:tc>
        <w:tc>
          <w:tcPr>
            <w:tcW w:w="320" w:type="dxa"/>
            <w:vAlign w:val="bottom"/>
            <w:tcBorders>
              <w:bottom w:val="single" w:sz="8" w:color="665B4F"/>
            </w:tcBorders>
          </w:tcPr>
          <w:p>
            <w:pPr>
              <w:spacing w:after="0" w:line="20" w:lineRule="exact"/>
              <w:rPr>
                <w:sz w:val="1"/>
                <w:szCs w:val="1"/>
                <w:color w:val="auto"/>
              </w:rPr>
            </w:pPr>
          </w:p>
        </w:tc>
        <w:tc>
          <w:tcPr>
            <w:tcW w:w="220" w:type="dxa"/>
            <w:vAlign w:val="bottom"/>
            <w:tcBorders>
              <w:bottom w:val="single" w:sz="8" w:color="665B4F"/>
            </w:tcBorders>
          </w:tcPr>
          <w:p>
            <w:pPr>
              <w:spacing w:after="0" w:line="20" w:lineRule="exact"/>
              <w:rPr>
                <w:sz w:val="1"/>
                <w:szCs w:val="1"/>
                <w:color w:val="auto"/>
              </w:rPr>
            </w:pPr>
          </w:p>
        </w:tc>
        <w:tc>
          <w:tcPr>
            <w:tcW w:w="600" w:type="dxa"/>
            <w:vAlign w:val="bottom"/>
            <w:tcBorders>
              <w:bottom w:val="single" w:sz="8" w:color="665B4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9"/>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Our 2018 Annual Meeting of Shareholders</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3040" w:type="dxa"/>
            <w:vAlign w:val="bottom"/>
            <w:tcBorders>
              <w:top w:val="single" w:sz="8" w:color="0000EE"/>
            </w:tcBorders>
            <w:gridSpan w:val="18"/>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Voting and Solicitation</w:t>
              </w:r>
            </w:hyperlink>
          </w:p>
        </w:tc>
        <w:tc>
          <w:tcPr>
            <w:tcW w:w="1760" w:type="dxa"/>
            <w:vAlign w:val="bottom"/>
            <w:gridSpan w:val="11"/>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1600" w:type="dxa"/>
            <w:vAlign w:val="bottom"/>
            <w:tcBorders>
              <w:top w:val="single" w:sz="8" w:color="0000EE"/>
            </w:tcBorders>
            <w:gridSpan w:val="8"/>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How You Can Vote</w:t>
              </w:r>
            </w:hyperlink>
          </w:p>
        </w:tc>
        <w:tc>
          <w:tcPr>
            <w:tcW w:w="3200" w:type="dxa"/>
            <w:vAlign w:val="bottom"/>
            <w:gridSpan w:val="21"/>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gridSpan w:val="29"/>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Revocability of Proxies</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40" w:type="dxa"/>
            <w:vAlign w:val="bottom"/>
            <w:tcBorders>
              <w:bottom w:val="single" w:sz="8" w:color="0000EE"/>
            </w:tcBorders>
            <w:gridSpan w:val="12"/>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Attending the Annual Meeting</w:t>
              </w:r>
            </w:hyperlink>
          </w:p>
        </w:tc>
        <w:tc>
          <w:tcPr>
            <w:tcW w:w="2660" w:type="dxa"/>
            <w:vAlign w:val="bottom"/>
            <w:gridSpan w:val="17"/>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0000EE"/>
            </w:tcBorders>
            <w:gridSpan w:val="21"/>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Proxy Procedure and Expenses of Solicitation</w:t>
              </w:r>
            </w:hyperlink>
          </w:p>
        </w:tc>
        <w:tc>
          <w:tcPr>
            <w:tcW w:w="1500" w:type="dxa"/>
            <w:vAlign w:val="bottom"/>
            <w:gridSpan w:val="8"/>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7"/>
        </w:trPr>
        <w:tc>
          <w:tcPr>
            <w:tcW w:w="1660" w:type="dxa"/>
            <w:vAlign w:val="bottom"/>
            <w:tcBorders>
              <w:bottom w:val="single" w:sz="8" w:color="0000EE"/>
            </w:tcBorders>
            <w:gridSpan w:val="10"/>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Shareholder Proposals</w:t>
              </w:r>
            </w:hyperlink>
          </w:p>
        </w:tc>
        <w:tc>
          <w:tcPr>
            <w:tcW w:w="3140" w:type="dxa"/>
            <w:vAlign w:val="bottom"/>
            <w:gridSpan w:val="19"/>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7"/>
        </w:trPr>
        <w:tc>
          <w:tcPr>
            <w:tcW w:w="4800" w:type="dxa"/>
            <w:vAlign w:val="bottom"/>
            <w:gridSpan w:val="29"/>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Annual Report</w:t>
              </w:r>
            </w:hyperlink>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1040" w:type="dxa"/>
            <w:vAlign w:val="bottom"/>
            <w:tcBorders>
              <w:top w:val="single" w:sz="8" w:color="0000EE"/>
            </w:tcBorders>
            <w:gridSpan w:val="2"/>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Householding</w:t>
              </w:r>
            </w:hyperlink>
          </w:p>
        </w:tc>
        <w:tc>
          <w:tcPr>
            <w:tcW w:w="3760" w:type="dxa"/>
            <w:vAlign w:val="bottom"/>
            <w:gridSpan w:val="27"/>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80" w:type="dxa"/>
            <w:vAlign w:val="bottom"/>
            <w:gridSpan w:val="2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tcBorders>
              <w:bottom w:val="single" w:sz="8" w:color="0000EE"/>
            </w:tcBorders>
            <w:gridSpan w:val="3"/>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Other Business</w:t>
              </w:r>
            </w:hyperlink>
          </w:p>
        </w:tc>
        <w:tc>
          <w:tcPr>
            <w:tcW w:w="3680" w:type="dxa"/>
            <w:vAlign w:val="bottom"/>
            <w:gridSpan w:val="26"/>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557530</wp:posOffset>
            </wp:positionV>
            <wp:extent cx="6997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53"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32"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240030</wp:posOffset>
            </wp:positionV>
            <wp:extent cx="6843395" cy="8447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43395" cy="844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right="1300"/>
        <w:spacing w:after="0" w:line="275" w:lineRule="auto"/>
        <w:rPr>
          <w:sz w:val="20"/>
          <w:szCs w:val="20"/>
          <w:color w:val="auto"/>
        </w:rPr>
      </w:pPr>
      <w:r>
        <w:rPr>
          <w:rFonts w:ascii="Arial" w:cs="Arial" w:eastAsia="Arial" w:hAnsi="Arial"/>
          <w:sz w:val="41"/>
          <w:szCs w:val="41"/>
          <w:b w:val="1"/>
          <w:bCs w:val="1"/>
          <w:color w:val="665B4F"/>
        </w:rPr>
        <w:t>OUR BOARD AND CORPORATE GOVERNANCE</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In this section, Wynn Resorts, Limited (the “Company” or “we”) will tell you about:</w:t>
      </w:r>
    </w:p>
    <w:p>
      <w:pPr>
        <w:spacing w:after="0" w:line="135" w:lineRule="exact"/>
        <w:rPr>
          <w:sz w:val="20"/>
          <w:szCs w:val="20"/>
          <w:color w:val="auto"/>
        </w:rPr>
      </w:pPr>
    </w:p>
    <w:tbl>
      <w:tblPr>
        <w:tblLayout w:type="fixed"/>
        <w:tblInd w:w="3720" w:type="dxa"/>
        <w:tblCellMar>
          <w:top w:w="0" w:type="dxa"/>
          <w:left w:w="0" w:type="dxa"/>
          <w:bottom w:w="0" w:type="dxa"/>
          <w:right w:w="0" w:type="dxa"/>
        </w:tblCellMar>
      </w:tblPr>
      <w:tr>
        <w:trPr>
          <w:trHeight w:val="206"/>
        </w:trPr>
        <w:tc>
          <w:tcPr>
            <w:tcW w:w="3420" w:type="dxa"/>
            <w:vAlign w:val="bottom"/>
            <w:gridSpan w:val="2"/>
          </w:tcPr>
          <w:p>
            <w:pPr>
              <w:spacing w:after="0"/>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Board Composition and Refreshment</w:t>
            </w:r>
          </w:p>
        </w:tc>
        <w:tc>
          <w:tcPr>
            <w:tcW w:w="3560" w:type="dxa"/>
            <w:vAlign w:val="bottom"/>
            <w:gridSpan w:val="2"/>
          </w:tcPr>
          <w:p>
            <w:pPr>
              <w:ind w:left="460"/>
              <w:spacing w:after="0"/>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Board Role in Risk Oversight</w:t>
            </w:r>
          </w:p>
        </w:tc>
      </w:tr>
      <w:tr>
        <w:trPr>
          <w:trHeight w:val="270"/>
        </w:trPr>
        <w:tc>
          <w:tcPr>
            <w:tcW w:w="3420" w:type="dxa"/>
            <w:vAlign w:val="bottom"/>
            <w:gridSpan w:val="2"/>
          </w:tcPr>
          <w:p>
            <w:pPr>
              <w:spacing w:after="0"/>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Director Skills, Experience and Tenure</w:t>
            </w:r>
          </w:p>
        </w:tc>
        <w:tc>
          <w:tcPr>
            <w:tcW w:w="600" w:type="dxa"/>
            <w:vAlign w:val="bottom"/>
          </w:tcPr>
          <w:p>
            <w:pPr>
              <w:ind w:left="460"/>
              <w:spacing w:after="0"/>
              <w:rPr>
                <w:sz w:val="20"/>
                <w:szCs w:val="20"/>
                <w:color w:val="auto"/>
              </w:rPr>
            </w:pPr>
            <w:r>
              <w:rPr>
                <w:rFonts w:ascii="Arial" w:cs="Arial" w:eastAsia="Arial" w:hAnsi="Arial"/>
                <w:sz w:val="16"/>
                <w:szCs w:val="16"/>
                <w:color w:val="665B4F"/>
              </w:rPr>
              <w:t>•</w:t>
            </w:r>
          </w:p>
        </w:tc>
        <w:tc>
          <w:tcPr>
            <w:tcW w:w="2960" w:type="dxa"/>
            <w:vAlign w:val="bottom"/>
          </w:tcPr>
          <w:p>
            <w:pPr>
              <w:ind w:left="80"/>
              <w:spacing w:after="0"/>
              <w:rPr>
                <w:sz w:val="20"/>
                <w:szCs w:val="20"/>
                <w:color w:val="auto"/>
              </w:rPr>
            </w:pPr>
            <w:r>
              <w:rPr>
                <w:rFonts w:ascii="Arial" w:cs="Arial" w:eastAsia="Arial" w:hAnsi="Arial"/>
                <w:sz w:val="16"/>
                <w:szCs w:val="16"/>
                <w:color w:val="auto"/>
              </w:rPr>
              <w:t>Board Meetings/Annual Meeting</w:t>
            </w:r>
          </w:p>
        </w:tc>
      </w:tr>
      <w:tr>
        <w:trPr>
          <w:trHeight w:val="270"/>
        </w:trPr>
        <w:tc>
          <w:tcPr>
            <w:tcW w:w="140" w:type="dxa"/>
            <w:vAlign w:val="bottom"/>
          </w:tcPr>
          <w:p>
            <w:pPr>
              <w:spacing w:after="0"/>
              <w:rPr>
                <w:sz w:val="20"/>
                <w:szCs w:val="20"/>
                <w:color w:val="auto"/>
              </w:rPr>
            </w:pPr>
            <w:r>
              <w:rPr>
                <w:rFonts w:ascii="Arial" w:cs="Arial" w:eastAsia="Arial" w:hAnsi="Arial"/>
                <w:sz w:val="16"/>
                <w:szCs w:val="16"/>
                <w:color w:val="665B4F"/>
              </w:rPr>
              <w:t>•</w:t>
            </w:r>
          </w:p>
        </w:tc>
        <w:tc>
          <w:tcPr>
            <w:tcW w:w="3280" w:type="dxa"/>
            <w:vAlign w:val="bottom"/>
          </w:tcPr>
          <w:p>
            <w:pPr>
              <w:ind w:left="80"/>
              <w:spacing w:after="0"/>
              <w:rPr>
                <w:sz w:val="20"/>
                <w:szCs w:val="20"/>
                <w:color w:val="auto"/>
              </w:rPr>
            </w:pPr>
            <w:r>
              <w:rPr>
                <w:rFonts w:ascii="Arial" w:cs="Arial" w:eastAsia="Arial" w:hAnsi="Arial"/>
                <w:sz w:val="16"/>
                <w:szCs w:val="16"/>
                <w:color w:val="auto"/>
              </w:rPr>
              <w:t>Director Biographies</w:t>
            </w:r>
          </w:p>
        </w:tc>
        <w:tc>
          <w:tcPr>
            <w:tcW w:w="3560" w:type="dxa"/>
            <w:vAlign w:val="bottom"/>
            <w:gridSpan w:val="2"/>
          </w:tcPr>
          <w:p>
            <w:pPr>
              <w:ind w:left="460"/>
              <w:spacing w:after="0"/>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Board Communication and Engagement</w:t>
            </w:r>
          </w:p>
        </w:tc>
      </w:tr>
      <w:tr>
        <w:trPr>
          <w:trHeight w:val="270"/>
        </w:trPr>
        <w:tc>
          <w:tcPr>
            <w:tcW w:w="140" w:type="dxa"/>
            <w:vAlign w:val="bottom"/>
          </w:tcPr>
          <w:p>
            <w:pPr>
              <w:spacing w:after="0"/>
              <w:rPr>
                <w:sz w:val="20"/>
                <w:szCs w:val="20"/>
                <w:color w:val="auto"/>
              </w:rPr>
            </w:pPr>
            <w:r>
              <w:rPr>
                <w:rFonts w:ascii="Arial" w:cs="Arial" w:eastAsia="Arial" w:hAnsi="Arial"/>
                <w:sz w:val="16"/>
                <w:szCs w:val="16"/>
                <w:color w:val="665B4F"/>
              </w:rPr>
              <w:t>•</w:t>
            </w:r>
          </w:p>
        </w:tc>
        <w:tc>
          <w:tcPr>
            <w:tcW w:w="3280" w:type="dxa"/>
            <w:vAlign w:val="bottom"/>
          </w:tcPr>
          <w:p>
            <w:pPr>
              <w:ind w:left="80"/>
              <w:spacing w:after="0"/>
              <w:rPr>
                <w:sz w:val="20"/>
                <w:szCs w:val="20"/>
                <w:color w:val="auto"/>
              </w:rPr>
            </w:pPr>
            <w:r>
              <w:rPr>
                <w:rFonts w:ascii="Arial" w:cs="Arial" w:eastAsia="Arial" w:hAnsi="Arial"/>
                <w:sz w:val="16"/>
                <w:szCs w:val="16"/>
                <w:color w:val="auto"/>
              </w:rPr>
              <w:t>Board Size, Classes, and Terms</w:t>
            </w:r>
          </w:p>
        </w:tc>
        <w:tc>
          <w:tcPr>
            <w:tcW w:w="600" w:type="dxa"/>
            <w:vAlign w:val="bottom"/>
          </w:tcPr>
          <w:p>
            <w:pPr>
              <w:ind w:left="460"/>
              <w:spacing w:after="0"/>
              <w:rPr>
                <w:sz w:val="20"/>
                <w:szCs w:val="20"/>
                <w:color w:val="auto"/>
              </w:rPr>
            </w:pPr>
            <w:r>
              <w:rPr>
                <w:rFonts w:ascii="Arial" w:cs="Arial" w:eastAsia="Arial" w:hAnsi="Arial"/>
                <w:sz w:val="16"/>
                <w:szCs w:val="16"/>
                <w:color w:val="665B4F"/>
              </w:rPr>
              <w:t>•</w:t>
            </w:r>
          </w:p>
        </w:tc>
        <w:tc>
          <w:tcPr>
            <w:tcW w:w="2960" w:type="dxa"/>
            <w:vAlign w:val="bottom"/>
          </w:tcPr>
          <w:p>
            <w:pPr>
              <w:ind w:left="80"/>
              <w:spacing w:after="0"/>
              <w:rPr>
                <w:sz w:val="20"/>
                <w:szCs w:val="20"/>
                <w:color w:val="auto"/>
              </w:rPr>
            </w:pPr>
            <w:r>
              <w:rPr>
                <w:rFonts w:ascii="Arial" w:cs="Arial" w:eastAsia="Arial" w:hAnsi="Arial"/>
                <w:sz w:val="16"/>
                <w:szCs w:val="16"/>
                <w:color w:val="auto"/>
              </w:rPr>
              <w:t>Board Compensation</w:t>
            </w:r>
          </w:p>
        </w:tc>
      </w:tr>
    </w:tbl>
    <w:p>
      <w:pPr>
        <w:spacing w:after="0" w:line="75" w:lineRule="exact"/>
        <w:rPr>
          <w:sz w:val="20"/>
          <w:szCs w:val="20"/>
          <w:color w:val="auto"/>
        </w:rPr>
      </w:pPr>
    </w:p>
    <w:p>
      <w:pPr>
        <w:ind w:left="3940" w:hanging="212"/>
        <w:spacing w:after="0"/>
        <w:tabs>
          <w:tab w:leader="none" w:pos="3940" w:val="left"/>
        </w:tabs>
        <w:numPr>
          <w:ilvl w:val="0"/>
          <w:numId w:val="6"/>
        </w:numPr>
        <w:rPr>
          <w:rFonts w:ascii="Arial" w:cs="Arial" w:eastAsia="Arial" w:hAnsi="Arial"/>
          <w:sz w:val="16"/>
          <w:szCs w:val="16"/>
          <w:color w:val="665B4F"/>
        </w:rPr>
      </w:pPr>
      <w:r>
        <w:rPr>
          <w:rFonts w:ascii="Arial" w:cs="Arial" w:eastAsia="Arial" w:hAnsi="Arial"/>
          <w:sz w:val="16"/>
          <w:szCs w:val="16"/>
          <w:color w:val="auto"/>
        </w:rPr>
        <w:t>Board Committees</w:t>
      </w:r>
    </w:p>
    <w:p>
      <w:pPr>
        <w:spacing w:after="0" w:line="86" w:lineRule="exact"/>
        <w:rPr>
          <w:rFonts w:ascii="Arial" w:cs="Arial" w:eastAsia="Arial" w:hAnsi="Arial"/>
          <w:sz w:val="16"/>
          <w:szCs w:val="16"/>
          <w:color w:val="665B4F"/>
        </w:rPr>
      </w:pPr>
    </w:p>
    <w:p>
      <w:pPr>
        <w:ind w:left="3940" w:hanging="212"/>
        <w:spacing w:after="0"/>
        <w:tabs>
          <w:tab w:leader="none" w:pos="3940" w:val="left"/>
        </w:tabs>
        <w:numPr>
          <w:ilvl w:val="0"/>
          <w:numId w:val="6"/>
        </w:numPr>
        <w:rPr>
          <w:rFonts w:ascii="Arial" w:cs="Arial" w:eastAsia="Arial" w:hAnsi="Arial"/>
          <w:sz w:val="16"/>
          <w:szCs w:val="16"/>
          <w:color w:val="665B4F"/>
        </w:rPr>
      </w:pPr>
      <w:r>
        <w:rPr>
          <w:rFonts w:ascii="Arial" w:cs="Arial" w:eastAsia="Arial" w:hAnsi="Arial"/>
          <w:sz w:val="16"/>
          <w:szCs w:val="16"/>
          <w:color w:val="auto"/>
        </w:rPr>
        <w:t>Board Governance</w:t>
      </w:r>
    </w:p>
    <w:p>
      <w:pPr>
        <w:spacing w:after="0" w:line="273"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BOARD COMPOSITION AND REFRESHMENT</w:t>
      </w:r>
    </w:p>
    <w:p>
      <w:pPr>
        <w:spacing w:after="0" w:line="83" w:lineRule="exact"/>
        <w:rPr>
          <w:sz w:val="20"/>
          <w:szCs w:val="20"/>
          <w:color w:val="auto"/>
        </w:rPr>
      </w:pPr>
    </w:p>
    <w:p>
      <w:pPr>
        <w:jc w:val="both"/>
        <w:ind w:left="3620" w:right="160"/>
        <w:spacing w:after="0" w:line="260" w:lineRule="auto"/>
        <w:rPr>
          <w:sz w:val="20"/>
          <w:szCs w:val="20"/>
          <w:color w:val="auto"/>
        </w:rPr>
      </w:pPr>
      <w:r>
        <w:rPr>
          <w:rFonts w:ascii="Arial" w:cs="Arial" w:eastAsia="Arial" w:hAnsi="Arial"/>
          <w:sz w:val="16"/>
          <w:szCs w:val="16"/>
          <w:color w:val="auto"/>
        </w:rPr>
        <w:t>As part of our commitment to the refreshment and strengthening of our Board of Directors (“Board”), our Board has appointed three new members, enhancing our Board’s diversity of perspective and expertise.</w:t>
      </w:r>
    </w:p>
    <w:p>
      <w:pPr>
        <w:spacing w:after="0" w:line="61" w:lineRule="exact"/>
        <w:rPr>
          <w:sz w:val="20"/>
          <w:szCs w:val="20"/>
          <w:color w:val="auto"/>
        </w:rPr>
      </w:pPr>
    </w:p>
    <w:p>
      <w:pPr>
        <w:ind w:left="3620" w:right="260"/>
        <w:spacing w:after="0" w:line="253" w:lineRule="auto"/>
        <w:rPr>
          <w:sz w:val="20"/>
          <w:szCs w:val="20"/>
          <w:color w:val="auto"/>
        </w:rPr>
      </w:pPr>
      <w:r>
        <w:rPr>
          <w:rFonts w:ascii="Arial" w:cs="Arial" w:eastAsia="Arial" w:hAnsi="Arial"/>
          <w:sz w:val="16"/>
          <w:szCs w:val="16"/>
          <w:color w:val="auto"/>
        </w:rPr>
        <w:t>In February 2018, our Nominating and Corporate Governance Committee (“Corporate Governance Committee”) of the Board began a process to add directors to meet our evolving needs and strengthen our diversity. The Corporate Governance Committee retained an independent search firm to assist us.</w:t>
      </w:r>
    </w:p>
    <w:p>
      <w:pPr>
        <w:spacing w:after="0" w:line="53" w:lineRule="exact"/>
        <w:rPr>
          <w:sz w:val="20"/>
          <w:szCs w:val="20"/>
          <w:color w:val="auto"/>
        </w:rPr>
      </w:pPr>
    </w:p>
    <w:p>
      <w:pPr>
        <w:ind w:left="3620" w:right="20"/>
        <w:spacing w:after="0" w:line="249" w:lineRule="auto"/>
        <w:rPr>
          <w:sz w:val="20"/>
          <w:szCs w:val="20"/>
          <w:color w:val="auto"/>
        </w:rPr>
      </w:pPr>
      <w:r>
        <w:rPr>
          <w:rFonts w:ascii="Arial" w:cs="Arial" w:eastAsia="Arial" w:hAnsi="Arial"/>
          <w:sz w:val="16"/>
          <w:szCs w:val="16"/>
          <w:color w:val="auto"/>
        </w:rPr>
        <w:t>On March 5, 2018, Dr. Ray R. Irani, who began serving on our Board in October 2007, resigned. In addition, on March 5, 2018, Alvin V. Shoemaker advised the Board that he will not stand for re-election at the expiration of his term at the Company’s 2019 Annual Meeting. On April 17, 2018, J. Edward Virtue advised the Board that he will not stand for re-election at the expiration of his term at the Company’s 2018 Annual Meeting. Stephen A. Wynn, who served as a director of the Company from June 2002, resigned on February 6, 2018 as Chief Executive Officer and Chairman of the Board.</w:t>
      </w:r>
    </w:p>
    <w:p>
      <w:pPr>
        <w:spacing w:after="0" w:line="97" w:lineRule="exact"/>
        <w:rPr>
          <w:sz w:val="20"/>
          <w:szCs w:val="20"/>
          <w:color w:val="auto"/>
        </w:rPr>
      </w:pPr>
    </w:p>
    <w:p>
      <w:pPr>
        <w:ind w:left="3620" w:right="80"/>
        <w:spacing w:after="0" w:line="248" w:lineRule="auto"/>
        <w:rPr>
          <w:sz w:val="20"/>
          <w:szCs w:val="20"/>
          <w:color w:val="auto"/>
        </w:rPr>
      </w:pPr>
      <w:r>
        <w:rPr>
          <w:rFonts w:ascii="Arial" w:cs="Arial" w:eastAsia="Arial" w:hAnsi="Arial"/>
          <w:sz w:val="16"/>
          <w:szCs w:val="16"/>
          <w:color w:val="auto"/>
        </w:rPr>
        <w:t>On April 17, 2018, following a thorough and careful search by the Corporate Governance Committee to identify and evaluate potential candidates, the Board appointed Betsy Atkins, Margaret (Dee Dee) Myers, and Winifred (Wendy) Webb, as Class I, Class II and Class II members of the Board, respectively. Ms. Atkins is standing for election at the Company’s 2018 Annual Meeting. Ms. Myers’ and Ms. Webb’s terms will expire at the Company’s 2019 Annual Meeting. These appointments advance the Company’s commitment to diversify the gender, skills and experience of the Board, strengthening its expertise in corporate governance, communications and public affairs, technology, strategic positioning, and hospitality and branding.</w:t>
      </w:r>
    </w:p>
    <w:p>
      <w:pPr>
        <w:spacing w:after="0" w:line="111"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DIRECTOR SKILLS, EXPERIENCE AND TENURE</w:t>
      </w:r>
    </w:p>
    <w:p>
      <w:pPr>
        <w:spacing w:after="0" w:line="124" w:lineRule="exact"/>
        <w:rPr>
          <w:sz w:val="20"/>
          <w:szCs w:val="20"/>
          <w:color w:val="auto"/>
        </w:rPr>
      </w:pPr>
    </w:p>
    <w:p>
      <w:pPr>
        <w:jc w:val="both"/>
        <w:ind w:left="3620" w:right="80"/>
        <w:spacing w:after="0" w:line="246" w:lineRule="auto"/>
        <w:rPr>
          <w:sz w:val="20"/>
          <w:szCs w:val="20"/>
          <w:color w:val="auto"/>
        </w:rPr>
      </w:pPr>
      <w:r>
        <w:rPr>
          <w:rFonts w:ascii="Arial" w:cs="Arial" w:eastAsia="Arial" w:hAnsi="Arial"/>
          <w:sz w:val="16"/>
          <w:szCs w:val="16"/>
          <w:color w:val="auto"/>
        </w:rPr>
        <w:t>As the left-hand chart below summarizes, our Board members’ skills and experiences cover the areas we believe are most important to our sustainable success. In addition, as the right-hand chart below reflects, our Board has been steadily refreshed and has what we believe is an optimal range of tenures.</w:t>
      </w:r>
    </w:p>
    <w:p>
      <w:pPr>
        <w:spacing w:after="0" w:line="1" w:lineRule="exact"/>
        <w:rPr>
          <w:sz w:val="20"/>
          <w:szCs w:val="20"/>
          <w:color w:val="auto"/>
        </w:rPr>
      </w:pPr>
    </w:p>
    <w:p>
      <w:pPr>
        <w:ind w:left="3620"/>
        <w:spacing w:after="0" w:line="251" w:lineRule="auto"/>
        <w:rPr>
          <w:sz w:val="20"/>
          <w:szCs w:val="20"/>
          <w:color w:val="auto"/>
        </w:rPr>
      </w:pPr>
      <w:r>
        <w:rPr>
          <w:rFonts w:ascii="Arial" w:cs="Arial" w:eastAsia="Arial" w:hAnsi="Arial"/>
          <w:sz w:val="16"/>
          <w:szCs w:val="16"/>
          <w:color w:val="auto"/>
        </w:rPr>
        <w:t>Importantly, our three new directors since 2015 add significant China, government, and public policy expertise to our Board. The three new directors that have been appointed to the Board, each of whom has been determined to be independent, will provide further refreshment of the Board and will bring additional gaming and hospitality, branding and marketing and financial expertise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135890</wp:posOffset>
            </wp:positionV>
            <wp:extent cx="4836795" cy="2366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36795" cy="236664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135890</wp:posOffset>
            </wp:positionV>
            <wp:extent cx="4836795" cy="2366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3679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20"/>
        <w:spacing w:after="0"/>
        <w:tabs>
          <w:tab w:leader="none" w:pos="3840" w:val="left"/>
        </w:tabs>
        <w:rPr>
          <w:sz w:val="20"/>
          <w:szCs w:val="20"/>
          <w:color w:val="auto"/>
        </w:rPr>
      </w:pPr>
      <w:r>
        <w:rPr>
          <w:rFonts w:ascii="Arial" w:cs="Arial" w:eastAsia="Arial" w:hAnsi="Arial"/>
          <w:sz w:val="14"/>
          <w:szCs w:val="14"/>
          <w:color w:val="auto"/>
        </w:rPr>
        <w:t>1</w:t>
        <w:tab/>
        <w:t>|</w:t>
      </w:r>
    </w:p>
    <w:p>
      <w:pPr>
        <w:sectPr>
          <w:pgSz w:w="11900" w:h="16838" w:orient="portrait"/>
          <w:cols w:equalWidth="0" w:num="1">
            <w:col w:w="11220"/>
          </w:cols>
          <w:pgMar w:left="240" w:top="459" w:right="439" w:bottom="883"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5B4F"/>
        </w:rPr>
        <w:t>OUR BOARD AND CORPORATE GOVERNANCE</w:t>
      </w:r>
    </w:p>
    <w:p>
      <w:pPr>
        <w:spacing w:after="0" w:line="36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DIRECTOR BIOGRAPHIES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Biographical and other information for our directors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6997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JOHN J. HAGENBUCH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-1624965</wp:posOffset>
            </wp:positionV>
            <wp:extent cx="1809750" cy="130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39" w:lineRule="exact"/>
        <w:rPr>
          <w:sz w:val="20"/>
          <w:szCs w:val="20"/>
          <w:color w:val="auto"/>
        </w:rPr>
      </w:pPr>
    </w:p>
    <w:p>
      <w:pPr>
        <w:ind w:left="200" w:right="420"/>
        <w:spacing w:after="0" w:line="258" w:lineRule="auto"/>
        <w:rPr>
          <w:sz w:val="20"/>
          <w:szCs w:val="20"/>
          <w:color w:val="auto"/>
        </w:rPr>
      </w:pPr>
      <w:r>
        <w:rPr>
          <w:rFonts w:ascii="Arial" w:cs="Arial" w:eastAsia="Arial" w:hAnsi="Arial"/>
          <w:sz w:val="14"/>
          <w:szCs w:val="14"/>
          <w:color w:val="auto"/>
        </w:rPr>
        <w:t>Chairman, M&amp;H Realty Partners and WestLand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1809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DIRECTOR SINCE DECEMBER 2012</w:t>
      </w:r>
    </w:p>
    <w:p>
      <w:pPr>
        <w:spacing w:after="0" w:line="140" w:lineRule="exact"/>
        <w:rPr>
          <w:sz w:val="20"/>
          <w:szCs w:val="20"/>
          <w:color w:val="auto"/>
        </w:rPr>
      </w:pPr>
    </w:p>
    <w:p>
      <w:pPr>
        <w:ind w:left="200" w:right="380"/>
        <w:spacing w:after="0" w:line="298" w:lineRule="auto"/>
        <w:rPr>
          <w:sz w:val="20"/>
          <w:szCs w:val="20"/>
          <w:color w:val="auto"/>
        </w:rPr>
      </w:pPr>
      <w:r>
        <w:rPr>
          <w:rFonts w:ascii="Arial" w:cs="Arial" w:eastAsia="Arial" w:hAnsi="Arial"/>
          <w:sz w:val="16"/>
          <w:szCs w:val="16"/>
          <w:b w:val="1"/>
          <w:bCs w:val="1"/>
          <w:color w:val="665B4F"/>
        </w:rPr>
        <w:t>TERM EXPIRES: 2018 ANNUAL MEETING</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66</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BOARD COMMITTEES:</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Audit, Chair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Mr. Hagenbuch </w:t>
      </w:r>
      <w:r>
        <w:rPr>
          <w:rFonts w:ascii="Arial" w:cs="Arial" w:eastAsia="Arial" w:hAnsi="Arial"/>
          <w:sz w:val="16"/>
          <w:szCs w:val="16"/>
          <w:color w:val="auto"/>
        </w:rPr>
        <w:t>is Chairman of M&amp;H Realty Partners and WestLand Capital Partners, investment firms he</w:t>
      </w:r>
      <w:r>
        <w:rPr>
          <w:rFonts w:ascii="Arial" w:cs="Arial" w:eastAsia="Arial" w:hAnsi="Arial"/>
          <w:sz w:val="16"/>
          <w:szCs w:val="16"/>
          <w:b w:val="1"/>
          <w:bCs w:val="1"/>
          <w:color w:val="auto"/>
        </w:rPr>
        <w:t xml:space="preserve"> </w:t>
      </w:r>
      <w:r>
        <w:rPr>
          <w:rFonts w:ascii="Arial" w:cs="Arial" w:eastAsia="Arial" w:hAnsi="Arial"/>
          <w:sz w:val="16"/>
          <w:szCs w:val="16"/>
          <w:color w:val="auto"/>
        </w:rPr>
        <w:t>co-founded in 1994 and 2010,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PREVIOUS EXPERIENCE</w:t>
      </w:r>
    </w:p>
    <w:p>
      <w:pPr>
        <w:spacing w:after="0" w:line="88" w:lineRule="exact"/>
        <w:rPr>
          <w:sz w:val="20"/>
          <w:szCs w:val="20"/>
          <w:color w:val="auto"/>
        </w:rPr>
      </w:pPr>
    </w:p>
    <w:p>
      <w:pPr>
        <w:ind w:left="300" w:hanging="190"/>
        <w:spacing w:after="0"/>
        <w:tabs>
          <w:tab w:leader="none" w:pos="300" w:val="left"/>
        </w:tabs>
        <w:numPr>
          <w:ilvl w:val="0"/>
          <w:numId w:val="7"/>
        </w:numPr>
        <w:rPr>
          <w:rFonts w:ascii="Arial" w:cs="Arial" w:eastAsia="Arial" w:hAnsi="Arial"/>
          <w:sz w:val="16"/>
          <w:szCs w:val="16"/>
          <w:color w:val="665B4F"/>
        </w:rPr>
      </w:pPr>
      <w:r>
        <w:rPr>
          <w:rFonts w:ascii="Arial" w:cs="Arial" w:eastAsia="Arial" w:hAnsi="Arial"/>
          <w:sz w:val="16"/>
          <w:szCs w:val="16"/>
          <w:color w:val="auto"/>
        </w:rPr>
        <w:t>General Partner of Hellman &amp; Friedman, a private equity firm that he joined as its third partner in 1985</w:t>
      </w:r>
    </w:p>
    <w:p>
      <w:pPr>
        <w:spacing w:after="0" w:line="140" w:lineRule="exact"/>
        <w:rPr>
          <w:rFonts w:ascii="Arial" w:cs="Arial" w:eastAsia="Arial" w:hAnsi="Arial"/>
          <w:sz w:val="16"/>
          <w:szCs w:val="16"/>
          <w:color w:val="665B4F"/>
        </w:rPr>
      </w:pPr>
    </w:p>
    <w:p>
      <w:pPr>
        <w:ind w:left="300" w:right="140" w:hanging="190"/>
        <w:spacing w:after="0" w:line="262" w:lineRule="auto"/>
        <w:tabs>
          <w:tab w:leader="none" w:pos="295" w:val="left"/>
        </w:tabs>
        <w:numPr>
          <w:ilvl w:val="0"/>
          <w:numId w:val="7"/>
        </w:numPr>
        <w:rPr>
          <w:rFonts w:ascii="Arial" w:cs="Arial" w:eastAsia="Arial" w:hAnsi="Arial"/>
          <w:sz w:val="16"/>
          <w:szCs w:val="16"/>
          <w:color w:val="665B4F"/>
        </w:rPr>
      </w:pPr>
      <w:r>
        <w:rPr>
          <w:rFonts w:ascii="Arial" w:cs="Arial" w:eastAsia="Arial" w:hAnsi="Arial"/>
          <w:sz w:val="16"/>
          <w:szCs w:val="16"/>
          <w:color w:val="auto"/>
        </w:rPr>
        <w:t>Salomon Brothers investment banker, raising financing in the worldwide capital markets for large corporate clients as well as advising them on strategic initiatives, including mergers, acquisitions and restructurings</w:t>
      </w:r>
    </w:p>
    <w:p>
      <w:pPr>
        <w:spacing w:after="0" w:line="99" w:lineRule="exact"/>
        <w:rPr>
          <w:rFonts w:ascii="Arial" w:cs="Arial" w:eastAsia="Arial" w:hAnsi="Arial"/>
          <w:sz w:val="16"/>
          <w:szCs w:val="16"/>
          <w:color w:val="665B4F"/>
        </w:rPr>
      </w:pPr>
    </w:p>
    <w:p>
      <w:pPr>
        <w:ind w:left="300" w:right="220" w:hanging="190"/>
        <w:spacing w:after="0" w:line="278" w:lineRule="auto"/>
        <w:tabs>
          <w:tab w:leader="none" w:pos="295" w:val="left"/>
        </w:tabs>
        <w:numPr>
          <w:ilvl w:val="0"/>
          <w:numId w:val="7"/>
        </w:numPr>
        <w:rPr>
          <w:rFonts w:ascii="Arial" w:cs="Arial" w:eastAsia="Arial" w:hAnsi="Arial"/>
          <w:sz w:val="16"/>
          <w:szCs w:val="16"/>
          <w:color w:val="665B4F"/>
        </w:rPr>
      </w:pPr>
      <w:r>
        <w:rPr>
          <w:rFonts w:ascii="Arial" w:cs="Arial" w:eastAsia="Arial" w:hAnsi="Arial"/>
          <w:sz w:val="16"/>
          <w:szCs w:val="16"/>
          <w:color w:val="auto"/>
        </w:rPr>
        <w:t>Director of a number of private and public companies (including GAMI, Inc. and American President Companies Ltd, the largest trans-Pacific container line at the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EDUCATION</w:t>
      </w:r>
    </w:p>
    <w:p>
      <w:pPr>
        <w:spacing w:after="0" w:line="88" w:lineRule="exact"/>
        <w:rPr>
          <w:sz w:val="20"/>
          <w:szCs w:val="20"/>
          <w:color w:val="auto"/>
        </w:rPr>
      </w:pPr>
    </w:p>
    <w:p>
      <w:pPr>
        <w:ind w:left="300" w:right="60" w:hanging="190"/>
        <w:spacing w:after="0" w:line="278" w:lineRule="auto"/>
        <w:tabs>
          <w:tab w:leader="none" w:pos="295" w:val="left"/>
        </w:tabs>
        <w:numPr>
          <w:ilvl w:val="0"/>
          <w:numId w:val="8"/>
        </w:numPr>
        <w:rPr>
          <w:rFonts w:ascii="Arial" w:cs="Arial" w:eastAsia="Arial" w:hAnsi="Arial"/>
          <w:sz w:val="16"/>
          <w:szCs w:val="16"/>
          <w:color w:val="665B4F"/>
        </w:rPr>
      </w:pPr>
      <w:r>
        <w:rPr>
          <w:rFonts w:ascii="Arial" w:cs="Arial" w:eastAsia="Arial" w:hAnsi="Arial"/>
          <w:sz w:val="16"/>
          <w:szCs w:val="16"/>
          <w:color w:val="auto"/>
        </w:rPr>
        <w:t>Mr. Hagenbuch graduated with an A.B. from Princeton University and received a M.B.A. from Stanford University.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EXPERTISE</w:t>
      </w:r>
    </w:p>
    <w:p>
      <w:pPr>
        <w:spacing w:after="0" w:line="88" w:lineRule="exact"/>
        <w:rPr>
          <w:sz w:val="20"/>
          <w:szCs w:val="20"/>
          <w:color w:val="auto"/>
        </w:rPr>
      </w:pPr>
    </w:p>
    <w:p>
      <w:pPr>
        <w:ind w:left="300" w:right="300" w:hanging="190"/>
        <w:spacing w:after="0" w:line="278" w:lineRule="auto"/>
        <w:tabs>
          <w:tab w:leader="none" w:pos="295" w:val="left"/>
        </w:tabs>
        <w:numPr>
          <w:ilvl w:val="0"/>
          <w:numId w:val="9"/>
        </w:numPr>
        <w:rPr>
          <w:rFonts w:ascii="Arial" w:cs="Arial" w:eastAsia="Arial" w:hAnsi="Arial"/>
          <w:sz w:val="16"/>
          <w:szCs w:val="16"/>
          <w:color w:val="665B4F"/>
        </w:rPr>
      </w:pPr>
      <w:r>
        <w:rPr>
          <w:rFonts w:ascii="Arial" w:cs="Arial" w:eastAsia="Arial" w:hAnsi="Arial"/>
          <w:sz w:val="16"/>
          <w:szCs w:val="16"/>
          <w:color w:val="auto"/>
        </w:rPr>
        <w:t>Mr. Hagenbuch brings to our Board deep corporate strategy and financial expertise gained over 30 years as a private equity investor and as a director of both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757555</wp:posOffset>
            </wp:positionV>
            <wp:extent cx="6997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26" w:lineRule="exact"/>
        <w:rPr>
          <w:sz w:val="20"/>
          <w:szCs w:val="20"/>
          <w:color w:val="auto"/>
        </w:rPr>
      </w:pPr>
    </w:p>
    <w:p>
      <w:pPr>
        <w:sectPr>
          <w:pgSz w:w="11900" w:h="16838" w:orient="portrait"/>
          <w:cols w:equalWidth="0" w:num="2">
            <w:col w:w="2960" w:space="620"/>
            <w:col w:w="76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PATRICIA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-1624965</wp:posOffset>
            </wp:positionV>
            <wp:extent cx="1809750" cy="130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39" w:lineRule="exact"/>
        <w:rPr>
          <w:sz w:val="20"/>
          <w:szCs w:val="20"/>
          <w:color w:val="auto"/>
        </w:rPr>
      </w:pPr>
    </w:p>
    <w:p>
      <w:pPr>
        <w:ind w:left="200"/>
        <w:spacing w:after="0" w:line="244" w:lineRule="auto"/>
        <w:rPr>
          <w:sz w:val="20"/>
          <w:szCs w:val="20"/>
          <w:color w:val="auto"/>
        </w:rPr>
      </w:pPr>
      <w:r>
        <w:rPr>
          <w:rFonts w:ascii="Arial" w:cs="Arial" w:eastAsia="Arial" w:hAnsi="Arial"/>
          <w:sz w:val="14"/>
          <w:szCs w:val="14"/>
          <w:color w:val="auto"/>
        </w:rPr>
        <w:t>Non-Resident Senior Fellow for Climate Adaptation &amp; Environmental Policy, Brookings Institution; Practitioner in Residence, Saltman Center for Conflict Resolution, William S. Boyd School of Law, University of Nevada Las Vegas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DIRECTOR SINCE OCTOBER 2015</w:t>
      </w:r>
    </w:p>
    <w:p>
      <w:pPr>
        <w:spacing w:after="0" w:line="140" w:lineRule="exact"/>
        <w:rPr>
          <w:sz w:val="20"/>
          <w:szCs w:val="20"/>
          <w:color w:val="auto"/>
        </w:rPr>
      </w:pPr>
    </w:p>
    <w:p>
      <w:pPr>
        <w:ind w:left="200" w:right="360"/>
        <w:spacing w:after="0" w:line="298" w:lineRule="auto"/>
        <w:rPr>
          <w:sz w:val="20"/>
          <w:szCs w:val="20"/>
          <w:color w:val="auto"/>
        </w:rPr>
      </w:pPr>
      <w:r>
        <w:rPr>
          <w:rFonts w:ascii="Arial" w:cs="Arial" w:eastAsia="Arial" w:hAnsi="Arial"/>
          <w:sz w:val="16"/>
          <w:szCs w:val="16"/>
          <w:b w:val="1"/>
          <w:bCs w:val="1"/>
          <w:color w:val="665B4F"/>
        </w:rPr>
        <w:t>TERM EXPIRES: 2018 ANNUAL MEETING</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65</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BOARD COMMITTEES:</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Corporate Governance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Compliance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 xml:space="preserve">Ms. Mulroy </w:t>
      </w:r>
      <w:r>
        <w:rPr>
          <w:rFonts w:ascii="Arial" w:cs="Arial" w:eastAsia="Arial" w:hAnsi="Arial"/>
          <w:sz w:val="16"/>
          <w:szCs w:val="16"/>
          <w:color w:val="auto"/>
        </w:rPr>
        <w:t>is currently a Non-Resident Senior Fellow for Climate Adaptation and Environmental Policy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Brookings Institution and a Practitioner in Residence at the Saltman Center for Conflict Resolution at the William S. Boyd School of Law at University of Nevada Las Vegas. Ms. Mulroy operates a consulting firm representing both corporate and government clients in water matters. Ms. Mulroy recently completed her term as a member of the Global Agenda Council on Water of the World Economic Forum.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PREVIOUS EXPERIENCE</w:t>
      </w:r>
    </w:p>
    <w:p>
      <w:pPr>
        <w:spacing w:after="0" w:line="88" w:lineRule="exact"/>
        <w:rPr>
          <w:sz w:val="20"/>
          <w:szCs w:val="20"/>
          <w:color w:val="auto"/>
        </w:rPr>
      </w:pPr>
    </w:p>
    <w:p>
      <w:pPr>
        <w:ind w:left="300" w:hanging="190"/>
        <w:spacing w:after="0"/>
        <w:tabs>
          <w:tab w:leader="none" w:pos="300" w:val="left"/>
        </w:tabs>
        <w:numPr>
          <w:ilvl w:val="0"/>
          <w:numId w:val="10"/>
        </w:numPr>
        <w:rPr>
          <w:rFonts w:ascii="Arial" w:cs="Arial" w:eastAsia="Arial" w:hAnsi="Arial"/>
          <w:sz w:val="16"/>
          <w:szCs w:val="16"/>
          <w:color w:val="665B4F"/>
        </w:rPr>
      </w:pPr>
      <w:r>
        <w:rPr>
          <w:rFonts w:ascii="Arial" w:cs="Arial" w:eastAsia="Arial" w:hAnsi="Arial"/>
          <w:sz w:val="16"/>
          <w:szCs w:val="16"/>
          <w:color w:val="auto"/>
        </w:rPr>
        <w:t>July 2014 through October 2015: served on the Nevada Gaming Commission</w:t>
      </w:r>
    </w:p>
    <w:p>
      <w:pPr>
        <w:spacing w:after="0" w:line="140" w:lineRule="exact"/>
        <w:rPr>
          <w:rFonts w:ascii="Arial" w:cs="Arial" w:eastAsia="Arial" w:hAnsi="Arial"/>
          <w:sz w:val="16"/>
          <w:szCs w:val="16"/>
          <w:color w:val="665B4F"/>
        </w:rPr>
      </w:pPr>
    </w:p>
    <w:p>
      <w:pPr>
        <w:ind w:left="300" w:right="40" w:hanging="190"/>
        <w:spacing w:after="0" w:line="278" w:lineRule="auto"/>
        <w:tabs>
          <w:tab w:leader="none" w:pos="295" w:val="left"/>
        </w:tabs>
        <w:numPr>
          <w:ilvl w:val="0"/>
          <w:numId w:val="10"/>
        </w:numPr>
        <w:rPr>
          <w:rFonts w:ascii="Arial" w:cs="Arial" w:eastAsia="Arial" w:hAnsi="Arial"/>
          <w:sz w:val="16"/>
          <w:szCs w:val="16"/>
          <w:color w:val="665B4F"/>
        </w:rPr>
      </w:pPr>
      <w:r>
        <w:rPr>
          <w:rFonts w:ascii="Arial" w:cs="Arial" w:eastAsia="Arial" w:hAnsi="Arial"/>
          <w:sz w:val="16"/>
          <w:szCs w:val="16"/>
          <w:color w:val="auto"/>
        </w:rPr>
        <w:t>1995 to 2014: Nevada’s representative on Colorado River Basin issues, serving as the lead negotiator from 2007 to 2014</w:t>
      </w:r>
    </w:p>
    <w:p>
      <w:pPr>
        <w:spacing w:after="0" w:line="86" w:lineRule="exact"/>
        <w:rPr>
          <w:rFonts w:ascii="Arial" w:cs="Arial" w:eastAsia="Arial" w:hAnsi="Arial"/>
          <w:sz w:val="16"/>
          <w:szCs w:val="16"/>
          <w:color w:val="665B4F"/>
        </w:rPr>
      </w:pPr>
    </w:p>
    <w:p>
      <w:pPr>
        <w:ind w:left="300" w:hanging="190"/>
        <w:spacing w:after="0"/>
        <w:tabs>
          <w:tab w:leader="none" w:pos="300" w:val="left"/>
        </w:tabs>
        <w:numPr>
          <w:ilvl w:val="0"/>
          <w:numId w:val="10"/>
        </w:numPr>
        <w:rPr>
          <w:rFonts w:ascii="Arial" w:cs="Arial" w:eastAsia="Arial" w:hAnsi="Arial"/>
          <w:sz w:val="16"/>
          <w:szCs w:val="16"/>
          <w:color w:val="665B4F"/>
        </w:rPr>
      </w:pPr>
      <w:r>
        <w:rPr>
          <w:rFonts w:ascii="Arial" w:cs="Arial" w:eastAsia="Arial" w:hAnsi="Arial"/>
          <w:sz w:val="16"/>
          <w:szCs w:val="16"/>
          <w:color w:val="auto"/>
        </w:rPr>
        <w:t>1993 to 2014: General Manager of the Southern Nevada Water Authority</w:t>
      </w:r>
    </w:p>
    <w:p>
      <w:pPr>
        <w:spacing w:after="0" w:line="140" w:lineRule="exact"/>
        <w:rPr>
          <w:rFonts w:ascii="Arial" w:cs="Arial" w:eastAsia="Arial" w:hAnsi="Arial"/>
          <w:sz w:val="16"/>
          <w:szCs w:val="16"/>
          <w:color w:val="665B4F"/>
        </w:rPr>
      </w:pPr>
    </w:p>
    <w:p>
      <w:pPr>
        <w:ind w:left="300" w:hanging="190"/>
        <w:spacing w:after="0"/>
        <w:tabs>
          <w:tab w:leader="none" w:pos="300" w:val="left"/>
        </w:tabs>
        <w:numPr>
          <w:ilvl w:val="0"/>
          <w:numId w:val="10"/>
        </w:numPr>
        <w:rPr>
          <w:rFonts w:ascii="Arial" w:cs="Arial" w:eastAsia="Arial" w:hAnsi="Arial"/>
          <w:sz w:val="16"/>
          <w:szCs w:val="16"/>
          <w:color w:val="665B4F"/>
        </w:rPr>
      </w:pPr>
      <w:r>
        <w:rPr>
          <w:rFonts w:ascii="Arial" w:cs="Arial" w:eastAsia="Arial" w:hAnsi="Arial"/>
          <w:sz w:val="16"/>
          <w:szCs w:val="16"/>
          <w:color w:val="auto"/>
        </w:rPr>
        <w:t>1989 to 2014: General Manager of the Las Vegas Valley Water District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EDUCATION</w:t>
      </w:r>
    </w:p>
    <w:p>
      <w:pPr>
        <w:spacing w:after="0" w:line="142" w:lineRule="exact"/>
        <w:rPr>
          <w:sz w:val="20"/>
          <w:szCs w:val="20"/>
          <w:color w:val="auto"/>
        </w:rPr>
      </w:pPr>
    </w:p>
    <w:p>
      <w:pPr>
        <w:ind w:left="300" w:hanging="190"/>
        <w:spacing w:after="0"/>
        <w:tabs>
          <w:tab w:leader="none" w:pos="300" w:val="left"/>
        </w:tabs>
        <w:numPr>
          <w:ilvl w:val="0"/>
          <w:numId w:val="11"/>
        </w:numPr>
        <w:rPr>
          <w:rFonts w:ascii="Arial" w:cs="Arial" w:eastAsia="Arial" w:hAnsi="Arial"/>
          <w:sz w:val="16"/>
          <w:szCs w:val="16"/>
          <w:color w:val="665B4F"/>
        </w:rPr>
      </w:pPr>
      <w:r>
        <w:rPr>
          <w:rFonts w:ascii="Arial" w:cs="Arial" w:eastAsia="Arial" w:hAnsi="Arial"/>
          <w:sz w:val="16"/>
          <w:szCs w:val="16"/>
          <w:color w:val="auto"/>
        </w:rPr>
        <w:t>Ms. Mulroy graduated with a B.A. and M.A. from the University of Nevada, Las Vegas.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EXPERTISE</w:t>
      </w:r>
    </w:p>
    <w:p>
      <w:pPr>
        <w:spacing w:after="0" w:line="88" w:lineRule="exact"/>
        <w:rPr>
          <w:sz w:val="20"/>
          <w:szCs w:val="20"/>
          <w:color w:val="auto"/>
        </w:rPr>
      </w:pPr>
    </w:p>
    <w:p>
      <w:pPr>
        <w:ind w:left="300" w:right="100" w:hanging="190"/>
        <w:spacing w:after="0" w:line="257" w:lineRule="auto"/>
        <w:tabs>
          <w:tab w:leader="none" w:pos="295" w:val="left"/>
        </w:tabs>
        <w:numPr>
          <w:ilvl w:val="0"/>
          <w:numId w:val="12"/>
        </w:numPr>
        <w:rPr>
          <w:rFonts w:ascii="Arial" w:cs="Arial" w:eastAsia="Arial" w:hAnsi="Arial"/>
          <w:sz w:val="16"/>
          <w:szCs w:val="16"/>
          <w:color w:val="665B4F"/>
        </w:rPr>
      </w:pPr>
      <w:r>
        <w:rPr>
          <w:rFonts w:ascii="Arial" w:cs="Arial" w:eastAsia="Arial" w:hAnsi="Arial"/>
          <w:sz w:val="16"/>
          <w:szCs w:val="16"/>
          <w:color w:val="auto"/>
        </w:rPr>
        <w:t>Ms. Mulroy brings more than 30 years of government experience to the Board, serving in numerous leadership roles focusing on Nevada’s public infrastructure. Additionally, Ms. Mulroy’s experience on the Nevada Gaming Commission brings experience and insight into state regulatory and public policy issues impacting the Company’s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638810</wp:posOffset>
            </wp:positionV>
            <wp:extent cx="6997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34" w:lineRule="exact"/>
        <w:rPr>
          <w:sz w:val="20"/>
          <w:szCs w:val="20"/>
          <w:color w:val="auto"/>
        </w:rPr>
      </w:pPr>
    </w:p>
    <w:p>
      <w:pPr>
        <w:sectPr>
          <w:pgSz w:w="11900" w:h="16838" w:orient="portrait"/>
          <w:cols w:equalWidth="0" w:num="2">
            <w:col w:w="2940" w:space="640"/>
            <w:col w:w="7640"/>
          </w:cols>
          <w:pgMar w:left="240" w:top="459" w:right="439" w:bottom="1440" w:gutter="0" w:footer="0" w:header="0"/>
          <w:type w:val="continuous"/>
        </w:sectPr>
      </w:pPr>
    </w:p>
    <w:p>
      <w:pPr>
        <w:spacing w:after="0" w:line="242" w:lineRule="exact"/>
        <w:rPr>
          <w:sz w:val="20"/>
          <w:szCs w:val="20"/>
          <w:color w:val="auto"/>
        </w:rPr>
      </w:pPr>
    </w:p>
    <w:p>
      <w:pPr>
        <w:ind w:left="8940"/>
        <w:spacing w:after="0"/>
        <w:tabs>
          <w:tab w:leader="none" w:pos="10920" w:val="left"/>
          <w:tab w:leader="none" w:pos="1112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2</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665B4F"/>
        </w:rPr>
        <w:t>OUR BOARD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504825</wp:posOffset>
            </wp:positionV>
            <wp:extent cx="6997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BETSY 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-1624965</wp:posOffset>
            </wp:positionV>
            <wp:extent cx="1809750" cy="130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39" w:lineRule="exact"/>
        <w:rPr>
          <w:sz w:val="20"/>
          <w:szCs w:val="20"/>
          <w:color w:val="auto"/>
        </w:rPr>
      </w:pPr>
    </w:p>
    <w:p>
      <w:pPr>
        <w:ind w:left="200" w:right="300"/>
        <w:spacing w:after="0" w:line="258" w:lineRule="auto"/>
        <w:rPr>
          <w:sz w:val="20"/>
          <w:szCs w:val="20"/>
          <w:color w:val="auto"/>
        </w:rPr>
      </w:pPr>
      <w:r>
        <w:rPr>
          <w:rFonts w:ascii="Arial" w:cs="Arial" w:eastAsia="Arial" w:hAnsi="Arial"/>
          <w:sz w:val="14"/>
          <w:szCs w:val="14"/>
          <w:color w:val="auto"/>
        </w:rPr>
        <w:t>Chief Executive Officer and Founder, Baja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1809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DIRECTOR SINCE APRIL 2018</w:t>
      </w:r>
    </w:p>
    <w:p>
      <w:pPr>
        <w:spacing w:after="0" w:line="140" w:lineRule="exact"/>
        <w:rPr>
          <w:sz w:val="20"/>
          <w:szCs w:val="20"/>
          <w:color w:val="auto"/>
        </w:rPr>
      </w:pPr>
    </w:p>
    <w:p>
      <w:pPr>
        <w:ind w:left="200" w:right="280"/>
        <w:spacing w:after="0" w:line="298" w:lineRule="auto"/>
        <w:rPr>
          <w:sz w:val="20"/>
          <w:szCs w:val="20"/>
          <w:color w:val="auto"/>
        </w:rPr>
      </w:pPr>
      <w:r>
        <w:rPr>
          <w:rFonts w:ascii="Arial" w:cs="Arial" w:eastAsia="Arial" w:hAnsi="Arial"/>
          <w:sz w:val="16"/>
          <w:szCs w:val="16"/>
          <w:b w:val="1"/>
          <w:bCs w:val="1"/>
          <w:color w:val="665B4F"/>
        </w:rPr>
        <w:t>TERM EXPIRES: 2018 ANNUAL MEETING</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Ms. Atkins </w:t>
      </w:r>
      <w:r>
        <w:rPr>
          <w:rFonts w:ascii="Arial" w:cs="Arial" w:eastAsia="Arial" w:hAnsi="Arial"/>
          <w:sz w:val="16"/>
          <w:szCs w:val="16"/>
          <w:color w:val="auto"/>
        </w:rPr>
        <w:t>has been the Chief Executive Officer of Baja Corporation, an independent venture capital firm</w:t>
      </w:r>
      <w:r>
        <w:rPr>
          <w:rFonts w:ascii="Arial" w:cs="Arial" w:eastAsia="Arial" w:hAnsi="Arial"/>
          <w:sz w:val="16"/>
          <w:szCs w:val="16"/>
          <w:b w:val="1"/>
          <w:bCs w:val="1"/>
          <w:color w:val="auto"/>
        </w:rPr>
        <w:t xml:space="preserve"> </w:t>
      </w:r>
      <w:r>
        <w:rPr>
          <w:rFonts w:ascii="Arial" w:cs="Arial" w:eastAsia="Arial" w:hAnsi="Arial"/>
          <w:sz w:val="16"/>
          <w:szCs w:val="16"/>
          <w:color w:val="auto"/>
        </w:rPr>
        <w:t>focused on technology, renewable energy and life sciences, since 1994. Ms. Atkins currently serves on the Boards of Schneider Electric (since April 2011), SL Green Realty (since April 2015), and Cognizant Technology Solutions (since April 2017), as well as a number of private companies. Ms. Atkins is also an advisor to SAP.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PREVIOUS EXPERIENCE</w:t>
      </w:r>
    </w:p>
    <w:p>
      <w:pPr>
        <w:spacing w:after="0" w:line="88" w:lineRule="exact"/>
        <w:rPr>
          <w:sz w:val="20"/>
          <w:szCs w:val="20"/>
          <w:color w:val="auto"/>
        </w:rPr>
      </w:pPr>
    </w:p>
    <w:p>
      <w:pPr>
        <w:ind w:left="300" w:hanging="190"/>
        <w:spacing w:after="0"/>
        <w:tabs>
          <w:tab w:leader="none" w:pos="300" w:val="left"/>
        </w:tabs>
        <w:numPr>
          <w:ilvl w:val="0"/>
          <w:numId w:val="13"/>
        </w:numPr>
        <w:rPr>
          <w:rFonts w:ascii="Arial" w:cs="Arial" w:eastAsia="Arial" w:hAnsi="Arial"/>
          <w:sz w:val="16"/>
          <w:szCs w:val="16"/>
          <w:color w:val="665B4F"/>
        </w:rPr>
      </w:pPr>
      <w:r>
        <w:rPr>
          <w:rFonts w:ascii="Arial" w:cs="Arial" w:eastAsia="Arial" w:hAnsi="Arial"/>
          <w:sz w:val="16"/>
          <w:szCs w:val="16"/>
          <w:color w:val="auto"/>
        </w:rPr>
        <w:t>2013 to 2016: Chair, APX Labs (a Google Glass enterprise software company)</w:t>
      </w:r>
    </w:p>
    <w:p>
      <w:pPr>
        <w:spacing w:after="0" w:line="140" w:lineRule="exact"/>
        <w:rPr>
          <w:rFonts w:ascii="Arial" w:cs="Arial" w:eastAsia="Arial" w:hAnsi="Arial"/>
          <w:sz w:val="16"/>
          <w:szCs w:val="16"/>
          <w:color w:val="665B4F"/>
        </w:rPr>
      </w:pPr>
    </w:p>
    <w:p>
      <w:pPr>
        <w:ind w:left="300" w:right="120" w:hanging="190"/>
        <w:spacing w:after="0" w:line="278" w:lineRule="auto"/>
        <w:tabs>
          <w:tab w:leader="none" w:pos="295" w:val="left"/>
        </w:tabs>
        <w:numPr>
          <w:ilvl w:val="0"/>
          <w:numId w:val="13"/>
        </w:numPr>
        <w:rPr>
          <w:rFonts w:ascii="Arial" w:cs="Arial" w:eastAsia="Arial" w:hAnsi="Arial"/>
          <w:sz w:val="16"/>
          <w:szCs w:val="16"/>
          <w:color w:val="665B4F"/>
        </w:rPr>
      </w:pPr>
      <w:r>
        <w:rPr>
          <w:rFonts w:ascii="Arial" w:cs="Arial" w:eastAsia="Arial" w:hAnsi="Arial"/>
          <w:sz w:val="16"/>
          <w:szCs w:val="16"/>
          <w:color w:val="auto"/>
        </w:rPr>
        <w:t>February 2009 to August 2009: Chair and Chief Executive Officer, Clear Standards (until acquired by SAP)</w:t>
      </w:r>
    </w:p>
    <w:p>
      <w:pPr>
        <w:spacing w:after="0" w:line="86" w:lineRule="exact"/>
        <w:rPr>
          <w:rFonts w:ascii="Arial" w:cs="Arial" w:eastAsia="Arial" w:hAnsi="Arial"/>
          <w:sz w:val="16"/>
          <w:szCs w:val="16"/>
          <w:color w:val="665B4F"/>
        </w:rPr>
      </w:pPr>
    </w:p>
    <w:p>
      <w:pPr>
        <w:ind w:left="300" w:hanging="190"/>
        <w:spacing w:after="0"/>
        <w:tabs>
          <w:tab w:leader="none" w:pos="300" w:val="left"/>
        </w:tabs>
        <w:numPr>
          <w:ilvl w:val="0"/>
          <w:numId w:val="13"/>
        </w:numPr>
        <w:rPr>
          <w:rFonts w:ascii="Arial" w:cs="Arial" w:eastAsia="Arial" w:hAnsi="Arial"/>
          <w:sz w:val="16"/>
          <w:szCs w:val="16"/>
          <w:color w:val="665B4F"/>
        </w:rPr>
      </w:pPr>
      <w:r>
        <w:rPr>
          <w:rFonts w:ascii="Arial" w:cs="Arial" w:eastAsia="Arial" w:hAnsi="Arial"/>
          <w:sz w:val="16"/>
          <w:szCs w:val="16"/>
          <w:color w:val="auto"/>
        </w:rPr>
        <w:t>1991 to 1993: Chair and Chief Executive Officer, NCI</w:t>
      </w:r>
    </w:p>
    <w:p>
      <w:pPr>
        <w:spacing w:after="0" w:line="140" w:lineRule="exact"/>
        <w:rPr>
          <w:rFonts w:ascii="Arial" w:cs="Arial" w:eastAsia="Arial" w:hAnsi="Arial"/>
          <w:sz w:val="16"/>
          <w:szCs w:val="16"/>
          <w:color w:val="665B4F"/>
        </w:rPr>
      </w:pPr>
    </w:p>
    <w:p>
      <w:pPr>
        <w:ind w:left="300" w:right="720" w:hanging="190"/>
        <w:spacing w:after="0" w:line="278" w:lineRule="auto"/>
        <w:tabs>
          <w:tab w:leader="none" w:pos="295" w:val="left"/>
        </w:tabs>
        <w:numPr>
          <w:ilvl w:val="0"/>
          <w:numId w:val="13"/>
        </w:numPr>
        <w:rPr>
          <w:rFonts w:ascii="Arial" w:cs="Arial" w:eastAsia="Arial" w:hAnsi="Arial"/>
          <w:sz w:val="16"/>
          <w:szCs w:val="16"/>
          <w:color w:val="665B4F"/>
        </w:rPr>
      </w:pPr>
      <w:r>
        <w:rPr>
          <w:rFonts w:ascii="Arial" w:cs="Arial" w:eastAsia="Arial" w:hAnsi="Arial"/>
          <w:sz w:val="16"/>
          <w:szCs w:val="16"/>
          <w:color w:val="auto"/>
        </w:rPr>
        <w:t>1989 to 1999: Co-founder, Director, Executive Vice President Sales, Marketing, International Operations, Ascend Communications (until acquired by Lucent Technologies)</w:t>
      </w:r>
    </w:p>
    <w:p>
      <w:pPr>
        <w:spacing w:after="0" w:line="86" w:lineRule="exact"/>
        <w:rPr>
          <w:rFonts w:ascii="Arial" w:cs="Arial" w:eastAsia="Arial" w:hAnsi="Arial"/>
          <w:sz w:val="16"/>
          <w:szCs w:val="16"/>
          <w:color w:val="665B4F"/>
        </w:rPr>
      </w:pPr>
    </w:p>
    <w:p>
      <w:pPr>
        <w:ind w:left="300" w:right="320" w:hanging="190"/>
        <w:spacing w:after="0" w:line="278" w:lineRule="auto"/>
        <w:tabs>
          <w:tab w:leader="none" w:pos="295" w:val="left"/>
        </w:tabs>
        <w:numPr>
          <w:ilvl w:val="0"/>
          <w:numId w:val="13"/>
        </w:numPr>
        <w:rPr>
          <w:rFonts w:ascii="Arial" w:cs="Arial" w:eastAsia="Arial" w:hAnsi="Arial"/>
          <w:sz w:val="16"/>
          <w:szCs w:val="16"/>
          <w:color w:val="665B4F"/>
        </w:rPr>
      </w:pPr>
      <w:r>
        <w:rPr>
          <w:rFonts w:ascii="Arial" w:cs="Arial" w:eastAsia="Arial" w:hAnsi="Arial"/>
          <w:sz w:val="16"/>
          <w:szCs w:val="16"/>
          <w:color w:val="auto"/>
        </w:rPr>
        <w:t>Previously served on the boards of HD Supply Holdings, Polycom, SunPower, Chico’s FAS, Ciber, Darden Restaurants</w:t>
      </w:r>
    </w:p>
    <w:p>
      <w:pPr>
        <w:spacing w:after="0" w:line="86" w:lineRule="exact"/>
        <w:rPr>
          <w:rFonts w:ascii="Arial" w:cs="Arial" w:eastAsia="Arial" w:hAnsi="Arial"/>
          <w:sz w:val="16"/>
          <w:szCs w:val="16"/>
          <w:color w:val="665B4F"/>
        </w:rPr>
      </w:pPr>
    </w:p>
    <w:p>
      <w:pPr>
        <w:ind w:left="300" w:right="280" w:hanging="190"/>
        <w:spacing w:after="0" w:line="278" w:lineRule="auto"/>
        <w:tabs>
          <w:tab w:leader="none" w:pos="295" w:val="left"/>
        </w:tabs>
        <w:numPr>
          <w:ilvl w:val="0"/>
          <w:numId w:val="13"/>
        </w:numPr>
        <w:rPr>
          <w:rFonts w:ascii="Arial" w:cs="Arial" w:eastAsia="Arial" w:hAnsi="Arial"/>
          <w:sz w:val="16"/>
          <w:szCs w:val="16"/>
          <w:color w:val="665B4F"/>
        </w:rPr>
      </w:pPr>
      <w:r>
        <w:rPr>
          <w:rFonts w:ascii="Arial" w:cs="Arial" w:eastAsia="Arial" w:hAnsi="Arial"/>
          <w:sz w:val="16"/>
          <w:szCs w:val="16"/>
          <w:color w:val="auto"/>
        </w:rPr>
        <w:t>Formerly an advisor to British Telecom and presidential-appointee to the Pension Benefit Guaranty Corporation advisory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EDUCATION</w:t>
      </w:r>
    </w:p>
    <w:p>
      <w:pPr>
        <w:spacing w:after="0" w:line="88" w:lineRule="exact"/>
        <w:rPr>
          <w:sz w:val="20"/>
          <w:szCs w:val="20"/>
          <w:color w:val="auto"/>
        </w:rPr>
      </w:pPr>
    </w:p>
    <w:p>
      <w:pPr>
        <w:ind w:left="300" w:hanging="190"/>
        <w:spacing w:after="0"/>
        <w:tabs>
          <w:tab w:leader="none" w:pos="300" w:val="left"/>
        </w:tabs>
        <w:numPr>
          <w:ilvl w:val="0"/>
          <w:numId w:val="14"/>
        </w:numPr>
        <w:rPr>
          <w:rFonts w:ascii="Arial" w:cs="Arial" w:eastAsia="Arial" w:hAnsi="Arial"/>
          <w:sz w:val="16"/>
          <w:szCs w:val="16"/>
          <w:color w:val="665B4F"/>
        </w:rPr>
      </w:pPr>
      <w:r>
        <w:rPr>
          <w:rFonts w:ascii="Arial" w:cs="Arial" w:eastAsia="Arial" w:hAnsi="Arial"/>
          <w:sz w:val="16"/>
          <w:szCs w:val="16"/>
          <w:color w:val="auto"/>
        </w:rPr>
        <w:t>Ms. Atkins graduated with a B.A. from the University of Massachusetts.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EXPERTISE</w:t>
      </w:r>
    </w:p>
    <w:p>
      <w:pPr>
        <w:spacing w:after="0" w:line="88" w:lineRule="exact"/>
        <w:rPr>
          <w:sz w:val="20"/>
          <w:szCs w:val="20"/>
          <w:color w:val="auto"/>
        </w:rPr>
      </w:pPr>
    </w:p>
    <w:p>
      <w:pPr>
        <w:ind w:left="300" w:hanging="190"/>
        <w:spacing w:after="0"/>
        <w:tabs>
          <w:tab w:leader="none" w:pos="300" w:val="left"/>
        </w:tabs>
        <w:numPr>
          <w:ilvl w:val="0"/>
          <w:numId w:val="15"/>
        </w:numPr>
        <w:rPr>
          <w:rFonts w:ascii="Arial" w:cs="Arial" w:eastAsia="Arial" w:hAnsi="Arial"/>
          <w:sz w:val="16"/>
          <w:szCs w:val="16"/>
          <w:color w:val="665B4F"/>
        </w:rPr>
      </w:pPr>
      <w:r>
        <w:rPr>
          <w:rFonts w:ascii="Arial" w:cs="Arial" w:eastAsia="Arial" w:hAnsi="Arial"/>
          <w:sz w:val="16"/>
          <w:szCs w:val="16"/>
          <w:color w:val="auto"/>
        </w:rPr>
        <w:t>Ms. Atkins brings to our Board executive leadership and operational experience in various</w:t>
      </w:r>
    </w:p>
    <w:p>
      <w:pPr>
        <w:spacing w:after="0" w:line="19" w:lineRule="exact"/>
        <w:rPr>
          <w:sz w:val="20"/>
          <w:szCs w:val="20"/>
          <w:color w:val="auto"/>
        </w:rPr>
      </w:pPr>
    </w:p>
    <w:p>
      <w:pPr>
        <w:sectPr>
          <w:pgSz w:w="11900" w:h="16838" w:orient="portrait"/>
          <w:cols w:equalWidth="0" w:num="2">
            <w:col w:w="2860" w:space="720"/>
            <w:col w:w="7620"/>
          </w:cols>
          <w:pgMar w:left="240" w:top="459" w:right="459" w:bottom="1440" w:gutter="0" w:footer="0" w:header="0"/>
          <w:type w:val="continuous"/>
        </w:sectPr>
      </w:pPr>
    </w:p>
    <w:p>
      <w:pPr>
        <w:ind w:left="3880" w:right="560"/>
        <w:spacing w:after="0" w:line="260" w:lineRule="auto"/>
        <w:rPr>
          <w:sz w:val="20"/>
          <w:szCs w:val="20"/>
          <w:color w:val="auto"/>
        </w:rPr>
      </w:pPr>
      <w:r>
        <w:rPr>
          <w:rFonts w:ascii="Arial" w:cs="Arial" w:eastAsia="Arial" w:hAnsi="Arial"/>
          <w:sz w:val="16"/>
          <w:szCs w:val="16"/>
          <w:color w:val="auto"/>
        </w:rPr>
        <w:t>infrastructure and retail industries, as well as significant public board experience and executive compensation, sustainability and enterprise risk management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97155</wp:posOffset>
            </wp:positionV>
            <wp:extent cx="6997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208915</wp:posOffset>
            </wp:positionV>
            <wp:extent cx="608965"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95" w:lineRule="exact"/>
        <w:rPr>
          <w:sz w:val="20"/>
          <w:szCs w:val="20"/>
          <w:color w:val="auto"/>
        </w:rPr>
      </w:pPr>
    </w:p>
    <w:p>
      <w:pPr>
        <w:ind w:left="200"/>
        <w:spacing w:after="0"/>
        <w:tabs>
          <w:tab w:leader="none" w:pos="420" w:val="left"/>
        </w:tabs>
        <w:rPr>
          <w:sz w:val="20"/>
          <w:szCs w:val="20"/>
          <w:color w:val="auto"/>
        </w:rPr>
      </w:pPr>
      <w:r>
        <w:rPr>
          <w:rFonts w:ascii="Arial" w:cs="Arial" w:eastAsia="Arial" w:hAnsi="Arial"/>
          <w:sz w:val="14"/>
          <w:szCs w:val="14"/>
          <w:color w:val="auto"/>
        </w:rPr>
        <w:t>3</w:t>
        <w:tab/>
        <w:t>|</w:t>
      </w:r>
    </w:p>
    <w:p>
      <w:pPr>
        <w:sectPr>
          <w:pgSz w:w="11900" w:h="16838" w:orient="portrait"/>
          <w:cols w:equalWidth="0" w:num="1">
            <w:col w:w="11200"/>
          </w:cols>
          <w:pgMar w:left="240" w:top="459"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5B4F"/>
        </w:rPr>
        <w:t>OUR BOARD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497840</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J. EDWARD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-1624965</wp:posOffset>
            </wp:positionV>
            <wp:extent cx="1809750" cy="130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39" w:lineRule="exact"/>
        <w:rPr>
          <w:sz w:val="20"/>
          <w:szCs w:val="20"/>
          <w:color w:val="auto"/>
        </w:rPr>
      </w:pPr>
    </w:p>
    <w:p>
      <w:pPr>
        <w:ind w:left="200" w:right="400"/>
        <w:spacing w:after="0" w:line="258" w:lineRule="auto"/>
        <w:rPr>
          <w:sz w:val="20"/>
          <w:szCs w:val="20"/>
          <w:color w:val="auto"/>
        </w:rPr>
      </w:pPr>
      <w:r>
        <w:rPr>
          <w:rFonts w:ascii="Arial" w:cs="Arial" w:eastAsia="Arial" w:hAnsi="Arial"/>
          <w:sz w:val="14"/>
          <w:szCs w:val="14"/>
          <w:color w:val="auto"/>
        </w:rPr>
        <w:t>Chief Executive Officer and Founder, MidOcean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18097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DIRECTOR SINCE NOVEMBER 2012</w:t>
      </w:r>
    </w:p>
    <w:p>
      <w:pPr>
        <w:spacing w:after="0" w:line="140" w:lineRule="exact"/>
        <w:rPr>
          <w:sz w:val="20"/>
          <w:szCs w:val="20"/>
          <w:color w:val="auto"/>
        </w:rPr>
      </w:pPr>
    </w:p>
    <w:p>
      <w:pPr>
        <w:ind w:left="200" w:right="380"/>
        <w:spacing w:after="0" w:line="298" w:lineRule="auto"/>
        <w:rPr>
          <w:sz w:val="20"/>
          <w:szCs w:val="20"/>
          <w:color w:val="auto"/>
        </w:rPr>
      </w:pPr>
      <w:r>
        <w:rPr>
          <w:rFonts w:ascii="Arial" w:cs="Arial" w:eastAsia="Arial" w:hAnsi="Arial"/>
          <w:sz w:val="16"/>
          <w:szCs w:val="16"/>
          <w:b w:val="1"/>
          <w:bCs w:val="1"/>
          <w:color w:val="665B4F"/>
        </w:rPr>
        <w:t>TERM EXPIRES: 2018 ANNUAL MEETING</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57</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BOARD COMMITTEES:</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Compensation, Chair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 xml:space="preserve">Mr. Virtue </w:t>
      </w:r>
      <w:r>
        <w:rPr>
          <w:rFonts w:ascii="Arial" w:cs="Arial" w:eastAsia="Arial" w:hAnsi="Arial"/>
          <w:sz w:val="16"/>
          <w:szCs w:val="16"/>
          <w:color w:val="auto"/>
        </w:rPr>
        <w:t>has been the Chief Executive Officer and Founder of MidOcean Partners, an alternative asset</w:t>
      </w:r>
      <w:r>
        <w:rPr>
          <w:rFonts w:ascii="Arial" w:cs="Arial" w:eastAsia="Arial" w:hAnsi="Arial"/>
          <w:sz w:val="16"/>
          <w:szCs w:val="16"/>
          <w:b w:val="1"/>
          <w:bCs w:val="1"/>
          <w:color w:val="auto"/>
        </w:rPr>
        <w:t xml:space="preserve"> </w:t>
      </w:r>
      <w:r>
        <w:rPr>
          <w:rFonts w:ascii="Arial" w:cs="Arial" w:eastAsia="Arial" w:hAnsi="Arial"/>
          <w:sz w:val="16"/>
          <w:szCs w:val="16"/>
          <w:color w:val="auto"/>
        </w:rPr>
        <w:t>manager based in New York, since its founding in 2003.</w:t>
      </w:r>
    </w:p>
    <w:p>
      <w:pPr>
        <w:spacing w:after="0" w:line="81"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Mr. Virtue has advised the Board that he will not stand for re-election at the expiration of his term at the Company’s 2018 Annual Meeting, but will serve the remainder of his term.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PREVIOUS EXPERIENCE</w:t>
      </w:r>
    </w:p>
    <w:p>
      <w:pPr>
        <w:spacing w:after="0" w:line="88" w:lineRule="exact"/>
        <w:rPr>
          <w:sz w:val="20"/>
          <w:szCs w:val="20"/>
          <w:color w:val="auto"/>
        </w:rPr>
      </w:pPr>
    </w:p>
    <w:p>
      <w:pPr>
        <w:ind w:left="300" w:hanging="190"/>
        <w:spacing w:after="0"/>
        <w:tabs>
          <w:tab w:leader="none" w:pos="300" w:val="left"/>
        </w:tabs>
        <w:numPr>
          <w:ilvl w:val="0"/>
          <w:numId w:val="16"/>
        </w:numPr>
        <w:rPr>
          <w:rFonts w:ascii="Arial" w:cs="Arial" w:eastAsia="Arial" w:hAnsi="Arial"/>
          <w:sz w:val="16"/>
          <w:szCs w:val="16"/>
          <w:color w:val="665B4F"/>
        </w:rPr>
      </w:pPr>
      <w:r>
        <w:rPr>
          <w:rFonts w:ascii="Arial" w:cs="Arial" w:eastAsia="Arial" w:hAnsi="Arial"/>
          <w:sz w:val="16"/>
          <w:szCs w:val="16"/>
          <w:color w:val="auto"/>
        </w:rPr>
        <w:t>Senior positions at financial service firms Deutsche Bank, Bankers Trust and Drexel Burnham Lambert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EDUCATION</w:t>
      </w:r>
    </w:p>
    <w:p>
      <w:pPr>
        <w:spacing w:after="0" w:line="88" w:lineRule="exact"/>
        <w:rPr>
          <w:sz w:val="20"/>
          <w:szCs w:val="20"/>
          <w:color w:val="auto"/>
        </w:rPr>
      </w:pPr>
    </w:p>
    <w:p>
      <w:pPr>
        <w:ind w:left="300" w:hanging="190"/>
        <w:spacing w:after="0"/>
        <w:tabs>
          <w:tab w:leader="none" w:pos="300" w:val="left"/>
        </w:tabs>
        <w:numPr>
          <w:ilvl w:val="0"/>
          <w:numId w:val="17"/>
        </w:numPr>
        <w:rPr>
          <w:rFonts w:ascii="Arial" w:cs="Arial" w:eastAsia="Arial" w:hAnsi="Arial"/>
          <w:sz w:val="16"/>
          <w:szCs w:val="16"/>
          <w:color w:val="665B4F"/>
        </w:rPr>
      </w:pPr>
      <w:r>
        <w:rPr>
          <w:rFonts w:ascii="Arial" w:cs="Arial" w:eastAsia="Arial" w:hAnsi="Arial"/>
          <w:sz w:val="16"/>
          <w:szCs w:val="16"/>
          <w:color w:val="auto"/>
        </w:rPr>
        <w:t>Mr. Virtue graduated with a B.A. from Middlebury College.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EXPERTISE</w:t>
      </w:r>
    </w:p>
    <w:p>
      <w:pPr>
        <w:spacing w:after="0" w:line="88" w:lineRule="exact"/>
        <w:rPr>
          <w:sz w:val="20"/>
          <w:szCs w:val="20"/>
          <w:color w:val="auto"/>
        </w:rPr>
      </w:pPr>
    </w:p>
    <w:p>
      <w:pPr>
        <w:ind w:left="300" w:right="100" w:hanging="190"/>
        <w:spacing w:after="0" w:line="257" w:lineRule="auto"/>
        <w:tabs>
          <w:tab w:leader="none" w:pos="295" w:val="left"/>
        </w:tabs>
        <w:numPr>
          <w:ilvl w:val="0"/>
          <w:numId w:val="18"/>
        </w:numPr>
        <w:rPr>
          <w:rFonts w:ascii="Arial" w:cs="Arial" w:eastAsia="Arial" w:hAnsi="Arial"/>
          <w:sz w:val="16"/>
          <w:szCs w:val="16"/>
          <w:color w:val="665B4F"/>
        </w:rPr>
      </w:pPr>
      <w:r>
        <w:rPr>
          <w:rFonts w:ascii="Arial" w:cs="Arial" w:eastAsia="Arial" w:hAnsi="Arial"/>
          <w:sz w:val="16"/>
          <w:szCs w:val="16"/>
          <w:color w:val="auto"/>
        </w:rPr>
        <w:t>Mr. Virtue has extensive financial experience as a fund manager and business investor, including experience in the gaming, hospitality and consumer products industries. The continuing challenges of the global economic environment require sophisticated and diverse experience in capital markets, which Mr. Virtue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1102360</wp:posOffset>
            </wp:positionV>
            <wp:extent cx="6997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69" w:lineRule="exact"/>
        <w:rPr>
          <w:sz w:val="20"/>
          <w:szCs w:val="20"/>
          <w:color w:val="auto"/>
        </w:rPr>
      </w:pPr>
    </w:p>
    <w:p>
      <w:pPr>
        <w:sectPr>
          <w:pgSz w:w="11900" w:h="16838" w:orient="portrait"/>
          <w:cols w:equalWidth="0" w:num="2">
            <w:col w:w="2960" w:space="620"/>
            <w:col w:w="76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MARGARET (DEE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-1624965</wp:posOffset>
            </wp:positionV>
            <wp:extent cx="1809750" cy="1303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MYERS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Executive Vice President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Worldwide Corporate Communications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and Public Affairs, Warner Bros.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18097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DIRECTOR SINCE APRIL 2018</w:t>
      </w:r>
    </w:p>
    <w:p>
      <w:pPr>
        <w:spacing w:after="0" w:line="140" w:lineRule="exact"/>
        <w:rPr>
          <w:sz w:val="20"/>
          <w:szCs w:val="20"/>
          <w:color w:val="auto"/>
        </w:rPr>
      </w:pPr>
    </w:p>
    <w:p>
      <w:pPr>
        <w:ind w:left="200" w:right="460"/>
        <w:spacing w:after="0" w:line="298" w:lineRule="auto"/>
        <w:rPr>
          <w:sz w:val="20"/>
          <w:szCs w:val="20"/>
          <w:color w:val="auto"/>
        </w:rPr>
      </w:pPr>
      <w:r>
        <w:rPr>
          <w:rFonts w:ascii="Arial" w:cs="Arial" w:eastAsia="Arial" w:hAnsi="Arial"/>
          <w:sz w:val="16"/>
          <w:szCs w:val="16"/>
          <w:b w:val="1"/>
          <w:bCs w:val="1"/>
          <w:color w:val="665B4F"/>
        </w:rPr>
        <w:t>TERM EXPIRES: 2019 ANNUAL MEETING</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56</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b w:val="1"/>
          <w:bCs w:val="1"/>
          <w:color w:val="auto"/>
        </w:rPr>
        <w:t xml:space="preserve">Ms. Myers </w:t>
      </w:r>
      <w:r>
        <w:rPr>
          <w:rFonts w:ascii="Arial" w:cs="Arial" w:eastAsia="Arial" w:hAnsi="Arial"/>
          <w:sz w:val="16"/>
          <w:szCs w:val="16"/>
          <w:color w:val="auto"/>
        </w:rPr>
        <w:t>has been Executive Vice President, Worldwide Corporate Communications and Public Affairs</w:t>
      </w:r>
      <w:r>
        <w:rPr>
          <w:rFonts w:ascii="Arial" w:cs="Arial" w:eastAsia="Arial" w:hAnsi="Arial"/>
          <w:sz w:val="16"/>
          <w:szCs w:val="16"/>
          <w:b w:val="1"/>
          <w:bCs w:val="1"/>
          <w:color w:val="auto"/>
        </w:rPr>
        <w:t xml:space="preserve"> </w:t>
      </w:r>
      <w:r>
        <w:rPr>
          <w:rFonts w:ascii="Arial" w:cs="Arial" w:eastAsia="Arial" w:hAnsi="Arial"/>
          <w:sz w:val="16"/>
          <w:szCs w:val="16"/>
          <w:color w:val="auto"/>
        </w:rPr>
        <w:t>for Warner Bros. Entertainment, a broad-based entertainment company and division of TimeWarner, Inc., since September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PREVIOUS EXPERIENCE</w:t>
      </w:r>
    </w:p>
    <w:p>
      <w:pPr>
        <w:spacing w:after="0" w:line="88" w:lineRule="exact"/>
        <w:rPr>
          <w:sz w:val="20"/>
          <w:szCs w:val="20"/>
          <w:color w:val="auto"/>
        </w:rPr>
      </w:pPr>
    </w:p>
    <w:p>
      <w:pPr>
        <w:ind w:left="300" w:right="40" w:hanging="190"/>
        <w:spacing w:after="0" w:line="278" w:lineRule="auto"/>
        <w:tabs>
          <w:tab w:leader="none" w:pos="295" w:val="left"/>
        </w:tabs>
        <w:numPr>
          <w:ilvl w:val="0"/>
          <w:numId w:val="19"/>
        </w:numPr>
        <w:rPr>
          <w:rFonts w:ascii="Arial" w:cs="Arial" w:eastAsia="Arial" w:hAnsi="Arial"/>
          <w:sz w:val="16"/>
          <w:szCs w:val="16"/>
          <w:color w:val="665B4F"/>
        </w:rPr>
      </w:pPr>
      <w:r>
        <w:rPr>
          <w:rFonts w:ascii="Arial" w:cs="Arial" w:eastAsia="Arial" w:hAnsi="Arial"/>
          <w:sz w:val="16"/>
          <w:szCs w:val="16"/>
          <w:color w:val="auto"/>
        </w:rPr>
        <w:t>September 2010 to September 2014: Managing Director, Strategic Communications and Public Affairs Practice, Glover Park Group</w:t>
      </w:r>
    </w:p>
    <w:p>
      <w:pPr>
        <w:spacing w:after="0" w:line="86" w:lineRule="exact"/>
        <w:rPr>
          <w:rFonts w:ascii="Arial" w:cs="Arial" w:eastAsia="Arial" w:hAnsi="Arial"/>
          <w:sz w:val="16"/>
          <w:szCs w:val="16"/>
          <w:color w:val="665B4F"/>
        </w:rPr>
      </w:pPr>
    </w:p>
    <w:p>
      <w:pPr>
        <w:ind w:left="300" w:hanging="190"/>
        <w:spacing w:after="0"/>
        <w:tabs>
          <w:tab w:leader="none" w:pos="300" w:val="left"/>
        </w:tabs>
        <w:numPr>
          <w:ilvl w:val="0"/>
          <w:numId w:val="19"/>
        </w:numPr>
        <w:rPr>
          <w:rFonts w:ascii="Arial" w:cs="Arial" w:eastAsia="Arial" w:hAnsi="Arial"/>
          <w:sz w:val="16"/>
          <w:szCs w:val="16"/>
          <w:color w:val="665B4F"/>
        </w:rPr>
      </w:pPr>
      <w:r>
        <w:rPr>
          <w:rFonts w:ascii="Arial" w:cs="Arial" w:eastAsia="Arial" w:hAnsi="Arial"/>
          <w:sz w:val="16"/>
          <w:szCs w:val="16"/>
          <w:color w:val="auto"/>
        </w:rPr>
        <w:t>1994 to 2010: Political analyst, commentator and writer</w:t>
      </w:r>
    </w:p>
    <w:p>
      <w:pPr>
        <w:spacing w:after="0" w:line="140" w:lineRule="exact"/>
        <w:rPr>
          <w:rFonts w:ascii="Arial" w:cs="Arial" w:eastAsia="Arial" w:hAnsi="Arial"/>
          <w:sz w:val="16"/>
          <w:szCs w:val="16"/>
          <w:color w:val="665B4F"/>
        </w:rPr>
      </w:pPr>
    </w:p>
    <w:p>
      <w:pPr>
        <w:ind w:left="300" w:hanging="190"/>
        <w:spacing w:after="0"/>
        <w:tabs>
          <w:tab w:leader="none" w:pos="300" w:val="left"/>
        </w:tabs>
        <w:numPr>
          <w:ilvl w:val="0"/>
          <w:numId w:val="19"/>
        </w:numPr>
        <w:rPr>
          <w:rFonts w:ascii="Arial" w:cs="Arial" w:eastAsia="Arial" w:hAnsi="Arial"/>
          <w:sz w:val="16"/>
          <w:szCs w:val="16"/>
          <w:color w:val="665B4F"/>
        </w:rPr>
      </w:pPr>
      <w:r>
        <w:rPr>
          <w:rFonts w:ascii="Arial" w:cs="Arial" w:eastAsia="Arial" w:hAnsi="Arial"/>
          <w:sz w:val="16"/>
          <w:szCs w:val="16"/>
          <w:color w:val="auto"/>
        </w:rPr>
        <w:t>January 1993 to December 1994: White House Press Secretary</w:t>
      </w:r>
    </w:p>
    <w:p>
      <w:pPr>
        <w:spacing w:after="0" w:line="140" w:lineRule="exact"/>
        <w:rPr>
          <w:rFonts w:ascii="Arial" w:cs="Arial" w:eastAsia="Arial" w:hAnsi="Arial"/>
          <w:sz w:val="16"/>
          <w:szCs w:val="16"/>
          <w:color w:val="665B4F"/>
        </w:rPr>
      </w:pPr>
    </w:p>
    <w:p>
      <w:pPr>
        <w:ind w:left="300" w:right="60" w:hanging="190"/>
        <w:spacing w:after="0" w:line="278" w:lineRule="auto"/>
        <w:tabs>
          <w:tab w:leader="none" w:pos="295" w:val="left"/>
        </w:tabs>
        <w:numPr>
          <w:ilvl w:val="0"/>
          <w:numId w:val="19"/>
        </w:numPr>
        <w:rPr>
          <w:rFonts w:ascii="Arial" w:cs="Arial" w:eastAsia="Arial" w:hAnsi="Arial"/>
          <w:sz w:val="16"/>
          <w:szCs w:val="16"/>
          <w:color w:val="665B4F"/>
        </w:rPr>
      </w:pPr>
      <w:r>
        <w:rPr>
          <w:rFonts w:ascii="Arial" w:cs="Arial" w:eastAsia="Arial" w:hAnsi="Arial"/>
          <w:sz w:val="16"/>
          <w:szCs w:val="16"/>
          <w:color w:val="auto"/>
        </w:rPr>
        <w:t>Ms. Myers is the author of the 2008 New York Times best-selling book, “Why Women Should Rule the World”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EDUCATION</w:t>
      </w:r>
    </w:p>
    <w:p>
      <w:pPr>
        <w:spacing w:after="0" w:line="88" w:lineRule="exact"/>
        <w:rPr>
          <w:sz w:val="20"/>
          <w:szCs w:val="20"/>
          <w:color w:val="auto"/>
        </w:rPr>
      </w:pPr>
    </w:p>
    <w:p>
      <w:pPr>
        <w:ind w:left="300" w:hanging="190"/>
        <w:spacing w:after="0"/>
        <w:tabs>
          <w:tab w:leader="none" w:pos="300" w:val="left"/>
        </w:tabs>
        <w:numPr>
          <w:ilvl w:val="0"/>
          <w:numId w:val="20"/>
        </w:numPr>
        <w:rPr>
          <w:rFonts w:ascii="Arial" w:cs="Arial" w:eastAsia="Arial" w:hAnsi="Arial"/>
          <w:sz w:val="16"/>
          <w:szCs w:val="16"/>
          <w:color w:val="665B4F"/>
        </w:rPr>
      </w:pPr>
      <w:r>
        <w:rPr>
          <w:rFonts w:ascii="Arial" w:cs="Arial" w:eastAsia="Arial" w:hAnsi="Arial"/>
          <w:sz w:val="16"/>
          <w:szCs w:val="16"/>
          <w:color w:val="auto"/>
        </w:rPr>
        <w:t>Ms. Myers graduated with a B.S. from Santa Clara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EXPERTISE</w:t>
      </w:r>
    </w:p>
    <w:p>
      <w:pPr>
        <w:spacing w:after="0" w:line="88" w:lineRule="exact"/>
        <w:rPr>
          <w:sz w:val="20"/>
          <w:szCs w:val="20"/>
          <w:color w:val="auto"/>
        </w:rPr>
      </w:pPr>
    </w:p>
    <w:p>
      <w:pPr>
        <w:ind w:left="300" w:right="220" w:hanging="190"/>
        <w:spacing w:after="0" w:line="254" w:lineRule="auto"/>
        <w:tabs>
          <w:tab w:leader="none" w:pos="295" w:val="left"/>
        </w:tabs>
        <w:numPr>
          <w:ilvl w:val="0"/>
          <w:numId w:val="21"/>
        </w:numPr>
        <w:rPr>
          <w:rFonts w:ascii="Arial" w:cs="Arial" w:eastAsia="Arial" w:hAnsi="Arial"/>
          <w:sz w:val="16"/>
          <w:szCs w:val="16"/>
          <w:color w:val="665B4F"/>
        </w:rPr>
      </w:pPr>
      <w:r>
        <w:rPr>
          <w:rFonts w:ascii="Arial" w:cs="Arial" w:eastAsia="Arial" w:hAnsi="Arial"/>
          <w:sz w:val="16"/>
          <w:szCs w:val="16"/>
          <w:color w:val="auto"/>
        </w:rPr>
        <w:t>Ms. Myers has extensive experience providing counsel on strategic and crisis communications, reputation management and integrated marketing, drawing on her years in politics and media. She brings to our board expertise in global corporate communications strategies and activities, including media relations, public positioning, executive communications, corporate responsibility and philanthropy.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247015</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0" w:lineRule="exact"/>
        <w:rPr>
          <w:sz w:val="20"/>
          <w:szCs w:val="20"/>
          <w:color w:val="auto"/>
        </w:rPr>
      </w:pPr>
    </w:p>
    <w:p>
      <w:pPr>
        <w:sectPr>
          <w:pgSz w:w="11900" w:h="16838" w:orient="portrait"/>
          <w:cols w:equalWidth="0" w:num="2">
            <w:col w:w="3040" w:space="540"/>
            <w:col w:w="7640"/>
          </w:cols>
          <w:pgMar w:left="240" w:top="459" w:right="439" w:bottom="1440" w:gutter="0" w:footer="0" w:header="0"/>
          <w:type w:val="continuous"/>
        </w:sectPr>
      </w:pPr>
    </w:p>
    <w:p>
      <w:pPr>
        <w:spacing w:after="0" w:line="278" w:lineRule="exact"/>
        <w:rPr>
          <w:sz w:val="20"/>
          <w:szCs w:val="20"/>
          <w:color w:val="auto"/>
        </w:rPr>
      </w:pPr>
    </w:p>
    <w:p>
      <w:pPr>
        <w:ind w:left="8940"/>
        <w:spacing w:after="0"/>
        <w:tabs>
          <w:tab w:leader="none" w:pos="10920" w:val="left"/>
          <w:tab w:leader="none" w:pos="1112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4</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OUR BOARD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497840</wp:posOffset>
            </wp:positionV>
            <wp:extent cx="6997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3580" w:right="220"/>
        <w:spacing w:after="0" w:line="259" w:lineRule="auto"/>
        <w:rPr>
          <w:sz w:val="20"/>
          <w:szCs w:val="20"/>
          <w:color w:val="auto"/>
        </w:rPr>
      </w:pPr>
      <w:r>
        <w:rPr>
          <w:rFonts w:ascii="Arial" w:cs="Arial" w:eastAsia="Arial" w:hAnsi="Arial"/>
          <w:sz w:val="16"/>
          <w:szCs w:val="16"/>
          <w:b w:val="1"/>
          <w:bCs w:val="1"/>
          <w:color w:val="auto"/>
        </w:rPr>
        <w:t xml:space="preserve">Admiral Johnson </w:t>
      </w:r>
      <w:r>
        <w:rPr>
          <w:rFonts w:ascii="Arial" w:cs="Arial" w:eastAsia="Arial" w:hAnsi="Arial"/>
          <w:sz w:val="16"/>
          <w:szCs w:val="16"/>
          <w:color w:val="auto"/>
        </w:rPr>
        <w:t>retired as Chairman and Chief Executive Officer of General Dynamics Corporation, a</w:t>
      </w:r>
      <w:r>
        <w:rPr>
          <w:rFonts w:ascii="Arial" w:cs="Arial" w:eastAsia="Arial" w:hAnsi="Arial"/>
          <w:sz w:val="16"/>
          <w:szCs w:val="16"/>
          <w:b w:val="1"/>
          <w:bCs w:val="1"/>
          <w:color w:val="auto"/>
        </w:rPr>
        <w:t xml:space="preserve"> </w:t>
      </w:r>
      <w:r>
        <w:rPr>
          <w:rFonts w:ascii="Arial" w:cs="Arial" w:eastAsia="Arial" w:hAnsi="Arial"/>
          <w:sz w:val="16"/>
          <w:szCs w:val="16"/>
          <w:color w:val="auto"/>
        </w:rPr>
        <w:t>publicly traded manufacturer of defense, aerospace, and other technology products, in December 2012. Admiral Johnson is a member of the Council on Foreign Relations and currently serves as a director of International Paper Company, the U.S. Naval Academy Foundation, and The Peregrine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-492125</wp:posOffset>
            </wp:positionV>
            <wp:extent cx="1809750" cy="130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80"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665B4F"/>
        </w:rPr>
        <w:t>PREVIOUS EXPERIENCE</w:t>
      </w:r>
    </w:p>
    <w:p>
      <w:pPr>
        <w:spacing w:after="0" w:line="88" w:lineRule="exact"/>
        <w:rPr>
          <w:sz w:val="20"/>
          <w:szCs w:val="20"/>
          <w:color w:val="auto"/>
        </w:rPr>
      </w:pPr>
    </w:p>
    <w:p>
      <w:pPr>
        <w:ind w:left="3880" w:right="340" w:hanging="190"/>
        <w:spacing w:after="0" w:line="278" w:lineRule="auto"/>
        <w:tabs>
          <w:tab w:leader="none" w:pos="3875" w:val="left"/>
        </w:tabs>
        <w:numPr>
          <w:ilvl w:val="0"/>
          <w:numId w:val="22"/>
        </w:numPr>
        <w:rPr>
          <w:rFonts w:ascii="Arial" w:cs="Arial" w:eastAsia="Arial" w:hAnsi="Arial"/>
          <w:sz w:val="16"/>
          <w:szCs w:val="16"/>
          <w:color w:val="665B4F"/>
        </w:rPr>
      </w:pPr>
      <w:r>
        <w:rPr>
          <w:rFonts w:ascii="Arial" w:cs="Arial" w:eastAsia="Arial" w:hAnsi="Arial"/>
          <w:sz w:val="16"/>
          <w:szCs w:val="16"/>
          <w:color w:val="auto"/>
        </w:rPr>
        <w:t>2000 to 2008: various senior executive roles at Dominion Resources Inc., a publicly traded energy company, including as CEO of Dominion Virginia Power</w:t>
      </w:r>
    </w:p>
    <w:p>
      <w:pPr>
        <w:spacing w:after="0" w:line="86" w:lineRule="exact"/>
        <w:rPr>
          <w:rFonts w:ascii="Arial" w:cs="Arial" w:eastAsia="Arial" w:hAnsi="Arial"/>
          <w:sz w:val="16"/>
          <w:szCs w:val="16"/>
          <w:color w:val="665B4F"/>
        </w:rPr>
      </w:pPr>
    </w:p>
    <w:p>
      <w:pPr>
        <w:ind w:left="3880" w:right="180" w:hanging="190"/>
        <w:spacing w:after="0" w:line="278" w:lineRule="auto"/>
        <w:tabs>
          <w:tab w:leader="none" w:pos="3875" w:val="left"/>
        </w:tabs>
        <w:numPr>
          <w:ilvl w:val="0"/>
          <w:numId w:val="22"/>
        </w:numPr>
        <w:rPr>
          <w:rFonts w:ascii="Arial" w:cs="Arial" w:eastAsia="Arial" w:hAnsi="Arial"/>
          <w:sz w:val="16"/>
          <w:szCs w:val="16"/>
          <w:color w:val="665B4F"/>
        </w:rPr>
      </w:pPr>
      <w:r>
        <w:rPr>
          <w:rFonts w:ascii="Arial" w:cs="Arial" w:eastAsia="Arial" w:hAnsi="Arial"/>
          <w:sz w:val="16"/>
          <w:szCs w:val="16"/>
          <w:color w:val="auto"/>
        </w:rPr>
        <w:t>Prior to 2000: 32-year career in the U.S. Navy, serving as chief of naval operations and a member of the Joint Chiefs of Staff since 1996</w:t>
      </w:r>
    </w:p>
    <w:p>
      <w:pPr>
        <w:sectPr>
          <w:pgSz w:w="11900" w:h="16838" w:orient="portrait"/>
          <w:cols w:equalWidth="0" w:num="1">
            <w:col w:w="11220"/>
          </w:cols>
          <w:pgMar w:left="240" w:top="459" w:right="439" w:bottom="1440" w:gutter="0" w:footer="0" w:header="0"/>
        </w:sectPr>
      </w:pPr>
    </w:p>
    <w:p>
      <w:pPr>
        <w:spacing w:after="0" w:line="6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JAY L. JOHNSON</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18097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DIRECTOR SINCE AUGUST 2016</w:t>
      </w:r>
    </w:p>
    <w:p>
      <w:pPr>
        <w:spacing w:after="0" w:line="140" w:lineRule="exact"/>
        <w:rPr>
          <w:sz w:val="20"/>
          <w:szCs w:val="20"/>
          <w:color w:val="auto"/>
        </w:rPr>
      </w:pPr>
    </w:p>
    <w:p>
      <w:pPr>
        <w:ind w:left="200" w:right="280"/>
        <w:spacing w:after="0" w:line="298" w:lineRule="auto"/>
        <w:rPr>
          <w:sz w:val="20"/>
          <w:szCs w:val="20"/>
          <w:color w:val="auto"/>
        </w:rPr>
      </w:pPr>
      <w:r>
        <w:rPr>
          <w:rFonts w:ascii="Arial" w:cs="Arial" w:eastAsia="Arial" w:hAnsi="Arial"/>
          <w:sz w:val="16"/>
          <w:szCs w:val="16"/>
          <w:b w:val="1"/>
          <w:bCs w:val="1"/>
          <w:color w:val="665B4F"/>
        </w:rPr>
        <w:t>TERM EXPIRES: 2019 ANNUAL MEETING</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71</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BOARD COMMITTEES:</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Compensation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EDUCATION</w:t>
      </w:r>
    </w:p>
    <w:p>
      <w:pPr>
        <w:spacing w:after="0" w:line="88" w:lineRule="exact"/>
        <w:rPr>
          <w:sz w:val="20"/>
          <w:szCs w:val="20"/>
          <w:color w:val="auto"/>
        </w:rPr>
      </w:pPr>
    </w:p>
    <w:p>
      <w:pPr>
        <w:ind w:left="280" w:hanging="170"/>
        <w:spacing w:after="0"/>
        <w:tabs>
          <w:tab w:leader="none" w:pos="280" w:val="left"/>
        </w:tabs>
        <w:numPr>
          <w:ilvl w:val="0"/>
          <w:numId w:val="23"/>
        </w:numPr>
        <w:rPr>
          <w:rFonts w:ascii="Arial" w:cs="Arial" w:eastAsia="Arial" w:hAnsi="Arial"/>
          <w:sz w:val="16"/>
          <w:szCs w:val="16"/>
          <w:color w:val="665B4F"/>
        </w:rPr>
      </w:pPr>
      <w:r>
        <w:rPr>
          <w:rFonts w:ascii="Arial" w:cs="Arial" w:eastAsia="Arial" w:hAnsi="Arial"/>
          <w:sz w:val="16"/>
          <w:szCs w:val="16"/>
          <w:color w:val="auto"/>
        </w:rPr>
        <w:t>Admiral Johnson graduated with a B.S. from the United States Naval Academy.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EXPERTISE</w:t>
      </w:r>
    </w:p>
    <w:p>
      <w:pPr>
        <w:spacing w:after="0" w:line="88" w:lineRule="exact"/>
        <w:rPr>
          <w:sz w:val="20"/>
          <w:szCs w:val="20"/>
          <w:color w:val="auto"/>
        </w:rPr>
      </w:pPr>
    </w:p>
    <w:p>
      <w:pPr>
        <w:ind w:left="300" w:right="60" w:hanging="190"/>
        <w:spacing w:after="0" w:line="254" w:lineRule="auto"/>
        <w:tabs>
          <w:tab w:leader="none" w:pos="287" w:val="left"/>
        </w:tabs>
        <w:numPr>
          <w:ilvl w:val="0"/>
          <w:numId w:val="24"/>
        </w:numPr>
        <w:rPr>
          <w:rFonts w:ascii="Arial" w:cs="Arial" w:eastAsia="Arial" w:hAnsi="Arial"/>
          <w:sz w:val="16"/>
          <w:szCs w:val="16"/>
          <w:color w:val="665B4F"/>
        </w:rPr>
      </w:pPr>
      <w:r>
        <w:rPr>
          <w:rFonts w:ascii="Arial" w:cs="Arial" w:eastAsia="Arial" w:hAnsi="Arial"/>
          <w:sz w:val="16"/>
          <w:szCs w:val="16"/>
          <w:color w:val="auto"/>
        </w:rPr>
        <w:t>Admiral Johnson’s experience as an executive and director of various public companies contributes to the Board’s ability to guide corporate strategy and oversee public company governance. Additionally, the Board benefits from Admiral Johnson’s distinguished 32-year military career, which provides valuable public policy and government relations experience as well as extensive leadership and strategic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409575</wp:posOffset>
            </wp:positionV>
            <wp:extent cx="6997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78" w:lineRule="exact"/>
        <w:rPr>
          <w:sz w:val="20"/>
          <w:szCs w:val="20"/>
          <w:color w:val="auto"/>
        </w:rPr>
      </w:pPr>
    </w:p>
    <w:p>
      <w:pPr>
        <w:sectPr>
          <w:pgSz w:w="11900" w:h="16838" w:orient="portrait"/>
          <w:cols w:equalWidth="0" w:num="2">
            <w:col w:w="2860" w:space="720"/>
            <w:col w:w="7640"/>
          </w:cols>
          <w:pgMar w:left="240" w:top="459" w:right="439" w:bottom="1440" w:gutter="0" w:footer="0" w:header="0"/>
          <w:type w:val="continuous"/>
        </w:sectPr>
      </w:pPr>
    </w:p>
    <w:p>
      <w:pPr>
        <w:spacing w:after="0" w:line="345" w:lineRule="exact"/>
        <w:rPr>
          <w:sz w:val="20"/>
          <w:szCs w:val="20"/>
          <w:color w:val="auto"/>
        </w:rPr>
      </w:pPr>
    </w:p>
    <w:p>
      <w:pPr>
        <w:jc w:val="both"/>
        <w:ind w:left="3580"/>
        <w:spacing w:after="0" w:line="266" w:lineRule="auto"/>
        <w:rPr>
          <w:sz w:val="20"/>
          <w:szCs w:val="20"/>
          <w:color w:val="auto"/>
        </w:rPr>
      </w:pPr>
      <w:r>
        <w:rPr>
          <w:rFonts w:ascii="Arial" w:cs="Arial" w:eastAsia="Arial" w:hAnsi="Arial"/>
          <w:sz w:val="16"/>
          <w:szCs w:val="16"/>
          <w:b w:val="1"/>
          <w:bCs w:val="1"/>
          <w:color w:val="auto"/>
        </w:rPr>
        <w:t xml:space="preserve">Mr. Shoemaker </w:t>
      </w:r>
      <w:r>
        <w:rPr>
          <w:rFonts w:ascii="Arial" w:cs="Arial" w:eastAsia="Arial" w:hAnsi="Arial"/>
          <w:sz w:val="16"/>
          <w:szCs w:val="16"/>
          <w:color w:val="auto"/>
        </w:rPr>
        <w:t>was the Chairman of the Board of First Boston Inc. and First Boston Corp. from April 1983</w:t>
      </w:r>
      <w:r>
        <w:rPr>
          <w:rFonts w:ascii="Arial" w:cs="Arial" w:eastAsia="Arial" w:hAnsi="Arial"/>
          <w:sz w:val="16"/>
          <w:szCs w:val="16"/>
          <w:b w:val="1"/>
          <w:bCs w:val="1"/>
          <w:color w:val="auto"/>
        </w:rPr>
        <w:t xml:space="preserve"> </w:t>
      </w:r>
      <w:r>
        <w:rPr>
          <w:rFonts w:ascii="Arial" w:cs="Arial" w:eastAsia="Arial" w:hAnsi="Arial"/>
          <w:sz w:val="16"/>
          <w:szCs w:val="16"/>
          <w:color w:val="auto"/>
        </w:rPr>
        <w:t>until his retirement in January 1989, at the time of its sale to Credit Suisse Bank. Mr. Shoemaker currently serves as a member of the board of directors of Huntsman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-376555</wp:posOffset>
            </wp:positionV>
            <wp:extent cx="1809750" cy="130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77" w:lineRule="exact"/>
        <w:rPr>
          <w:sz w:val="20"/>
          <w:szCs w:val="20"/>
          <w:color w:val="auto"/>
        </w:rPr>
      </w:pPr>
    </w:p>
    <w:p>
      <w:pPr>
        <w:ind w:left="3580" w:right="140"/>
        <w:spacing w:after="0" w:line="260" w:lineRule="auto"/>
        <w:rPr>
          <w:sz w:val="20"/>
          <w:szCs w:val="20"/>
          <w:color w:val="auto"/>
        </w:rPr>
      </w:pPr>
      <w:r>
        <w:rPr>
          <w:rFonts w:ascii="Arial" w:cs="Arial" w:eastAsia="Arial" w:hAnsi="Arial"/>
          <w:sz w:val="16"/>
          <w:szCs w:val="16"/>
          <w:color w:val="auto"/>
        </w:rPr>
        <w:t>Mr. Shoemaker has advised the Board that he will not stand for re-election at the expiration of his term at the Company’s 2019 Annual Meeting, but will serve the remainder of his term.</w:t>
      </w:r>
    </w:p>
    <w:p>
      <w:pPr>
        <w:spacing w:after="0" w:line="19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665B4F"/>
        </w:rPr>
        <w:t>EDUCATION</w:t>
      </w:r>
    </w:p>
    <w:p>
      <w:pPr>
        <w:spacing w:after="0" w:line="88" w:lineRule="exact"/>
        <w:rPr>
          <w:sz w:val="20"/>
          <w:szCs w:val="20"/>
          <w:color w:val="auto"/>
        </w:rPr>
      </w:pPr>
    </w:p>
    <w:p>
      <w:pPr>
        <w:ind w:left="3880" w:right="620" w:hanging="190"/>
        <w:spacing w:after="0" w:line="278" w:lineRule="auto"/>
        <w:tabs>
          <w:tab w:leader="none" w:pos="3875" w:val="left"/>
        </w:tabs>
        <w:numPr>
          <w:ilvl w:val="0"/>
          <w:numId w:val="25"/>
        </w:numPr>
        <w:rPr>
          <w:rFonts w:ascii="Arial" w:cs="Arial" w:eastAsia="Arial" w:hAnsi="Arial"/>
          <w:sz w:val="16"/>
          <w:szCs w:val="16"/>
          <w:color w:val="665B4F"/>
        </w:rPr>
      </w:pPr>
      <w:r>
        <w:rPr>
          <w:rFonts w:ascii="Arial" w:cs="Arial" w:eastAsia="Arial" w:hAnsi="Arial"/>
          <w:sz w:val="16"/>
          <w:szCs w:val="16"/>
          <w:color w:val="auto"/>
        </w:rPr>
        <w:t>Mr. Shoemaker graduated with a B.S. in economics from the Wharton School of Management, University of Pennsylvania, and has a J.D. from the University of Michigan Law School.</w:t>
      </w:r>
    </w:p>
    <w:p>
      <w:pPr>
        <w:sectPr>
          <w:pgSz w:w="11900" w:h="16838" w:orient="portrait"/>
          <w:cols w:equalWidth="0" w:num="1">
            <w:col w:w="11220"/>
          </w:cols>
          <w:pgMar w:left="240" w:top="459" w:right="439" w:bottom="1440" w:gutter="0" w:footer="0" w:header="0"/>
          <w:type w:val="continuous"/>
        </w:sectPr>
      </w:pPr>
    </w:p>
    <w:p>
      <w:pPr>
        <w:spacing w:after="0" w:line="26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ALVIN V. SHOEMAKER</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18097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DIRECTOR SINCE DECEMBER 2002</w:t>
      </w:r>
    </w:p>
    <w:p>
      <w:pPr>
        <w:spacing w:after="0" w:line="140" w:lineRule="exact"/>
        <w:rPr>
          <w:sz w:val="20"/>
          <w:szCs w:val="20"/>
          <w:color w:val="auto"/>
        </w:rPr>
      </w:pPr>
    </w:p>
    <w:p>
      <w:pPr>
        <w:ind w:left="200" w:right="420"/>
        <w:spacing w:after="0" w:line="298" w:lineRule="auto"/>
        <w:rPr>
          <w:sz w:val="20"/>
          <w:szCs w:val="20"/>
          <w:color w:val="auto"/>
        </w:rPr>
      </w:pPr>
      <w:r>
        <w:rPr>
          <w:rFonts w:ascii="Arial" w:cs="Arial" w:eastAsia="Arial" w:hAnsi="Arial"/>
          <w:sz w:val="16"/>
          <w:szCs w:val="16"/>
          <w:b w:val="1"/>
          <w:bCs w:val="1"/>
          <w:color w:val="665B4F"/>
        </w:rPr>
        <w:t>TERM EXPIRES: 2019 ANNUAL MEETING</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79</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BOARD COMMITTEES:</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Compensation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220345</wp:posOffset>
            </wp:positionV>
            <wp:extent cx="608965"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EXPERTISE</w:t>
      </w:r>
    </w:p>
    <w:p>
      <w:pPr>
        <w:spacing w:after="0" w:line="88" w:lineRule="exact"/>
        <w:rPr>
          <w:sz w:val="20"/>
          <w:szCs w:val="20"/>
          <w:color w:val="auto"/>
        </w:rPr>
      </w:pPr>
    </w:p>
    <w:p>
      <w:pPr>
        <w:ind w:left="300" w:right="280" w:hanging="190"/>
        <w:spacing w:after="0" w:line="278" w:lineRule="auto"/>
        <w:tabs>
          <w:tab w:leader="none" w:pos="295" w:val="left"/>
        </w:tabs>
        <w:numPr>
          <w:ilvl w:val="0"/>
          <w:numId w:val="26"/>
        </w:numPr>
        <w:rPr>
          <w:rFonts w:ascii="Arial" w:cs="Arial" w:eastAsia="Arial" w:hAnsi="Arial"/>
          <w:sz w:val="16"/>
          <w:szCs w:val="16"/>
          <w:color w:val="665B4F"/>
        </w:rPr>
      </w:pPr>
      <w:r>
        <w:rPr>
          <w:rFonts w:ascii="Arial" w:cs="Arial" w:eastAsia="Arial" w:hAnsi="Arial"/>
          <w:sz w:val="16"/>
          <w:szCs w:val="16"/>
          <w:color w:val="auto"/>
        </w:rPr>
        <w:t>Mr. Shoemaker’s deep experience as a financial executive serving as the Chairman of First Boston contributes to the Board’s oversight of the Company’s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1383030</wp:posOffset>
            </wp:positionV>
            <wp:extent cx="6997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06" w:lineRule="exact"/>
        <w:rPr>
          <w:sz w:val="20"/>
          <w:szCs w:val="20"/>
          <w:color w:val="auto"/>
        </w:rPr>
      </w:pPr>
    </w:p>
    <w:p>
      <w:pPr>
        <w:sectPr>
          <w:pgSz w:w="11900" w:h="16838" w:orient="portrait"/>
          <w:cols w:equalWidth="0" w:num="2">
            <w:col w:w="3000" w:space="580"/>
            <w:col w:w="7640"/>
          </w:cols>
          <w:pgMar w:left="240" w:top="459" w:right="439" w:bottom="1440" w:gutter="0" w:footer="0" w:header="0"/>
          <w:type w:val="continuous"/>
        </w:sectPr>
      </w:pPr>
    </w:p>
    <w:p>
      <w:pPr>
        <w:spacing w:after="0" w:line="152" w:lineRule="exact"/>
        <w:rPr>
          <w:sz w:val="20"/>
          <w:szCs w:val="20"/>
          <w:color w:val="auto"/>
        </w:rPr>
      </w:pPr>
    </w:p>
    <w:p>
      <w:pPr>
        <w:ind w:left="440" w:hanging="236"/>
        <w:spacing w:after="0"/>
        <w:tabs>
          <w:tab w:leader="none" w:pos="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t>
      </w:r>
    </w:p>
    <w:p>
      <w:pPr>
        <w:sectPr>
          <w:pgSz w:w="11900" w:h="16838" w:orient="portrait"/>
          <w:cols w:equalWidth="0" w:num="1">
            <w:col w:w="11220"/>
          </w:cols>
          <w:pgMar w:left="24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5B4F"/>
        </w:rPr>
        <w:t>OUR BOARD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120650</wp:posOffset>
            </wp:positionV>
            <wp:extent cx="6997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WINIFRED (WENDY)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-1624965</wp:posOffset>
            </wp:positionV>
            <wp:extent cx="1809750" cy="130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8"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WEBB</w:t>
      </w:r>
    </w:p>
    <w:p>
      <w:pPr>
        <w:spacing w:after="0" w:line="131" w:lineRule="exact"/>
        <w:rPr>
          <w:sz w:val="20"/>
          <w:szCs w:val="20"/>
          <w:color w:val="auto"/>
        </w:rPr>
      </w:pPr>
    </w:p>
    <w:p>
      <w:pPr>
        <w:ind w:left="200"/>
        <w:spacing w:after="0" w:line="258" w:lineRule="auto"/>
        <w:rPr>
          <w:sz w:val="20"/>
          <w:szCs w:val="20"/>
          <w:color w:val="auto"/>
        </w:rPr>
      </w:pPr>
      <w:r>
        <w:rPr>
          <w:rFonts w:ascii="Arial" w:cs="Arial" w:eastAsia="Arial" w:hAnsi="Arial"/>
          <w:sz w:val="14"/>
          <w:szCs w:val="14"/>
          <w:color w:val="auto"/>
        </w:rPr>
        <w:t>Chief Executive Officer, Kestrel Corporate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18097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DIRECTOR SINCE APRIL 2018</w:t>
      </w:r>
    </w:p>
    <w:p>
      <w:pPr>
        <w:spacing w:after="0" w:line="140" w:lineRule="exact"/>
        <w:rPr>
          <w:sz w:val="20"/>
          <w:szCs w:val="20"/>
          <w:color w:val="auto"/>
        </w:rPr>
      </w:pPr>
    </w:p>
    <w:p>
      <w:pPr>
        <w:ind w:left="200" w:right="280"/>
        <w:spacing w:after="0" w:line="298" w:lineRule="auto"/>
        <w:rPr>
          <w:sz w:val="20"/>
          <w:szCs w:val="20"/>
          <w:color w:val="auto"/>
        </w:rPr>
      </w:pPr>
      <w:r>
        <w:rPr>
          <w:rFonts w:ascii="Arial" w:cs="Arial" w:eastAsia="Arial" w:hAnsi="Arial"/>
          <w:sz w:val="16"/>
          <w:szCs w:val="16"/>
          <w:b w:val="1"/>
          <w:bCs w:val="1"/>
          <w:color w:val="665B4F"/>
        </w:rPr>
        <w:t>TERM EXPIRES: 2019 ANNUAL MEETING</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b w:val="1"/>
          <w:bCs w:val="1"/>
          <w:color w:val="auto"/>
        </w:rPr>
        <w:t xml:space="preserve">Ms. Webb </w:t>
      </w:r>
      <w:r>
        <w:rPr>
          <w:rFonts w:ascii="Arial" w:cs="Arial" w:eastAsia="Arial" w:hAnsi="Arial"/>
          <w:sz w:val="16"/>
          <w:szCs w:val="16"/>
          <w:color w:val="auto"/>
        </w:rPr>
        <w:t>has been Chief Executive Officer of Kestrel Corporate Advisors, an advisory services firm</w:t>
      </w:r>
      <w:r>
        <w:rPr>
          <w:rFonts w:ascii="Arial" w:cs="Arial" w:eastAsia="Arial" w:hAnsi="Arial"/>
          <w:sz w:val="16"/>
          <w:szCs w:val="16"/>
          <w:b w:val="1"/>
          <w:bCs w:val="1"/>
          <w:color w:val="auto"/>
        </w:rPr>
        <w:t xml:space="preserve"> </w:t>
      </w:r>
      <w:r>
        <w:rPr>
          <w:rFonts w:ascii="Arial" w:cs="Arial" w:eastAsia="Arial" w:hAnsi="Arial"/>
          <w:sz w:val="16"/>
          <w:szCs w:val="16"/>
          <w:color w:val="auto"/>
        </w:rPr>
        <w:t>counseling corporate and non-profit organizations on strategic business issues, including growth initiatives, digital marketing, board governance and investor relations, since February 2013. Ms. Webb currently serves on the Boards of ABM Industries (since 2014) and 9 Spokes (since 2015). She also serves as Co-Chair of Women Corporate Directors, Los Angeles/Orange County Chapter.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PREVIOUS EXPERIENCE</w:t>
      </w:r>
    </w:p>
    <w:p>
      <w:pPr>
        <w:spacing w:after="0" w:line="88" w:lineRule="exact"/>
        <w:rPr>
          <w:sz w:val="20"/>
          <w:szCs w:val="20"/>
          <w:color w:val="auto"/>
        </w:rPr>
      </w:pPr>
    </w:p>
    <w:p>
      <w:pPr>
        <w:ind w:left="300" w:right="400" w:hanging="190"/>
        <w:spacing w:after="0" w:line="278" w:lineRule="auto"/>
        <w:tabs>
          <w:tab w:leader="none" w:pos="295" w:val="left"/>
        </w:tabs>
        <w:numPr>
          <w:ilvl w:val="0"/>
          <w:numId w:val="28"/>
        </w:numPr>
        <w:rPr>
          <w:rFonts w:ascii="Arial" w:cs="Arial" w:eastAsia="Arial" w:hAnsi="Arial"/>
          <w:sz w:val="16"/>
          <w:szCs w:val="16"/>
          <w:color w:val="665B4F"/>
        </w:rPr>
      </w:pPr>
      <w:r>
        <w:rPr>
          <w:rFonts w:ascii="Arial" w:cs="Arial" w:eastAsia="Arial" w:hAnsi="Arial"/>
          <w:sz w:val="16"/>
          <w:szCs w:val="16"/>
          <w:color w:val="auto"/>
        </w:rPr>
        <w:t>January 2010 to January 2013: Managing Director, Chief Investor Relations Officer, Tennenbaum Capital Partners</w:t>
      </w:r>
    </w:p>
    <w:p>
      <w:pPr>
        <w:spacing w:after="0" w:line="86" w:lineRule="exact"/>
        <w:rPr>
          <w:rFonts w:ascii="Arial" w:cs="Arial" w:eastAsia="Arial" w:hAnsi="Arial"/>
          <w:sz w:val="16"/>
          <w:szCs w:val="16"/>
          <w:color w:val="665B4F"/>
        </w:rPr>
      </w:pPr>
    </w:p>
    <w:p>
      <w:pPr>
        <w:ind w:left="300" w:right="720" w:hanging="190"/>
        <w:spacing w:after="0" w:line="278" w:lineRule="auto"/>
        <w:tabs>
          <w:tab w:leader="none" w:pos="287" w:val="left"/>
        </w:tabs>
        <w:numPr>
          <w:ilvl w:val="0"/>
          <w:numId w:val="28"/>
        </w:numPr>
        <w:rPr>
          <w:rFonts w:ascii="Arial" w:cs="Arial" w:eastAsia="Arial" w:hAnsi="Arial"/>
          <w:sz w:val="16"/>
          <w:szCs w:val="16"/>
          <w:color w:val="665B4F"/>
        </w:rPr>
      </w:pPr>
      <w:r>
        <w:rPr>
          <w:rFonts w:ascii="Arial" w:cs="Arial" w:eastAsia="Arial" w:hAnsi="Arial"/>
          <w:sz w:val="16"/>
          <w:szCs w:val="16"/>
          <w:color w:val="auto"/>
        </w:rPr>
        <w:t>April 2008 to January 2010: Chief Communications and Investor Relations Officer, Corporate Executive team member, senior advisor, Ticketmaster Entertainment</w:t>
      </w:r>
    </w:p>
    <w:p>
      <w:pPr>
        <w:spacing w:after="0" w:line="86" w:lineRule="exact"/>
        <w:rPr>
          <w:rFonts w:ascii="Arial" w:cs="Arial" w:eastAsia="Arial" w:hAnsi="Arial"/>
          <w:sz w:val="16"/>
          <w:szCs w:val="16"/>
          <w:color w:val="665B4F"/>
        </w:rPr>
      </w:pPr>
    </w:p>
    <w:p>
      <w:pPr>
        <w:ind w:left="300" w:right="220" w:hanging="190"/>
        <w:spacing w:after="0" w:line="278" w:lineRule="auto"/>
        <w:tabs>
          <w:tab w:leader="none" w:pos="295" w:val="left"/>
        </w:tabs>
        <w:numPr>
          <w:ilvl w:val="0"/>
          <w:numId w:val="28"/>
        </w:numPr>
        <w:rPr>
          <w:rFonts w:ascii="Arial" w:cs="Arial" w:eastAsia="Arial" w:hAnsi="Arial"/>
          <w:sz w:val="16"/>
          <w:szCs w:val="16"/>
          <w:color w:val="665B4F"/>
        </w:rPr>
      </w:pPr>
      <w:r>
        <w:rPr>
          <w:rFonts w:ascii="Arial" w:cs="Arial" w:eastAsia="Arial" w:hAnsi="Arial"/>
          <w:sz w:val="16"/>
          <w:szCs w:val="16"/>
          <w:color w:val="auto"/>
        </w:rPr>
        <w:t>1988 to 2008: Senior Vice President of Investor Relations and Shareholder Services, various senior positions, The Walt Disney Company; Executive Director, The Walt Disney Company Foundation</w:t>
      </w:r>
    </w:p>
    <w:p>
      <w:pPr>
        <w:spacing w:after="0" w:line="86" w:lineRule="exact"/>
        <w:rPr>
          <w:rFonts w:ascii="Arial" w:cs="Arial" w:eastAsia="Arial" w:hAnsi="Arial"/>
          <w:sz w:val="16"/>
          <w:szCs w:val="16"/>
          <w:color w:val="665B4F"/>
        </w:rPr>
      </w:pPr>
    </w:p>
    <w:p>
      <w:pPr>
        <w:ind w:left="300" w:hanging="190"/>
        <w:spacing w:after="0"/>
        <w:tabs>
          <w:tab w:leader="none" w:pos="300" w:val="left"/>
        </w:tabs>
        <w:numPr>
          <w:ilvl w:val="0"/>
          <w:numId w:val="28"/>
        </w:numPr>
        <w:rPr>
          <w:rFonts w:ascii="Arial" w:cs="Arial" w:eastAsia="Arial" w:hAnsi="Arial"/>
          <w:sz w:val="16"/>
          <w:szCs w:val="16"/>
          <w:color w:val="665B4F"/>
        </w:rPr>
      </w:pPr>
      <w:r>
        <w:rPr>
          <w:rFonts w:ascii="Arial" w:cs="Arial" w:eastAsia="Arial" w:hAnsi="Arial"/>
          <w:sz w:val="16"/>
          <w:szCs w:val="16"/>
          <w:color w:val="auto"/>
        </w:rPr>
        <w:t>Previously held various investment banking positions at PaineWebber and Lehman Brothers</w:t>
      </w:r>
    </w:p>
    <w:p>
      <w:pPr>
        <w:spacing w:after="0" w:line="140" w:lineRule="exact"/>
        <w:rPr>
          <w:rFonts w:ascii="Arial" w:cs="Arial" w:eastAsia="Arial" w:hAnsi="Arial"/>
          <w:sz w:val="16"/>
          <w:szCs w:val="16"/>
          <w:color w:val="665B4F"/>
        </w:rPr>
      </w:pPr>
    </w:p>
    <w:p>
      <w:pPr>
        <w:ind w:left="300" w:hanging="190"/>
        <w:spacing w:after="0"/>
        <w:tabs>
          <w:tab w:leader="none" w:pos="300" w:val="left"/>
        </w:tabs>
        <w:numPr>
          <w:ilvl w:val="0"/>
          <w:numId w:val="28"/>
        </w:numPr>
        <w:rPr>
          <w:rFonts w:ascii="Arial" w:cs="Arial" w:eastAsia="Arial" w:hAnsi="Arial"/>
          <w:sz w:val="16"/>
          <w:szCs w:val="16"/>
          <w:color w:val="665B4F"/>
        </w:rPr>
      </w:pPr>
      <w:r>
        <w:rPr>
          <w:rFonts w:ascii="Arial" w:cs="Arial" w:eastAsia="Arial" w:hAnsi="Arial"/>
          <w:sz w:val="16"/>
          <w:szCs w:val="16"/>
          <w:color w:val="auto"/>
        </w:rPr>
        <w:t>Previously served on the boards of TiVo, Jack in the Box, and nonprofit PetSmart Charities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EDUCATION</w:t>
      </w:r>
    </w:p>
    <w:p>
      <w:pPr>
        <w:spacing w:after="0" w:line="88" w:lineRule="exact"/>
        <w:rPr>
          <w:sz w:val="20"/>
          <w:szCs w:val="20"/>
          <w:color w:val="auto"/>
        </w:rPr>
      </w:pPr>
    </w:p>
    <w:p>
      <w:pPr>
        <w:ind w:left="300" w:right="480" w:hanging="190"/>
        <w:spacing w:after="0" w:line="278" w:lineRule="auto"/>
        <w:tabs>
          <w:tab w:leader="none" w:pos="295" w:val="left"/>
        </w:tabs>
        <w:numPr>
          <w:ilvl w:val="0"/>
          <w:numId w:val="29"/>
        </w:numPr>
        <w:rPr>
          <w:rFonts w:ascii="Arial" w:cs="Arial" w:eastAsia="Arial" w:hAnsi="Arial"/>
          <w:sz w:val="16"/>
          <w:szCs w:val="16"/>
          <w:color w:val="665B4F"/>
        </w:rPr>
      </w:pPr>
      <w:r>
        <w:rPr>
          <w:rFonts w:ascii="Arial" w:cs="Arial" w:eastAsia="Arial" w:hAnsi="Arial"/>
          <w:sz w:val="16"/>
          <w:szCs w:val="16"/>
          <w:color w:val="auto"/>
        </w:rPr>
        <w:t>Ms. Webb graduated with a B.A. (with honors) from Smith College and received her M.B.A. from Harvard University.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EXPERTISE</w:t>
      </w:r>
    </w:p>
    <w:p>
      <w:pPr>
        <w:spacing w:after="0" w:line="88" w:lineRule="exact"/>
        <w:rPr>
          <w:sz w:val="20"/>
          <w:szCs w:val="20"/>
          <w:color w:val="auto"/>
        </w:rPr>
      </w:pPr>
    </w:p>
    <w:p>
      <w:pPr>
        <w:ind w:left="300" w:right="80" w:hanging="190"/>
        <w:spacing w:after="0" w:line="254" w:lineRule="auto"/>
        <w:tabs>
          <w:tab w:leader="none" w:pos="295" w:val="left"/>
        </w:tabs>
        <w:numPr>
          <w:ilvl w:val="0"/>
          <w:numId w:val="30"/>
        </w:numPr>
        <w:rPr>
          <w:rFonts w:ascii="Arial" w:cs="Arial" w:eastAsia="Arial" w:hAnsi="Arial"/>
          <w:sz w:val="16"/>
          <w:szCs w:val="16"/>
          <w:color w:val="665B4F"/>
        </w:rPr>
      </w:pPr>
      <w:r>
        <w:rPr>
          <w:rFonts w:ascii="Arial" w:cs="Arial" w:eastAsia="Arial" w:hAnsi="Arial"/>
          <w:sz w:val="16"/>
          <w:szCs w:val="16"/>
          <w:color w:val="auto"/>
        </w:rPr>
        <w:t>Ms. Webb brings to our Board significant industry expertise in travel &amp; tourism, hospitality, food &amp; beverage, media &amp; entertainment, retailing, and facilities services. Ms. Webb’s experience developing award-winning investor relations, strategic communications, and brand-building programs will contribute to the Board’s ability to provide creative solutions in strategic planning and 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100965</wp:posOffset>
            </wp:positionV>
            <wp:extent cx="6997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640"/>
          </w:cols>
          <w:pgMar w:left="240" w:top="459" w:right="439" w:bottom="1440" w:gutter="0" w:footer="0" w:header="0"/>
          <w:type w:val="continuous"/>
        </w:sectPr>
      </w:pPr>
    </w:p>
    <w:p>
      <w:pPr>
        <w:spacing w:after="0" w:line="229" w:lineRule="exact"/>
        <w:rPr>
          <w:sz w:val="20"/>
          <w:szCs w:val="20"/>
          <w:color w:val="auto"/>
        </w:rPr>
      </w:pPr>
    </w:p>
    <w:p>
      <w:pPr>
        <w:ind w:left="8940"/>
        <w:spacing w:after="0"/>
        <w:tabs>
          <w:tab w:leader="none" w:pos="10920" w:val="left"/>
          <w:tab w:leader="none" w:pos="1112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6</w:t>
      </w:r>
    </w:p>
    <w:p>
      <w:pPr>
        <w:sectPr>
          <w:pgSz w:w="11900" w:h="16838" w:orient="portrait"/>
          <w:cols w:equalWidth="0" w:num="1">
            <w:col w:w="11220"/>
          </w:cols>
          <w:pgMar w:left="24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665B4F"/>
        </w:rPr>
        <w:t>OUR BOARD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ROBERT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-1624965</wp:posOffset>
            </wp:positionV>
            <wp:extent cx="1809750" cy="1303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18097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DIRECTOR SINCE OCTOBER 2002</w:t>
      </w:r>
    </w:p>
    <w:p>
      <w:pPr>
        <w:spacing w:after="0" w:line="140" w:lineRule="exact"/>
        <w:rPr>
          <w:sz w:val="20"/>
          <w:szCs w:val="20"/>
          <w:color w:val="auto"/>
        </w:rPr>
      </w:pPr>
    </w:p>
    <w:p>
      <w:pPr>
        <w:ind w:left="200" w:right="280"/>
        <w:spacing w:after="0" w:line="275" w:lineRule="auto"/>
        <w:rPr>
          <w:sz w:val="20"/>
          <w:szCs w:val="20"/>
          <w:color w:val="auto"/>
        </w:rPr>
      </w:pPr>
      <w:r>
        <w:rPr>
          <w:rFonts w:ascii="Arial" w:cs="Arial" w:eastAsia="Arial" w:hAnsi="Arial"/>
          <w:sz w:val="16"/>
          <w:szCs w:val="16"/>
          <w:b w:val="1"/>
          <w:bCs w:val="1"/>
          <w:color w:val="665B4F"/>
        </w:rPr>
        <w:t>TERM EXPIRES: 2020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 xml:space="preserve">Governor Miller </w:t>
      </w:r>
      <w:r>
        <w:rPr>
          <w:rFonts w:ascii="Arial" w:cs="Arial" w:eastAsia="Arial" w:hAnsi="Arial"/>
          <w:sz w:val="16"/>
          <w:szCs w:val="16"/>
          <w:color w:val="auto"/>
        </w:rPr>
        <w:t>served the longest period as a Governor of the State of Nevada. Governor Miller is also</w:t>
      </w:r>
      <w:r>
        <w:rPr>
          <w:rFonts w:ascii="Arial" w:cs="Arial" w:eastAsia="Arial" w:hAnsi="Arial"/>
          <w:sz w:val="16"/>
          <w:szCs w:val="16"/>
          <w:b w:val="1"/>
          <w:bCs w:val="1"/>
          <w:color w:val="auto"/>
        </w:rPr>
        <w:t xml:space="preserve"> </w:t>
      </w:r>
      <w:r>
        <w:rPr>
          <w:rFonts w:ascii="Arial" w:cs="Arial" w:eastAsia="Arial" w:hAnsi="Arial"/>
          <w:sz w:val="16"/>
          <w:szCs w:val="16"/>
          <w:color w:val="auto"/>
        </w:rPr>
        <w:t>the Wynn Resorts Compliance Director. In September 2000, Governor Miller founded Robert J. Miller Consulting, a company that provides assistance in establishing relationships with, and building partnerships between, private and government entities on the local, state, national and international level.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PREVIOUS EXPERIENCE</w:t>
      </w:r>
    </w:p>
    <w:p>
      <w:pPr>
        <w:spacing w:after="0" w:line="88" w:lineRule="exact"/>
        <w:rPr>
          <w:sz w:val="20"/>
          <w:szCs w:val="20"/>
          <w:color w:val="auto"/>
        </w:rPr>
      </w:pPr>
    </w:p>
    <w:p>
      <w:pPr>
        <w:ind w:left="300" w:hanging="190"/>
        <w:spacing w:after="0"/>
        <w:tabs>
          <w:tab w:leader="none" w:pos="300" w:val="left"/>
        </w:tabs>
        <w:numPr>
          <w:ilvl w:val="0"/>
          <w:numId w:val="31"/>
        </w:numPr>
        <w:rPr>
          <w:rFonts w:ascii="Arial" w:cs="Arial" w:eastAsia="Arial" w:hAnsi="Arial"/>
          <w:sz w:val="16"/>
          <w:szCs w:val="16"/>
          <w:color w:val="665B4F"/>
        </w:rPr>
      </w:pPr>
      <w:r>
        <w:rPr>
          <w:rFonts w:ascii="Arial" w:cs="Arial" w:eastAsia="Arial" w:hAnsi="Arial"/>
          <w:sz w:val="16"/>
          <w:szCs w:val="16"/>
          <w:color w:val="auto"/>
        </w:rPr>
        <w:t>1989 to 1999: Governor of the State of Nevada</w:t>
      </w:r>
    </w:p>
    <w:p>
      <w:pPr>
        <w:spacing w:after="0" w:line="140" w:lineRule="exact"/>
        <w:rPr>
          <w:rFonts w:ascii="Arial" w:cs="Arial" w:eastAsia="Arial" w:hAnsi="Arial"/>
          <w:sz w:val="16"/>
          <w:szCs w:val="16"/>
          <w:color w:val="665B4F"/>
        </w:rPr>
      </w:pPr>
    </w:p>
    <w:p>
      <w:pPr>
        <w:ind w:left="300" w:hanging="190"/>
        <w:spacing w:after="0"/>
        <w:tabs>
          <w:tab w:leader="none" w:pos="300" w:val="left"/>
        </w:tabs>
        <w:numPr>
          <w:ilvl w:val="0"/>
          <w:numId w:val="31"/>
        </w:numPr>
        <w:rPr>
          <w:rFonts w:ascii="Arial" w:cs="Arial" w:eastAsia="Arial" w:hAnsi="Arial"/>
          <w:sz w:val="16"/>
          <w:szCs w:val="16"/>
          <w:color w:val="665B4F"/>
        </w:rPr>
      </w:pPr>
      <w:r>
        <w:rPr>
          <w:rFonts w:ascii="Arial" w:cs="Arial" w:eastAsia="Arial" w:hAnsi="Arial"/>
          <w:sz w:val="16"/>
          <w:szCs w:val="16"/>
          <w:color w:val="auto"/>
        </w:rPr>
        <w:t>1996 to 1997: Chairman of the National Governors Association</w:t>
      </w:r>
    </w:p>
    <w:p>
      <w:pPr>
        <w:spacing w:after="0" w:line="140" w:lineRule="exact"/>
        <w:rPr>
          <w:rFonts w:ascii="Arial" w:cs="Arial" w:eastAsia="Arial" w:hAnsi="Arial"/>
          <w:sz w:val="16"/>
          <w:szCs w:val="16"/>
          <w:color w:val="665B4F"/>
        </w:rPr>
      </w:pPr>
    </w:p>
    <w:p>
      <w:pPr>
        <w:jc w:val="both"/>
        <w:ind w:left="300" w:right="60" w:hanging="190"/>
        <w:spacing w:after="0" w:line="278" w:lineRule="auto"/>
        <w:tabs>
          <w:tab w:leader="none" w:pos="295" w:val="left"/>
        </w:tabs>
        <w:numPr>
          <w:ilvl w:val="0"/>
          <w:numId w:val="31"/>
        </w:numPr>
        <w:rPr>
          <w:rFonts w:ascii="Arial" w:cs="Arial" w:eastAsia="Arial" w:hAnsi="Arial"/>
          <w:sz w:val="16"/>
          <w:szCs w:val="16"/>
          <w:color w:val="665B4F"/>
        </w:rPr>
      </w:pPr>
      <w:r>
        <w:rPr>
          <w:rFonts w:ascii="Arial" w:cs="Arial" w:eastAsia="Arial" w:hAnsi="Arial"/>
          <w:sz w:val="16"/>
          <w:szCs w:val="16"/>
          <w:color w:val="auto"/>
        </w:rPr>
        <w:t>Governor Miller has served as the Clark County District Attorney, the President of the National District Attorney’s Association, a Justice of the Peace, Police Department Attorney &amp; Deputy District Attorney</w:t>
      </w:r>
    </w:p>
    <w:p>
      <w:pPr>
        <w:spacing w:after="0" w:line="86" w:lineRule="exact"/>
        <w:rPr>
          <w:rFonts w:ascii="Arial" w:cs="Arial" w:eastAsia="Arial" w:hAnsi="Arial"/>
          <w:sz w:val="16"/>
          <w:szCs w:val="16"/>
          <w:color w:val="665B4F"/>
        </w:rPr>
      </w:pPr>
    </w:p>
    <w:p>
      <w:pPr>
        <w:ind w:left="300" w:right="800" w:hanging="190"/>
        <w:spacing w:after="0" w:line="278" w:lineRule="auto"/>
        <w:tabs>
          <w:tab w:leader="none" w:pos="295" w:val="left"/>
        </w:tabs>
        <w:numPr>
          <w:ilvl w:val="0"/>
          <w:numId w:val="31"/>
        </w:numPr>
        <w:rPr>
          <w:rFonts w:ascii="Arial" w:cs="Arial" w:eastAsia="Arial" w:hAnsi="Arial"/>
          <w:sz w:val="16"/>
          <w:szCs w:val="16"/>
          <w:color w:val="665B4F"/>
        </w:rPr>
      </w:pPr>
      <w:r>
        <w:rPr>
          <w:rFonts w:ascii="Arial" w:cs="Arial" w:eastAsia="Arial" w:hAnsi="Arial"/>
          <w:sz w:val="16"/>
          <w:szCs w:val="16"/>
          <w:color w:val="auto"/>
        </w:rPr>
        <w:t>Previously served on other public boards including America West Airlines, Newmont Mining Corporation, Zenith Insurance Company, and International Game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EDUCATION</w:t>
      </w:r>
    </w:p>
    <w:p>
      <w:pPr>
        <w:spacing w:after="0" w:line="88" w:lineRule="exact"/>
        <w:rPr>
          <w:sz w:val="20"/>
          <w:szCs w:val="20"/>
          <w:color w:val="auto"/>
        </w:rPr>
      </w:pPr>
    </w:p>
    <w:p>
      <w:pPr>
        <w:ind w:left="300" w:right="580" w:hanging="190"/>
        <w:spacing w:after="0" w:line="278" w:lineRule="auto"/>
        <w:tabs>
          <w:tab w:leader="none" w:pos="295" w:val="left"/>
        </w:tabs>
        <w:numPr>
          <w:ilvl w:val="0"/>
          <w:numId w:val="32"/>
        </w:numPr>
        <w:rPr>
          <w:rFonts w:ascii="Arial" w:cs="Arial" w:eastAsia="Arial" w:hAnsi="Arial"/>
          <w:sz w:val="16"/>
          <w:szCs w:val="16"/>
          <w:color w:val="665B4F"/>
        </w:rPr>
      </w:pPr>
      <w:r>
        <w:rPr>
          <w:rFonts w:ascii="Arial" w:cs="Arial" w:eastAsia="Arial" w:hAnsi="Arial"/>
          <w:sz w:val="16"/>
          <w:szCs w:val="16"/>
          <w:color w:val="auto"/>
        </w:rPr>
        <w:t>Governor Miller graduated with B.A. in Political Science from the University of Santa Clara and received his J.D. from Loyola School, Los Angeles.</w:t>
      </w:r>
    </w:p>
    <w:p>
      <w:pPr>
        <w:spacing w:after="0" w:line="184" w:lineRule="exact"/>
        <w:rPr>
          <w:sz w:val="20"/>
          <w:szCs w:val="20"/>
          <w:color w:val="auto"/>
        </w:rPr>
      </w:pPr>
    </w:p>
    <w:p>
      <w:pPr>
        <w:sectPr>
          <w:pgSz w:w="11900" w:h="16838" w:orient="portrait"/>
          <w:cols w:equalWidth="0" w:num="2">
            <w:col w:w="2860" w:space="720"/>
            <w:col w:w="7620"/>
          </w:cols>
          <w:pgMar w:left="240" w:top="459" w:right="459" w:bottom="1440" w:gutter="0" w:footer="0" w:header="0"/>
          <w:type w:val="continuous"/>
        </w:sectPr>
      </w:pPr>
    </w:p>
    <w:p>
      <w:pPr>
        <w:spacing w:after="0" w:line="10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73</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BOARD COMMITTEES:</w:t>
      </w:r>
    </w:p>
    <w:p>
      <w:pPr>
        <w:spacing w:after="0" w:line="37" w:lineRule="exact"/>
        <w:rPr>
          <w:sz w:val="20"/>
          <w:szCs w:val="20"/>
          <w:color w:val="auto"/>
        </w:rPr>
      </w:pPr>
    </w:p>
    <w:p>
      <w:pPr>
        <w:ind w:left="200" w:right="760"/>
        <w:spacing w:after="0" w:line="253" w:lineRule="auto"/>
        <w:rPr>
          <w:sz w:val="20"/>
          <w:szCs w:val="20"/>
          <w:color w:val="auto"/>
        </w:rPr>
      </w:pPr>
      <w:r>
        <w:rPr>
          <w:rFonts w:ascii="Arial" w:cs="Arial" w:eastAsia="Arial" w:hAnsi="Arial"/>
          <w:sz w:val="14"/>
          <w:szCs w:val="14"/>
          <w:color w:val="auto"/>
        </w:rPr>
        <w:t>Corporate Governance, Chair Compliance, Chair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510540</wp:posOffset>
            </wp:positionV>
            <wp:extent cx="608965"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665B4F"/>
        </w:rPr>
        <w:t>EXPERTISE</w:t>
      </w:r>
    </w:p>
    <w:p>
      <w:pPr>
        <w:spacing w:after="0" w:line="88" w:lineRule="exact"/>
        <w:rPr>
          <w:sz w:val="20"/>
          <w:szCs w:val="20"/>
          <w:color w:val="auto"/>
        </w:rPr>
      </w:pPr>
    </w:p>
    <w:p>
      <w:pPr>
        <w:ind w:left="300" w:hanging="190"/>
        <w:spacing w:after="0" w:line="252" w:lineRule="auto"/>
        <w:tabs>
          <w:tab w:leader="none" w:pos="295" w:val="left"/>
        </w:tabs>
        <w:numPr>
          <w:ilvl w:val="0"/>
          <w:numId w:val="33"/>
        </w:numPr>
        <w:rPr>
          <w:rFonts w:ascii="Arial" w:cs="Arial" w:eastAsia="Arial" w:hAnsi="Arial"/>
          <w:sz w:val="16"/>
          <w:szCs w:val="16"/>
          <w:color w:val="665B4F"/>
        </w:rPr>
      </w:pPr>
      <w:r>
        <w:rPr>
          <w:rFonts w:ascii="Arial" w:cs="Arial" w:eastAsia="Arial" w:hAnsi="Arial"/>
          <w:sz w:val="16"/>
          <w:szCs w:val="16"/>
          <w:color w:val="auto"/>
        </w:rPr>
        <w:t>Governor Miller’s extensive experience in regulatory and legal compliance, and in Nevada and federal government and politics, brings unique expertise and insight into law enforcement and state regulatory and public policy issues that directly impact the Company’s operations. In addition, his legal background and knowledge of Nevada gaming regulation support his service as Chairman of the Company’s Corporate Compliance Committee, which role is important in maintaining our regulatory structure and probity.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103505</wp:posOffset>
            </wp:positionV>
            <wp:extent cx="6997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620"/>
          </w:cols>
          <w:pgMar w:left="240" w:top="459" w:right="459" w:bottom="1440" w:gutter="0" w:footer="0" w:header="0"/>
          <w:type w:val="continuous"/>
        </w:sectPr>
      </w:pPr>
    </w:p>
    <w:p>
      <w:pPr>
        <w:spacing w:after="0" w:line="143" w:lineRule="exact"/>
        <w:rPr>
          <w:sz w:val="20"/>
          <w:szCs w:val="20"/>
          <w:color w:val="auto"/>
        </w:rPr>
      </w:pPr>
    </w:p>
    <w:p>
      <w:pPr>
        <w:ind w:left="440" w:hanging="236"/>
        <w:spacing w:after="0"/>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t>
      </w:r>
    </w:p>
    <w:p>
      <w:pPr>
        <w:sectPr>
          <w:pgSz w:w="11900" w:h="16838" w:orient="portrait"/>
          <w:cols w:equalWidth="0" w:num="1">
            <w:col w:w="11200"/>
          </w:cols>
          <w:pgMar w:left="240" w:top="459" w:right="4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5B4F"/>
        </w:rPr>
        <w:t>OUR BOARD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274955</wp:posOffset>
            </wp:positionV>
            <wp:extent cx="6997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580" w:right="160"/>
        <w:spacing w:after="0" w:line="254" w:lineRule="auto"/>
        <w:rPr>
          <w:sz w:val="20"/>
          <w:szCs w:val="20"/>
          <w:color w:val="auto"/>
        </w:rPr>
      </w:pPr>
      <w:r>
        <w:rPr>
          <w:rFonts w:ascii="Arial" w:cs="Arial" w:eastAsia="Arial" w:hAnsi="Arial"/>
          <w:sz w:val="16"/>
          <w:szCs w:val="16"/>
          <w:b w:val="1"/>
          <w:bCs w:val="1"/>
          <w:color w:val="auto"/>
        </w:rPr>
        <w:t xml:space="preserve">Ambassador Randt </w:t>
      </w:r>
      <w:r>
        <w:rPr>
          <w:rFonts w:ascii="Arial" w:cs="Arial" w:eastAsia="Arial" w:hAnsi="Arial"/>
          <w:sz w:val="16"/>
          <w:szCs w:val="16"/>
          <w:color w:val="auto"/>
        </w:rPr>
        <w:t>is currently President of Randt &amp; Co. LLC, which advises firms with interests in</w:t>
      </w:r>
      <w:r>
        <w:rPr>
          <w:rFonts w:ascii="Arial" w:cs="Arial" w:eastAsia="Arial" w:hAnsi="Arial"/>
          <w:sz w:val="16"/>
          <w:szCs w:val="16"/>
          <w:b w:val="1"/>
          <w:bCs w:val="1"/>
          <w:color w:val="auto"/>
        </w:rPr>
        <w:t xml:space="preserve"> </w:t>
      </w:r>
      <w:r>
        <w:rPr>
          <w:rFonts w:ascii="Arial" w:cs="Arial" w:eastAsia="Arial" w:hAnsi="Arial"/>
          <w:sz w:val="16"/>
          <w:szCs w:val="16"/>
          <w:color w:val="auto"/>
        </w:rPr>
        <w:t>China. Ambassador Randt has been a Director of Valmont Industries since February 2009, a Director of United Parcel Service since August 2010, and a Director of Qualcomm Inc. since October 2013. Ambassador Randt is also a member of the Council on Foreign Relations. Ambassador Randt is a member of the New York State Bar Association and was admitted to the Hong Kong Bar Association and has over 25 years of experience in cross-border corporate and finance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-729615</wp:posOffset>
            </wp:positionV>
            <wp:extent cx="1809750" cy="1303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8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665B4F"/>
        </w:rPr>
        <w:t>PREVIOUS EXPERIENCE</w:t>
      </w:r>
    </w:p>
    <w:p>
      <w:pPr>
        <w:spacing w:after="0" w:line="88" w:lineRule="exact"/>
        <w:rPr>
          <w:sz w:val="20"/>
          <w:szCs w:val="20"/>
          <w:color w:val="auto"/>
        </w:rPr>
      </w:pPr>
    </w:p>
    <w:p>
      <w:pPr>
        <w:ind w:left="3880" w:hanging="190"/>
        <w:spacing w:after="0"/>
        <w:tabs>
          <w:tab w:leader="none" w:pos="3880" w:val="left"/>
        </w:tabs>
        <w:numPr>
          <w:ilvl w:val="0"/>
          <w:numId w:val="35"/>
        </w:numPr>
        <w:rPr>
          <w:rFonts w:ascii="Arial" w:cs="Arial" w:eastAsia="Arial" w:hAnsi="Arial"/>
          <w:sz w:val="16"/>
          <w:szCs w:val="16"/>
          <w:color w:val="665B4F"/>
        </w:rPr>
      </w:pPr>
      <w:r>
        <w:rPr>
          <w:rFonts w:ascii="Arial" w:cs="Arial" w:eastAsia="Arial" w:hAnsi="Arial"/>
          <w:sz w:val="16"/>
          <w:szCs w:val="16"/>
          <w:color w:val="auto"/>
        </w:rPr>
        <w:t>2001 to 2009: United States Ambassador to the People’s Republic of China</w:t>
      </w:r>
    </w:p>
    <w:p>
      <w:pPr>
        <w:spacing w:after="0" w:line="140" w:lineRule="exact"/>
        <w:rPr>
          <w:rFonts w:ascii="Arial" w:cs="Arial" w:eastAsia="Arial" w:hAnsi="Arial"/>
          <w:sz w:val="16"/>
          <w:szCs w:val="16"/>
          <w:color w:val="665B4F"/>
        </w:rPr>
      </w:pPr>
    </w:p>
    <w:p>
      <w:pPr>
        <w:ind w:left="3880" w:hanging="190"/>
        <w:spacing w:after="0"/>
        <w:tabs>
          <w:tab w:leader="none" w:pos="3880" w:val="left"/>
        </w:tabs>
        <w:numPr>
          <w:ilvl w:val="0"/>
          <w:numId w:val="35"/>
        </w:numPr>
        <w:rPr>
          <w:rFonts w:ascii="Arial" w:cs="Arial" w:eastAsia="Arial" w:hAnsi="Arial"/>
          <w:sz w:val="16"/>
          <w:szCs w:val="16"/>
          <w:color w:val="665B4F"/>
        </w:rPr>
      </w:pPr>
      <w:r>
        <w:rPr>
          <w:rFonts w:ascii="Arial" w:cs="Arial" w:eastAsia="Arial" w:hAnsi="Arial"/>
          <w:sz w:val="16"/>
          <w:szCs w:val="16"/>
          <w:color w:val="auto"/>
        </w:rPr>
        <w:t>Previously partner at Shearman &amp; Sterling, head of China practice</w:t>
      </w:r>
    </w:p>
    <w:p>
      <w:pPr>
        <w:sectPr>
          <w:pgSz w:w="11900" w:h="16838" w:orient="portrait"/>
          <w:cols w:equalWidth="0" w:num="1">
            <w:col w:w="11220"/>
          </w:cols>
          <w:pgMar w:left="240" w:top="459" w:right="439" w:bottom="1440" w:gutter="0" w:footer="0" w:header="0"/>
        </w:sectPr>
      </w:pPr>
    </w:p>
    <w:p>
      <w:pPr>
        <w:spacing w:after="0" w:line="11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CLARK T. RANDT JR.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665B4F"/>
        </w:rPr>
        <w:t>EDUCATION</w:t>
      </w:r>
    </w:p>
    <w:p>
      <w:pPr>
        <w:spacing w:after="0" w:line="88" w:lineRule="exact"/>
        <w:rPr>
          <w:sz w:val="20"/>
          <w:szCs w:val="20"/>
          <w:color w:val="auto"/>
        </w:rPr>
      </w:pPr>
    </w:p>
    <w:p>
      <w:pPr>
        <w:sectPr>
          <w:pgSz w:w="11900" w:h="16838" w:orient="portrait"/>
          <w:cols w:equalWidth="0" w:num="2">
            <w:col w:w="2860" w:space="720"/>
            <w:col w:w="7640"/>
          </w:cols>
          <w:pgMar w:left="240" w:top="459" w:right="439" w:bottom="1440" w:gutter="0" w:footer="0" w:header="0"/>
          <w:type w:val="continuous"/>
        </w:sectPr>
      </w:pPr>
    </w:p>
    <w:p>
      <w:pPr>
        <w:ind w:left="3700" w:right="200" w:hanging="3670"/>
        <w:spacing w:after="0" w:line="293" w:lineRule="auto"/>
        <w:tabs>
          <w:tab w:leader="none" w:pos="3680" w:val="left"/>
        </w:tabs>
        <w:rPr>
          <w:sz w:val="20"/>
          <w:szCs w:val="20"/>
          <w:color w:val="auto"/>
        </w:rPr>
      </w:pPr>
      <w:r>
        <w:rPr>
          <w:rFonts w:ascii="Arial" w:cs="Arial" w:eastAsia="Arial" w:hAnsi="Arial"/>
          <w:sz w:val="14"/>
          <w:szCs w:val="14"/>
          <w:color w:val="auto"/>
        </w:rPr>
        <w:t>President, Randt &amp; Co. LLC</w:t>
      </w:r>
      <w:r>
        <w:rPr>
          <w:sz w:val="20"/>
          <w:szCs w:val="20"/>
          <w:color w:val="auto"/>
        </w:rPr>
        <w:tab/>
      </w:r>
      <w:r>
        <w:rPr>
          <w:rFonts w:ascii="Arial" w:cs="Arial" w:eastAsia="Arial" w:hAnsi="Arial"/>
          <w:sz w:val="16"/>
          <w:szCs w:val="16"/>
          <w:color w:val="665B4F"/>
        </w:rPr>
        <w:t xml:space="preserve">• </w:t>
      </w:r>
      <w:r>
        <w:rPr>
          <w:rFonts w:ascii="Arial" w:cs="Arial" w:eastAsia="Arial" w:hAnsi="Arial"/>
          <w:sz w:val="16"/>
          <w:szCs w:val="16"/>
          <w:color w:val="000000"/>
        </w:rPr>
        <w:t>Ambassador Randt graduated with a B.A. from Yale University, and has a J.D. from the University of</w:t>
      </w:r>
      <w:r>
        <w:rPr>
          <w:rFonts w:ascii="Arial" w:cs="Arial" w:eastAsia="Arial" w:hAnsi="Arial"/>
          <w:sz w:val="16"/>
          <w:szCs w:val="16"/>
          <w:color w:val="665B4F"/>
        </w:rPr>
        <w:t xml:space="preserve"> </w:t>
      </w:r>
      <w:r>
        <w:rPr>
          <w:rFonts w:ascii="Arial" w:cs="Arial" w:eastAsia="Arial" w:hAnsi="Arial"/>
          <w:sz w:val="16"/>
          <w:szCs w:val="16"/>
          <w:color w:val="000000"/>
        </w:rPr>
        <w:t>Michigan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-29845</wp:posOffset>
            </wp:positionV>
            <wp:extent cx="18097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DIRECTOR SINCE OCTOBER 2015</w:t>
      </w:r>
    </w:p>
    <w:p>
      <w:pPr>
        <w:spacing w:after="0" w:line="140" w:lineRule="exact"/>
        <w:rPr>
          <w:sz w:val="20"/>
          <w:szCs w:val="20"/>
          <w:color w:val="auto"/>
        </w:rPr>
      </w:pPr>
    </w:p>
    <w:p>
      <w:pPr>
        <w:ind w:left="200" w:right="280"/>
        <w:spacing w:after="0" w:line="298" w:lineRule="auto"/>
        <w:rPr>
          <w:sz w:val="20"/>
          <w:szCs w:val="20"/>
          <w:color w:val="auto"/>
        </w:rPr>
      </w:pPr>
      <w:r>
        <w:rPr>
          <w:rFonts w:ascii="Arial" w:cs="Arial" w:eastAsia="Arial" w:hAnsi="Arial"/>
          <w:sz w:val="16"/>
          <w:szCs w:val="16"/>
          <w:b w:val="1"/>
          <w:bCs w:val="1"/>
          <w:color w:val="665B4F"/>
        </w:rPr>
        <w:t>TERM EXPIRES: 2020 ANNUAL MEETING</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72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EXPERTISE</w:t>
      </w:r>
    </w:p>
    <w:p>
      <w:pPr>
        <w:spacing w:after="0" w:line="88" w:lineRule="exact"/>
        <w:rPr>
          <w:sz w:val="20"/>
          <w:szCs w:val="20"/>
          <w:color w:val="auto"/>
        </w:rPr>
      </w:pPr>
    </w:p>
    <w:p>
      <w:pPr>
        <w:ind w:left="300" w:right="100" w:hanging="190"/>
        <w:spacing w:after="0" w:line="254" w:lineRule="auto"/>
        <w:tabs>
          <w:tab w:leader="none" w:pos="287" w:val="left"/>
        </w:tabs>
        <w:numPr>
          <w:ilvl w:val="0"/>
          <w:numId w:val="36"/>
        </w:numPr>
        <w:rPr>
          <w:rFonts w:ascii="Arial" w:cs="Arial" w:eastAsia="Arial" w:hAnsi="Arial"/>
          <w:sz w:val="16"/>
          <w:szCs w:val="16"/>
          <w:color w:val="665B4F"/>
        </w:rPr>
      </w:pPr>
      <w:r>
        <w:rPr>
          <w:rFonts w:ascii="Arial" w:cs="Arial" w:eastAsia="Arial" w:hAnsi="Arial"/>
          <w:sz w:val="16"/>
          <w:szCs w:val="16"/>
          <w:color w:val="auto"/>
        </w:rPr>
        <w:t>Ambassador Randt’s service as the U.S. Ambassador to the People’s Republic of China and his ongoing expertise regarding China give him a unique perspective on international business and foreign policy issues. Additionally, his fluency in Mandarin Chinese and extensive China experience make him well-suited to meaningfully contribute to the Board’s oversight of the Company’s operations in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160655</wp:posOffset>
            </wp:positionV>
            <wp:extent cx="6997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640"/>
          </w:cols>
          <w:pgMar w:left="240" w:top="459" w:right="439" w:bottom="1440" w:gutter="0" w:footer="0" w:header="0"/>
          <w:type w:val="continuous"/>
        </w:sectPr>
      </w:pPr>
    </w:p>
    <w:p>
      <w:pPr>
        <w:spacing w:after="0" w:line="333" w:lineRule="exact"/>
        <w:rPr>
          <w:sz w:val="20"/>
          <w:szCs w:val="20"/>
          <w:color w:val="auto"/>
        </w:rPr>
      </w:pPr>
    </w:p>
    <w:p>
      <w:pPr>
        <w:ind w:left="4340" w:right="300"/>
        <w:spacing w:after="0" w:line="266" w:lineRule="auto"/>
        <w:rPr>
          <w:sz w:val="20"/>
          <w:szCs w:val="20"/>
          <w:color w:val="auto"/>
        </w:rPr>
      </w:pPr>
      <w:r>
        <w:rPr>
          <w:rFonts w:ascii="Arial" w:cs="Arial" w:eastAsia="Arial" w:hAnsi="Arial"/>
          <w:sz w:val="16"/>
          <w:szCs w:val="16"/>
          <w:b w:val="1"/>
          <w:bCs w:val="1"/>
          <w:color w:val="auto"/>
        </w:rPr>
        <w:t xml:space="preserve">Mr. Wayson </w:t>
      </w:r>
      <w:r>
        <w:rPr>
          <w:rFonts w:ascii="Arial" w:cs="Arial" w:eastAsia="Arial" w:hAnsi="Arial"/>
          <w:sz w:val="16"/>
          <w:szCs w:val="16"/>
          <w:color w:val="auto"/>
        </w:rPr>
        <w:t>has been the managing general partner of 3W, LLC, a real estate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holding company, since 2010. He also serves as an officer and/or director of other real estate and business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-376555</wp:posOffset>
            </wp:positionV>
            <wp:extent cx="1809750" cy="1303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7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665B4F"/>
        </w:rPr>
        <w:t>PREVIOUS EXPERIENCE</w:t>
      </w:r>
    </w:p>
    <w:p>
      <w:pPr>
        <w:spacing w:after="0" w:line="88" w:lineRule="exact"/>
        <w:rPr>
          <w:sz w:val="20"/>
          <w:szCs w:val="20"/>
          <w:color w:val="auto"/>
        </w:rPr>
      </w:pPr>
    </w:p>
    <w:p>
      <w:pPr>
        <w:ind w:left="4640" w:right="80" w:hanging="180"/>
        <w:spacing w:after="0" w:line="278" w:lineRule="auto"/>
        <w:tabs>
          <w:tab w:leader="none" w:pos="4635" w:val="left"/>
        </w:tabs>
        <w:numPr>
          <w:ilvl w:val="0"/>
          <w:numId w:val="37"/>
        </w:numPr>
        <w:rPr>
          <w:rFonts w:ascii="Arial" w:cs="Arial" w:eastAsia="Arial" w:hAnsi="Arial"/>
          <w:sz w:val="16"/>
          <w:szCs w:val="16"/>
          <w:color w:val="665B4F"/>
        </w:rPr>
      </w:pPr>
      <w:r>
        <w:rPr>
          <w:rFonts w:ascii="Arial" w:cs="Arial" w:eastAsia="Arial" w:hAnsi="Arial"/>
          <w:sz w:val="16"/>
          <w:szCs w:val="16"/>
          <w:color w:val="auto"/>
        </w:rPr>
        <w:t>1970 to 2017: Principal, Wayson’s Properties, Incorporated, a real estate development and holding company</w:t>
      </w:r>
    </w:p>
    <w:p>
      <w:pPr>
        <w:spacing w:after="0" w:line="18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665B4F"/>
        </w:rPr>
        <w:t>EDUCATION</w:t>
      </w:r>
    </w:p>
    <w:p>
      <w:pPr>
        <w:spacing w:after="0" w:line="88" w:lineRule="exact"/>
        <w:rPr>
          <w:sz w:val="20"/>
          <w:szCs w:val="20"/>
          <w:color w:val="auto"/>
        </w:rPr>
      </w:pPr>
    </w:p>
    <w:p>
      <w:pPr>
        <w:ind w:left="4640" w:hanging="180"/>
        <w:spacing w:after="0"/>
        <w:tabs>
          <w:tab w:leader="none" w:pos="4640" w:val="left"/>
        </w:tabs>
        <w:numPr>
          <w:ilvl w:val="0"/>
          <w:numId w:val="38"/>
        </w:numPr>
        <w:rPr>
          <w:rFonts w:ascii="Arial" w:cs="Arial" w:eastAsia="Arial" w:hAnsi="Arial"/>
          <w:sz w:val="16"/>
          <w:szCs w:val="16"/>
          <w:color w:val="665B4F"/>
        </w:rPr>
      </w:pPr>
      <w:r>
        <w:rPr>
          <w:rFonts w:ascii="Arial" w:cs="Arial" w:eastAsia="Arial" w:hAnsi="Arial"/>
          <w:sz w:val="16"/>
          <w:szCs w:val="16"/>
          <w:color w:val="auto"/>
        </w:rPr>
        <w:t>Mr. Wayson graduated with a B.A. from University of North Carolina.</w:t>
      </w:r>
    </w:p>
    <w:p>
      <w:pPr>
        <w:sectPr>
          <w:pgSz w:w="11900" w:h="16838" w:orient="portrait"/>
          <w:cols w:equalWidth="0" w:num="1">
            <w:col w:w="11220"/>
          </w:cols>
          <w:pgMar w:left="240" w:top="459" w:right="439" w:bottom="1440" w:gutter="0" w:footer="0" w:header="0"/>
          <w:type w:val="continuous"/>
        </w:sectPr>
      </w:pPr>
    </w:p>
    <w:p>
      <w:pPr>
        <w:spacing w:after="0" w:line="102"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D. BOONE WAYSON</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Managing General Partner, 3W,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22980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DIRECTOR SINCE AUGUST 2003</w:t>
      </w:r>
    </w:p>
    <w:p>
      <w:pPr>
        <w:spacing w:after="0" w:line="140" w:lineRule="exact"/>
        <w:rPr>
          <w:sz w:val="20"/>
          <w:szCs w:val="20"/>
          <w:color w:val="auto"/>
        </w:rPr>
      </w:pPr>
    </w:p>
    <w:p>
      <w:pPr>
        <w:ind w:left="200"/>
        <w:spacing w:after="0" w:line="298" w:lineRule="auto"/>
        <w:rPr>
          <w:sz w:val="20"/>
          <w:szCs w:val="20"/>
          <w:color w:val="auto"/>
        </w:rPr>
      </w:pPr>
      <w:r>
        <w:rPr>
          <w:rFonts w:ascii="Arial" w:cs="Arial" w:eastAsia="Arial" w:hAnsi="Arial"/>
          <w:sz w:val="16"/>
          <w:szCs w:val="16"/>
          <w:b w:val="1"/>
          <w:bCs w:val="1"/>
          <w:color w:val="665B4F"/>
        </w:rPr>
        <w:t>NON-EXECUTIVE CHAIRMAN OF THE BOARD SINCE FEBRUARY 2018</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TERM EXPIRES: 2020 ANNUAL MEETING</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65</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BOARD COMMITTEES:</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Corporate Governance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Audit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EXPERTISE</w:t>
      </w:r>
    </w:p>
    <w:p>
      <w:pPr>
        <w:spacing w:after="0" w:line="88" w:lineRule="exact"/>
        <w:rPr>
          <w:sz w:val="20"/>
          <w:szCs w:val="20"/>
          <w:color w:val="auto"/>
        </w:rPr>
      </w:pPr>
    </w:p>
    <w:p>
      <w:pPr>
        <w:ind w:left="300" w:right="60" w:hanging="180"/>
        <w:spacing w:after="0" w:line="251" w:lineRule="auto"/>
        <w:tabs>
          <w:tab w:leader="none" w:pos="295" w:val="left"/>
        </w:tabs>
        <w:numPr>
          <w:ilvl w:val="0"/>
          <w:numId w:val="39"/>
        </w:numPr>
        <w:rPr>
          <w:rFonts w:ascii="Arial" w:cs="Arial" w:eastAsia="Arial" w:hAnsi="Arial"/>
          <w:sz w:val="16"/>
          <w:szCs w:val="16"/>
          <w:color w:val="665B4F"/>
        </w:rPr>
      </w:pPr>
      <w:r>
        <w:rPr>
          <w:rFonts w:ascii="Arial" w:cs="Arial" w:eastAsia="Arial" w:hAnsi="Arial"/>
          <w:sz w:val="16"/>
          <w:szCs w:val="16"/>
          <w:color w:val="auto"/>
        </w:rPr>
        <w:t>Mr. Wayson’s experience in the real estate and gaming businesses contributes to the Board’s ability to assess and oversee these critical aspects of the Company’s business and to provide insights to the Company’s operations. Mr. Wayson has extensive operational experience in the casino finance and marketing areas, beginning as casino controller and ultimately managing a resort casino property in Atlantic City, N.J. The Board benefits from Mr. Wayson’s first-hand experience in operations and utilizes his knowledge of the business, especially in the finance, gaming and marketing areas, to identify, manage and monitor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-2621280</wp:posOffset>
            </wp:positionH>
            <wp:positionV relativeFrom="paragraph">
              <wp:posOffset>744855</wp:posOffset>
            </wp:positionV>
            <wp:extent cx="6997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01" w:lineRule="exact"/>
        <w:rPr>
          <w:sz w:val="20"/>
          <w:szCs w:val="20"/>
          <w:color w:val="auto"/>
        </w:rPr>
      </w:pPr>
    </w:p>
    <w:p>
      <w:pPr>
        <w:sectPr>
          <w:pgSz w:w="11900" w:h="16838" w:orient="portrait"/>
          <w:cols w:equalWidth="0" w:num="2">
            <w:col w:w="3820" w:space="520"/>
            <w:col w:w="6880"/>
          </w:cols>
          <w:pgMar w:left="240" w:top="459" w:right="439" w:bottom="1440" w:gutter="0" w:footer="0" w:header="0"/>
          <w:type w:val="continuous"/>
        </w:sectPr>
      </w:pPr>
    </w:p>
    <w:p>
      <w:pPr>
        <w:spacing w:after="0" w:line="242" w:lineRule="exact"/>
        <w:rPr>
          <w:sz w:val="20"/>
          <w:szCs w:val="20"/>
          <w:color w:val="auto"/>
        </w:rPr>
      </w:pPr>
    </w:p>
    <w:p>
      <w:pPr>
        <w:ind w:left="8940"/>
        <w:spacing w:after="0"/>
        <w:tabs>
          <w:tab w:leader="none" w:pos="10920" w:val="left"/>
          <w:tab w:leader="none" w:pos="1112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8</w:t>
      </w:r>
    </w:p>
    <w:p>
      <w:pPr>
        <w:sectPr>
          <w:pgSz w:w="11900" w:h="16838" w:orient="portrait"/>
          <w:cols w:equalWidth="0" w:num="1">
            <w:col w:w="11220"/>
          </w:cols>
          <w:pgMar w:left="24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OUR BOARD AND CORPORATE GOVERNANCE</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 COMMITTEES</w:t>
      </w:r>
    </w:p>
    <w:p>
      <w:pPr>
        <w:spacing w:after="0" w:line="124" w:lineRule="exact"/>
        <w:rPr>
          <w:sz w:val="20"/>
          <w:szCs w:val="20"/>
          <w:color w:val="auto"/>
        </w:rPr>
      </w:pPr>
    </w:p>
    <w:p>
      <w:pPr>
        <w:ind w:left="200" w:right="720"/>
        <w:spacing w:after="0" w:line="253" w:lineRule="auto"/>
        <w:rPr>
          <w:sz w:val="20"/>
          <w:szCs w:val="20"/>
          <w:color w:val="auto"/>
        </w:rPr>
      </w:pPr>
      <w:r>
        <w:rPr>
          <w:rFonts w:ascii="Arial" w:cs="Arial" w:eastAsia="Arial" w:hAnsi="Arial"/>
          <w:sz w:val="16"/>
          <w:szCs w:val="16"/>
          <w:color w:val="auto"/>
        </w:rPr>
        <w:t>The Board of Directors has three standing committees, each comprised solely of independent directors: the Audit Committee, the Compensation Committee and the Corporate Governance Committee. The written charters for these Committees are available on our website at http://www.wynnresorts.com under the heading “Corporate Governance” on the Company Information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220980</wp:posOffset>
            </wp:positionV>
            <wp:extent cx="6997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580" w:type="dxa"/>
            <w:vAlign w:val="bottom"/>
            <w:vMerge w:val="restart"/>
          </w:tcPr>
          <w:p>
            <w:pPr>
              <w:ind w:left="60"/>
              <w:spacing w:after="0"/>
              <w:rPr>
                <w:sz w:val="20"/>
                <w:szCs w:val="20"/>
                <w:color w:val="auto"/>
              </w:rPr>
            </w:pPr>
            <w:r>
              <w:rPr>
                <w:rFonts w:ascii="Arial" w:cs="Arial" w:eastAsia="Arial" w:hAnsi="Arial"/>
                <w:sz w:val="14"/>
                <w:szCs w:val="14"/>
                <w:b w:val="1"/>
                <w:bCs w:val="1"/>
                <w:color w:val="665B4F"/>
              </w:rPr>
              <w:t>DIRECTOR</w:t>
            </w:r>
          </w:p>
        </w:tc>
        <w:tc>
          <w:tcPr>
            <w:tcW w:w="2080" w:type="dxa"/>
            <w:vAlign w:val="bottom"/>
          </w:tcPr>
          <w:p>
            <w:pPr>
              <w:ind w:left="680"/>
              <w:spacing w:after="0"/>
              <w:rPr>
                <w:sz w:val="20"/>
                <w:szCs w:val="20"/>
                <w:color w:val="auto"/>
              </w:rPr>
            </w:pPr>
            <w:r>
              <w:rPr>
                <w:rFonts w:ascii="Arial" w:cs="Arial" w:eastAsia="Arial" w:hAnsi="Arial"/>
                <w:sz w:val="14"/>
                <w:szCs w:val="14"/>
                <w:b w:val="1"/>
                <w:bCs w:val="1"/>
                <w:color w:val="665B4F"/>
              </w:rPr>
              <w:t>INDEPENDENT</w:t>
            </w:r>
          </w:p>
        </w:tc>
        <w:tc>
          <w:tcPr>
            <w:tcW w:w="1740" w:type="dxa"/>
            <w:vAlign w:val="bottom"/>
          </w:tcPr>
          <w:p>
            <w:pPr>
              <w:ind w:left="340"/>
              <w:spacing w:after="0"/>
              <w:rPr>
                <w:sz w:val="20"/>
                <w:szCs w:val="20"/>
                <w:color w:val="auto"/>
              </w:rPr>
            </w:pPr>
            <w:r>
              <w:rPr>
                <w:rFonts w:ascii="Arial" w:cs="Arial" w:eastAsia="Arial" w:hAnsi="Arial"/>
                <w:sz w:val="14"/>
                <w:szCs w:val="14"/>
                <w:b w:val="1"/>
                <w:bCs w:val="1"/>
                <w:color w:val="665B4F"/>
              </w:rPr>
              <w:t>AUDIT</w:t>
            </w:r>
          </w:p>
        </w:tc>
        <w:tc>
          <w:tcPr>
            <w:tcW w:w="2020" w:type="dxa"/>
            <w:vAlign w:val="bottom"/>
          </w:tcPr>
          <w:p>
            <w:pPr>
              <w:ind w:left="360"/>
              <w:spacing w:after="0"/>
              <w:rPr>
                <w:sz w:val="20"/>
                <w:szCs w:val="20"/>
                <w:color w:val="auto"/>
              </w:rPr>
            </w:pPr>
            <w:r>
              <w:rPr>
                <w:rFonts w:ascii="Arial" w:cs="Arial" w:eastAsia="Arial" w:hAnsi="Arial"/>
                <w:sz w:val="14"/>
                <w:szCs w:val="14"/>
                <w:b w:val="1"/>
                <w:bCs w:val="1"/>
                <w:color w:val="665B4F"/>
              </w:rPr>
              <w:t>COMPENSATION</w:t>
            </w:r>
          </w:p>
        </w:tc>
        <w:tc>
          <w:tcPr>
            <w:tcW w:w="2600" w:type="dxa"/>
            <w:vAlign w:val="bottom"/>
          </w:tcPr>
          <w:p>
            <w:pPr>
              <w:ind w:left="500"/>
              <w:spacing w:after="0"/>
              <w:rPr>
                <w:sz w:val="20"/>
                <w:szCs w:val="20"/>
                <w:color w:val="auto"/>
              </w:rPr>
            </w:pPr>
            <w:r>
              <w:rPr>
                <w:rFonts w:ascii="Arial" w:cs="Arial" w:eastAsia="Arial" w:hAnsi="Arial"/>
                <w:sz w:val="14"/>
                <w:szCs w:val="14"/>
                <w:b w:val="1"/>
                <w:bCs w:val="1"/>
                <w:color w:val="665B4F"/>
              </w:rPr>
              <w:t>CORPORATE</w:t>
            </w:r>
          </w:p>
        </w:tc>
        <w:tc>
          <w:tcPr>
            <w:tcW w:w="0" w:type="dxa"/>
            <w:vAlign w:val="bottom"/>
          </w:tcPr>
          <w:p>
            <w:pPr>
              <w:spacing w:after="0"/>
              <w:rPr>
                <w:sz w:val="1"/>
                <w:szCs w:val="1"/>
                <w:color w:val="auto"/>
              </w:rPr>
            </w:pPr>
          </w:p>
        </w:tc>
      </w:tr>
      <w:tr>
        <w:trPr>
          <w:trHeight w:val="132"/>
        </w:trPr>
        <w:tc>
          <w:tcPr>
            <w:tcW w:w="2580" w:type="dxa"/>
            <w:vAlign w:val="bottom"/>
            <w:vMerge w:val="continue"/>
          </w:tcPr>
          <w:p>
            <w:pPr>
              <w:spacing w:after="0"/>
              <w:rPr>
                <w:sz w:val="11"/>
                <w:szCs w:val="11"/>
                <w:color w:val="auto"/>
              </w:rPr>
            </w:pPr>
          </w:p>
        </w:tc>
        <w:tc>
          <w:tcPr>
            <w:tcW w:w="2080" w:type="dxa"/>
            <w:vAlign w:val="bottom"/>
            <w:vMerge w:val="restart"/>
          </w:tcPr>
          <w:p>
            <w:pPr>
              <w:ind w:left="680"/>
              <w:spacing w:after="0"/>
              <w:rPr>
                <w:sz w:val="20"/>
                <w:szCs w:val="20"/>
                <w:color w:val="auto"/>
              </w:rPr>
            </w:pPr>
            <w:r>
              <w:rPr>
                <w:rFonts w:ascii="Arial" w:cs="Arial" w:eastAsia="Arial" w:hAnsi="Arial"/>
                <w:sz w:val="14"/>
                <w:szCs w:val="14"/>
                <w:b w:val="1"/>
                <w:bCs w:val="1"/>
                <w:color w:val="665B4F"/>
              </w:rPr>
              <w:t>DIRECTOR</w:t>
            </w:r>
          </w:p>
        </w:tc>
        <w:tc>
          <w:tcPr>
            <w:tcW w:w="1740" w:type="dxa"/>
            <w:vAlign w:val="bottom"/>
            <w:vMerge w:val="restart"/>
          </w:tcPr>
          <w:p>
            <w:pPr>
              <w:ind w:left="340"/>
              <w:spacing w:after="0"/>
              <w:rPr>
                <w:sz w:val="20"/>
                <w:szCs w:val="20"/>
                <w:color w:val="auto"/>
              </w:rPr>
            </w:pPr>
            <w:r>
              <w:rPr>
                <w:rFonts w:ascii="Arial" w:cs="Arial" w:eastAsia="Arial" w:hAnsi="Arial"/>
                <w:sz w:val="14"/>
                <w:szCs w:val="14"/>
                <w:b w:val="1"/>
                <w:bCs w:val="1"/>
                <w:color w:val="665B4F"/>
              </w:rPr>
              <w:t>COMMITTEE</w:t>
            </w:r>
            <w:r>
              <w:rPr>
                <w:rFonts w:ascii="Arial" w:cs="Arial" w:eastAsia="Arial" w:hAnsi="Arial"/>
                <w:sz w:val="12"/>
                <w:szCs w:val="12"/>
                <w:b w:val="1"/>
                <w:bCs w:val="1"/>
                <w:color w:val="665B4F"/>
              </w:rPr>
              <w:t>(1)</w:t>
            </w:r>
          </w:p>
        </w:tc>
        <w:tc>
          <w:tcPr>
            <w:tcW w:w="2020" w:type="dxa"/>
            <w:vAlign w:val="bottom"/>
            <w:vMerge w:val="restart"/>
          </w:tcPr>
          <w:p>
            <w:pPr>
              <w:ind w:left="360"/>
              <w:spacing w:after="0"/>
              <w:rPr>
                <w:sz w:val="20"/>
                <w:szCs w:val="20"/>
                <w:color w:val="auto"/>
              </w:rPr>
            </w:pPr>
            <w:r>
              <w:rPr>
                <w:rFonts w:ascii="Arial" w:cs="Arial" w:eastAsia="Arial" w:hAnsi="Arial"/>
                <w:sz w:val="14"/>
                <w:szCs w:val="14"/>
                <w:b w:val="1"/>
                <w:bCs w:val="1"/>
                <w:color w:val="665B4F"/>
              </w:rPr>
              <w:t>COMMITTEE</w:t>
            </w:r>
          </w:p>
        </w:tc>
        <w:tc>
          <w:tcPr>
            <w:tcW w:w="2600" w:type="dxa"/>
            <w:vAlign w:val="bottom"/>
            <w:vMerge w:val="restart"/>
          </w:tcPr>
          <w:p>
            <w:pPr>
              <w:ind w:left="500"/>
              <w:spacing w:after="0"/>
              <w:rPr>
                <w:sz w:val="20"/>
                <w:szCs w:val="20"/>
                <w:color w:val="auto"/>
              </w:rPr>
            </w:pPr>
            <w:r>
              <w:rPr>
                <w:rFonts w:ascii="Arial" w:cs="Arial" w:eastAsia="Arial" w:hAnsi="Arial"/>
                <w:sz w:val="14"/>
                <w:szCs w:val="14"/>
                <w:b w:val="1"/>
                <w:bCs w:val="1"/>
                <w:color w:val="665B4F"/>
              </w:rPr>
              <w:t>GOVERNANCE COMMITTEE</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2020" w:type="dxa"/>
            <w:vAlign w:val="bottom"/>
            <w:vMerge w:val="continue"/>
          </w:tcPr>
          <w:p>
            <w:pPr>
              <w:spacing w:after="0"/>
              <w:rPr>
                <w:sz w:val="4"/>
                <w:szCs w:val="4"/>
                <w:color w:val="auto"/>
              </w:rPr>
            </w:pPr>
          </w:p>
        </w:tc>
        <w:tc>
          <w:tcPr>
            <w:tcW w:w="2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580" w:type="dxa"/>
            <w:vAlign w:val="bottom"/>
            <w:tcBorders>
              <w:bottom w:val="single" w:sz="8" w:color="D1CDCA"/>
            </w:tcBorders>
          </w:tcPr>
          <w:p>
            <w:pPr>
              <w:spacing w:after="0"/>
              <w:rPr>
                <w:sz w:val="5"/>
                <w:szCs w:val="5"/>
                <w:color w:val="auto"/>
              </w:rPr>
            </w:pPr>
          </w:p>
        </w:tc>
        <w:tc>
          <w:tcPr>
            <w:tcW w:w="2080" w:type="dxa"/>
            <w:vAlign w:val="bottom"/>
            <w:tcBorders>
              <w:bottom w:val="single" w:sz="8" w:color="D1CDCA"/>
            </w:tcBorders>
          </w:tcPr>
          <w:p>
            <w:pPr>
              <w:spacing w:after="0"/>
              <w:rPr>
                <w:sz w:val="5"/>
                <w:szCs w:val="5"/>
                <w:color w:val="auto"/>
              </w:rPr>
            </w:pPr>
          </w:p>
        </w:tc>
        <w:tc>
          <w:tcPr>
            <w:tcW w:w="1740" w:type="dxa"/>
            <w:vAlign w:val="bottom"/>
            <w:tcBorders>
              <w:bottom w:val="single" w:sz="8" w:color="D1CDCA"/>
            </w:tcBorders>
          </w:tcPr>
          <w:p>
            <w:pPr>
              <w:spacing w:after="0"/>
              <w:rPr>
                <w:sz w:val="5"/>
                <w:szCs w:val="5"/>
                <w:color w:val="auto"/>
              </w:rPr>
            </w:pPr>
          </w:p>
        </w:tc>
        <w:tc>
          <w:tcPr>
            <w:tcW w:w="2020" w:type="dxa"/>
            <w:vAlign w:val="bottom"/>
            <w:tcBorders>
              <w:bottom w:val="single" w:sz="8" w:color="D1CDCA"/>
            </w:tcBorders>
          </w:tcPr>
          <w:p>
            <w:pPr>
              <w:spacing w:after="0"/>
              <w:rPr>
                <w:sz w:val="5"/>
                <w:szCs w:val="5"/>
                <w:color w:val="auto"/>
              </w:rPr>
            </w:pPr>
          </w:p>
        </w:tc>
        <w:tc>
          <w:tcPr>
            <w:tcW w:w="2600" w:type="dxa"/>
            <w:vAlign w:val="bottom"/>
            <w:tcBorders>
              <w:bottom w:val="single" w:sz="8" w:color="D1CDCA"/>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Betsy Atkins</w:t>
            </w:r>
          </w:p>
        </w:tc>
        <w:tc>
          <w:tcPr>
            <w:tcW w:w="2080" w:type="dxa"/>
            <w:vAlign w:val="bottom"/>
            <w:tcBorders>
              <w:bottom w:val="single" w:sz="8" w:color="F7F7E5"/>
            </w:tcBorders>
            <w:shd w:val="clear" w:color="auto" w:fill="F7F7E5"/>
          </w:tcPr>
          <w:p>
            <w:pPr>
              <w:ind w:left="680"/>
              <w:spacing w:after="0"/>
              <w:rPr>
                <w:sz w:val="20"/>
                <w:szCs w:val="20"/>
                <w:color w:val="auto"/>
              </w:rPr>
            </w:pPr>
            <w:r>
              <w:rPr>
                <w:rFonts w:ascii="Arial" w:cs="Arial" w:eastAsia="Arial" w:hAnsi="Arial"/>
                <w:sz w:val="14"/>
                <w:szCs w:val="14"/>
                <w:color w:val="665B4F"/>
              </w:rPr>
              <w:t>•</w:t>
            </w:r>
          </w:p>
        </w:tc>
        <w:tc>
          <w:tcPr>
            <w:tcW w:w="1740" w:type="dxa"/>
            <w:vAlign w:val="bottom"/>
            <w:tcBorders>
              <w:bottom w:val="single" w:sz="8" w:color="F7F7E5"/>
            </w:tcBorders>
            <w:shd w:val="clear" w:color="auto" w:fill="F7F7E5"/>
          </w:tcPr>
          <w:p>
            <w:pPr>
              <w:spacing w:after="0"/>
              <w:rPr>
                <w:sz w:val="21"/>
                <w:szCs w:val="21"/>
                <w:color w:val="auto"/>
              </w:rPr>
            </w:pPr>
          </w:p>
        </w:tc>
        <w:tc>
          <w:tcPr>
            <w:tcW w:w="2020" w:type="dxa"/>
            <w:vAlign w:val="bottom"/>
            <w:tcBorders>
              <w:bottom w:val="single" w:sz="8" w:color="F7F7E5"/>
            </w:tcBorders>
            <w:shd w:val="clear" w:color="auto" w:fill="F7F7E5"/>
          </w:tcPr>
          <w:p>
            <w:pPr>
              <w:spacing w:after="0"/>
              <w:rPr>
                <w:sz w:val="21"/>
                <w:szCs w:val="21"/>
                <w:color w:val="auto"/>
              </w:rPr>
            </w:pPr>
          </w:p>
        </w:tc>
        <w:tc>
          <w:tcPr>
            <w:tcW w:w="2600" w:type="dxa"/>
            <w:vAlign w:val="bottom"/>
            <w:tcBorders>
              <w:bottom w:val="single" w:sz="8" w:color="F7F7E5"/>
            </w:tcBorders>
            <w:shd w:val="clear" w:color="auto" w:fill="F7F7E5"/>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John J. Hagenbuch</w:t>
            </w:r>
          </w:p>
        </w:tc>
        <w:tc>
          <w:tcPr>
            <w:tcW w:w="2080" w:type="dxa"/>
            <w:vAlign w:val="bottom"/>
            <w:tcBorders>
              <w:top w:val="single" w:sz="8" w:color="D1CDCA"/>
            </w:tcBorders>
          </w:tcPr>
          <w:p>
            <w:pPr>
              <w:ind w:left="680"/>
              <w:spacing w:after="0"/>
              <w:rPr>
                <w:sz w:val="20"/>
                <w:szCs w:val="20"/>
                <w:color w:val="auto"/>
              </w:rPr>
            </w:pPr>
            <w:r>
              <w:rPr>
                <w:rFonts w:ascii="Arial" w:cs="Arial" w:eastAsia="Arial" w:hAnsi="Arial"/>
                <w:sz w:val="14"/>
                <w:szCs w:val="14"/>
                <w:color w:val="665B4F"/>
              </w:rPr>
              <w:t>•</w:t>
            </w:r>
          </w:p>
        </w:tc>
        <w:tc>
          <w:tcPr>
            <w:tcW w:w="1740" w:type="dxa"/>
            <w:vAlign w:val="bottom"/>
            <w:tcBorders>
              <w:top w:val="single" w:sz="8" w:color="D1CDCA"/>
            </w:tcBorders>
          </w:tcPr>
          <w:p>
            <w:pPr>
              <w:ind w:left="340"/>
              <w:spacing w:after="0"/>
              <w:rPr>
                <w:sz w:val="20"/>
                <w:szCs w:val="20"/>
                <w:color w:val="auto"/>
              </w:rPr>
            </w:pPr>
            <w:r>
              <w:rPr>
                <w:rFonts w:ascii="Arial" w:cs="Arial" w:eastAsia="Arial" w:hAnsi="Arial"/>
                <w:sz w:val="14"/>
                <w:szCs w:val="14"/>
                <w:color w:val="auto"/>
              </w:rPr>
              <w:t>C</w:t>
            </w:r>
          </w:p>
        </w:tc>
        <w:tc>
          <w:tcPr>
            <w:tcW w:w="2020" w:type="dxa"/>
            <w:vAlign w:val="bottom"/>
            <w:tcBorders>
              <w:top w:val="single" w:sz="8" w:color="D1CDCA"/>
            </w:tcBorders>
          </w:tcPr>
          <w:p>
            <w:pPr>
              <w:ind w:left="360"/>
              <w:spacing w:after="0"/>
              <w:rPr>
                <w:sz w:val="20"/>
                <w:szCs w:val="20"/>
                <w:color w:val="auto"/>
              </w:rPr>
            </w:pPr>
            <w:r>
              <w:rPr>
                <w:rFonts w:ascii="Arial" w:cs="Arial" w:eastAsia="Arial" w:hAnsi="Arial"/>
                <w:sz w:val="14"/>
                <w:szCs w:val="14"/>
                <w:color w:val="665B4F"/>
              </w:rPr>
              <w:t>•</w:t>
            </w:r>
          </w:p>
        </w:tc>
        <w:tc>
          <w:tcPr>
            <w:tcW w:w="2600" w:type="dxa"/>
            <w:vAlign w:val="bottom"/>
            <w:tcBorders>
              <w:top w:val="single" w:sz="8" w:color="D1CDCA"/>
            </w:tcBorders>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580" w:type="dxa"/>
            <w:vAlign w:val="bottom"/>
            <w:tcBorders>
              <w:bottom w:val="single" w:sz="8" w:color="D1CDCA"/>
            </w:tcBorders>
          </w:tcPr>
          <w:p>
            <w:pPr>
              <w:spacing w:after="0"/>
              <w:rPr>
                <w:sz w:val="3"/>
                <w:szCs w:val="3"/>
                <w:color w:val="auto"/>
              </w:rPr>
            </w:pPr>
          </w:p>
        </w:tc>
        <w:tc>
          <w:tcPr>
            <w:tcW w:w="2080" w:type="dxa"/>
            <w:vAlign w:val="bottom"/>
            <w:tcBorders>
              <w:bottom w:val="single" w:sz="8" w:color="D1CDCA"/>
            </w:tcBorders>
          </w:tcPr>
          <w:p>
            <w:pPr>
              <w:spacing w:after="0"/>
              <w:rPr>
                <w:sz w:val="3"/>
                <w:szCs w:val="3"/>
                <w:color w:val="auto"/>
              </w:rPr>
            </w:pPr>
          </w:p>
        </w:tc>
        <w:tc>
          <w:tcPr>
            <w:tcW w:w="1740" w:type="dxa"/>
            <w:vAlign w:val="bottom"/>
            <w:tcBorders>
              <w:bottom w:val="single" w:sz="8" w:color="D1CDCA"/>
            </w:tcBorders>
          </w:tcPr>
          <w:p>
            <w:pPr>
              <w:spacing w:after="0"/>
              <w:rPr>
                <w:sz w:val="3"/>
                <w:szCs w:val="3"/>
                <w:color w:val="auto"/>
              </w:rPr>
            </w:pPr>
          </w:p>
        </w:tc>
        <w:tc>
          <w:tcPr>
            <w:tcW w:w="2020" w:type="dxa"/>
            <w:vAlign w:val="bottom"/>
            <w:tcBorders>
              <w:bottom w:val="single" w:sz="8" w:color="D1CDCA"/>
            </w:tcBorders>
          </w:tcPr>
          <w:p>
            <w:pPr>
              <w:spacing w:after="0"/>
              <w:rPr>
                <w:sz w:val="3"/>
                <w:szCs w:val="3"/>
                <w:color w:val="auto"/>
              </w:rPr>
            </w:pPr>
          </w:p>
        </w:tc>
        <w:tc>
          <w:tcPr>
            <w:tcW w:w="2600" w:type="dxa"/>
            <w:vAlign w:val="bottom"/>
            <w:tcBorders>
              <w:bottom w:val="single" w:sz="8" w:color="D1CDCA"/>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Jay L. Johnson</w:t>
            </w:r>
          </w:p>
        </w:tc>
        <w:tc>
          <w:tcPr>
            <w:tcW w:w="2080" w:type="dxa"/>
            <w:vAlign w:val="bottom"/>
            <w:tcBorders>
              <w:bottom w:val="single" w:sz="8" w:color="F7F7E5"/>
            </w:tcBorders>
            <w:shd w:val="clear" w:color="auto" w:fill="F7F7E5"/>
          </w:tcPr>
          <w:p>
            <w:pPr>
              <w:ind w:left="680"/>
              <w:spacing w:after="0"/>
              <w:rPr>
                <w:sz w:val="20"/>
                <w:szCs w:val="20"/>
                <w:color w:val="auto"/>
              </w:rPr>
            </w:pPr>
            <w:r>
              <w:rPr>
                <w:rFonts w:ascii="Arial" w:cs="Arial" w:eastAsia="Arial" w:hAnsi="Arial"/>
                <w:sz w:val="14"/>
                <w:szCs w:val="14"/>
                <w:color w:val="665B4F"/>
              </w:rPr>
              <w:t>•</w:t>
            </w:r>
          </w:p>
        </w:tc>
        <w:tc>
          <w:tcPr>
            <w:tcW w:w="1740" w:type="dxa"/>
            <w:vAlign w:val="bottom"/>
            <w:tcBorders>
              <w:bottom w:val="single" w:sz="8" w:color="F7F7E5"/>
            </w:tcBorders>
            <w:shd w:val="clear" w:color="auto" w:fill="F7F7E5"/>
          </w:tcPr>
          <w:p>
            <w:pPr>
              <w:spacing w:after="0"/>
              <w:rPr>
                <w:sz w:val="21"/>
                <w:szCs w:val="21"/>
                <w:color w:val="auto"/>
              </w:rPr>
            </w:pPr>
          </w:p>
        </w:tc>
        <w:tc>
          <w:tcPr>
            <w:tcW w:w="2020" w:type="dxa"/>
            <w:vAlign w:val="bottom"/>
            <w:tcBorders>
              <w:bottom w:val="single" w:sz="8" w:color="F7F7E5"/>
            </w:tcBorders>
            <w:shd w:val="clear" w:color="auto" w:fill="F7F7E5"/>
          </w:tcPr>
          <w:p>
            <w:pPr>
              <w:ind w:left="360"/>
              <w:spacing w:after="0"/>
              <w:rPr>
                <w:sz w:val="20"/>
                <w:szCs w:val="20"/>
                <w:color w:val="auto"/>
              </w:rPr>
            </w:pPr>
            <w:r>
              <w:rPr>
                <w:rFonts w:ascii="Arial" w:cs="Arial" w:eastAsia="Arial" w:hAnsi="Arial"/>
                <w:sz w:val="14"/>
                <w:szCs w:val="14"/>
                <w:color w:val="665B4F"/>
              </w:rPr>
              <w:t>•</w:t>
            </w:r>
          </w:p>
        </w:tc>
        <w:tc>
          <w:tcPr>
            <w:tcW w:w="2600" w:type="dxa"/>
            <w:vAlign w:val="bottom"/>
            <w:tcBorders>
              <w:bottom w:val="single" w:sz="8" w:color="F7F7E5"/>
            </w:tcBorders>
            <w:shd w:val="clear" w:color="auto" w:fill="F7F7E5"/>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Robert J. Miller</w:t>
            </w:r>
          </w:p>
        </w:tc>
        <w:tc>
          <w:tcPr>
            <w:tcW w:w="2080" w:type="dxa"/>
            <w:vAlign w:val="bottom"/>
            <w:tcBorders>
              <w:top w:val="single" w:sz="8" w:color="D1CDCA"/>
            </w:tcBorders>
          </w:tcPr>
          <w:p>
            <w:pPr>
              <w:ind w:left="680"/>
              <w:spacing w:after="0"/>
              <w:rPr>
                <w:sz w:val="20"/>
                <w:szCs w:val="20"/>
                <w:color w:val="auto"/>
              </w:rPr>
            </w:pPr>
            <w:r>
              <w:rPr>
                <w:rFonts w:ascii="Arial" w:cs="Arial" w:eastAsia="Arial" w:hAnsi="Arial"/>
                <w:sz w:val="14"/>
                <w:szCs w:val="14"/>
                <w:color w:val="665B4F"/>
              </w:rPr>
              <w:t>•</w:t>
            </w:r>
          </w:p>
        </w:tc>
        <w:tc>
          <w:tcPr>
            <w:tcW w:w="1740" w:type="dxa"/>
            <w:vAlign w:val="bottom"/>
            <w:tcBorders>
              <w:top w:val="single" w:sz="8" w:color="D1CDCA"/>
            </w:tcBorders>
          </w:tcPr>
          <w:p>
            <w:pPr>
              <w:ind w:left="340"/>
              <w:spacing w:after="0"/>
              <w:rPr>
                <w:sz w:val="20"/>
                <w:szCs w:val="20"/>
                <w:color w:val="auto"/>
              </w:rPr>
            </w:pPr>
            <w:r>
              <w:rPr>
                <w:rFonts w:ascii="Arial" w:cs="Arial" w:eastAsia="Arial" w:hAnsi="Arial"/>
                <w:sz w:val="14"/>
                <w:szCs w:val="14"/>
                <w:color w:val="665B4F"/>
              </w:rPr>
              <w:t>•</w:t>
            </w:r>
          </w:p>
        </w:tc>
        <w:tc>
          <w:tcPr>
            <w:tcW w:w="2020" w:type="dxa"/>
            <w:vAlign w:val="bottom"/>
            <w:tcBorders>
              <w:top w:val="single" w:sz="8" w:color="D1CDCA"/>
            </w:tcBorders>
          </w:tcPr>
          <w:p>
            <w:pPr>
              <w:spacing w:after="0"/>
              <w:rPr>
                <w:sz w:val="18"/>
                <w:szCs w:val="18"/>
                <w:color w:val="auto"/>
              </w:rPr>
            </w:pPr>
          </w:p>
        </w:tc>
        <w:tc>
          <w:tcPr>
            <w:tcW w:w="2600" w:type="dxa"/>
            <w:vAlign w:val="bottom"/>
            <w:tcBorders>
              <w:top w:val="single" w:sz="8" w:color="D1CDCA"/>
            </w:tcBorders>
          </w:tcPr>
          <w:p>
            <w:pPr>
              <w:ind w:left="50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39"/>
        </w:trPr>
        <w:tc>
          <w:tcPr>
            <w:tcW w:w="2580" w:type="dxa"/>
            <w:vAlign w:val="bottom"/>
            <w:tcBorders>
              <w:bottom w:val="single" w:sz="8" w:color="D1CDCA"/>
            </w:tcBorders>
          </w:tcPr>
          <w:p>
            <w:pPr>
              <w:spacing w:after="0"/>
              <w:rPr>
                <w:sz w:val="3"/>
                <w:szCs w:val="3"/>
                <w:color w:val="auto"/>
              </w:rPr>
            </w:pPr>
          </w:p>
        </w:tc>
        <w:tc>
          <w:tcPr>
            <w:tcW w:w="2080" w:type="dxa"/>
            <w:vAlign w:val="bottom"/>
            <w:tcBorders>
              <w:bottom w:val="single" w:sz="8" w:color="D1CDCA"/>
            </w:tcBorders>
          </w:tcPr>
          <w:p>
            <w:pPr>
              <w:spacing w:after="0"/>
              <w:rPr>
                <w:sz w:val="3"/>
                <w:szCs w:val="3"/>
                <w:color w:val="auto"/>
              </w:rPr>
            </w:pPr>
          </w:p>
        </w:tc>
        <w:tc>
          <w:tcPr>
            <w:tcW w:w="1740" w:type="dxa"/>
            <w:vAlign w:val="bottom"/>
            <w:tcBorders>
              <w:bottom w:val="single" w:sz="8" w:color="D1CDCA"/>
            </w:tcBorders>
          </w:tcPr>
          <w:p>
            <w:pPr>
              <w:spacing w:after="0"/>
              <w:rPr>
                <w:sz w:val="3"/>
                <w:szCs w:val="3"/>
                <w:color w:val="auto"/>
              </w:rPr>
            </w:pPr>
          </w:p>
        </w:tc>
        <w:tc>
          <w:tcPr>
            <w:tcW w:w="2020" w:type="dxa"/>
            <w:vAlign w:val="bottom"/>
            <w:tcBorders>
              <w:bottom w:val="single" w:sz="8" w:color="D1CDCA"/>
            </w:tcBorders>
          </w:tcPr>
          <w:p>
            <w:pPr>
              <w:spacing w:after="0"/>
              <w:rPr>
                <w:sz w:val="3"/>
                <w:szCs w:val="3"/>
                <w:color w:val="auto"/>
              </w:rPr>
            </w:pPr>
          </w:p>
        </w:tc>
        <w:tc>
          <w:tcPr>
            <w:tcW w:w="2600" w:type="dxa"/>
            <w:vAlign w:val="bottom"/>
            <w:tcBorders>
              <w:bottom w:val="single" w:sz="8" w:color="D1CDCA"/>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Patricia Mulroy</w:t>
            </w:r>
          </w:p>
        </w:tc>
        <w:tc>
          <w:tcPr>
            <w:tcW w:w="2080" w:type="dxa"/>
            <w:vAlign w:val="bottom"/>
            <w:tcBorders>
              <w:bottom w:val="single" w:sz="8" w:color="F7F7E5"/>
            </w:tcBorders>
            <w:shd w:val="clear" w:color="auto" w:fill="F7F7E5"/>
          </w:tcPr>
          <w:p>
            <w:pPr>
              <w:ind w:left="680"/>
              <w:spacing w:after="0"/>
              <w:rPr>
                <w:sz w:val="20"/>
                <w:szCs w:val="20"/>
                <w:color w:val="auto"/>
              </w:rPr>
            </w:pPr>
            <w:r>
              <w:rPr>
                <w:rFonts w:ascii="Arial" w:cs="Arial" w:eastAsia="Arial" w:hAnsi="Arial"/>
                <w:sz w:val="14"/>
                <w:szCs w:val="14"/>
                <w:color w:val="665B4F"/>
              </w:rPr>
              <w:t>•</w:t>
            </w:r>
          </w:p>
        </w:tc>
        <w:tc>
          <w:tcPr>
            <w:tcW w:w="1740" w:type="dxa"/>
            <w:vAlign w:val="bottom"/>
            <w:tcBorders>
              <w:bottom w:val="single" w:sz="8" w:color="F7F7E5"/>
            </w:tcBorders>
            <w:shd w:val="clear" w:color="auto" w:fill="F7F7E5"/>
          </w:tcPr>
          <w:p>
            <w:pPr>
              <w:spacing w:after="0"/>
              <w:rPr>
                <w:sz w:val="21"/>
                <w:szCs w:val="21"/>
                <w:color w:val="auto"/>
              </w:rPr>
            </w:pPr>
          </w:p>
        </w:tc>
        <w:tc>
          <w:tcPr>
            <w:tcW w:w="2020" w:type="dxa"/>
            <w:vAlign w:val="bottom"/>
            <w:tcBorders>
              <w:bottom w:val="single" w:sz="8" w:color="F7F7E5"/>
            </w:tcBorders>
            <w:shd w:val="clear" w:color="auto" w:fill="F7F7E5"/>
          </w:tcPr>
          <w:p>
            <w:pPr>
              <w:spacing w:after="0"/>
              <w:rPr>
                <w:sz w:val="21"/>
                <w:szCs w:val="21"/>
                <w:color w:val="auto"/>
              </w:rPr>
            </w:pPr>
          </w:p>
        </w:tc>
        <w:tc>
          <w:tcPr>
            <w:tcW w:w="2600" w:type="dxa"/>
            <w:vAlign w:val="bottom"/>
            <w:tcBorders>
              <w:bottom w:val="single" w:sz="8" w:color="F7F7E5"/>
            </w:tcBorders>
            <w:shd w:val="clear" w:color="auto" w:fill="F7F7E5"/>
          </w:tcPr>
          <w:p>
            <w:pPr>
              <w:ind w:left="500"/>
              <w:spacing w:after="0"/>
              <w:rPr>
                <w:sz w:val="20"/>
                <w:szCs w:val="20"/>
                <w:color w:val="auto"/>
              </w:rPr>
            </w:pPr>
            <w:r>
              <w:rPr>
                <w:rFonts w:ascii="Arial" w:cs="Arial" w:eastAsia="Arial" w:hAnsi="Arial"/>
                <w:sz w:val="14"/>
                <w:szCs w:val="14"/>
                <w:color w:val="665B4F"/>
              </w:rPr>
              <w:t>•</w:t>
            </w:r>
          </w:p>
        </w:tc>
        <w:tc>
          <w:tcPr>
            <w:tcW w:w="0" w:type="dxa"/>
            <w:vAlign w:val="bottom"/>
          </w:tcPr>
          <w:p>
            <w:pPr>
              <w:spacing w:after="0"/>
              <w:rPr>
                <w:sz w:val="1"/>
                <w:szCs w:val="1"/>
                <w:color w:val="auto"/>
              </w:rPr>
            </w:pPr>
          </w:p>
        </w:tc>
      </w:tr>
      <w:tr>
        <w:trPr>
          <w:trHeight w:val="211"/>
        </w:trPr>
        <w:tc>
          <w:tcPr>
            <w:tcW w:w="258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Dee Dee Myers</w:t>
            </w:r>
          </w:p>
        </w:tc>
        <w:tc>
          <w:tcPr>
            <w:tcW w:w="2080" w:type="dxa"/>
            <w:vAlign w:val="bottom"/>
            <w:tcBorders>
              <w:top w:val="single" w:sz="8" w:color="D1CDCA"/>
            </w:tcBorders>
          </w:tcPr>
          <w:p>
            <w:pPr>
              <w:ind w:left="680"/>
              <w:spacing w:after="0"/>
              <w:rPr>
                <w:sz w:val="20"/>
                <w:szCs w:val="20"/>
                <w:color w:val="auto"/>
              </w:rPr>
            </w:pPr>
            <w:r>
              <w:rPr>
                <w:rFonts w:ascii="Arial" w:cs="Arial" w:eastAsia="Arial" w:hAnsi="Arial"/>
                <w:sz w:val="14"/>
                <w:szCs w:val="14"/>
                <w:color w:val="665B4F"/>
              </w:rPr>
              <w:t>•</w:t>
            </w:r>
          </w:p>
        </w:tc>
        <w:tc>
          <w:tcPr>
            <w:tcW w:w="1740" w:type="dxa"/>
            <w:vAlign w:val="bottom"/>
            <w:tcBorders>
              <w:top w:val="single" w:sz="8" w:color="D1CDCA"/>
            </w:tcBorders>
          </w:tcPr>
          <w:p>
            <w:pPr>
              <w:spacing w:after="0"/>
              <w:rPr>
                <w:sz w:val="18"/>
                <w:szCs w:val="18"/>
                <w:color w:val="auto"/>
              </w:rPr>
            </w:pPr>
          </w:p>
        </w:tc>
        <w:tc>
          <w:tcPr>
            <w:tcW w:w="2020" w:type="dxa"/>
            <w:vAlign w:val="bottom"/>
            <w:tcBorders>
              <w:top w:val="single" w:sz="8" w:color="D1CDCA"/>
            </w:tcBorders>
          </w:tcPr>
          <w:p>
            <w:pPr>
              <w:spacing w:after="0"/>
              <w:rPr>
                <w:sz w:val="18"/>
                <w:szCs w:val="18"/>
                <w:color w:val="auto"/>
              </w:rPr>
            </w:pPr>
          </w:p>
        </w:tc>
        <w:tc>
          <w:tcPr>
            <w:tcW w:w="2600" w:type="dxa"/>
            <w:vAlign w:val="bottom"/>
            <w:tcBorders>
              <w:top w:val="single" w:sz="8" w:color="D1CDCA"/>
            </w:tcBorders>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580" w:type="dxa"/>
            <w:vAlign w:val="bottom"/>
            <w:tcBorders>
              <w:bottom w:val="single" w:sz="8" w:color="D1CDCA"/>
            </w:tcBorders>
          </w:tcPr>
          <w:p>
            <w:pPr>
              <w:spacing w:after="0"/>
              <w:rPr>
                <w:sz w:val="3"/>
                <w:szCs w:val="3"/>
                <w:color w:val="auto"/>
              </w:rPr>
            </w:pPr>
          </w:p>
        </w:tc>
        <w:tc>
          <w:tcPr>
            <w:tcW w:w="2080" w:type="dxa"/>
            <w:vAlign w:val="bottom"/>
            <w:tcBorders>
              <w:bottom w:val="single" w:sz="8" w:color="D1CDCA"/>
            </w:tcBorders>
          </w:tcPr>
          <w:p>
            <w:pPr>
              <w:spacing w:after="0"/>
              <w:rPr>
                <w:sz w:val="3"/>
                <w:szCs w:val="3"/>
                <w:color w:val="auto"/>
              </w:rPr>
            </w:pPr>
          </w:p>
        </w:tc>
        <w:tc>
          <w:tcPr>
            <w:tcW w:w="1740" w:type="dxa"/>
            <w:vAlign w:val="bottom"/>
            <w:tcBorders>
              <w:bottom w:val="single" w:sz="8" w:color="D1CDCA"/>
            </w:tcBorders>
          </w:tcPr>
          <w:p>
            <w:pPr>
              <w:spacing w:after="0"/>
              <w:rPr>
                <w:sz w:val="3"/>
                <w:szCs w:val="3"/>
                <w:color w:val="auto"/>
              </w:rPr>
            </w:pPr>
          </w:p>
        </w:tc>
        <w:tc>
          <w:tcPr>
            <w:tcW w:w="2020" w:type="dxa"/>
            <w:vAlign w:val="bottom"/>
            <w:tcBorders>
              <w:bottom w:val="single" w:sz="8" w:color="D1CDCA"/>
            </w:tcBorders>
          </w:tcPr>
          <w:p>
            <w:pPr>
              <w:spacing w:after="0"/>
              <w:rPr>
                <w:sz w:val="3"/>
                <w:szCs w:val="3"/>
                <w:color w:val="auto"/>
              </w:rPr>
            </w:pPr>
          </w:p>
        </w:tc>
        <w:tc>
          <w:tcPr>
            <w:tcW w:w="2600" w:type="dxa"/>
            <w:vAlign w:val="bottom"/>
            <w:tcBorders>
              <w:bottom w:val="single" w:sz="8" w:color="D1CDCA"/>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Clark T. Randt, Jr.</w:t>
            </w:r>
          </w:p>
        </w:tc>
        <w:tc>
          <w:tcPr>
            <w:tcW w:w="2080" w:type="dxa"/>
            <w:vAlign w:val="bottom"/>
            <w:tcBorders>
              <w:bottom w:val="single" w:sz="8" w:color="F7F7E5"/>
            </w:tcBorders>
            <w:shd w:val="clear" w:color="auto" w:fill="F7F7E5"/>
          </w:tcPr>
          <w:p>
            <w:pPr>
              <w:spacing w:after="0"/>
              <w:rPr>
                <w:sz w:val="21"/>
                <w:szCs w:val="21"/>
                <w:color w:val="auto"/>
              </w:rPr>
            </w:pPr>
          </w:p>
        </w:tc>
        <w:tc>
          <w:tcPr>
            <w:tcW w:w="1740" w:type="dxa"/>
            <w:vAlign w:val="bottom"/>
            <w:tcBorders>
              <w:bottom w:val="single" w:sz="8" w:color="F7F7E5"/>
            </w:tcBorders>
            <w:shd w:val="clear" w:color="auto" w:fill="F7F7E5"/>
          </w:tcPr>
          <w:p>
            <w:pPr>
              <w:spacing w:after="0"/>
              <w:rPr>
                <w:sz w:val="21"/>
                <w:szCs w:val="21"/>
                <w:color w:val="auto"/>
              </w:rPr>
            </w:pPr>
          </w:p>
        </w:tc>
        <w:tc>
          <w:tcPr>
            <w:tcW w:w="2020" w:type="dxa"/>
            <w:vAlign w:val="bottom"/>
            <w:tcBorders>
              <w:bottom w:val="single" w:sz="8" w:color="F7F7E5"/>
            </w:tcBorders>
            <w:shd w:val="clear" w:color="auto" w:fill="F7F7E5"/>
          </w:tcPr>
          <w:p>
            <w:pPr>
              <w:spacing w:after="0"/>
              <w:rPr>
                <w:sz w:val="21"/>
                <w:szCs w:val="21"/>
                <w:color w:val="auto"/>
              </w:rPr>
            </w:pPr>
          </w:p>
        </w:tc>
        <w:tc>
          <w:tcPr>
            <w:tcW w:w="2600" w:type="dxa"/>
            <w:vAlign w:val="bottom"/>
            <w:tcBorders>
              <w:bottom w:val="single" w:sz="8" w:color="F7F7E5"/>
            </w:tcBorders>
            <w:shd w:val="clear" w:color="auto" w:fill="F7F7E5"/>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Alvin V. Shoemaker</w:t>
            </w:r>
          </w:p>
        </w:tc>
        <w:tc>
          <w:tcPr>
            <w:tcW w:w="2080" w:type="dxa"/>
            <w:vAlign w:val="bottom"/>
            <w:tcBorders>
              <w:top w:val="single" w:sz="8" w:color="D1CDCA"/>
            </w:tcBorders>
          </w:tcPr>
          <w:p>
            <w:pPr>
              <w:ind w:left="680"/>
              <w:spacing w:after="0"/>
              <w:rPr>
                <w:sz w:val="20"/>
                <w:szCs w:val="20"/>
                <w:color w:val="auto"/>
              </w:rPr>
            </w:pPr>
            <w:r>
              <w:rPr>
                <w:rFonts w:ascii="Arial" w:cs="Arial" w:eastAsia="Arial" w:hAnsi="Arial"/>
                <w:sz w:val="14"/>
                <w:szCs w:val="14"/>
                <w:color w:val="665B4F"/>
              </w:rPr>
              <w:t>•</w:t>
            </w:r>
          </w:p>
        </w:tc>
        <w:tc>
          <w:tcPr>
            <w:tcW w:w="1740" w:type="dxa"/>
            <w:vAlign w:val="bottom"/>
            <w:tcBorders>
              <w:top w:val="single" w:sz="8" w:color="D1CDCA"/>
            </w:tcBorders>
          </w:tcPr>
          <w:p>
            <w:pPr>
              <w:ind w:left="340"/>
              <w:spacing w:after="0"/>
              <w:rPr>
                <w:sz w:val="20"/>
                <w:szCs w:val="20"/>
                <w:color w:val="auto"/>
              </w:rPr>
            </w:pPr>
            <w:r>
              <w:rPr>
                <w:rFonts w:ascii="Arial" w:cs="Arial" w:eastAsia="Arial" w:hAnsi="Arial"/>
                <w:sz w:val="14"/>
                <w:szCs w:val="14"/>
                <w:color w:val="665B4F"/>
              </w:rPr>
              <w:t>•</w:t>
            </w:r>
          </w:p>
        </w:tc>
        <w:tc>
          <w:tcPr>
            <w:tcW w:w="2020" w:type="dxa"/>
            <w:vAlign w:val="bottom"/>
            <w:tcBorders>
              <w:top w:val="single" w:sz="8" w:color="D1CDCA"/>
            </w:tcBorders>
          </w:tcPr>
          <w:p>
            <w:pPr>
              <w:ind w:left="360"/>
              <w:spacing w:after="0"/>
              <w:rPr>
                <w:sz w:val="20"/>
                <w:szCs w:val="20"/>
                <w:color w:val="auto"/>
              </w:rPr>
            </w:pPr>
            <w:r>
              <w:rPr>
                <w:rFonts w:ascii="Arial" w:cs="Arial" w:eastAsia="Arial" w:hAnsi="Arial"/>
                <w:sz w:val="14"/>
                <w:szCs w:val="14"/>
                <w:color w:val="665B4F"/>
              </w:rPr>
              <w:t>•</w:t>
            </w:r>
          </w:p>
        </w:tc>
        <w:tc>
          <w:tcPr>
            <w:tcW w:w="2600" w:type="dxa"/>
            <w:vAlign w:val="bottom"/>
            <w:tcBorders>
              <w:top w:val="single" w:sz="8" w:color="D1CDCA"/>
            </w:tcBorders>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580" w:type="dxa"/>
            <w:vAlign w:val="bottom"/>
            <w:tcBorders>
              <w:bottom w:val="single" w:sz="8" w:color="D1CDCA"/>
            </w:tcBorders>
          </w:tcPr>
          <w:p>
            <w:pPr>
              <w:spacing w:after="0"/>
              <w:rPr>
                <w:sz w:val="3"/>
                <w:szCs w:val="3"/>
                <w:color w:val="auto"/>
              </w:rPr>
            </w:pPr>
          </w:p>
        </w:tc>
        <w:tc>
          <w:tcPr>
            <w:tcW w:w="2080" w:type="dxa"/>
            <w:vAlign w:val="bottom"/>
            <w:tcBorders>
              <w:bottom w:val="single" w:sz="8" w:color="D1CDCA"/>
            </w:tcBorders>
          </w:tcPr>
          <w:p>
            <w:pPr>
              <w:spacing w:after="0"/>
              <w:rPr>
                <w:sz w:val="3"/>
                <w:szCs w:val="3"/>
                <w:color w:val="auto"/>
              </w:rPr>
            </w:pPr>
          </w:p>
        </w:tc>
        <w:tc>
          <w:tcPr>
            <w:tcW w:w="1740" w:type="dxa"/>
            <w:vAlign w:val="bottom"/>
            <w:tcBorders>
              <w:bottom w:val="single" w:sz="8" w:color="D1CDCA"/>
            </w:tcBorders>
          </w:tcPr>
          <w:p>
            <w:pPr>
              <w:spacing w:after="0"/>
              <w:rPr>
                <w:sz w:val="3"/>
                <w:szCs w:val="3"/>
                <w:color w:val="auto"/>
              </w:rPr>
            </w:pPr>
          </w:p>
        </w:tc>
        <w:tc>
          <w:tcPr>
            <w:tcW w:w="2020" w:type="dxa"/>
            <w:vAlign w:val="bottom"/>
            <w:tcBorders>
              <w:bottom w:val="single" w:sz="8" w:color="D1CDCA"/>
            </w:tcBorders>
          </w:tcPr>
          <w:p>
            <w:pPr>
              <w:spacing w:after="0"/>
              <w:rPr>
                <w:sz w:val="3"/>
                <w:szCs w:val="3"/>
                <w:color w:val="auto"/>
              </w:rPr>
            </w:pPr>
          </w:p>
        </w:tc>
        <w:tc>
          <w:tcPr>
            <w:tcW w:w="2600" w:type="dxa"/>
            <w:vAlign w:val="bottom"/>
            <w:tcBorders>
              <w:bottom w:val="single" w:sz="8" w:color="D1CDCA"/>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D1CDCA"/>
            </w:tcBorders>
            <w:shd w:val="clear" w:color="auto" w:fill="F7F7E5"/>
          </w:tcPr>
          <w:p>
            <w:pPr>
              <w:ind w:left="60"/>
              <w:spacing w:after="0" w:line="250" w:lineRule="exact"/>
              <w:rPr>
                <w:sz w:val="20"/>
                <w:szCs w:val="20"/>
                <w:color w:val="auto"/>
              </w:rPr>
            </w:pPr>
            <w:r>
              <w:rPr>
                <w:rFonts w:ascii="Arial" w:cs="Arial" w:eastAsia="Arial" w:hAnsi="Arial"/>
                <w:sz w:val="14"/>
                <w:szCs w:val="14"/>
                <w:color w:val="auto"/>
              </w:rPr>
              <w:t>J. Edward Virtue</w:t>
            </w:r>
            <w:r>
              <w:rPr>
                <w:rFonts w:ascii="Arial" w:cs="Arial" w:eastAsia="Arial" w:hAnsi="Arial"/>
                <w:sz w:val="24"/>
                <w:szCs w:val="24"/>
                <w:color w:val="auto"/>
                <w:vertAlign w:val="superscript"/>
              </w:rPr>
              <w:t>(2)</w:t>
            </w:r>
          </w:p>
        </w:tc>
        <w:tc>
          <w:tcPr>
            <w:tcW w:w="2080" w:type="dxa"/>
            <w:vAlign w:val="bottom"/>
            <w:tcBorders>
              <w:bottom w:val="single" w:sz="8" w:color="D1CDCA"/>
            </w:tcBorders>
            <w:shd w:val="clear" w:color="auto" w:fill="F7F7E5"/>
          </w:tcPr>
          <w:p>
            <w:pPr>
              <w:ind w:left="680"/>
              <w:spacing w:after="0"/>
              <w:rPr>
                <w:sz w:val="20"/>
                <w:szCs w:val="20"/>
                <w:color w:val="auto"/>
              </w:rPr>
            </w:pPr>
            <w:r>
              <w:rPr>
                <w:rFonts w:ascii="Arial" w:cs="Arial" w:eastAsia="Arial" w:hAnsi="Arial"/>
                <w:sz w:val="14"/>
                <w:szCs w:val="14"/>
                <w:color w:val="665B4F"/>
              </w:rPr>
              <w:t>•</w:t>
            </w:r>
          </w:p>
        </w:tc>
        <w:tc>
          <w:tcPr>
            <w:tcW w:w="1740" w:type="dxa"/>
            <w:vAlign w:val="bottom"/>
            <w:tcBorders>
              <w:bottom w:val="single" w:sz="8" w:color="D1CDCA"/>
            </w:tcBorders>
            <w:shd w:val="clear" w:color="auto" w:fill="F7F7E5"/>
          </w:tcPr>
          <w:p>
            <w:pPr>
              <w:spacing w:after="0"/>
              <w:rPr>
                <w:sz w:val="21"/>
                <w:szCs w:val="21"/>
                <w:color w:val="auto"/>
              </w:rPr>
            </w:pPr>
          </w:p>
        </w:tc>
        <w:tc>
          <w:tcPr>
            <w:tcW w:w="2020" w:type="dxa"/>
            <w:vAlign w:val="bottom"/>
            <w:tcBorders>
              <w:bottom w:val="single" w:sz="8" w:color="D1CDCA"/>
            </w:tcBorders>
            <w:shd w:val="clear" w:color="auto" w:fill="F7F7E5"/>
          </w:tcPr>
          <w:p>
            <w:pPr>
              <w:ind w:left="360"/>
              <w:spacing w:after="0"/>
              <w:rPr>
                <w:sz w:val="20"/>
                <w:szCs w:val="20"/>
                <w:color w:val="auto"/>
              </w:rPr>
            </w:pPr>
            <w:r>
              <w:rPr>
                <w:rFonts w:ascii="Arial" w:cs="Arial" w:eastAsia="Arial" w:hAnsi="Arial"/>
                <w:sz w:val="14"/>
                <w:szCs w:val="14"/>
                <w:color w:val="auto"/>
              </w:rPr>
              <w:t>C</w:t>
            </w:r>
          </w:p>
        </w:tc>
        <w:tc>
          <w:tcPr>
            <w:tcW w:w="2600" w:type="dxa"/>
            <w:vAlign w:val="bottom"/>
            <w:tcBorders>
              <w:bottom w:val="single" w:sz="8" w:color="D1CDCA"/>
            </w:tcBorders>
            <w:shd w:val="clear" w:color="auto" w:fill="F7F7E5"/>
          </w:tcPr>
          <w:p>
            <w:pPr>
              <w:ind w:left="500"/>
              <w:spacing w:after="0"/>
              <w:rPr>
                <w:sz w:val="20"/>
                <w:szCs w:val="20"/>
                <w:color w:val="auto"/>
              </w:rPr>
            </w:pPr>
            <w:r>
              <w:rPr>
                <w:rFonts w:ascii="Arial" w:cs="Arial" w:eastAsia="Arial" w:hAnsi="Arial"/>
                <w:sz w:val="14"/>
                <w:szCs w:val="14"/>
                <w:color w:val="665B4F"/>
              </w:rPr>
              <w:t>•</w:t>
            </w:r>
          </w:p>
        </w:tc>
        <w:tc>
          <w:tcPr>
            <w:tcW w:w="0" w:type="dxa"/>
            <w:vAlign w:val="bottom"/>
          </w:tcPr>
          <w:p>
            <w:pPr>
              <w:spacing w:after="0"/>
              <w:rPr>
                <w:sz w:val="1"/>
                <w:szCs w:val="1"/>
                <w:color w:val="auto"/>
              </w:rPr>
            </w:pPr>
          </w:p>
        </w:tc>
      </w:tr>
      <w:tr>
        <w:trPr>
          <w:trHeight w:val="211"/>
        </w:trPr>
        <w:tc>
          <w:tcPr>
            <w:tcW w:w="2580" w:type="dxa"/>
            <w:vAlign w:val="bottom"/>
          </w:tcPr>
          <w:p>
            <w:pPr>
              <w:ind w:left="60"/>
              <w:spacing w:after="0"/>
              <w:rPr>
                <w:sz w:val="20"/>
                <w:szCs w:val="20"/>
                <w:color w:val="auto"/>
              </w:rPr>
            </w:pPr>
            <w:r>
              <w:rPr>
                <w:rFonts w:ascii="Arial" w:cs="Arial" w:eastAsia="Arial" w:hAnsi="Arial"/>
                <w:sz w:val="14"/>
                <w:szCs w:val="14"/>
                <w:color w:val="auto"/>
              </w:rPr>
              <w:t>D. Boone Wayson</w:t>
            </w:r>
          </w:p>
        </w:tc>
        <w:tc>
          <w:tcPr>
            <w:tcW w:w="2080" w:type="dxa"/>
            <w:vAlign w:val="bottom"/>
          </w:tcPr>
          <w:p>
            <w:pPr>
              <w:ind w:left="680"/>
              <w:spacing w:after="0"/>
              <w:rPr>
                <w:sz w:val="20"/>
                <w:szCs w:val="20"/>
                <w:color w:val="auto"/>
              </w:rPr>
            </w:pPr>
            <w:r>
              <w:rPr>
                <w:rFonts w:ascii="Arial" w:cs="Arial" w:eastAsia="Arial" w:hAnsi="Arial"/>
                <w:sz w:val="14"/>
                <w:szCs w:val="14"/>
                <w:color w:val="665B4F"/>
              </w:rPr>
              <w:t>•</w:t>
            </w:r>
          </w:p>
        </w:tc>
        <w:tc>
          <w:tcPr>
            <w:tcW w:w="1740" w:type="dxa"/>
            <w:vAlign w:val="bottom"/>
          </w:tcPr>
          <w:p>
            <w:pPr>
              <w:ind w:left="340"/>
              <w:spacing w:after="0"/>
              <w:rPr>
                <w:sz w:val="20"/>
                <w:szCs w:val="20"/>
                <w:color w:val="auto"/>
              </w:rPr>
            </w:pPr>
            <w:r>
              <w:rPr>
                <w:rFonts w:ascii="Arial" w:cs="Arial" w:eastAsia="Arial" w:hAnsi="Arial"/>
                <w:sz w:val="14"/>
                <w:szCs w:val="14"/>
                <w:color w:val="665B4F"/>
              </w:rPr>
              <w:t>•</w:t>
            </w:r>
          </w:p>
        </w:tc>
        <w:tc>
          <w:tcPr>
            <w:tcW w:w="2020" w:type="dxa"/>
            <w:vAlign w:val="bottom"/>
          </w:tcPr>
          <w:p>
            <w:pPr>
              <w:spacing w:after="0"/>
              <w:rPr>
                <w:sz w:val="18"/>
                <w:szCs w:val="18"/>
                <w:color w:val="auto"/>
              </w:rPr>
            </w:pPr>
          </w:p>
        </w:tc>
        <w:tc>
          <w:tcPr>
            <w:tcW w:w="2600" w:type="dxa"/>
            <w:vAlign w:val="bottom"/>
          </w:tcPr>
          <w:p>
            <w:pPr>
              <w:ind w:left="500"/>
              <w:spacing w:after="0"/>
              <w:rPr>
                <w:sz w:val="20"/>
                <w:szCs w:val="20"/>
                <w:color w:val="auto"/>
              </w:rPr>
            </w:pPr>
            <w:r>
              <w:rPr>
                <w:rFonts w:ascii="Arial" w:cs="Arial" w:eastAsia="Arial" w:hAnsi="Arial"/>
                <w:sz w:val="14"/>
                <w:szCs w:val="14"/>
                <w:color w:val="665B4F"/>
              </w:rPr>
              <w:t>•</w:t>
            </w:r>
          </w:p>
        </w:tc>
        <w:tc>
          <w:tcPr>
            <w:tcW w:w="0" w:type="dxa"/>
            <w:vAlign w:val="bottom"/>
          </w:tcPr>
          <w:p>
            <w:pPr>
              <w:spacing w:after="0"/>
              <w:rPr>
                <w:sz w:val="1"/>
                <w:szCs w:val="1"/>
                <w:color w:val="auto"/>
              </w:rPr>
            </w:pPr>
          </w:p>
        </w:tc>
      </w:tr>
      <w:tr>
        <w:trPr>
          <w:trHeight w:val="39"/>
        </w:trPr>
        <w:tc>
          <w:tcPr>
            <w:tcW w:w="2580" w:type="dxa"/>
            <w:vAlign w:val="bottom"/>
            <w:tcBorders>
              <w:bottom w:val="single" w:sz="8" w:color="D1CDCA"/>
            </w:tcBorders>
          </w:tcPr>
          <w:p>
            <w:pPr>
              <w:spacing w:after="0"/>
              <w:rPr>
                <w:sz w:val="3"/>
                <w:szCs w:val="3"/>
                <w:color w:val="auto"/>
              </w:rPr>
            </w:pPr>
          </w:p>
        </w:tc>
        <w:tc>
          <w:tcPr>
            <w:tcW w:w="2080" w:type="dxa"/>
            <w:vAlign w:val="bottom"/>
            <w:tcBorders>
              <w:bottom w:val="single" w:sz="8" w:color="D1CDCA"/>
            </w:tcBorders>
          </w:tcPr>
          <w:p>
            <w:pPr>
              <w:spacing w:after="0"/>
              <w:rPr>
                <w:sz w:val="3"/>
                <w:szCs w:val="3"/>
                <w:color w:val="auto"/>
              </w:rPr>
            </w:pPr>
          </w:p>
        </w:tc>
        <w:tc>
          <w:tcPr>
            <w:tcW w:w="1740" w:type="dxa"/>
            <w:vAlign w:val="bottom"/>
            <w:tcBorders>
              <w:bottom w:val="single" w:sz="8" w:color="D1CDCA"/>
            </w:tcBorders>
          </w:tcPr>
          <w:p>
            <w:pPr>
              <w:spacing w:after="0"/>
              <w:rPr>
                <w:sz w:val="3"/>
                <w:szCs w:val="3"/>
                <w:color w:val="auto"/>
              </w:rPr>
            </w:pPr>
          </w:p>
        </w:tc>
        <w:tc>
          <w:tcPr>
            <w:tcW w:w="2020" w:type="dxa"/>
            <w:vAlign w:val="bottom"/>
            <w:tcBorders>
              <w:bottom w:val="single" w:sz="8" w:color="D1CDCA"/>
            </w:tcBorders>
          </w:tcPr>
          <w:p>
            <w:pPr>
              <w:spacing w:after="0"/>
              <w:rPr>
                <w:sz w:val="3"/>
                <w:szCs w:val="3"/>
                <w:color w:val="auto"/>
              </w:rPr>
            </w:pPr>
          </w:p>
        </w:tc>
        <w:tc>
          <w:tcPr>
            <w:tcW w:w="2600" w:type="dxa"/>
            <w:vAlign w:val="bottom"/>
            <w:tcBorders>
              <w:bottom w:val="single" w:sz="8" w:color="D1CDCA"/>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Wendy Webb</w:t>
            </w:r>
          </w:p>
        </w:tc>
        <w:tc>
          <w:tcPr>
            <w:tcW w:w="2080" w:type="dxa"/>
            <w:vAlign w:val="bottom"/>
            <w:tcBorders>
              <w:bottom w:val="single" w:sz="8" w:color="F7F7E5"/>
            </w:tcBorders>
            <w:shd w:val="clear" w:color="auto" w:fill="F7F7E5"/>
          </w:tcPr>
          <w:p>
            <w:pPr>
              <w:ind w:left="680"/>
              <w:spacing w:after="0"/>
              <w:rPr>
                <w:sz w:val="20"/>
                <w:szCs w:val="20"/>
                <w:color w:val="auto"/>
              </w:rPr>
            </w:pPr>
            <w:r>
              <w:rPr>
                <w:rFonts w:ascii="Arial" w:cs="Arial" w:eastAsia="Arial" w:hAnsi="Arial"/>
                <w:sz w:val="14"/>
                <w:szCs w:val="14"/>
                <w:color w:val="665B4F"/>
              </w:rPr>
              <w:t>•</w:t>
            </w:r>
          </w:p>
        </w:tc>
        <w:tc>
          <w:tcPr>
            <w:tcW w:w="1740" w:type="dxa"/>
            <w:vAlign w:val="bottom"/>
            <w:tcBorders>
              <w:bottom w:val="single" w:sz="8" w:color="F7F7E5"/>
            </w:tcBorders>
            <w:shd w:val="clear" w:color="auto" w:fill="F7F7E5"/>
          </w:tcPr>
          <w:p>
            <w:pPr>
              <w:spacing w:after="0"/>
              <w:rPr>
                <w:sz w:val="21"/>
                <w:szCs w:val="21"/>
                <w:color w:val="auto"/>
              </w:rPr>
            </w:pPr>
          </w:p>
        </w:tc>
        <w:tc>
          <w:tcPr>
            <w:tcW w:w="2020" w:type="dxa"/>
            <w:vAlign w:val="bottom"/>
            <w:tcBorders>
              <w:bottom w:val="single" w:sz="8" w:color="F7F7E5"/>
            </w:tcBorders>
            <w:shd w:val="clear" w:color="auto" w:fill="F7F7E5"/>
          </w:tcPr>
          <w:p>
            <w:pPr>
              <w:spacing w:after="0"/>
              <w:rPr>
                <w:sz w:val="21"/>
                <w:szCs w:val="21"/>
                <w:color w:val="auto"/>
              </w:rPr>
            </w:pPr>
          </w:p>
        </w:tc>
        <w:tc>
          <w:tcPr>
            <w:tcW w:w="2600" w:type="dxa"/>
            <w:vAlign w:val="bottom"/>
            <w:tcBorders>
              <w:bottom w:val="single" w:sz="8" w:color="F7F7E5"/>
            </w:tcBorders>
            <w:shd w:val="clear" w:color="auto" w:fill="F7F7E5"/>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58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Committee Meetings in 2017</w:t>
            </w:r>
          </w:p>
        </w:tc>
        <w:tc>
          <w:tcPr>
            <w:tcW w:w="20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ind w:left="340"/>
              <w:spacing w:after="0"/>
              <w:rPr>
                <w:sz w:val="20"/>
                <w:szCs w:val="20"/>
                <w:color w:val="auto"/>
              </w:rPr>
            </w:pPr>
            <w:r>
              <w:rPr>
                <w:rFonts w:ascii="Arial" w:cs="Arial" w:eastAsia="Arial" w:hAnsi="Arial"/>
                <w:sz w:val="14"/>
                <w:szCs w:val="14"/>
                <w:color w:val="auto"/>
              </w:rPr>
              <w:t>8</w:t>
            </w:r>
          </w:p>
        </w:tc>
        <w:tc>
          <w:tcPr>
            <w:tcW w:w="2020" w:type="dxa"/>
            <w:vAlign w:val="bottom"/>
            <w:tcBorders>
              <w:top w:val="single" w:sz="8" w:color="auto"/>
            </w:tcBorders>
          </w:tcPr>
          <w:p>
            <w:pPr>
              <w:ind w:left="360"/>
              <w:spacing w:after="0"/>
              <w:rPr>
                <w:sz w:val="20"/>
                <w:szCs w:val="20"/>
                <w:color w:val="auto"/>
              </w:rPr>
            </w:pPr>
            <w:r>
              <w:rPr>
                <w:rFonts w:ascii="Arial" w:cs="Arial" w:eastAsia="Arial" w:hAnsi="Arial"/>
                <w:sz w:val="14"/>
                <w:szCs w:val="14"/>
                <w:color w:val="auto"/>
              </w:rPr>
              <w:t>7</w:t>
            </w:r>
          </w:p>
        </w:tc>
        <w:tc>
          <w:tcPr>
            <w:tcW w:w="2600" w:type="dxa"/>
            <w:vAlign w:val="bottom"/>
            <w:tcBorders>
              <w:top w:val="single" w:sz="8" w:color="auto"/>
            </w:tcBorders>
          </w:tcPr>
          <w:p>
            <w:pPr>
              <w:ind w:left="50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0"/>
        </w:trPr>
        <w:tc>
          <w:tcPr>
            <w:tcW w:w="258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2"/>
          <w:szCs w:val="12"/>
          <w:color w:val="auto"/>
        </w:rPr>
        <w:t>Chairperson</w:t>
      </w:r>
    </w:p>
    <w:p>
      <w:pPr>
        <w:spacing w:after="0" w:line="55" w:lineRule="exact"/>
        <w:rPr>
          <w:sz w:val="20"/>
          <w:szCs w:val="20"/>
          <w:color w:val="auto"/>
        </w:rPr>
      </w:pPr>
    </w:p>
    <w:p>
      <w:pPr>
        <w:ind w:left="420" w:right="120" w:hanging="216"/>
        <w:spacing w:after="0" w:line="253" w:lineRule="auto"/>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Audit Committee, after review of each individual’s employment experience and other relevant factors, has determined that Messrs. Hagenbuch, Shoemaker and Wayson are qualified as audit committee financial experts within the meaning of SEC regulations.</w:t>
      </w:r>
    </w:p>
    <w:p>
      <w:pPr>
        <w:spacing w:after="0" w:line="25" w:lineRule="exact"/>
        <w:rPr>
          <w:rFonts w:ascii="Arial" w:cs="Arial" w:eastAsia="Arial" w:hAnsi="Arial"/>
          <w:sz w:val="14"/>
          <w:szCs w:val="14"/>
          <w:color w:val="auto"/>
        </w:rPr>
      </w:pPr>
    </w:p>
    <w:p>
      <w:pPr>
        <w:ind w:left="420" w:hanging="216"/>
        <w:spacing w:after="0"/>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Virtue will not stand for re-election at the expiration of his term at the Company’s 2018 Annual Meeting.</w:t>
      </w:r>
    </w:p>
    <w:p>
      <w:pPr>
        <w:spacing w:after="0" w:line="55" w:lineRule="exact"/>
        <w:rPr>
          <w:rFonts w:ascii="Arial" w:cs="Arial" w:eastAsia="Arial" w:hAnsi="Arial"/>
          <w:sz w:val="14"/>
          <w:szCs w:val="14"/>
          <w:color w:val="auto"/>
        </w:rPr>
      </w:pPr>
    </w:p>
    <w:p>
      <w:pPr>
        <w:ind w:left="420" w:hanging="216"/>
        <w:spacing w:after="0"/>
        <w:tabs>
          <w:tab w:leader="none" w:pos="4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Board committee assignments for each of Mses. Atkins, Myers and Webb will be determined following the 2018 Annual Meeting.</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AUDIT COMMITTEE</w:t>
      </w:r>
    </w:p>
    <w:p>
      <w:pPr>
        <w:spacing w:after="0" w:line="128" w:lineRule="exact"/>
        <w:rPr>
          <w:sz w:val="20"/>
          <w:szCs w:val="20"/>
          <w:color w:val="auto"/>
        </w:rPr>
      </w:pPr>
    </w:p>
    <w:p>
      <w:pPr>
        <w:ind w:left="200" w:right="200"/>
        <w:spacing w:after="0" w:line="250" w:lineRule="auto"/>
        <w:rPr>
          <w:sz w:val="20"/>
          <w:szCs w:val="20"/>
          <w:color w:val="auto"/>
        </w:rPr>
      </w:pPr>
      <w:r>
        <w:rPr>
          <w:rFonts w:ascii="Arial" w:cs="Arial" w:eastAsia="Arial" w:hAnsi="Arial"/>
          <w:sz w:val="16"/>
          <w:szCs w:val="16"/>
          <w:color w:val="auto"/>
        </w:rPr>
        <w:t>At each regular meeting, the Audit Committee meets in executive session with the Company’s independent auditors, General Counsel, Chief Audit Executive, Chief Financial Officer and Compliance Officer to discuss accounting principles, financial and accounting controls, the scope of the annual audit, internal controls, regulatory compliance and other matters. 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Key Responsibilities</w:t>
      </w:r>
    </w:p>
    <w:p>
      <w:pPr>
        <w:spacing w:after="0" w:line="127" w:lineRule="exact"/>
        <w:rPr>
          <w:sz w:val="20"/>
          <w:szCs w:val="20"/>
          <w:color w:val="auto"/>
        </w:rPr>
      </w:pPr>
    </w:p>
    <w:p>
      <w:pPr>
        <w:ind w:left="520" w:hanging="208"/>
        <w:spacing w:after="0"/>
        <w:tabs>
          <w:tab w:leader="none" w:pos="520" w:val="left"/>
        </w:tabs>
        <w:numPr>
          <w:ilvl w:val="0"/>
          <w:numId w:val="41"/>
        </w:numPr>
        <w:rPr>
          <w:rFonts w:ascii="Arial" w:cs="Arial" w:eastAsia="Arial" w:hAnsi="Arial"/>
          <w:sz w:val="16"/>
          <w:szCs w:val="16"/>
          <w:color w:val="665B4F"/>
        </w:rPr>
      </w:pPr>
      <w:r>
        <w:rPr>
          <w:rFonts w:ascii="Arial" w:cs="Arial" w:eastAsia="Arial" w:hAnsi="Arial"/>
          <w:sz w:val="16"/>
          <w:szCs w:val="16"/>
          <w:color w:val="auto"/>
        </w:rPr>
        <w:t>appointing, retaining, overseeing, and approving the compensation of the independent auditors</w:t>
      </w:r>
    </w:p>
    <w:p>
      <w:pPr>
        <w:spacing w:after="0" w:line="140" w:lineRule="exact"/>
        <w:rPr>
          <w:rFonts w:ascii="Arial" w:cs="Arial" w:eastAsia="Arial" w:hAnsi="Arial"/>
          <w:sz w:val="16"/>
          <w:szCs w:val="16"/>
          <w:color w:val="665B4F"/>
        </w:rPr>
      </w:pPr>
    </w:p>
    <w:p>
      <w:pPr>
        <w:ind w:left="520" w:right="120" w:hanging="208"/>
        <w:spacing w:after="0" w:line="260" w:lineRule="auto"/>
        <w:tabs>
          <w:tab w:leader="none" w:pos="520" w:val="left"/>
        </w:tabs>
        <w:numPr>
          <w:ilvl w:val="0"/>
          <w:numId w:val="41"/>
        </w:numPr>
        <w:rPr>
          <w:rFonts w:ascii="Arial" w:cs="Arial" w:eastAsia="Arial" w:hAnsi="Arial"/>
          <w:sz w:val="16"/>
          <w:szCs w:val="16"/>
          <w:color w:val="665B4F"/>
        </w:rPr>
      </w:pPr>
      <w:r>
        <w:rPr>
          <w:rFonts w:ascii="Arial" w:cs="Arial" w:eastAsia="Arial" w:hAnsi="Arial"/>
          <w:sz w:val="16"/>
          <w:szCs w:val="16"/>
          <w:color w:val="auto"/>
        </w:rPr>
        <w:t>reviewing and discussing with independent auditors and management the Company’s earnings releases and quarterly and annual reports to be filed with the SEC</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41"/>
        </w:numPr>
        <w:rPr>
          <w:rFonts w:ascii="Arial" w:cs="Arial" w:eastAsia="Arial" w:hAnsi="Arial"/>
          <w:sz w:val="16"/>
          <w:szCs w:val="16"/>
          <w:color w:val="665B4F"/>
        </w:rPr>
      </w:pPr>
      <w:r>
        <w:rPr>
          <w:rFonts w:ascii="Arial" w:cs="Arial" w:eastAsia="Arial" w:hAnsi="Arial"/>
          <w:sz w:val="16"/>
          <w:szCs w:val="16"/>
          <w:color w:val="auto"/>
        </w:rPr>
        <w:t>reviewing the adequacy, effectiveness, scope, and results of the Company’s internal auditing procedures and practices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41"/>
        </w:numPr>
        <w:rPr>
          <w:rFonts w:ascii="Arial" w:cs="Arial" w:eastAsia="Arial" w:hAnsi="Arial"/>
          <w:sz w:val="16"/>
          <w:szCs w:val="16"/>
          <w:color w:val="665B4F"/>
        </w:rPr>
      </w:pPr>
      <w:r>
        <w:rPr>
          <w:rFonts w:ascii="Arial" w:cs="Arial" w:eastAsia="Arial" w:hAnsi="Arial"/>
          <w:sz w:val="16"/>
          <w:szCs w:val="16"/>
          <w:color w:val="auto"/>
        </w:rPr>
        <w:t>overseeing the Company’s legal and regulatory compliance programs and its policies and procedures for monitoring compliance</w:t>
      </w:r>
    </w:p>
    <w:p>
      <w:pPr>
        <w:spacing w:after="0" w:line="140" w:lineRule="exact"/>
        <w:rPr>
          <w:rFonts w:ascii="Arial" w:cs="Arial" w:eastAsia="Arial" w:hAnsi="Arial"/>
          <w:sz w:val="16"/>
          <w:szCs w:val="16"/>
          <w:color w:val="665B4F"/>
        </w:rPr>
      </w:pPr>
    </w:p>
    <w:p>
      <w:pPr>
        <w:ind w:left="520" w:right="220" w:hanging="208"/>
        <w:spacing w:after="0" w:line="260" w:lineRule="auto"/>
        <w:tabs>
          <w:tab w:leader="none" w:pos="520" w:val="left"/>
        </w:tabs>
        <w:numPr>
          <w:ilvl w:val="0"/>
          <w:numId w:val="41"/>
        </w:numPr>
        <w:rPr>
          <w:rFonts w:ascii="Arial" w:cs="Arial" w:eastAsia="Arial" w:hAnsi="Arial"/>
          <w:sz w:val="16"/>
          <w:szCs w:val="16"/>
          <w:color w:val="665B4F"/>
        </w:rPr>
      </w:pPr>
      <w:r>
        <w:rPr>
          <w:rFonts w:ascii="Arial" w:cs="Arial" w:eastAsia="Arial" w:hAnsi="Arial"/>
          <w:sz w:val="16"/>
          <w:szCs w:val="16"/>
          <w:color w:val="auto"/>
        </w:rPr>
        <w:t>meeting periodically with management to review the Company’s major risk exposures and the steps management has taken to monitor and control such exposures</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41"/>
        </w:numPr>
        <w:rPr>
          <w:rFonts w:ascii="Arial" w:cs="Arial" w:eastAsia="Arial" w:hAnsi="Arial"/>
          <w:sz w:val="16"/>
          <w:szCs w:val="16"/>
          <w:color w:val="665B4F"/>
        </w:rPr>
      </w:pPr>
      <w:r>
        <w:rPr>
          <w:rFonts w:ascii="Arial" w:cs="Arial" w:eastAsia="Arial" w:hAnsi="Arial"/>
          <w:sz w:val="16"/>
          <w:szCs w:val="16"/>
          <w:color w:val="auto"/>
        </w:rPr>
        <w:t>reviewing and approving the Company’s decision to enter into certain swaps and other derivative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224790</wp:posOffset>
            </wp:positionV>
            <wp:extent cx="608965"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39" w:lineRule="exact"/>
        <w:rPr>
          <w:sz w:val="20"/>
          <w:szCs w:val="20"/>
          <w:color w:val="auto"/>
        </w:rPr>
      </w:pPr>
    </w:p>
    <w:p>
      <w:pPr>
        <w:ind w:left="200"/>
        <w:spacing w:after="0"/>
        <w:tabs>
          <w:tab w:leader="none" w:pos="420" w:val="left"/>
        </w:tabs>
        <w:rPr>
          <w:sz w:val="20"/>
          <w:szCs w:val="20"/>
          <w:color w:val="auto"/>
        </w:rPr>
      </w:pPr>
      <w:r>
        <w:rPr>
          <w:rFonts w:ascii="Arial" w:cs="Arial" w:eastAsia="Arial" w:hAnsi="Arial"/>
          <w:sz w:val="14"/>
          <w:szCs w:val="14"/>
          <w:color w:val="auto"/>
        </w:rPr>
        <w:t>9</w:t>
        <w:tab/>
        <w:t>|</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5B4F"/>
        </w:rPr>
        <w:t>OUR BOARD AND CORPORATE GOVERNANCE</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COMPENSATION COMMITTEE</w:t>
      </w:r>
    </w:p>
    <w:p>
      <w:pPr>
        <w:spacing w:after="0" w:line="128" w:lineRule="exact"/>
        <w:rPr>
          <w:sz w:val="20"/>
          <w:szCs w:val="20"/>
          <w:color w:val="auto"/>
        </w:rPr>
      </w:pPr>
    </w:p>
    <w:p>
      <w:pPr>
        <w:ind w:left="200" w:right="120"/>
        <w:spacing w:after="0" w:line="253" w:lineRule="auto"/>
        <w:rPr>
          <w:sz w:val="20"/>
          <w:szCs w:val="20"/>
          <w:color w:val="auto"/>
        </w:rPr>
      </w:pPr>
      <w:r>
        <w:rPr>
          <w:rFonts w:ascii="Arial" w:cs="Arial" w:eastAsia="Arial" w:hAnsi="Arial"/>
          <w:sz w:val="16"/>
          <w:szCs w:val="16"/>
          <w:color w:val="auto"/>
        </w:rPr>
        <w:t>The Compensation Committee sets all elements of compensation for our named executive officers (“NEOs”) based upon consideration of their contributions to the development and operating performance of the Company, and is primarily responsible for monitoring risks relating to the Company’s compensation policies and practices to determine whether they create risks that are reasonably likely to have a material adverse effect on the Company.</w:t>
      </w:r>
    </w:p>
    <w:p>
      <w:pPr>
        <w:spacing w:after="0" w:line="201" w:lineRule="exact"/>
        <w:rPr>
          <w:sz w:val="20"/>
          <w:szCs w:val="20"/>
          <w:color w:val="auto"/>
        </w:rPr>
      </w:pPr>
    </w:p>
    <w:p>
      <w:pPr>
        <w:ind w:left="200" w:right="80"/>
        <w:spacing w:after="0" w:line="251" w:lineRule="auto"/>
        <w:rPr>
          <w:sz w:val="20"/>
          <w:szCs w:val="20"/>
          <w:color w:val="auto"/>
        </w:rPr>
      </w:pPr>
      <w:r>
        <w:rPr>
          <w:rFonts w:ascii="Arial" w:cs="Arial" w:eastAsia="Arial" w:hAnsi="Arial"/>
          <w:sz w:val="16"/>
          <w:szCs w:val="16"/>
          <w:color w:val="auto"/>
        </w:rPr>
        <w:t>The Compensation Committee considers the recommendations of the CEO in establishing compensation for all NEOs, other than the CEO. The CEO is not present during the voting or deliberations regarding his compensation. In addition, the CEO performs annual reviews of all of our senior management and makes recommendations to the Compensation Committee concerning their compensation. The Compensation Committee reviews the recommendations and makes final decisions regarding compensation for members of our senior management.</w:t>
      </w:r>
    </w:p>
    <w:p>
      <w:pPr>
        <w:spacing w:after="0" w:line="203"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The Compensation Committee has the authority to retain compensation consulting firms exclusively to assist it in the evaluation of executive officer and employee compensation and benefit programs. In 2017, the Compensation Committee retained Pay Governance LLC (“Pay Governance”), a nationally recognized independent compensation consulting firm, to assist in performing its duties. Pay Governance does not provide services to the Company other than the advice on director and executive compensation that it may provide the Compensation Committee when requested. In 2017, Pay Governance provided the Compensation Committee with a peer group review and competitive compensation analysis, in connection with the Compensation Committee’s review of compensation levels of our NEOs. The Compensation Committee retains sole responsibility for engaging advisors and meets with advisors, as needed, in the Compensation Committee’s sole discretion.</w:t>
      </w:r>
    </w:p>
    <w:p>
      <w:pPr>
        <w:spacing w:after="0" w:line="209" w:lineRule="exact"/>
        <w:rPr>
          <w:sz w:val="20"/>
          <w:szCs w:val="20"/>
          <w:color w:val="auto"/>
        </w:rPr>
      </w:pPr>
    </w:p>
    <w:p>
      <w:pPr>
        <w:ind w:left="200" w:right="20"/>
        <w:spacing w:after="0" w:line="251" w:lineRule="auto"/>
        <w:rPr>
          <w:sz w:val="20"/>
          <w:szCs w:val="20"/>
          <w:color w:val="auto"/>
        </w:rPr>
      </w:pPr>
      <w:r>
        <w:rPr>
          <w:rFonts w:ascii="Arial" w:cs="Arial" w:eastAsia="Arial" w:hAnsi="Arial"/>
          <w:sz w:val="16"/>
          <w:szCs w:val="16"/>
          <w:color w:val="auto"/>
        </w:rPr>
        <w:t>The members of the Compensation Committee are appointed by the Board each year. The members of the Compensation Committee that served in 2017 were Ms. Mulroy (until February 23, 2017), Admiral Johnson and Messrs. Hagenbuch, Shoemaker and Virtue. No member of the Compensation Committee is, or was formerly,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Key Responsibilities</w:t>
      </w:r>
    </w:p>
    <w:p>
      <w:pPr>
        <w:spacing w:after="0" w:line="127" w:lineRule="exact"/>
        <w:rPr>
          <w:sz w:val="20"/>
          <w:szCs w:val="20"/>
          <w:color w:val="auto"/>
        </w:rPr>
      </w:pPr>
    </w:p>
    <w:p>
      <w:pPr>
        <w:ind w:left="520" w:right="200" w:hanging="208"/>
        <w:spacing w:after="0" w:line="260" w:lineRule="auto"/>
        <w:tabs>
          <w:tab w:leader="none" w:pos="520" w:val="left"/>
        </w:tabs>
        <w:numPr>
          <w:ilvl w:val="0"/>
          <w:numId w:val="42"/>
        </w:numPr>
        <w:rPr>
          <w:rFonts w:ascii="Arial" w:cs="Arial" w:eastAsia="Arial" w:hAnsi="Arial"/>
          <w:sz w:val="16"/>
          <w:szCs w:val="16"/>
          <w:color w:val="665B4F"/>
        </w:rPr>
      </w:pPr>
      <w:r>
        <w:rPr>
          <w:rFonts w:ascii="Arial" w:cs="Arial" w:eastAsia="Arial" w:hAnsi="Arial"/>
          <w:sz w:val="16"/>
          <w:szCs w:val="16"/>
          <w:color w:val="auto"/>
        </w:rPr>
        <w:t>reviewing the goals and objectives of the Company’s executive compensation plans, and, as appropriate, recommending that the Board adopt new plans or amend existing plans</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42"/>
        </w:numPr>
        <w:rPr>
          <w:rFonts w:ascii="Arial" w:cs="Arial" w:eastAsia="Arial" w:hAnsi="Arial"/>
          <w:sz w:val="16"/>
          <w:szCs w:val="16"/>
          <w:color w:val="665B4F"/>
        </w:rPr>
      </w:pPr>
      <w:r>
        <w:rPr>
          <w:rFonts w:ascii="Arial" w:cs="Arial" w:eastAsia="Arial" w:hAnsi="Arial"/>
          <w:sz w:val="16"/>
          <w:szCs w:val="16"/>
          <w:color w:val="auto"/>
        </w:rPr>
        <w:t>assessing the Company’s most recent advisory vote on executive compensation</w:t>
      </w:r>
    </w:p>
    <w:p>
      <w:pPr>
        <w:spacing w:after="0" w:line="140" w:lineRule="exact"/>
        <w:rPr>
          <w:rFonts w:ascii="Arial" w:cs="Arial" w:eastAsia="Arial" w:hAnsi="Arial"/>
          <w:sz w:val="16"/>
          <w:szCs w:val="16"/>
          <w:color w:val="665B4F"/>
        </w:rPr>
      </w:pPr>
    </w:p>
    <w:p>
      <w:pPr>
        <w:ind w:left="520" w:right="180" w:hanging="208"/>
        <w:spacing w:after="0" w:line="260" w:lineRule="auto"/>
        <w:tabs>
          <w:tab w:leader="none" w:pos="520" w:val="left"/>
        </w:tabs>
        <w:numPr>
          <w:ilvl w:val="0"/>
          <w:numId w:val="42"/>
        </w:numPr>
        <w:rPr>
          <w:rFonts w:ascii="Arial" w:cs="Arial" w:eastAsia="Arial" w:hAnsi="Arial"/>
          <w:sz w:val="16"/>
          <w:szCs w:val="16"/>
          <w:color w:val="665B4F"/>
        </w:rPr>
      </w:pPr>
      <w:r>
        <w:rPr>
          <w:rFonts w:ascii="Arial" w:cs="Arial" w:eastAsia="Arial" w:hAnsi="Arial"/>
          <w:sz w:val="16"/>
          <w:szCs w:val="16"/>
          <w:color w:val="auto"/>
        </w:rPr>
        <w:t>appointing advisors retained by the committee and assessing any potential conflicts of interest, overseeing and approving the compensation of any advisors the committee retains</w:t>
      </w:r>
    </w:p>
    <w:p>
      <w:pPr>
        <w:spacing w:after="0" w:line="101" w:lineRule="exact"/>
        <w:rPr>
          <w:rFonts w:ascii="Arial" w:cs="Arial" w:eastAsia="Arial" w:hAnsi="Arial"/>
          <w:sz w:val="16"/>
          <w:szCs w:val="16"/>
          <w:color w:val="665B4F"/>
        </w:rPr>
      </w:pPr>
    </w:p>
    <w:p>
      <w:pPr>
        <w:ind w:left="520" w:right="300" w:hanging="208"/>
        <w:spacing w:after="0" w:line="260" w:lineRule="auto"/>
        <w:tabs>
          <w:tab w:leader="none" w:pos="520" w:val="left"/>
        </w:tabs>
        <w:numPr>
          <w:ilvl w:val="0"/>
          <w:numId w:val="42"/>
        </w:numPr>
        <w:rPr>
          <w:rFonts w:ascii="Arial" w:cs="Arial" w:eastAsia="Arial" w:hAnsi="Arial"/>
          <w:sz w:val="16"/>
          <w:szCs w:val="16"/>
          <w:color w:val="665B4F"/>
        </w:rPr>
      </w:pPr>
      <w:r>
        <w:rPr>
          <w:rFonts w:ascii="Arial" w:cs="Arial" w:eastAsia="Arial" w:hAnsi="Arial"/>
          <w:sz w:val="16"/>
          <w:szCs w:val="16"/>
          <w:color w:val="auto"/>
        </w:rPr>
        <w:t>annually evaluating the performance of the CEO, overseeing the evaluation of performance of the other officers of the Company and its operating subsidiaries, and setting compensation for the CEO, other NEOs, and other members of senior management</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42"/>
        </w:numPr>
        <w:rPr>
          <w:rFonts w:ascii="Arial" w:cs="Arial" w:eastAsia="Arial" w:hAnsi="Arial"/>
          <w:sz w:val="16"/>
          <w:szCs w:val="16"/>
          <w:color w:val="665B4F"/>
        </w:rPr>
      </w:pPr>
      <w:r>
        <w:rPr>
          <w:rFonts w:ascii="Arial" w:cs="Arial" w:eastAsia="Arial" w:hAnsi="Arial"/>
          <w:sz w:val="16"/>
          <w:szCs w:val="16"/>
          <w:color w:val="auto"/>
        </w:rPr>
        <w:t>reviewing and approving equity awards and supervising administrative functions pursuant to the Company’s equity plans</w:t>
      </w:r>
    </w:p>
    <w:p>
      <w:pPr>
        <w:spacing w:after="0" w:line="140" w:lineRule="exact"/>
        <w:rPr>
          <w:rFonts w:ascii="Arial" w:cs="Arial" w:eastAsia="Arial" w:hAnsi="Arial"/>
          <w:sz w:val="16"/>
          <w:szCs w:val="16"/>
          <w:color w:val="665B4F"/>
        </w:rPr>
      </w:pPr>
    </w:p>
    <w:p>
      <w:pPr>
        <w:ind w:left="520" w:right="260" w:hanging="208"/>
        <w:spacing w:after="0" w:line="260" w:lineRule="auto"/>
        <w:tabs>
          <w:tab w:leader="none" w:pos="520" w:val="left"/>
        </w:tabs>
        <w:numPr>
          <w:ilvl w:val="0"/>
          <w:numId w:val="42"/>
        </w:numPr>
        <w:rPr>
          <w:rFonts w:ascii="Arial" w:cs="Arial" w:eastAsia="Arial" w:hAnsi="Arial"/>
          <w:sz w:val="16"/>
          <w:szCs w:val="16"/>
          <w:color w:val="665B4F"/>
        </w:rPr>
      </w:pPr>
      <w:r>
        <w:rPr>
          <w:rFonts w:ascii="Arial" w:cs="Arial" w:eastAsia="Arial" w:hAnsi="Arial"/>
          <w:sz w:val="16"/>
          <w:szCs w:val="16"/>
          <w:color w:val="auto"/>
        </w:rPr>
        <w:t>reviewing and approving compensation arrangements for officers and other key employees in accordance with policies adopted by the Committee from time to time</w:t>
      </w:r>
    </w:p>
    <w:p>
      <w:pPr>
        <w:spacing w:after="0" w:line="101" w:lineRule="exact"/>
        <w:rPr>
          <w:rFonts w:ascii="Arial" w:cs="Arial" w:eastAsia="Arial" w:hAnsi="Arial"/>
          <w:sz w:val="16"/>
          <w:szCs w:val="16"/>
          <w:color w:val="665B4F"/>
        </w:rPr>
      </w:pPr>
    </w:p>
    <w:p>
      <w:pPr>
        <w:ind w:left="520" w:right="700" w:hanging="208"/>
        <w:spacing w:after="0" w:line="260" w:lineRule="auto"/>
        <w:tabs>
          <w:tab w:leader="none" w:pos="520" w:val="left"/>
        </w:tabs>
        <w:numPr>
          <w:ilvl w:val="0"/>
          <w:numId w:val="42"/>
        </w:numPr>
        <w:rPr>
          <w:rFonts w:ascii="Arial" w:cs="Arial" w:eastAsia="Arial" w:hAnsi="Arial"/>
          <w:sz w:val="16"/>
          <w:szCs w:val="16"/>
          <w:color w:val="665B4F"/>
        </w:rPr>
      </w:pPr>
      <w:r>
        <w:rPr>
          <w:rFonts w:ascii="Arial" w:cs="Arial" w:eastAsia="Arial" w:hAnsi="Arial"/>
          <w:sz w:val="16"/>
          <w:szCs w:val="16"/>
          <w:color w:val="auto"/>
        </w:rPr>
        <w:t>reviewing and recommending to the full Board the type and amount of compensation for Board and Committee service by non-management members of the Board</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42"/>
        </w:numPr>
        <w:rPr>
          <w:rFonts w:ascii="Arial" w:cs="Arial" w:eastAsia="Arial" w:hAnsi="Arial"/>
          <w:sz w:val="16"/>
          <w:szCs w:val="16"/>
          <w:color w:val="665B4F"/>
        </w:rPr>
      </w:pPr>
      <w:r>
        <w:rPr>
          <w:rFonts w:ascii="Arial" w:cs="Arial" w:eastAsia="Arial" w:hAnsi="Arial"/>
          <w:sz w:val="16"/>
          <w:szCs w:val="16"/>
          <w:color w:val="auto"/>
        </w:rPr>
        <w:t>reviewing and discussing with management the Compensation Discussion and Analysis and related disclosures in the Company’s proxy statement</w:t>
      </w:r>
    </w:p>
    <w:p>
      <w:pPr>
        <w:spacing w:after="0" w:line="3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CORPORATE GOVERNANCE COMMITTEE</w:t>
      </w:r>
    </w:p>
    <w:p>
      <w:pPr>
        <w:spacing w:after="0" w:line="128"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The Corporate Governance Committee seeks to have the Board represent a diversity of backgrounds and experience and assesses potential nominees in light of the Board’s current size and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97155</wp:posOffset>
            </wp:positionV>
            <wp:extent cx="6997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0" w:lineRule="exact"/>
        <w:rPr>
          <w:sz w:val="20"/>
          <w:szCs w:val="20"/>
          <w:color w:val="auto"/>
        </w:rPr>
      </w:pPr>
    </w:p>
    <w:p>
      <w:pPr>
        <w:jc w:val="right"/>
        <w:spacing w:after="0"/>
        <w:tabs>
          <w:tab w:leader="none" w:pos="340" w:val="left"/>
          <w:tab w:leader="none" w:pos="1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10</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OUR BOARD AND CORPORATE GOVERNANCE</w:t>
      </w:r>
    </w:p>
    <w:p>
      <w:pPr>
        <w:spacing w:after="0" w:line="178" w:lineRule="exact"/>
        <w:rPr>
          <w:sz w:val="20"/>
          <w:szCs w:val="20"/>
          <w:color w:val="auto"/>
        </w:rPr>
      </w:pPr>
    </w:p>
    <w:p>
      <w:pPr>
        <w:ind w:left="200" w:right="140"/>
        <w:spacing w:after="0" w:line="249" w:lineRule="auto"/>
        <w:rPr>
          <w:sz w:val="20"/>
          <w:szCs w:val="20"/>
          <w:color w:val="auto"/>
        </w:rPr>
      </w:pPr>
      <w:r>
        <w:rPr>
          <w:rFonts w:ascii="Arial" w:cs="Arial" w:eastAsia="Arial" w:hAnsi="Arial"/>
          <w:sz w:val="16"/>
          <w:szCs w:val="16"/>
          <w:color w:val="auto"/>
        </w:rPr>
        <w:t>The Corporate Governance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robust engagement in the strategic planning process, and have a reputation for honest and ethical conduct in both his or her professional and personal activities. The Corporate Governance Committee may, from time to time, develop and recommend additional criteria for identifying and evaluating director candidates. In addition, the Corporate Governance Committee examines a candidate’s other commitments, potential conflicts of interest and independence from management and the Company.</w:t>
      </w:r>
    </w:p>
    <w:p>
      <w:pPr>
        <w:spacing w:after="0" w:line="205" w:lineRule="exact"/>
        <w:rPr>
          <w:sz w:val="20"/>
          <w:szCs w:val="20"/>
          <w:color w:val="auto"/>
        </w:rPr>
      </w:pPr>
    </w:p>
    <w:p>
      <w:pPr>
        <w:ind w:left="200" w:right="100"/>
        <w:spacing w:after="0" w:line="250" w:lineRule="auto"/>
        <w:rPr>
          <w:sz w:val="20"/>
          <w:szCs w:val="20"/>
          <w:color w:val="auto"/>
        </w:rPr>
      </w:pPr>
      <w:r>
        <w:rPr>
          <w:rFonts w:ascii="Arial" w:cs="Arial" w:eastAsia="Arial" w:hAnsi="Arial"/>
          <w:sz w:val="16"/>
          <w:szCs w:val="16"/>
          <w:color w:val="auto"/>
        </w:rPr>
        <w:t>As part of the Committee’s Board expansion initiative, the Corporate Governance Committee reassessed the Board’s composition and in February 2018, it made a determination to actively seek candidates to diversify the Board as a means to provide a broad spectrum of experience and expertise to the Company that will promote the presentation and consideration of differing points of view. The Corporate Governance Committee and Board believe that differences of viewpoint, professional experience, individual characteristics, personal background, qualities, skills, qualifications, gender, ethnicity and race help generate varying perspectives and that those varying perspectives are important to the effectiveness of the Board’s oversight of the Company.</w:t>
      </w:r>
    </w:p>
    <w:p>
      <w:pPr>
        <w:spacing w:after="0" w:line="203"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auto"/>
        </w:rPr>
        <w:t>The Corporate Governance Committee proactively considers diversity by annually reviewing with the Board the Board’s composition as a whole and recommending, if appropriate, measures to be taken so that the Board reflects the appropriate balance of knowledge, depth, diversity of backgrounds and experience, and the skills and expertise required for the Board as a whole. The Corporate Governance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203"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auto"/>
        </w:rPr>
        <w:t>The Company has retained a third-party search firm to assist in identifying and vetting potential Board candidates. In addition, the Corporate Governance Committee identifies potential nominees by asking current directors and executive officers to notify the Corporate Governance Committee if they become aware of persons meeting the criteria described above who might be available to serve on the Board and by seeking recommendations from shareholders. Ms. Mulroy was identified for consideration as a director by other directors. Each of Ms. Atkins, Ms. Webb and Ms. Myers was presented for consideration as a director by the Company’s third-party search firm.</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Key Responsibilities</w:t>
      </w:r>
    </w:p>
    <w:p>
      <w:pPr>
        <w:spacing w:after="0" w:line="127" w:lineRule="exact"/>
        <w:rPr>
          <w:sz w:val="20"/>
          <w:szCs w:val="20"/>
          <w:color w:val="auto"/>
        </w:rPr>
      </w:pPr>
    </w:p>
    <w:p>
      <w:pPr>
        <w:ind w:left="520" w:hanging="208"/>
        <w:spacing w:after="0"/>
        <w:tabs>
          <w:tab w:leader="none" w:pos="520" w:val="left"/>
        </w:tabs>
        <w:numPr>
          <w:ilvl w:val="0"/>
          <w:numId w:val="43"/>
        </w:numPr>
        <w:rPr>
          <w:rFonts w:ascii="Arial" w:cs="Arial" w:eastAsia="Arial" w:hAnsi="Arial"/>
          <w:sz w:val="16"/>
          <w:szCs w:val="16"/>
          <w:color w:val="665B4F"/>
        </w:rPr>
      </w:pPr>
      <w:r>
        <w:rPr>
          <w:rFonts w:ascii="Arial" w:cs="Arial" w:eastAsia="Arial" w:hAnsi="Arial"/>
          <w:sz w:val="16"/>
          <w:szCs w:val="16"/>
          <w:color w:val="auto"/>
        </w:rPr>
        <w:t>identifying, evaluating and recommending qualified director candidates, including candidates recommended by shareholders or management</w:t>
      </w:r>
    </w:p>
    <w:p>
      <w:pPr>
        <w:spacing w:after="0" w:line="140" w:lineRule="exact"/>
        <w:rPr>
          <w:rFonts w:ascii="Arial" w:cs="Arial" w:eastAsia="Arial" w:hAnsi="Arial"/>
          <w:sz w:val="16"/>
          <w:szCs w:val="16"/>
          <w:color w:val="665B4F"/>
        </w:rPr>
      </w:pPr>
    </w:p>
    <w:p>
      <w:pPr>
        <w:ind w:left="520" w:right="620" w:hanging="208"/>
        <w:spacing w:after="0" w:line="253" w:lineRule="auto"/>
        <w:tabs>
          <w:tab w:leader="none" w:pos="520" w:val="left"/>
        </w:tabs>
        <w:numPr>
          <w:ilvl w:val="0"/>
          <w:numId w:val="43"/>
        </w:numPr>
        <w:rPr>
          <w:rFonts w:ascii="Arial" w:cs="Arial" w:eastAsia="Arial" w:hAnsi="Arial"/>
          <w:sz w:val="16"/>
          <w:szCs w:val="16"/>
          <w:color w:val="665B4F"/>
        </w:rPr>
      </w:pPr>
      <w:r>
        <w:rPr>
          <w:rFonts w:ascii="Arial" w:cs="Arial" w:eastAsia="Arial" w:hAnsi="Arial"/>
          <w:sz w:val="16"/>
          <w:szCs w:val="16"/>
          <w:color w:val="auto"/>
        </w:rPr>
        <w:t>assessing the qualifications, attributes, skills, experience, diversity and independence of Board members, taking into account appropriate considerations such as the Company’s current and planned business, current and potential composition considerations, any planned director successions, and the qualifications required of directors under the gaming laws of jurisdictions where the Company operates</w:t>
      </w:r>
    </w:p>
    <w:p>
      <w:pPr>
        <w:spacing w:after="0" w:line="106" w:lineRule="exact"/>
        <w:rPr>
          <w:rFonts w:ascii="Arial" w:cs="Arial" w:eastAsia="Arial" w:hAnsi="Arial"/>
          <w:sz w:val="16"/>
          <w:szCs w:val="16"/>
          <w:color w:val="665B4F"/>
        </w:rPr>
      </w:pPr>
    </w:p>
    <w:p>
      <w:pPr>
        <w:ind w:left="520" w:right="360" w:hanging="208"/>
        <w:spacing w:after="0" w:line="260" w:lineRule="auto"/>
        <w:tabs>
          <w:tab w:leader="none" w:pos="520" w:val="left"/>
        </w:tabs>
        <w:numPr>
          <w:ilvl w:val="0"/>
          <w:numId w:val="43"/>
        </w:numPr>
        <w:rPr>
          <w:rFonts w:ascii="Arial" w:cs="Arial" w:eastAsia="Arial" w:hAnsi="Arial"/>
          <w:sz w:val="16"/>
          <w:szCs w:val="16"/>
          <w:color w:val="665B4F"/>
        </w:rPr>
      </w:pPr>
      <w:r>
        <w:rPr>
          <w:rFonts w:ascii="Arial" w:cs="Arial" w:eastAsia="Arial" w:hAnsi="Arial"/>
          <w:sz w:val="16"/>
          <w:szCs w:val="16"/>
          <w:color w:val="auto"/>
        </w:rPr>
        <w:t>reviewing the composition of the Board and its committees and recommending, as appropriate, measures to be taken for Board refreshment and Board succession planning</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43"/>
        </w:numPr>
        <w:rPr>
          <w:rFonts w:ascii="Arial" w:cs="Arial" w:eastAsia="Arial" w:hAnsi="Arial"/>
          <w:sz w:val="16"/>
          <w:szCs w:val="16"/>
          <w:color w:val="665B4F"/>
        </w:rPr>
      </w:pPr>
      <w:r>
        <w:rPr>
          <w:rFonts w:ascii="Arial" w:cs="Arial" w:eastAsia="Arial" w:hAnsi="Arial"/>
          <w:sz w:val="16"/>
          <w:szCs w:val="16"/>
          <w:color w:val="auto"/>
        </w:rPr>
        <w:t>reviewing and making recommendations regarding the Board’s leadership structure</w:t>
      </w:r>
    </w:p>
    <w:p>
      <w:pPr>
        <w:spacing w:after="0" w:line="140" w:lineRule="exact"/>
        <w:rPr>
          <w:rFonts w:ascii="Arial" w:cs="Arial" w:eastAsia="Arial" w:hAnsi="Arial"/>
          <w:sz w:val="16"/>
          <w:szCs w:val="16"/>
          <w:color w:val="665B4F"/>
        </w:rPr>
      </w:pPr>
    </w:p>
    <w:p>
      <w:pPr>
        <w:ind w:left="520" w:right="260" w:hanging="208"/>
        <w:spacing w:after="0" w:line="260" w:lineRule="auto"/>
        <w:tabs>
          <w:tab w:leader="none" w:pos="520" w:val="left"/>
        </w:tabs>
        <w:numPr>
          <w:ilvl w:val="0"/>
          <w:numId w:val="43"/>
        </w:numPr>
        <w:rPr>
          <w:rFonts w:ascii="Arial" w:cs="Arial" w:eastAsia="Arial" w:hAnsi="Arial"/>
          <w:sz w:val="16"/>
          <w:szCs w:val="16"/>
          <w:color w:val="665B4F"/>
        </w:rPr>
      </w:pPr>
      <w:r>
        <w:rPr>
          <w:rFonts w:ascii="Arial" w:cs="Arial" w:eastAsia="Arial" w:hAnsi="Arial"/>
          <w:sz w:val="16"/>
          <w:szCs w:val="16"/>
          <w:color w:val="auto"/>
        </w:rPr>
        <w:t>overseeing corporate governance matters generally and developing and recommending to the Board Company-appropriate corporate governance guidelines</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43"/>
        </w:numPr>
        <w:rPr>
          <w:rFonts w:ascii="Arial" w:cs="Arial" w:eastAsia="Arial" w:hAnsi="Arial"/>
          <w:sz w:val="16"/>
          <w:szCs w:val="16"/>
          <w:color w:val="665B4F"/>
        </w:rPr>
      </w:pPr>
      <w:r>
        <w:rPr>
          <w:rFonts w:ascii="Arial" w:cs="Arial" w:eastAsia="Arial" w:hAnsi="Arial"/>
          <w:sz w:val="16"/>
          <w:szCs w:val="16"/>
          <w:color w:val="auto"/>
        </w:rPr>
        <w:t>overseeing and, as it determines appropriate, designating directors to participate in the Company’s engagement with shareholders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43"/>
        </w:numPr>
        <w:rPr>
          <w:rFonts w:ascii="Arial" w:cs="Arial" w:eastAsia="Arial" w:hAnsi="Arial"/>
          <w:sz w:val="16"/>
          <w:szCs w:val="16"/>
          <w:color w:val="665B4F"/>
        </w:rPr>
      </w:pPr>
      <w:r>
        <w:rPr>
          <w:rFonts w:ascii="Arial" w:cs="Arial" w:eastAsia="Arial" w:hAnsi="Arial"/>
          <w:sz w:val="16"/>
          <w:szCs w:val="16"/>
          <w:color w:val="auto"/>
        </w:rPr>
        <w:t>overseeing the annual evaluation of the Board and its standing committees</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Consideration of Candidates Recommended by Shareholders</w:t>
      </w:r>
    </w:p>
    <w:p>
      <w:pPr>
        <w:spacing w:after="0" w:line="128" w:lineRule="exact"/>
        <w:rPr>
          <w:sz w:val="20"/>
          <w:szCs w:val="20"/>
          <w:color w:val="auto"/>
        </w:rPr>
      </w:pPr>
    </w:p>
    <w:p>
      <w:pPr>
        <w:ind w:left="200" w:right="200"/>
        <w:spacing w:after="0" w:line="251" w:lineRule="auto"/>
        <w:rPr>
          <w:sz w:val="20"/>
          <w:szCs w:val="20"/>
          <w:color w:val="auto"/>
        </w:rPr>
      </w:pPr>
      <w:r>
        <w:rPr>
          <w:rFonts w:ascii="Arial" w:cs="Arial" w:eastAsia="Arial" w:hAnsi="Arial"/>
          <w:sz w:val="16"/>
          <w:szCs w:val="16"/>
          <w:color w:val="auto"/>
        </w:rPr>
        <w:t>Our Corporate Governance Committee is pleased to consider director candidates recommended by shareholders. In considering such candidates, the Corporate Governance Committee will take into consideration the Board’s current size and composition; the needs of the Board, including the skills and experience of existing directors; and the qualifications of the candidate. To have a candidate considered by the Corporate Governance Committee, a shareholder should submit the recommendation in writing and include the following information:</w:t>
      </w:r>
    </w:p>
    <w:p>
      <w:pPr>
        <w:spacing w:after="0" w:line="108" w:lineRule="exact"/>
        <w:rPr>
          <w:sz w:val="20"/>
          <w:szCs w:val="20"/>
          <w:color w:val="auto"/>
        </w:rPr>
      </w:pPr>
    </w:p>
    <w:p>
      <w:pPr>
        <w:ind w:left="520" w:right="100" w:hanging="208"/>
        <w:spacing w:after="0" w:line="260" w:lineRule="auto"/>
        <w:tabs>
          <w:tab w:leader="none" w:pos="520" w:val="left"/>
        </w:tabs>
        <w:numPr>
          <w:ilvl w:val="0"/>
          <w:numId w:val="44"/>
        </w:numPr>
        <w:rPr>
          <w:rFonts w:ascii="Arial" w:cs="Arial" w:eastAsia="Arial" w:hAnsi="Arial"/>
          <w:sz w:val="16"/>
          <w:szCs w:val="16"/>
          <w:color w:val="665B4F"/>
        </w:rPr>
      </w:pPr>
      <w:r>
        <w:rPr>
          <w:rFonts w:ascii="Arial" w:cs="Arial" w:eastAsia="Arial" w:hAnsi="Arial"/>
          <w:sz w:val="16"/>
          <w:szCs w:val="16"/>
          <w:color w:val="auto"/>
        </w:rPr>
        <w:t>The name of the shareholder and evidence of the shareholder’s ownership of Company stock, including the number of shares owned and the length of time of ownership;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97155</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200025</wp:posOffset>
            </wp:positionV>
            <wp:extent cx="608965"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00"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11</w:t>
        <w:tab/>
        <w:t>|</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5B4F"/>
        </w:rPr>
        <w:t>OUR BOARD AND CORPORATE GOVERNANCE</w:t>
      </w:r>
    </w:p>
    <w:p>
      <w:pPr>
        <w:spacing w:after="0" w:line="299" w:lineRule="exact"/>
        <w:rPr>
          <w:sz w:val="20"/>
          <w:szCs w:val="20"/>
          <w:color w:val="auto"/>
        </w:rPr>
      </w:pPr>
    </w:p>
    <w:p>
      <w:pPr>
        <w:ind w:left="520" w:right="540" w:hanging="208"/>
        <w:spacing w:after="0" w:line="260" w:lineRule="auto"/>
        <w:tabs>
          <w:tab w:leader="none" w:pos="520" w:val="left"/>
        </w:tabs>
        <w:numPr>
          <w:ilvl w:val="0"/>
          <w:numId w:val="45"/>
        </w:numPr>
        <w:rPr>
          <w:rFonts w:ascii="Arial" w:cs="Arial" w:eastAsia="Arial" w:hAnsi="Arial"/>
          <w:sz w:val="16"/>
          <w:szCs w:val="16"/>
          <w:color w:val="665B4F"/>
        </w:rPr>
      </w:pPr>
      <w:r>
        <w:rPr>
          <w:rFonts w:ascii="Arial" w:cs="Arial" w:eastAsia="Arial" w:hAnsi="Arial"/>
          <w:sz w:val="16"/>
          <w:szCs w:val="16"/>
          <w:color w:val="auto"/>
        </w:rPr>
        <w:t>The name of the candidate, the candidate’s resume or a listing of his or her qualifications to be a director of the Company, and the candidate’s consent to being considered for nomination as a director if selected by the Corporate Governance Committee.</w:t>
      </w:r>
    </w:p>
    <w:p>
      <w:pPr>
        <w:spacing w:after="0" w:line="196"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auto"/>
        </w:rPr>
        <w:t>The shareholder recommendation and information described above should be sent to Wynn Resorts, Limited, c/o Corporate Secretary at 3131 Las Vegas Boulevard South, Las Vegas, Nevada 89109.</w:t>
      </w:r>
    </w:p>
    <w:p>
      <w:pPr>
        <w:spacing w:after="0" w:line="196"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auto"/>
        </w:rPr>
        <w:t>If the Corporate Governance Committee determines to pursue consideration of a person who has been identified as a potential candidate, the Corporate Governance Committee may take any or all of the following steps: collect and review publicly available information regarding the person, contact the person and request information from the candidate, vet the candidate’s credentials, conduct one or more interviews with the candidate and contact one or more references provided by the candidate or other persons that may have greater first-hand knowledge of the candidate’s accomplishments. The Corporate Governance Committee’s evaluation process takes into account the person’s accomplishments and qualifications, including in comparison to any other candidates that the Corporate Governance Committee might be considering, and does not vary based on whether or not a candidate is recommended by a shareholder.</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CORPORATE COMPLIANCE COMMITTEE</w:t>
      </w:r>
    </w:p>
    <w:p>
      <w:pPr>
        <w:spacing w:after="0" w:line="128" w:lineRule="exact"/>
        <w:rPr>
          <w:sz w:val="20"/>
          <w:szCs w:val="20"/>
          <w:color w:val="auto"/>
        </w:rPr>
      </w:pPr>
    </w:p>
    <w:p>
      <w:pPr>
        <w:ind w:left="200" w:right="40"/>
        <w:spacing w:after="0" w:line="250" w:lineRule="auto"/>
        <w:rPr>
          <w:sz w:val="20"/>
          <w:szCs w:val="20"/>
          <w:color w:val="auto"/>
        </w:rPr>
      </w:pPr>
      <w:r>
        <w:rPr>
          <w:rFonts w:ascii="Arial" w:cs="Arial" w:eastAsia="Arial" w:hAnsi="Arial"/>
          <w:sz w:val="16"/>
          <w:szCs w:val="16"/>
          <w:color w:val="auto"/>
        </w:rPr>
        <w:t>In accordance with Nevada gaming laws, the Company has a Corporate Compliance Committee. The purpose of this committee is to assist the Company in maintaining the highest level of regulatory compliance, including, among other things, overseeing the administration of the Company’s Gaming Compliance Program. In their roles as directors, Governor Miller and Ms. Mulroy currently serve as the Chairman and member of this committee, respectively. On February 28, 2018, Jacqui Krum, General Counsel for Wynn Boston Harbor, was appointed to serve on the Corporate Compliance Committee.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SPECIAL COMMITTEE</w:t>
      </w:r>
    </w:p>
    <w:p>
      <w:pPr>
        <w:spacing w:after="0" w:line="128"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auto"/>
        </w:rPr>
        <w:t>In January 2018, the Board formed a Special Committee comprised solely of independent directors to, among other things, investigate certain allegations regarding Stephen A. Wynn and to conduct a comprehensive review of the Company’s internal policies and procedures with the goal of employing best practices to maintain a safe and respectful workplace for all employees. The members of the Special Committee are Ms. Mulroy, who serves as chair of the committee, Mr. Hagenbuch and Admiral Johnson.</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 GOVERNANCE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Board operates within a strong set of governance principles and practices, including:</w:t>
      </w:r>
    </w:p>
    <w:p>
      <w:pPr>
        <w:spacing w:after="0" w:line="122" w:lineRule="exact"/>
        <w:rPr>
          <w:sz w:val="20"/>
          <w:szCs w:val="20"/>
          <w:color w:val="auto"/>
        </w:rPr>
      </w:pPr>
    </w:p>
    <w:p>
      <w:pPr>
        <w:ind w:left="520" w:hanging="208"/>
        <w:spacing w:after="0"/>
        <w:tabs>
          <w:tab w:leader="none" w:pos="520" w:val="left"/>
        </w:tabs>
        <w:numPr>
          <w:ilvl w:val="0"/>
          <w:numId w:val="46"/>
        </w:numPr>
        <w:rPr>
          <w:rFonts w:ascii="Arial" w:cs="Arial" w:eastAsia="Arial" w:hAnsi="Arial"/>
          <w:sz w:val="16"/>
          <w:szCs w:val="16"/>
          <w:color w:val="665B4F"/>
        </w:rPr>
      </w:pPr>
      <w:r>
        <w:rPr>
          <w:rFonts w:ascii="Arial" w:cs="Arial" w:eastAsia="Arial" w:hAnsi="Arial"/>
          <w:sz w:val="16"/>
          <w:szCs w:val="16"/>
          <w:color w:val="auto"/>
        </w:rPr>
        <w:t>A separate chair and CEO</w:t>
      </w:r>
      <w:r>
        <w:rPr>
          <w:rFonts w:ascii="Arial" w:cs="Arial" w:eastAsia="Arial" w:hAnsi="Arial"/>
          <w:sz w:val="27"/>
          <w:szCs w:val="27"/>
          <w:color w:val="auto"/>
          <w:vertAlign w:val="superscript"/>
        </w:rPr>
        <w:t>(1)</w:t>
      </w:r>
    </w:p>
    <w:p>
      <w:pPr>
        <w:spacing w:after="0" w:line="18" w:lineRule="exact"/>
        <w:rPr>
          <w:rFonts w:ascii="Arial" w:cs="Arial" w:eastAsia="Arial" w:hAnsi="Arial"/>
          <w:sz w:val="16"/>
          <w:szCs w:val="16"/>
          <w:color w:val="665B4F"/>
        </w:rPr>
      </w:pPr>
    </w:p>
    <w:p>
      <w:pPr>
        <w:ind w:left="520" w:hanging="208"/>
        <w:spacing w:after="0"/>
        <w:tabs>
          <w:tab w:leader="none" w:pos="520" w:val="left"/>
        </w:tabs>
        <w:numPr>
          <w:ilvl w:val="0"/>
          <w:numId w:val="46"/>
        </w:numPr>
        <w:rPr>
          <w:rFonts w:ascii="Arial" w:cs="Arial" w:eastAsia="Arial" w:hAnsi="Arial"/>
          <w:sz w:val="16"/>
          <w:szCs w:val="16"/>
          <w:color w:val="665B4F"/>
        </w:rPr>
      </w:pPr>
      <w:r>
        <w:rPr>
          <w:rFonts w:ascii="Arial" w:cs="Arial" w:eastAsia="Arial" w:hAnsi="Arial"/>
          <w:sz w:val="16"/>
          <w:szCs w:val="16"/>
          <w:color w:val="auto"/>
        </w:rPr>
        <w:t>Enumerated roles and responsibilities for board chair</w:t>
      </w:r>
      <w:r>
        <w:rPr>
          <w:rFonts w:ascii="Arial" w:cs="Arial" w:eastAsia="Arial" w:hAnsi="Arial"/>
          <w:sz w:val="27"/>
          <w:szCs w:val="27"/>
          <w:color w:val="auto"/>
          <w:vertAlign w:val="superscript"/>
        </w:rPr>
        <w:t>(2)</w:t>
      </w:r>
    </w:p>
    <w:p>
      <w:pPr>
        <w:spacing w:after="0" w:line="13" w:lineRule="exact"/>
        <w:rPr>
          <w:rFonts w:ascii="Arial" w:cs="Arial" w:eastAsia="Arial" w:hAnsi="Arial"/>
          <w:sz w:val="16"/>
          <w:szCs w:val="16"/>
          <w:color w:val="665B4F"/>
        </w:rPr>
      </w:pPr>
    </w:p>
    <w:p>
      <w:pPr>
        <w:ind w:left="520" w:hanging="208"/>
        <w:spacing w:after="0"/>
        <w:tabs>
          <w:tab w:leader="none" w:pos="520" w:val="left"/>
        </w:tabs>
        <w:numPr>
          <w:ilvl w:val="0"/>
          <w:numId w:val="46"/>
        </w:numPr>
        <w:rPr>
          <w:rFonts w:ascii="Arial" w:cs="Arial" w:eastAsia="Arial" w:hAnsi="Arial"/>
          <w:sz w:val="16"/>
          <w:szCs w:val="16"/>
          <w:color w:val="665B4F"/>
        </w:rPr>
      </w:pPr>
      <w:r>
        <w:rPr>
          <w:rFonts w:ascii="Arial" w:cs="Arial" w:eastAsia="Arial" w:hAnsi="Arial"/>
          <w:sz w:val="16"/>
          <w:szCs w:val="16"/>
          <w:color w:val="auto"/>
        </w:rPr>
        <w:t>Director Resignation Policy</w:t>
      </w:r>
      <w:r>
        <w:rPr>
          <w:rFonts w:ascii="Arial" w:cs="Arial" w:eastAsia="Arial" w:hAnsi="Arial"/>
          <w:sz w:val="27"/>
          <w:szCs w:val="27"/>
          <w:color w:val="auto"/>
          <w:vertAlign w:val="superscript"/>
        </w:rPr>
        <w:t>(3)</w:t>
      </w:r>
    </w:p>
    <w:p>
      <w:pPr>
        <w:spacing w:after="0" w:line="13" w:lineRule="exact"/>
        <w:rPr>
          <w:rFonts w:ascii="Arial" w:cs="Arial" w:eastAsia="Arial" w:hAnsi="Arial"/>
          <w:sz w:val="16"/>
          <w:szCs w:val="16"/>
          <w:color w:val="665B4F"/>
        </w:rPr>
      </w:pPr>
    </w:p>
    <w:p>
      <w:pPr>
        <w:ind w:left="520" w:hanging="208"/>
        <w:spacing w:after="0"/>
        <w:tabs>
          <w:tab w:leader="none" w:pos="520" w:val="left"/>
        </w:tabs>
        <w:numPr>
          <w:ilvl w:val="0"/>
          <w:numId w:val="46"/>
        </w:numPr>
        <w:rPr>
          <w:rFonts w:ascii="Arial" w:cs="Arial" w:eastAsia="Arial" w:hAnsi="Arial"/>
          <w:sz w:val="16"/>
          <w:szCs w:val="16"/>
          <w:color w:val="665B4F"/>
        </w:rPr>
      </w:pPr>
      <w:r>
        <w:rPr>
          <w:rFonts w:ascii="Arial" w:cs="Arial" w:eastAsia="Arial" w:hAnsi="Arial"/>
          <w:sz w:val="16"/>
          <w:szCs w:val="16"/>
          <w:color w:val="auto"/>
        </w:rPr>
        <w:t>10 of 11 current directors are independent</w:t>
      </w:r>
      <w:r>
        <w:rPr>
          <w:rFonts w:ascii="Arial" w:cs="Arial" w:eastAsia="Arial" w:hAnsi="Arial"/>
          <w:sz w:val="27"/>
          <w:szCs w:val="27"/>
          <w:color w:val="auto"/>
          <w:vertAlign w:val="superscript"/>
        </w:rPr>
        <w:t>(4)</w:t>
      </w:r>
    </w:p>
    <w:p>
      <w:pPr>
        <w:spacing w:after="0" w:line="13" w:lineRule="exact"/>
        <w:rPr>
          <w:rFonts w:ascii="Arial" w:cs="Arial" w:eastAsia="Arial" w:hAnsi="Arial"/>
          <w:sz w:val="16"/>
          <w:szCs w:val="16"/>
          <w:color w:val="665B4F"/>
        </w:rPr>
      </w:pPr>
    </w:p>
    <w:p>
      <w:pPr>
        <w:ind w:left="520" w:hanging="208"/>
        <w:spacing w:after="0"/>
        <w:tabs>
          <w:tab w:leader="none" w:pos="520" w:val="left"/>
        </w:tabs>
        <w:numPr>
          <w:ilvl w:val="0"/>
          <w:numId w:val="46"/>
        </w:numPr>
        <w:rPr>
          <w:rFonts w:ascii="Arial" w:cs="Arial" w:eastAsia="Arial" w:hAnsi="Arial"/>
          <w:sz w:val="16"/>
          <w:szCs w:val="16"/>
          <w:color w:val="665B4F"/>
        </w:rPr>
      </w:pPr>
      <w:r>
        <w:rPr>
          <w:rFonts w:ascii="Arial" w:cs="Arial" w:eastAsia="Arial" w:hAnsi="Arial"/>
          <w:sz w:val="16"/>
          <w:szCs w:val="16"/>
          <w:color w:val="auto"/>
        </w:rPr>
        <w:t>Fully independent Audit, Compensation and Corporate Governance Committees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46"/>
        </w:numPr>
        <w:rPr>
          <w:rFonts w:ascii="Arial" w:cs="Arial" w:eastAsia="Arial" w:hAnsi="Arial"/>
          <w:sz w:val="16"/>
          <w:szCs w:val="16"/>
          <w:color w:val="665B4F"/>
        </w:rPr>
      </w:pPr>
      <w:r>
        <w:rPr>
          <w:rFonts w:ascii="Arial" w:cs="Arial" w:eastAsia="Arial" w:hAnsi="Arial"/>
          <w:sz w:val="16"/>
          <w:szCs w:val="16"/>
          <w:color w:val="auto"/>
        </w:rPr>
        <w:t>Independent directors empowered to propose agenda items</w:t>
      </w:r>
    </w:p>
    <w:p>
      <w:pPr>
        <w:spacing w:after="0" w:line="135" w:lineRule="exact"/>
        <w:rPr>
          <w:rFonts w:ascii="Arial" w:cs="Arial" w:eastAsia="Arial" w:hAnsi="Arial"/>
          <w:sz w:val="16"/>
          <w:szCs w:val="16"/>
          <w:color w:val="665B4F"/>
        </w:rPr>
      </w:pPr>
    </w:p>
    <w:p>
      <w:pPr>
        <w:ind w:left="520" w:hanging="208"/>
        <w:spacing w:after="0"/>
        <w:tabs>
          <w:tab w:leader="none" w:pos="520" w:val="left"/>
        </w:tabs>
        <w:numPr>
          <w:ilvl w:val="0"/>
          <w:numId w:val="46"/>
        </w:numPr>
        <w:rPr>
          <w:rFonts w:ascii="Arial" w:cs="Arial" w:eastAsia="Arial" w:hAnsi="Arial"/>
          <w:sz w:val="16"/>
          <w:szCs w:val="16"/>
          <w:color w:val="665B4F"/>
        </w:rPr>
      </w:pPr>
      <w:r>
        <w:rPr>
          <w:rFonts w:ascii="Arial" w:cs="Arial" w:eastAsia="Arial" w:hAnsi="Arial"/>
          <w:sz w:val="16"/>
          <w:szCs w:val="16"/>
          <w:color w:val="auto"/>
        </w:rPr>
        <w:t>Independent directors meet in executive session at each regular board meeting</w:t>
      </w:r>
      <w:r>
        <w:rPr>
          <w:rFonts w:ascii="Arial" w:cs="Arial" w:eastAsia="Arial" w:hAnsi="Arial"/>
          <w:sz w:val="27"/>
          <w:szCs w:val="27"/>
          <w:color w:val="auto"/>
          <w:vertAlign w:val="superscript"/>
        </w:rPr>
        <w:t>(5)</w:t>
      </w:r>
    </w:p>
    <w:p>
      <w:pPr>
        <w:spacing w:after="0" w:line="18" w:lineRule="exact"/>
        <w:rPr>
          <w:rFonts w:ascii="Arial" w:cs="Arial" w:eastAsia="Arial" w:hAnsi="Arial"/>
          <w:sz w:val="16"/>
          <w:szCs w:val="16"/>
          <w:color w:val="665B4F"/>
        </w:rPr>
      </w:pPr>
    </w:p>
    <w:p>
      <w:pPr>
        <w:ind w:left="520" w:hanging="208"/>
        <w:spacing w:after="0"/>
        <w:tabs>
          <w:tab w:leader="none" w:pos="520" w:val="left"/>
        </w:tabs>
        <w:numPr>
          <w:ilvl w:val="0"/>
          <w:numId w:val="46"/>
        </w:numPr>
        <w:rPr>
          <w:rFonts w:ascii="Arial" w:cs="Arial" w:eastAsia="Arial" w:hAnsi="Arial"/>
          <w:sz w:val="16"/>
          <w:szCs w:val="16"/>
          <w:color w:val="665B4F"/>
        </w:rPr>
      </w:pPr>
      <w:r>
        <w:rPr>
          <w:rFonts w:ascii="Arial" w:cs="Arial" w:eastAsia="Arial" w:hAnsi="Arial"/>
          <w:sz w:val="16"/>
          <w:szCs w:val="16"/>
          <w:color w:val="auto"/>
        </w:rPr>
        <w:t>Audit Committee conducts executive sessions with:</w:t>
      </w:r>
    </w:p>
    <w:p>
      <w:pPr>
        <w:spacing w:after="0" w:line="140"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Independent auditors</w:t>
      </w:r>
    </w:p>
    <w:p>
      <w:pPr>
        <w:spacing w:after="0" w:line="126"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General Counsel</w:t>
      </w:r>
    </w:p>
    <w:p>
      <w:pPr>
        <w:spacing w:after="0" w:line="126"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Chief Audit Executive</w:t>
      </w:r>
    </w:p>
    <w:p>
      <w:pPr>
        <w:spacing w:after="0" w:line="126"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Chief Financial Officer</w:t>
      </w:r>
    </w:p>
    <w:p>
      <w:pPr>
        <w:spacing w:after="0" w:line="126"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Compliance Officer</w:t>
      </w:r>
    </w:p>
    <w:p>
      <w:pPr>
        <w:spacing w:after="0" w:line="121" w:lineRule="exact"/>
        <w:rPr>
          <w:rFonts w:ascii="Arial" w:cs="Arial" w:eastAsia="Arial" w:hAnsi="Arial"/>
          <w:sz w:val="16"/>
          <w:szCs w:val="16"/>
          <w:color w:val="665B4F"/>
        </w:rPr>
      </w:pPr>
    </w:p>
    <w:p>
      <w:pPr>
        <w:ind w:left="520" w:hanging="208"/>
        <w:spacing w:after="0"/>
        <w:tabs>
          <w:tab w:leader="none" w:pos="520" w:val="left"/>
        </w:tabs>
        <w:numPr>
          <w:ilvl w:val="0"/>
          <w:numId w:val="46"/>
        </w:numPr>
        <w:rPr>
          <w:rFonts w:ascii="Arial" w:cs="Arial" w:eastAsia="Arial" w:hAnsi="Arial"/>
          <w:sz w:val="16"/>
          <w:szCs w:val="16"/>
          <w:color w:val="665B4F"/>
        </w:rPr>
      </w:pPr>
      <w:r>
        <w:rPr>
          <w:rFonts w:ascii="Arial" w:cs="Arial" w:eastAsia="Arial" w:hAnsi="Arial"/>
          <w:sz w:val="16"/>
          <w:szCs w:val="16"/>
          <w:color w:val="auto"/>
        </w:rPr>
        <w:t>Strong common stock ownership guidelines</w:t>
      </w:r>
      <w:r>
        <w:rPr>
          <w:rFonts w:ascii="Arial" w:cs="Arial" w:eastAsia="Arial" w:hAnsi="Arial"/>
          <w:sz w:val="27"/>
          <w:szCs w:val="27"/>
          <w:color w:val="auto"/>
          <w:vertAlign w:val="superscript"/>
        </w:rPr>
        <w:t>(6)</w:t>
      </w:r>
    </w:p>
    <w:p>
      <w:pPr>
        <w:spacing w:after="0" w:line="18"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3x annual retainer for directors</w:t>
      </w:r>
    </w:p>
    <w:p>
      <w:pPr>
        <w:spacing w:after="0" w:line="126"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10x base salary for CEO</w:t>
      </w:r>
    </w:p>
    <w:p>
      <w:pPr>
        <w:spacing w:after="0" w:line="126"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3x base salary for our Chief Financial Officer and Executive Vice Presidents</w:t>
      </w:r>
    </w:p>
    <w:p>
      <w:pPr>
        <w:spacing w:after="0" w:line="121" w:lineRule="exact"/>
        <w:rPr>
          <w:rFonts w:ascii="Arial" w:cs="Arial" w:eastAsia="Arial" w:hAnsi="Arial"/>
          <w:sz w:val="16"/>
          <w:szCs w:val="16"/>
          <w:color w:val="665B4F"/>
        </w:rPr>
      </w:pPr>
    </w:p>
    <w:p>
      <w:pPr>
        <w:ind w:left="520" w:hanging="208"/>
        <w:spacing w:after="0"/>
        <w:tabs>
          <w:tab w:leader="none" w:pos="520" w:val="left"/>
        </w:tabs>
        <w:numPr>
          <w:ilvl w:val="0"/>
          <w:numId w:val="46"/>
        </w:numPr>
        <w:rPr>
          <w:rFonts w:ascii="Arial" w:cs="Arial" w:eastAsia="Arial" w:hAnsi="Arial"/>
          <w:sz w:val="16"/>
          <w:szCs w:val="16"/>
          <w:color w:val="665B4F"/>
        </w:rPr>
      </w:pPr>
      <w:r>
        <w:rPr>
          <w:rFonts w:ascii="Arial" w:cs="Arial" w:eastAsia="Arial" w:hAnsi="Arial"/>
          <w:sz w:val="16"/>
          <w:szCs w:val="16"/>
          <w:color w:val="auto"/>
        </w:rPr>
        <w:t>Anti-hedging/pledging policies</w:t>
      </w:r>
      <w:r>
        <w:rPr>
          <w:rFonts w:ascii="Arial" w:cs="Arial" w:eastAsia="Arial" w:hAnsi="Arial"/>
          <w:sz w:val="27"/>
          <w:szCs w:val="2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45085</wp:posOffset>
            </wp:positionV>
            <wp:extent cx="6997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28" w:lineRule="exact"/>
        <w:rPr>
          <w:sz w:val="20"/>
          <w:szCs w:val="20"/>
          <w:color w:val="auto"/>
        </w:rPr>
      </w:pPr>
    </w:p>
    <w:p>
      <w:pPr>
        <w:ind w:left="8860"/>
        <w:spacing w:after="0"/>
        <w:tabs>
          <w:tab w:leader="none" w:pos="10840" w:val="left"/>
          <w:tab w:leader="none" w:pos="110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12</w:t>
      </w:r>
    </w:p>
    <w:p>
      <w:pPr>
        <w:sectPr>
          <w:pgSz w:w="11900" w:h="16838" w:orient="portrait"/>
          <w:cols w:equalWidth="0" w:num="1">
            <w:col w:w="11220"/>
          </w:cols>
          <w:pgMar w:left="24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OUR BOARD AND CORPORATE GOVERNANCE</w:t>
      </w:r>
    </w:p>
    <w:p>
      <w:pPr>
        <w:spacing w:after="0" w:line="294" w:lineRule="exact"/>
        <w:rPr>
          <w:sz w:val="20"/>
          <w:szCs w:val="20"/>
          <w:color w:val="auto"/>
        </w:rPr>
      </w:pPr>
    </w:p>
    <w:p>
      <w:pPr>
        <w:ind w:left="520" w:hanging="208"/>
        <w:spacing w:after="0"/>
        <w:tabs>
          <w:tab w:leader="none" w:pos="520" w:val="left"/>
        </w:tabs>
        <w:numPr>
          <w:ilvl w:val="0"/>
          <w:numId w:val="47"/>
        </w:numPr>
        <w:rPr>
          <w:rFonts w:ascii="Arial" w:cs="Arial" w:eastAsia="Arial" w:hAnsi="Arial"/>
          <w:sz w:val="16"/>
          <w:szCs w:val="16"/>
          <w:color w:val="665B4F"/>
        </w:rPr>
      </w:pPr>
      <w:r>
        <w:rPr>
          <w:rFonts w:ascii="Arial" w:cs="Arial" w:eastAsia="Arial" w:hAnsi="Arial"/>
          <w:sz w:val="16"/>
          <w:szCs w:val="16"/>
          <w:color w:val="auto"/>
        </w:rPr>
        <w:t>Regular director education and compliance training</w:t>
      </w:r>
      <w:r>
        <w:rPr>
          <w:rFonts w:ascii="Arial" w:cs="Arial" w:eastAsia="Arial" w:hAnsi="Arial"/>
          <w:sz w:val="27"/>
          <w:szCs w:val="27"/>
          <w:color w:val="auto"/>
          <w:vertAlign w:val="superscript"/>
        </w:rPr>
        <w:t>(8)</w:t>
      </w:r>
    </w:p>
    <w:p>
      <w:pPr>
        <w:spacing w:after="0" w:line="18" w:lineRule="exact"/>
        <w:rPr>
          <w:rFonts w:ascii="Arial" w:cs="Arial" w:eastAsia="Arial" w:hAnsi="Arial"/>
          <w:sz w:val="16"/>
          <w:szCs w:val="16"/>
          <w:color w:val="665B4F"/>
        </w:rPr>
      </w:pPr>
    </w:p>
    <w:p>
      <w:pPr>
        <w:ind w:left="520" w:hanging="208"/>
        <w:spacing w:after="0"/>
        <w:tabs>
          <w:tab w:leader="none" w:pos="520" w:val="left"/>
        </w:tabs>
        <w:numPr>
          <w:ilvl w:val="0"/>
          <w:numId w:val="47"/>
        </w:numPr>
        <w:rPr>
          <w:rFonts w:ascii="Arial" w:cs="Arial" w:eastAsia="Arial" w:hAnsi="Arial"/>
          <w:sz w:val="16"/>
          <w:szCs w:val="16"/>
          <w:color w:val="665B4F"/>
        </w:rPr>
      </w:pPr>
      <w:r>
        <w:rPr>
          <w:rFonts w:ascii="Arial" w:cs="Arial" w:eastAsia="Arial" w:hAnsi="Arial"/>
          <w:sz w:val="16"/>
          <w:szCs w:val="16"/>
          <w:color w:val="auto"/>
        </w:rPr>
        <w:t>Stringent regulatory requirements and oversight, internal controls and third-party monitoring of operations</w:t>
      </w:r>
    </w:p>
    <w:p>
      <w:pPr>
        <w:spacing w:after="0" w:line="135" w:lineRule="exact"/>
        <w:rPr>
          <w:rFonts w:ascii="Arial" w:cs="Arial" w:eastAsia="Arial" w:hAnsi="Arial"/>
          <w:sz w:val="16"/>
          <w:szCs w:val="16"/>
          <w:color w:val="665B4F"/>
        </w:rPr>
      </w:pPr>
    </w:p>
    <w:p>
      <w:pPr>
        <w:ind w:left="520" w:hanging="208"/>
        <w:spacing w:after="0"/>
        <w:tabs>
          <w:tab w:leader="none" w:pos="520" w:val="left"/>
        </w:tabs>
        <w:numPr>
          <w:ilvl w:val="0"/>
          <w:numId w:val="47"/>
        </w:numPr>
        <w:rPr>
          <w:rFonts w:ascii="Arial" w:cs="Arial" w:eastAsia="Arial" w:hAnsi="Arial"/>
          <w:sz w:val="16"/>
          <w:szCs w:val="16"/>
          <w:color w:val="665B4F"/>
        </w:rPr>
      </w:pPr>
      <w:r>
        <w:rPr>
          <w:rFonts w:ascii="Arial" w:cs="Arial" w:eastAsia="Arial" w:hAnsi="Arial"/>
          <w:sz w:val="16"/>
          <w:szCs w:val="16"/>
          <w:color w:val="auto"/>
        </w:rPr>
        <w:t>Third party review of compensation</w:t>
      </w:r>
      <w:r>
        <w:rPr>
          <w:rFonts w:ascii="Arial" w:cs="Arial" w:eastAsia="Arial" w:hAnsi="Arial"/>
          <w:sz w:val="27"/>
          <w:szCs w:val="27"/>
          <w:color w:val="auto"/>
          <w:vertAlign w:val="superscript"/>
        </w:rPr>
        <w:t>(9)</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Board Governance Notes</w:t>
      </w:r>
    </w:p>
    <w:p>
      <w:pPr>
        <w:spacing w:after="0" w:line="121" w:lineRule="exact"/>
        <w:rPr>
          <w:sz w:val="20"/>
          <w:szCs w:val="20"/>
          <w:color w:val="auto"/>
        </w:rPr>
      </w:pPr>
    </w:p>
    <w:p>
      <w:pPr>
        <w:ind w:left="320" w:right="20" w:hanging="107"/>
        <w:spacing w:after="0" w:line="234" w:lineRule="auto"/>
        <w:rPr>
          <w:sz w:val="20"/>
          <w:szCs w:val="20"/>
          <w:color w:val="auto"/>
        </w:rPr>
      </w:pPr>
      <w:r>
        <w:rPr>
          <w:rFonts w:ascii="Arial" w:cs="Arial" w:eastAsia="Arial" w:hAnsi="Arial"/>
          <w:sz w:val="14"/>
          <w:szCs w:val="14"/>
          <w:color w:val="auto"/>
        </w:rPr>
        <w:t>1.In connection with the resignation of our founder and former Chairman and CEO, Stephen A. Wynn, on February 6, 2018, the Board separated the position of Chairman of the Board from the position of CEO with the appointments of Mr. Wayson to serve as Non-Executive Chairman and Matt Maddox to serve as Chief Executive Officer and President. The Board believes that separating the position of Chairman of the Board from the position of CEO is in the best interests of the shareholders at this time because it allows Mr. Maddox to devote his time and attention to the day-to-day operations of the Company, while Mr. Wayson provides independent oversight and direction.</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2.As Chairman, Mr. Wayson (i) presides over meetings of the Board, including executive sessions of the independent directors; (ii) oversees and reviews information sent to the Board;</w:t>
      </w:r>
    </w:p>
    <w:p>
      <w:pPr>
        <w:spacing w:after="0" w:line="11" w:lineRule="exact"/>
        <w:rPr>
          <w:sz w:val="20"/>
          <w:szCs w:val="20"/>
          <w:color w:val="auto"/>
        </w:rPr>
      </w:pPr>
    </w:p>
    <w:p>
      <w:pPr>
        <w:ind w:left="320" w:right="320" w:hanging="8"/>
        <w:spacing w:after="0" w:line="255" w:lineRule="auto"/>
        <w:tabs>
          <w:tab w:leader="none" w:pos="572" w:val="left"/>
        </w:tabs>
        <w:numPr>
          <w:ilvl w:val="0"/>
          <w:numId w:val="48"/>
        </w:numPr>
        <w:rPr>
          <w:rFonts w:ascii="Arial" w:cs="Arial" w:eastAsia="Arial" w:hAnsi="Arial"/>
          <w:sz w:val="13"/>
          <w:szCs w:val="13"/>
          <w:color w:val="auto"/>
        </w:rPr>
      </w:pPr>
      <w:r>
        <w:rPr>
          <w:rFonts w:ascii="Arial" w:cs="Arial" w:eastAsia="Arial" w:hAnsi="Arial"/>
          <w:sz w:val="13"/>
          <w:szCs w:val="13"/>
          <w:color w:val="auto"/>
        </w:rPr>
        <w:t>approves the agenda and schedule for Board meetings to provide that there is sufficient time for discussion of all agenda items; (iv) acts as the liaison between management and the independent Directors; (v) oversees the Company’s engagement with shareholders on corporate governance and other appropriate issues, including being available, if requested by shareholders, when appropriate, for consultation and direct communication with significant shareholders; and (vi) performs such additional functions as designated by the Board.</w:t>
      </w:r>
    </w:p>
    <w:p>
      <w:pPr>
        <w:spacing w:after="0" w:line="25" w:lineRule="exact"/>
        <w:rPr>
          <w:sz w:val="20"/>
          <w:szCs w:val="20"/>
          <w:color w:val="auto"/>
        </w:rPr>
      </w:pPr>
    </w:p>
    <w:p>
      <w:pPr>
        <w:ind w:left="320" w:right="240" w:hanging="107"/>
        <w:spacing w:after="0" w:line="238" w:lineRule="auto"/>
        <w:rPr>
          <w:sz w:val="20"/>
          <w:szCs w:val="20"/>
          <w:color w:val="auto"/>
        </w:rPr>
      </w:pPr>
      <w:r>
        <w:rPr>
          <w:rFonts w:ascii="Arial" w:cs="Arial" w:eastAsia="Arial" w:hAnsi="Arial"/>
          <w:sz w:val="14"/>
          <w:szCs w:val="14"/>
          <w:color w:val="auto"/>
        </w:rPr>
        <w:t>3.Under the Board’s Director Resignation Policy, if any director in an uncontested election does not receive over 50% of the votes cast, meaning that the director receives more “withhold” votes than “for” votes, the director is required to tender his or her resignation to the Chairman of the Board within five days of the election. The members of the Board (other than the affected director) then have the discretion to accept the resignation or not and the affected director must abide by the Board’s decision.</w:t>
      </w:r>
    </w:p>
    <w:p>
      <w:pPr>
        <w:spacing w:after="0" w:line="34" w:lineRule="exact"/>
        <w:rPr>
          <w:sz w:val="20"/>
          <w:szCs w:val="20"/>
          <w:color w:val="auto"/>
        </w:rPr>
      </w:pPr>
    </w:p>
    <w:p>
      <w:pPr>
        <w:ind w:left="320" w:right="80" w:hanging="107"/>
        <w:spacing w:after="0" w:line="234" w:lineRule="auto"/>
        <w:rPr>
          <w:sz w:val="20"/>
          <w:szCs w:val="20"/>
          <w:color w:val="auto"/>
        </w:rPr>
      </w:pPr>
      <w:r>
        <w:rPr>
          <w:rFonts w:ascii="Arial" w:cs="Arial" w:eastAsia="Arial" w:hAnsi="Arial"/>
          <w:sz w:val="14"/>
          <w:szCs w:val="14"/>
          <w:color w:val="auto"/>
        </w:rPr>
        <w:t>4.Ten of the eleven current members of our Board satisfy the most stringent requirements of independence under the Securities Exchange Act of 1934, as amended (the “Exchange Act”) and applicable listing standards for audit committee members, and the Audit, Compensation and Corporate Governance Committees are each comprised entirely of independent members of the Board. All Committee agendas and all agendas for meetings of the Board are provided in advance to all independent members of the Board. The independent directors are encouraged to, and do, review the proposed agenda items and add additional items of concern or interest.</w:t>
      </w:r>
    </w:p>
    <w:p>
      <w:pPr>
        <w:spacing w:after="0" w:line="20" w:lineRule="exact"/>
        <w:rPr>
          <w:sz w:val="20"/>
          <w:szCs w:val="20"/>
          <w:color w:val="auto"/>
        </w:rPr>
      </w:pPr>
    </w:p>
    <w:p>
      <w:pPr>
        <w:ind w:left="320"/>
        <w:spacing w:after="0" w:line="227" w:lineRule="auto"/>
        <w:rPr>
          <w:sz w:val="20"/>
          <w:szCs w:val="20"/>
          <w:color w:val="auto"/>
        </w:rPr>
      </w:pPr>
      <w:r>
        <w:rPr>
          <w:rFonts w:ascii="Arial" w:cs="Arial" w:eastAsia="Arial" w:hAnsi="Arial"/>
          <w:sz w:val="14"/>
          <w:szCs w:val="14"/>
          <w:color w:val="auto"/>
        </w:rPr>
        <w:t>The Board has determined that ten of its eleven current members are independent under standards set forth in our Corporate Governance Guidelines and applicable listing standards. The Board has further determined that each of the ten independent directors also meets the additional, heightened independence criteria applicable to audit and compensation committee members under the Exchange Act and applicable listing standards. The ten independent directors are Mses. Atkins, Mulroy, Myers and Webb, Admiral Johnson, Governor Miller and Messrs. Hagenbuch, Shoemaker, Virtue and Wayson. During his service on the Board, Dr. Irani (who resigned from our Board on March 5, 2018) was also an independent director. Based upon information requested from each director concerning his or her background, employment and affiliations, the Board has affirmatively determined that none of the independent directors have a direct or indirect relationship with the Company that could interfere with the exercise of the director’s independent judgment in carrying out his or her responsibilities. In assessing independence, the Board considered all relevant facts and circumstances, including that none of the independent directors or their immediate family members have any economic relationship with the Company other than the receipt of his or her director’s compensation. None of the independent directors or their immediate family members are engaged in any related party transaction with the Company.</w:t>
      </w:r>
    </w:p>
    <w:p>
      <w:pPr>
        <w:spacing w:after="0" w:line="21" w:lineRule="exact"/>
        <w:rPr>
          <w:sz w:val="20"/>
          <w:szCs w:val="20"/>
          <w:color w:val="auto"/>
        </w:rPr>
      </w:pPr>
    </w:p>
    <w:p>
      <w:pPr>
        <w:ind w:left="320" w:right="140"/>
        <w:spacing w:after="0" w:line="253" w:lineRule="auto"/>
        <w:rPr>
          <w:sz w:val="20"/>
          <w:szCs w:val="20"/>
          <w:color w:val="auto"/>
        </w:rPr>
      </w:pPr>
      <w:r>
        <w:rPr>
          <w:rFonts w:ascii="Arial" w:cs="Arial" w:eastAsia="Arial" w:hAnsi="Arial"/>
          <w:sz w:val="14"/>
          <w:szCs w:val="14"/>
          <w:color w:val="auto"/>
        </w:rPr>
        <w:t>Ambassador Randt has been determined not to be independent as a result of consulting services he rendered to the Company prior to his appointment to the Board. We expect Ambassador Randt will meet the independence standards as of October 1, 2018.</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Mr. Wynn, who resigned as Chairman and Chief Executive Officer of the Company on February 6, 2018, was not independent.</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5.The Chairman of the Board is responsible for communicating to the CEO and management all concerns that arise during executive sessions.</w:t>
      </w:r>
    </w:p>
    <w:p>
      <w:pPr>
        <w:spacing w:after="0" w:line="55" w:lineRule="exact"/>
        <w:rPr>
          <w:sz w:val="20"/>
          <w:szCs w:val="20"/>
          <w:color w:val="auto"/>
        </w:rPr>
      </w:pPr>
    </w:p>
    <w:p>
      <w:pPr>
        <w:ind w:left="320" w:right="300" w:hanging="107"/>
        <w:spacing w:after="0" w:line="264" w:lineRule="auto"/>
        <w:rPr>
          <w:sz w:val="20"/>
          <w:szCs w:val="20"/>
          <w:color w:val="auto"/>
        </w:rPr>
      </w:pPr>
      <w:r>
        <w:rPr>
          <w:rFonts w:ascii="Arial" w:cs="Arial" w:eastAsia="Arial" w:hAnsi="Arial"/>
          <w:sz w:val="13"/>
          <w:szCs w:val="13"/>
          <w:color w:val="auto"/>
        </w:rPr>
        <w:t>6.Ownership requirements should be met for executives within three years of appointment to office and for directors within five years of election to the Board, with vested options and all restricted stock grants counted toward satisfaction of ownership guidelines. Any failure to meet guidelines will be referred to the Corporate Governance Committee for consideration. Compliance with the guidelines is reviewed once a year. As of March 2018, all members of the Board and senior corporate officers then serving satisfied the guidelines.</w:t>
      </w:r>
    </w:p>
    <w:p>
      <w:pPr>
        <w:spacing w:after="0" w:line="20" w:lineRule="exact"/>
        <w:rPr>
          <w:sz w:val="20"/>
          <w:szCs w:val="20"/>
          <w:color w:val="auto"/>
        </w:rPr>
      </w:pPr>
    </w:p>
    <w:p>
      <w:pPr>
        <w:ind w:left="320" w:right="160" w:hanging="107"/>
        <w:spacing w:after="0" w:line="238" w:lineRule="auto"/>
        <w:rPr>
          <w:sz w:val="20"/>
          <w:szCs w:val="20"/>
          <w:color w:val="auto"/>
        </w:rPr>
      </w:pPr>
      <w:r>
        <w:rPr>
          <w:rFonts w:ascii="Arial" w:cs="Arial" w:eastAsia="Arial" w:hAnsi="Arial"/>
          <w:sz w:val="14"/>
          <w:szCs w:val="14"/>
          <w:color w:val="auto"/>
        </w:rPr>
        <w:t>7.Pursuant to the Company’s Trading Policy, our directors and executive officers are prohibited from engaging in speculative transactions in Company securities, such as trading in puts and calls, or selling securities short, and from all hedging and prospective pledging of Company securities as collateral for any loan, including by holding securities in a margin account and obtaining a loan or other margin credit under such account, unless approved in advance by the Board.</w:t>
      </w:r>
    </w:p>
    <w:p>
      <w:pPr>
        <w:spacing w:after="0" w:line="34" w:lineRule="exact"/>
        <w:rPr>
          <w:sz w:val="20"/>
          <w:szCs w:val="20"/>
          <w:color w:val="auto"/>
        </w:rPr>
      </w:pPr>
    </w:p>
    <w:p>
      <w:pPr>
        <w:ind w:left="320" w:right="120" w:hanging="107"/>
        <w:spacing w:after="0" w:line="238" w:lineRule="auto"/>
        <w:rPr>
          <w:sz w:val="20"/>
          <w:szCs w:val="20"/>
          <w:color w:val="auto"/>
        </w:rPr>
      </w:pPr>
      <w:r>
        <w:rPr>
          <w:rFonts w:ascii="Arial" w:cs="Arial" w:eastAsia="Arial" w:hAnsi="Arial"/>
          <w:sz w:val="14"/>
          <w:szCs w:val="14"/>
          <w:color w:val="auto"/>
        </w:rPr>
        <w:t>8.In accordance with our Corporate Governance Guidelines, all of our directors are expected to maintain the necessary level of expertise to perform their responsibilities as directors. The directors of Wynn Macau, Limited participate in the Company’s regular compliance training program with the most recent training session held in March 2018. In February 2018, directors of the Company participated in our annual compliance training conducted by the Company’s outside counsel.</w:t>
      </w:r>
    </w:p>
    <w:p>
      <w:pPr>
        <w:spacing w:after="0" w:line="34" w:lineRule="exact"/>
        <w:rPr>
          <w:sz w:val="20"/>
          <w:szCs w:val="20"/>
          <w:color w:val="auto"/>
        </w:rPr>
      </w:pPr>
    </w:p>
    <w:p>
      <w:pPr>
        <w:ind w:left="320" w:right="40" w:hanging="107"/>
        <w:spacing w:after="0" w:line="238" w:lineRule="auto"/>
        <w:rPr>
          <w:sz w:val="20"/>
          <w:szCs w:val="20"/>
          <w:color w:val="auto"/>
        </w:rPr>
      </w:pPr>
      <w:r>
        <w:rPr>
          <w:rFonts w:ascii="Arial" w:cs="Arial" w:eastAsia="Arial" w:hAnsi="Arial"/>
          <w:sz w:val="14"/>
          <w:szCs w:val="14"/>
          <w:color w:val="auto"/>
        </w:rPr>
        <w:t>9.Our CEO’s compensation is established and reviewed by the Compensation Committee, all of whose members are independent. The Compensation Committee engages an independent third party to evaluate the level of the compensation provided to our NEOs. This evaluation was last completed in 2017 by Pay Governance LLC as described in the “Compensation Discussion and Analysis.”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 ROLE IN RISK OVERSIGHT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Board has an active role in overseeing the Company’s areas of risk.</w:t>
      </w:r>
    </w:p>
    <w:p>
      <w:pPr>
        <w:spacing w:after="0" w:line="127" w:lineRule="exact"/>
        <w:rPr>
          <w:sz w:val="20"/>
          <w:szCs w:val="20"/>
          <w:color w:val="auto"/>
        </w:rPr>
      </w:pPr>
    </w:p>
    <w:p>
      <w:pPr>
        <w:ind w:left="520" w:right="120" w:hanging="208"/>
        <w:spacing w:after="0" w:line="260" w:lineRule="auto"/>
        <w:tabs>
          <w:tab w:leader="none" w:pos="520" w:val="left"/>
        </w:tabs>
        <w:numPr>
          <w:ilvl w:val="0"/>
          <w:numId w:val="49"/>
        </w:numPr>
        <w:rPr>
          <w:rFonts w:ascii="Arial" w:cs="Arial" w:eastAsia="Arial" w:hAnsi="Arial"/>
          <w:sz w:val="16"/>
          <w:szCs w:val="16"/>
          <w:color w:val="665B4F"/>
        </w:rPr>
      </w:pPr>
      <w:r>
        <w:rPr>
          <w:rFonts w:ascii="Arial" w:cs="Arial" w:eastAsia="Arial" w:hAnsi="Arial"/>
          <w:sz w:val="16"/>
          <w:szCs w:val="16"/>
          <w:color w:val="auto"/>
        </w:rPr>
        <w:t>The Board formed a Special Committee comprised solely of independent directors to, among other things, conduct a comprehensive review of the Company’s internal policies and procedures with the goal of employing best practices to maintain a safe and respectful workplace for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97155</wp:posOffset>
            </wp:positionV>
            <wp:extent cx="6997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200025</wp:posOffset>
            </wp:positionV>
            <wp:extent cx="608965"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00"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13</w:t>
        <w:tab/>
        <w:t>|</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5B4F"/>
        </w:rPr>
        <w:t>OUR BOARD AND CORPORATE GOVERNANCE</w:t>
      </w:r>
    </w:p>
    <w:p>
      <w:pPr>
        <w:spacing w:after="0" w:line="299" w:lineRule="exact"/>
        <w:rPr>
          <w:sz w:val="20"/>
          <w:szCs w:val="20"/>
          <w:color w:val="auto"/>
        </w:rPr>
      </w:pPr>
    </w:p>
    <w:p>
      <w:pPr>
        <w:ind w:left="520" w:right="460" w:hanging="208"/>
        <w:spacing w:after="0" w:line="253" w:lineRule="auto"/>
        <w:tabs>
          <w:tab w:leader="none" w:pos="520" w:val="left"/>
        </w:tabs>
        <w:numPr>
          <w:ilvl w:val="0"/>
          <w:numId w:val="50"/>
        </w:numPr>
        <w:rPr>
          <w:rFonts w:ascii="Arial" w:cs="Arial" w:eastAsia="Arial" w:hAnsi="Arial"/>
          <w:sz w:val="16"/>
          <w:szCs w:val="16"/>
          <w:color w:val="665B4F"/>
        </w:rPr>
      </w:pPr>
      <w:r>
        <w:rPr>
          <w:rFonts w:ascii="Arial" w:cs="Arial" w:eastAsia="Arial" w:hAnsi="Arial"/>
          <w:sz w:val="16"/>
          <w:szCs w:val="16"/>
          <w:color w:val="auto"/>
        </w:rPr>
        <w:t>The Board and its Committees, in consultation with management and the Company’s independent auditors regularly review the Company’s risk profile and have identified specific areas of risk including: regulatory compliance; legal and cultural, legislative and political conditions; capital availability and liquidity; gaming credit extension and collection; construction; catastrophic events; and succession planning.</w:t>
      </w:r>
    </w:p>
    <w:p>
      <w:pPr>
        <w:spacing w:after="0" w:line="106" w:lineRule="exact"/>
        <w:rPr>
          <w:rFonts w:ascii="Arial" w:cs="Arial" w:eastAsia="Arial" w:hAnsi="Arial"/>
          <w:sz w:val="16"/>
          <w:szCs w:val="16"/>
          <w:color w:val="665B4F"/>
        </w:rPr>
      </w:pPr>
    </w:p>
    <w:p>
      <w:pPr>
        <w:ind w:left="520" w:right="120" w:hanging="208"/>
        <w:spacing w:after="0" w:line="253" w:lineRule="auto"/>
        <w:tabs>
          <w:tab w:leader="none" w:pos="520" w:val="left"/>
        </w:tabs>
        <w:numPr>
          <w:ilvl w:val="0"/>
          <w:numId w:val="50"/>
        </w:numPr>
        <w:rPr>
          <w:rFonts w:ascii="Arial" w:cs="Arial" w:eastAsia="Arial" w:hAnsi="Arial"/>
          <w:sz w:val="16"/>
          <w:szCs w:val="16"/>
          <w:color w:val="665B4F"/>
        </w:rPr>
      </w:pPr>
      <w:r>
        <w:rPr>
          <w:rFonts w:ascii="Arial" w:cs="Arial" w:eastAsia="Arial" w:hAnsi="Arial"/>
          <w:sz w:val="16"/>
          <w:szCs w:val="16"/>
          <w:color w:val="auto"/>
        </w:rPr>
        <w:t>The Board (as a whole and through its Committees) has reviewed and approved management’s process for identifying, managing and mitigating these risks. While the full Board has overall responsibility for risk oversight, the Board has assigned certain areas of risk oversight to its Committees as well as to the Company’s Corporate Compliance Committee.</w:t>
      </w:r>
    </w:p>
    <w:p>
      <w:pPr>
        <w:spacing w:after="0" w:line="106" w:lineRule="exact"/>
        <w:rPr>
          <w:rFonts w:ascii="Arial" w:cs="Arial" w:eastAsia="Arial" w:hAnsi="Arial"/>
          <w:sz w:val="16"/>
          <w:szCs w:val="16"/>
          <w:color w:val="665B4F"/>
        </w:rPr>
      </w:pPr>
    </w:p>
    <w:p>
      <w:pPr>
        <w:ind w:left="520" w:hanging="208"/>
        <w:spacing w:after="0" w:line="253" w:lineRule="auto"/>
        <w:tabs>
          <w:tab w:leader="none" w:pos="520" w:val="left"/>
        </w:tabs>
        <w:numPr>
          <w:ilvl w:val="0"/>
          <w:numId w:val="50"/>
        </w:numPr>
        <w:rPr>
          <w:rFonts w:ascii="Arial" w:cs="Arial" w:eastAsia="Arial" w:hAnsi="Arial"/>
          <w:sz w:val="16"/>
          <w:szCs w:val="16"/>
          <w:color w:val="665B4F"/>
        </w:rPr>
      </w:pPr>
      <w:r>
        <w:rPr>
          <w:rFonts w:ascii="Arial" w:cs="Arial" w:eastAsia="Arial" w:hAnsi="Arial"/>
          <w:sz w:val="16"/>
          <w:szCs w:val="16"/>
          <w:color w:val="auto"/>
        </w:rPr>
        <w:t>Throughout the year, the Board, its Committees and the Company’s Corporate Compliance Committee receive reports from management that include information regarding major risks and exposures facing the Company and the steps management has taken to monitor and control such risks and exposures.</w:t>
      </w:r>
    </w:p>
    <w:p>
      <w:pPr>
        <w:spacing w:after="0" w:line="106" w:lineRule="exact"/>
        <w:rPr>
          <w:rFonts w:ascii="Arial" w:cs="Arial" w:eastAsia="Arial" w:hAnsi="Arial"/>
          <w:sz w:val="16"/>
          <w:szCs w:val="16"/>
          <w:color w:val="665B4F"/>
        </w:rPr>
      </w:pPr>
    </w:p>
    <w:p>
      <w:pPr>
        <w:ind w:left="520" w:right="700" w:hanging="208"/>
        <w:spacing w:after="0" w:line="260" w:lineRule="auto"/>
        <w:tabs>
          <w:tab w:leader="none" w:pos="520" w:val="left"/>
        </w:tabs>
        <w:numPr>
          <w:ilvl w:val="0"/>
          <w:numId w:val="50"/>
        </w:numPr>
        <w:rPr>
          <w:rFonts w:ascii="Arial" w:cs="Arial" w:eastAsia="Arial" w:hAnsi="Arial"/>
          <w:sz w:val="16"/>
          <w:szCs w:val="16"/>
          <w:color w:val="665B4F"/>
        </w:rPr>
      </w:pPr>
      <w:r>
        <w:rPr>
          <w:rFonts w:ascii="Arial" w:cs="Arial" w:eastAsia="Arial" w:hAnsi="Arial"/>
          <w:sz w:val="16"/>
          <w:szCs w:val="16"/>
          <w:color w:val="auto"/>
        </w:rPr>
        <w:t>In addition, throughout the year, the Board, its Committees and the Company’s Corporate Compliance Committee dedicate a portion of their meetings to review and discuss specific risk topics in greater detail.</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50"/>
        </w:numPr>
        <w:rPr>
          <w:rFonts w:ascii="Arial" w:cs="Arial" w:eastAsia="Arial" w:hAnsi="Arial"/>
          <w:sz w:val="16"/>
          <w:szCs w:val="16"/>
          <w:color w:val="665B4F"/>
        </w:rPr>
      </w:pPr>
      <w:r>
        <w:rPr>
          <w:rFonts w:ascii="Arial" w:cs="Arial" w:eastAsia="Arial" w:hAnsi="Arial"/>
          <w:sz w:val="16"/>
          <w:szCs w:val="16"/>
          <w:color w:val="auto"/>
        </w:rPr>
        <w:t>The Audit Committee is primarily responsible for the oversight of credit, related party, information security, construction and general financial risks.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50"/>
        </w:numPr>
        <w:rPr>
          <w:rFonts w:ascii="Arial" w:cs="Arial" w:eastAsia="Arial" w:hAnsi="Arial"/>
          <w:sz w:val="16"/>
          <w:szCs w:val="16"/>
          <w:color w:val="665B4F"/>
        </w:rPr>
      </w:pPr>
      <w:r>
        <w:rPr>
          <w:rFonts w:ascii="Arial" w:cs="Arial" w:eastAsia="Arial" w:hAnsi="Arial"/>
          <w:sz w:val="16"/>
          <w:szCs w:val="16"/>
          <w:color w:val="auto"/>
        </w:rPr>
        <w:t>The Company’s Corporate Compliance Committee primarily oversees risks relating to regulatory, security and political compliance.</w:t>
      </w:r>
    </w:p>
    <w:p>
      <w:pPr>
        <w:spacing w:after="0" w:line="140" w:lineRule="exact"/>
        <w:rPr>
          <w:rFonts w:ascii="Arial" w:cs="Arial" w:eastAsia="Arial" w:hAnsi="Arial"/>
          <w:sz w:val="16"/>
          <w:szCs w:val="16"/>
          <w:color w:val="665B4F"/>
        </w:rPr>
      </w:pPr>
    </w:p>
    <w:p>
      <w:pPr>
        <w:ind w:left="520" w:right="140" w:hanging="208"/>
        <w:spacing w:after="0" w:line="253" w:lineRule="auto"/>
        <w:tabs>
          <w:tab w:leader="none" w:pos="520" w:val="left"/>
        </w:tabs>
        <w:numPr>
          <w:ilvl w:val="0"/>
          <w:numId w:val="50"/>
        </w:numPr>
        <w:rPr>
          <w:rFonts w:ascii="Arial" w:cs="Arial" w:eastAsia="Arial" w:hAnsi="Arial"/>
          <w:sz w:val="16"/>
          <w:szCs w:val="16"/>
          <w:color w:val="665B4F"/>
        </w:rPr>
      </w:pPr>
      <w:r>
        <w:rPr>
          <w:rFonts w:ascii="Arial" w:cs="Arial" w:eastAsia="Arial" w:hAnsi="Arial"/>
          <w:sz w:val="16"/>
          <w:szCs w:val="16"/>
          <w:color w:val="auto"/>
        </w:rPr>
        <w:t>For the 2017 fiscal year, management completed a review of the Company’s compensation policies and practices and presented its analysis to the Compensation Committee. The Compensation Committee concurred with management’s conclusion that such policies and practices do not present risks that are reasonably likely to have a material adverse effect on the Company.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 MEETINGS/ANNUAL MEETING</w:t>
      </w:r>
    </w:p>
    <w:p>
      <w:pPr>
        <w:spacing w:after="0" w:line="124"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color w:val="auto"/>
        </w:rPr>
        <w:t>The Board met 10 times during 2017. All of the members of our Board attended at least 75% of the meetings held by the Board and the Committees on which they served during the periods in which they served. And in accordance with our Corporate Governance Guidelines, each of our directors is invited and encouraged to attend the Annual Meeting. All of our directors then serving on the Board attended the 2017 Annual Meeting.</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 COMMUNICATION AND ENGAGEMENT</w:t>
      </w:r>
    </w:p>
    <w:p>
      <w:pPr>
        <w:spacing w:after="0" w:line="124" w:lineRule="exact"/>
        <w:rPr>
          <w:sz w:val="20"/>
          <w:szCs w:val="20"/>
          <w:color w:val="auto"/>
        </w:rPr>
      </w:pPr>
    </w:p>
    <w:p>
      <w:pPr>
        <w:ind w:left="200" w:right="540"/>
        <w:spacing w:after="0" w:line="260" w:lineRule="auto"/>
        <w:rPr>
          <w:sz w:val="20"/>
          <w:szCs w:val="20"/>
          <w:color w:val="auto"/>
        </w:rPr>
      </w:pPr>
      <w:r>
        <w:rPr>
          <w:rFonts w:ascii="Arial" w:cs="Arial" w:eastAsia="Arial" w:hAnsi="Arial"/>
          <w:sz w:val="16"/>
          <w:szCs w:val="16"/>
          <w:color w:val="auto"/>
        </w:rPr>
        <w:t>Our Board believes in listening to and communicating with shareholders. We believe our work should be informed by input from those who share a financial stake in our success.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provide a number of ways for shareholder-director communication:</w:t>
      </w:r>
    </w:p>
    <w:p>
      <w:pPr>
        <w:spacing w:after="0" w:line="127" w:lineRule="exact"/>
        <w:rPr>
          <w:sz w:val="20"/>
          <w:szCs w:val="20"/>
          <w:color w:val="auto"/>
        </w:rPr>
      </w:pPr>
    </w:p>
    <w:p>
      <w:pPr>
        <w:ind w:left="520" w:hanging="208"/>
        <w:spacing w:after="0"/>
        <w:tabs>
          <w:tab w:leader="none" w:pos="520" w:val="left"/>
        </w:tabs>
        <w:numPr>
          <w:ilvl w:val="0"/>
          <w:numId w:val="51"/>
        </w:numPr>
        <w:rPr>
          <w:rFonts w:ascii="Arial" w:cs="Arial" w:eastAsia="Arial" w:hAnsi="Arial"/>
          <w:sz w:val="16"/>
          <w:szCs w:val="16"/>
          <w:color w:val="665B4F"/>
        </w:rPr>
      </w:pPr>
      <w:r>
        <w:rPr>
          <w:rFonts w:ascii="Arial" w:cs="Arial" w:eastAsia="Arial" w:hAnsi="Arial"/>
          <w:sz w:val="16"/>
          <w:szCs w:val="16"/>
          <w:color w:val="auto"/>
        </w:rPr>
        <w:t>Shareholders can attend our annual meeting in person where our directors are in attendance.</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51"/>
        </w:numPr>
        <w:rPr>
          <w:rFonts w:ascii="Arial" w:cs="Arial" w:eastAsia="Arial" w:hAnsi="Arial"/>
          <w:sz w:val="16"/>
          <w:szCs w:val="16"/>
          <w:color w:val="665B4F"/>
        </w:rPr>
      </w:pPr>
      <w:r>
        <w:rPr>
          <w:rFonts w:ascii="Arial" w:cs="Arial" w:eastAsia="Arial" w:hAnsi="Arial"/>
          <w:sz w:val="16"/>
          <w:szCs w:val="16"/>
          <w:color w:val="auto"/>
        </w:rPr>
        <w:t>Shareholders can speak with us when we reach out to engage both via governance communications and investor relations communications.</w:t>
      </w:r>
    </w:p>
    <w:p>
      <w:pPr>
        <w:spacing w:after="0" w:line="140" w:lineRule="exact"/>
        <w:rPr>
          <w:rFonts w:ascii="Arial" w:cs="Arial" w:eastAsia="Arial" w:hAnsi="Arial"/>
          <w:sz w:val="16"/>
          <w:szCs w:val="16"/>
          <w:color w:val="665B4F"/>
        </w:rPr>
      </w:pPr>
    </w:p>
    <w:p>
      <w:pPr>
        <w:ind w:left="520" w:right="200" w:hanging="208"/>
        <w:spacing w:after="0" w:line="249" w:lineRule="auto"/>
        <w:tabs>
          <w:tab w:leader="none" w:pos="520" w:val="left"/>
        </w:tabs>
        <w:numPr>
          <w:ilvl w:val="0"/>
          <w:numId w:val="51"/>
        </w:numPr>
        <w:rPr>
          <w:rFonts w:ascii="Arial" w:cs="Arial" w:eastAsia="Arial" w:hAnsi="Arial"/>
          <w:sz w:val="16"/>
          <w:szCs w:val="16"/>
          <w:color w:val="665B4F"/>
        </w:rPr>
      </w:pPr>
      <w:r>
        <w:rPr>
          <w:rFonts w:ascii="Arial" w:cs="Arial" w:eastAsia="Arial" w:hAnsi="Arial"/>
          <w:sz w:val="16"/>
          <w:szCs w:val="16"/>
          <w:color w:val="auto"/>
        </w:rPr>
        <w:t>Shareholders who wish to communicate in writing with the Board or any director, or with any Committee of the Board, including the chair of any Committee, may do so by writing to the following address: Wynn Resorts, Limited, c/o Corporate Secretary, 3131 Las Vegas Boulevard South, Las Vegas, Nevada 89109. 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00" w:lineRule="exact"/>
        <w:rPr>
          <w:sz w:val="20"/>
          <w:szCs w:val="20"/>
          <w:color w:val="auto"/>
        </w:rPr>
      </w:pPr>
    </w:p>
    <w:p>
      <w:pPr>
        <w:jc w:val="right"/>
        <w:spacing w:after="0"/>
        <w:tabs>
          <w:tab w:leader="none" w:pos="340" w:val="left"/>
          <w:tab w:leader="none" w:pos="1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OUR BOARD AND CORPORATE GOVERNANCE</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 COMPENSATION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Directors who are not employees of the Company currently receive fees for service on the Board and Committees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156210</wp:posOffset>
            </wp:positionV>
            <wp:extent cx="6997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4520" w:type="dxa"/>
            <w:vAlign w:val="bottom"/>
            <w:gridSpan w:val="2"/>
          </w:tcPr>
          <w:p>
            <w:pPr>
              <w:spacing w:after="0"/>
              <w:rPr>
                <w:sz w:val="20"/>
                <w:szCs w:val="20"/>
                <w:color w:val="auto"/>
              </w:rPr>
            </w:pPr>
            <w:r>
              <w:rPr>
                <w:rFonts w:ascii="Arial" w:cs="Arial" w:eastAsia="Arial" w:hAnsi="Arial"/>
                <w:sz w:val="16"/>
                <w:szCs w:val="16"/>
                <w:color w:val="auto"/>
              </w:rPr>
              <w:t>Board Service</w:t>
            </w:r>
          </w:p>
        </w:tc>
        <w:tc>
          <w:tcPr>
            <w:tcW w:w="6520" w:type="dxa"/>
            <w:vAlign w:val="bottom"/>
          </w:tcPr>
          <w:p>
            <w:pPr>
              <w:ind w:left="1440"/>
              <w:spacing w:after="0"/>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Member monthly fee of $5,000</w:t>
            </w:r>
          </w:p>
        </w:tc>
      </w:tr>
      <w:tr>
        <w:trPr>
          <w:trHeight w:val="60"/>
        </w:trPr>
        <w:tc>
          <w:tcPr>
            <w:tcW w:w="4520" w:type="dxa"/>
            <w:vAlign w:val="bottom"/>
            <w:tcBorders>
              <w:bottom w:val="single" w:sz="8" w:color="D1CDCA"/>
            </w:tcBorders>
            <w:gridSpan w:val="2"/>
          </w:tcPr>
          <w:p>
            <w:pPr>
              <w:spacing w:after="0"/>
              <w:rPr>
                <w:sz w:val="5"/>
                <w:szCs w:val="5"/>
                <w:color w:val="auto"/>
              </w:rPr>
            </w:pPr>
          </w:p>
        </w:tc>
        <w:tc>
          <w:tcPr>
            <w:tcW w:w="6520" w:type="dxa"/>
            <w:vAlign w:val="bottom"/>
            <w:tcBorders>
              <w:bottom w:val="single" w:sz="8" w:color="D1CDCA"/>
            </w:tcBorders>
          </w:tcPr>
          <w:p>
            <w:pPr>
              <w:spacing w:after="0"/>
              <w:rPr>
                <w:sz w:val="5"/>
                <w:szCs w:val="5"/>
                <w:color w:val="auto"/>
              </w:rPr>
            </w:pPr>
          </w:p>
        </w:tc>
      </w:tr>
      <w:tr>
        <w:trPr>
          <w:trHeight w:val="227"/>
        </w:trPr>
        <w:tc>
          <w:tcPr>
            <w:tcW w:w="4520" w:type="dxa"/>
            <w:vAlign w:val="bottom"/>
            <w:gridSpan w:val="2"/>
          </w:tcPr>
          <w:p>
            <w:pPr>
              <w:spacing w:after="0"/>
              <w:rPr>
                <w:sz w:val="20"/>
                <w:szCs w:val="20"/>
                <w:color w:val="auto"/>
              </w:rPr>
            </w:pPr>
            <w:r>
              <w:rPr>
                <w:rFonts w:ascii="Arial" w:cs="Arial" w:eastAsia="Arial" w:hAnsi="Arial"/>
                <w:sz w:val="16"/>
                <w:szCs w:val="16"/>
                <w:color w:val="auto"/>
              </w:rPr>
              <w:t>Audit Committee Service</w:t>
            </w:r>
          </w:p>
        </w:tc>
        <w:tc>
          <w:tcPr>
            <w:tcW w:w="6520" w:type="dxa"/>
            <w:vAlign w:val="bottom"/>
          </w:tcPr>
          <w:p>
            <w:pPr>
              <w:ind w:left="1440"/>
              <w:spacing w:after="0"/>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Member monthly fee of $1,250</w:t>
            </w: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520" w:type="dxa"/>
            <w:vAlign w:val="bottom"/>
          </w:tcPr>
          <w:p>
            <w:pPr>
              <w:ind w:left="1440"/>
              <w:spacing w:after="0"/>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Chairman monthly fee of $2,500</w:t>
            </w:r>
          </w:p>
        </w:tc>
      </w:tr>
      <w:tr>
        <w:trPr>
          <w:trHeight w:val="60"/>
        </w:trPr>
        <w:tc>
          <w:tcPr>
            <w:tcW w:w="20" w:type="dxa"/>
            <w:vAlign w:val="bottom"/>
          </w:tcPr>
          <w:p>
            <w:pPr>
              <w:spacing w:after="0"/>
              <w:rPr>
                <w:sz w:val="5"/>
                <w:szCs w:val="5"/>
                <w:color w:val="auto"/>
              </w:rPr>
            </w:pPr>
          </w:p>
        </w:tc>
        <w:tc>
          <w:tcPr>
            <w:tcW w:w="4500" w:type="dxa"/>
            <w:vAlign w:val="bottom"/>
            <w:tcBorders>
              <w:bottom w:val="single" w:sz="8" w:color="D1CDCA"/>
            </w:tcBorders>
          </w:tcPr>
          <w:p>
            <w:pPr>
              <w:spacing w:after="0"/>
              <w:rPr>
                <w:sz w:val="5"/>
                <w:szCs w:val="5"/>
                <w:color w:val="auto"/>
              </w:rPr>
            </w:pPr>
          </w:p>
        </w:tc>
        <w:tc>
          <w:tcPr>
            <w:tcW w:w="6520" w:type="dxa"/>
            <w:vAlign w:val="bottom"/>
            <w:tcBorders>
              <w:bottom w:val="single" w:sz="8" w:color="D1CDCA"/>
            </w:tcBorders>
          </w:tcPr>
          <w:p>
            <w:pPr>
              <w:spacing w:after="0"/>
              <w:rPr>
                <w:sz w:val="5"/>
                <w:szCs w:val="5"/>
                <w:color w:val="auto"/>
              </w:rPr>
            </w:pPr>
          </w:p>
        </w:tc>
      </w:tr>
      <w:tr>
        <w:trPr>
          <w:trHeight w:val="227"/>
        </w:trPr>
        <w:tc>
          <w:tcPr>
            <w:tcW w:w="4520" w:type="dxa"/>
            <w:vAlign w:val="bottom"/>
            <w:gridSpan w:val="2"/>
          </w:tcPr>
          <w:p>
            <w:pPr>
              <w:spacing w:after="0"/>
              <w:rPr>
                <w:sz w:val="20"/>
                <w:szCs w:val="20"/>
                <w:color w:val="auto"/>
              </w:rPr>
            </w:pPr>
            <w:r>
              <w:rPr>
                <w:rFonts w:ascii="Arial" w:cs="Arial" w:eastAsia="Arial" w:hAnsi="Arial"/>
                <w:sz w:val="16"/>
                <w:szCs w:val="16"/>
                <w:color w:val="auto"/>
              </w:rPr>
              <w:t>Compensation Committee Service</w:t>
            </w:r>
          </w:p>
        </w:tc>
        <w:tc>
          <w:tcPr>
            <w:tcW w:w="6520" w:type="dxa"/>
            <w:vAlign w:val="bottom"/>
          </w:tcPr>
          <w:p>
            <w:pPr>
              <w:ind w:left="1440"/>
              <w:spacing w:after="0"/>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Member monthly fee of $1,000</w:t>
            </w: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520" w:type="dxa"/>
            <w:vAlign w:val="bottom"/>
          </w:tcPr>
          <w:p>
            <w:pPr>
              <w:ind w:left="1440"/>
              <w:spacing w:after="0"/>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Chairman monthly fee of $2,000</w:t>
            </w:r>
          </w:p>
        </w:tc>
      </w:tr>
      <w:tr>
        <w:trPr>
          <w:trHeight w:val="60"/>
        </w:trPr>
        <w:tc>
          <w:tcPr>
            <w:tcW w:w="20" w:type="dxa"/>
            <w:vAlign w:val="bottom"/>
          </w:tcPr>
          <w:p>
            <w:pPr>
              <w:spacing w:after="0"/>
              <w:rPr>
                <w:sz w:val="5"/>
                <w:szCs w:val="5"/>
                <w:color w:val="auto"/>
              </w:rPr>
            </w:pPr>
          </w:p>
        </w:tc>
        <w:tc>
          <w:tcPr>
            <w:tcW w:w="4500" w:type="dxa"/>
            <w:vAlign w:val="bottom"/>
            <w:tcBorders>
              <w:bottom w:val="single" w:sz="8" w:color="D1CDCA"/>
            </w:tcBorders>
          </w:tcPr>
          <w:p>
            <w:pPr>
              <w:spacing w:after="0"/>
              <w:rPr>
                <w:sz w:val="5"/>
                <w:szCs w:val="5"/>
                <w:color w:val="auto"/>
              </w:rPr>
            </w:pPr>
          </w:p>
        </w:tc>
        <w:tc>
          <w:tcPr>
            <w:tcW w:w="6520" w:type="dxa"/>
            <w:vAlign w:val="bottom"/>
            <w:tcBorders>
              <w:bottom w:val="single" w:sz="8" w:color="D1CDCA"/>
            </w:tcBorders>
          </w:tcPr>
          <w:p>
            <w:pPr>
              <w:spacing w:after="0"/>
              <w:rPr>
                <w:sz w:val="5"/>
                <w:szCs w:val="5"/>
                <w:color w:val="auto"/>
              </w:rPr>
            </w:pPr>
          </w:p>
        </w:tc>
      </w:tr>
      <w:tr>
        <w:trPr>
          <w:trHeight w:val="227"/>
        </w:trPr>
        <w:tc>
          <w:tcPr>
            <w:tcW w:w="4520" w:type="dxa"/>
            <w:vAlign w:val="bottom"/>
            <w:gridSpan w:val="2"/>
          </w:tcPr>
          <w:p>
            <w:pPr>
              <w:spacing w:after="0"/>
              <w:rPr>
                <w:sz w:val="20"/>
                <w:szCs w:val="20"/>
                <w:color w:val="auto"/>
              </w:rPr>
            </w:pPr>
            <w:r>
              <w:rPr>
                <w:rFonts w:ascii="Arial" w:cs="Arial" w:eastAsia="Arial" w:hAnsi="Arial"/>
                <w:sz w:val="16"/>
                <w:szCs w:val="16"/>
                <w:color w:val="auto"/>
              </w:rPr>
              <w:t>Corporate Governance Committee Service</w:t>
            </w:r>
          </w:p>
        </w:tc>
        <w:tc>
          <w:tcPr>
            <w:tcW w:w="6520" w:type="dxa"/>
            <w:vAlign w:val="bottom"/>
          </w:tcPr>
          <w:p>
            <w:pPr>
              <w:ind w:left="1440"/>
              <w:spacing w:after="0"/>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Member monthly fee of $1,000</w:t>
            </w: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520" w:type="dxa"/>
            <w:vAlign w:val="bottom"/>
          </w:tcPr>
          <w:p>
            <w:pPr>
              <w:ind w:left="1440"/>
              <w:spacing w:after="0"/>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Chairman monthly fee of $2,000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38100</wp:posOffset>
            </wp:positionV>
            <wp:extent cx="6997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5" w:lineRule="exact"/>
        <w:rPr>
          <w:sz w:val="20"/>
          <w:szCs w:val="20"/>
          <w:color w:val="auto"/>
        </w:rPr>
      </w:pPr>
    </w:p>
    <w:p>
      <w:pPr>
        <w:ind w:left="200" w:right="100"/>
        <w:spacing w:after="0" w:line="247" w:lineRule="auto"/>
        <w:rPr>
          <w:sz w:val="20"/>
          <w:szCs w:val="20"/>
          <w:color w:val="auto"/>
        </w:rPr>
      </w:pPr>
      <w:r>
        <w:rPr>
          <w:rFonts w:ascii="Arial" w:cs="Arial" w:eastAsia="Arial" w:hAnsi="Arial"/>
          <w:sz w:val="16"/>
          <w:szCs w:val="16"/>
          <w:color w:val="auto"/>
        </w:rPr>
        <w:t>Each non-employee director also receives a $1,500 meeting fee for each Board or Committee meeting he or she attends. In addition, non-employee directors are granted annual equity awards in the form of stock options or restricted stock determined annually at a meeting of the Board. For 2017, each non-employee director received a grant of restricted stock equal in value to $250,000 (determined as of the April 20, 2017 grant date) that vests 25% per year, over four years, commencing April 20, 2018, subject to continued service through each vesting date. The Chairman of the Company’s Corporate Compliance Committee received an annual retainer of $70,000 and the non-employee director member of the Company’s Corporate Compliance Committee received an annual retainer of $25,000. The Lead Independent Director received an annual retainer of $50,000 for service during 2017. In connection with the appointment of Mr. Wayson as the Non-Executive Chairman on February 6, 2018, the position of Lead Independent Director was eliminated, effective February 6, 2018. The Chairman of the Board will receive an annual retainer of $100,000. All directors are provided complimentary room, food and beverage privileges at our properties and are reimbursed for any other out of pocket expenses related to their attendance at Board or Committee meetings or other corporate events. Directors from time to time may receive other benefits as discussed in the table below under “All Other Compensation.” The Company does not provide non-equity incentive plan awards or deferred compensation or retirement plans for non-employee directors.</w:t>
      </w:r>
    </w:p>
    <w:p>
      <w:pPr>
        <w:spacing w:after="0" w:line="213" w:lineRule="exact"/>
        <w:rPr>
          <w:sz w:val="20"/>
          <w:szCs w:val="20"/>
          <w:color w:val="auto"/>
        </w:rPr>
      </w:pPr>
    </w:p>
    <w:p>
      <w:pPr>
        <w:ind w:left="200" w:right="300"/>
        <w:spacing w:after="0" w:line="249" w:lineRule="auto"/>
        <w:rPr>
          <w:sz w:val="20"/>
          <w:szCs w:val="20"/>
          <w:color w:val="auto"/>
        </w:rPr>
      </w:pPr>
      <w:r>
        <w:rPr>
          <w:rFonts w:ascii="Arial" w:cs="Arial" w:eastAsia="Arial" w:hAnsi="Arial"/>
          <w:sz w:val="16"/>
          <w:szCs w:val="16"/>
          <w:color w:val="auto"/>
        </w:rPr>
        <w:t>As addressed in our 2017 Annual Report on Form 10-K, in January 2018, the Board formed a Special Committee comprised solely of independent directors to, among other things, investigate certain allegations regarding Stephen A. Wynn and to conduct a comprehensive review of the Company’s internal policies and procedures with the goal of employing best practices to maintain a safe and respectful workplace for all employees. Each director serving on the Special Committee will receive the following fees: $10,000 one-time retainer; $2,000 attendance fee for each meeting of the Special Committee attended by such director in his or her capacity as the Chair of the Special Committee; and $1,000 attendance fee for each meeting of the Special Committee attended by such director in his or her capacity as a member of the Special Committee.</w:t>
      </w:r>
    </w:p>
    <w:p>
      <w:pPr>
        <w:spacing w:after="0" w:line="205" w:lineRule="exact"/>
        <w:rPr>
          <w:sz w:val="20"/>
          <w:szCs w:val="20"/>
          <w:color w:val="auto"/>
        </w:rPr>
      </w:pPr>
    </w:p>
    <w:p>
      <w:pPr>
        <w:ind w:left="200" w:right="60"/>
        <w:spacing w:after="0" w:line="249" w:lineRule="auto"/>
        <w:rPr>
          <w:sz w:val="20"/>
          <w:szCs w:val="20"/>
          <w:color w:val="auto"/>
        </w:rPr>
      </w:pPr>
      <w:r>
        <w:rPr>
          <w:rFonts w:ascii="Arial" w:cs="Arial" w:eastAsia="Arial" w:hAnsi="Arial"/>
          <w:sz w:val="16"/>
          <w:szCs w:val="16"/>
          <w:color w:val="auto"/>
        </w:rPr>
        <w:t>In February 2018, the Board formed a Demand Review Committee comprised solely of independent directors to, among other things, review, investigate, and make recommendations to the Board concerning communications the Board or the Company receive from, or on behalf of shareholders, regarding allegations against Stephen A. Wynn or the Company, as well as any related facts, allegations or circumstances that come to the attention of the Demand Review Committee. The Demand Review Committee receives the following fees: $10,000 one-time retainer; $2,000 attendance fee for each meeting of the Demand Review Committee attended by such director in his or her capacity as the Chair of the Demand Review Committee; and $1,000 attendance fee for each meeting of the Demand Review Committee attended by such director in his or her capacity as a member of the Demand Review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206375</wp:posOffset>
            </wp:positionV>
            <wp:extent cx="608965"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10"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15</w:t>
        <w:tab/>
        <w:t>|</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160"/>
        <w:spacing w:after="0"/>
        <w:rPr>
          <w:sz w:val="20"/>
          <w:szCs w:val="20"/>
          <w:color w:val="auto"/>
        </w:rPr>
      </w:pPr>
      <w:r>
        <w:rPr>
          <w:rFonts w:ascii="Arial" w:cs="Arial" w:eastAsia="Arial" w:hAnsi="Arial"/>
          <w:sz w:val="17"/>
          <w:szCs w:val="17"/>
          <w:b w:val="1"/>
          <w:bCs w:val="1"/>
          <w:color w:val="665B4F"/>
        </w:rPr>
        <w:t>OUR BOARD AND CORPORATE GOVERNANCE</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NON-EMPLOYEE DIRECTOR COMPENSATION TABLE</w:t>
      </w:r>
    </w:p>
    <w:p>
      <w:pPr>
        <w:spacing w:after="0" w:line="128" w:lineRule="exact"/>
        <w:rPr>
          <w:sz w:val="20"/>
          <w:szCs w:val="20"/>
          <w:color w:val="auto"/>
        </w:rPr>
      </w:pPr>
    </w:p>
    <w:p>
      <w:pPr>
        <w:ind w:left="200" w:right="560"/>
        <w:spacing w:after="0" w:line="260" w:lineRule="auto"/>
        <w:rPr>
          <w:sz w:val="20"/>
          <w:szCs w:val="20"/>
          <w:color w:val="auto"/>
        </w:rPr>
      </w:pPr>
      <w:r>
        <w:rPr>
          <w:rFonts w:ascii="Arial" w:cs="Arial" w:eastAsia="Arial" w:hAnsi="Arial"/>
          <w:sz w:val="16"/>
          <w:szCs w:val="16"/>
          <w:color w:val="auto"/>
        </w:rPr>
        <w:t>The table below summarizes the total compensation awarded to, earned by or paid to each of the non-employee directors for the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140335</wp:posOffset>
            </wp:positionV>
            <wp:extent cx="6997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665B4F"/>
              </w:rPr>
              <w:t>FEES</w:t>
            </w: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665B4F"/>
              </w:rPr>
              <w:t>STOCK</w:t>
            </w: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665B4F"/>
              </w:rPr>
              <w:t>OPTION</w:t>
            </w:r>
          </w:p>
        </w:tc>
        <w:tc>
          <w:tcPr>
            <w:tcW w:w="170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665B4F"/>
              </w:rPr>
              <w:t>ALL OTHER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940" w:type="dxa"/>
            <w:vAlign w:val="bottom"/>
            <w:gridSpan w:val="2"/>
          </w:tcPr>
          <w:p>
            <w:pPr>
              <w:jc w:val="right"/>
              <w:ind w:right="148"/>
              <w:spacing w:after="0" w:line="149" w:lineRule="exact"/>
              <w:rPr>
                <w:sz w:val="20"/>
                <w:szCs w:val="20"/>
                <w:color w:val="auto"/>
              </w:rPr>
            </w:pPr>
            <w:r>
              <w:rPr>
                <w:rFonts w:ascii="Arial" w:cs="Arial" w:eastAsia="Arial" w:hAnsi="Arial"/>
                <w:sz w:val="14"/>
                <w:szCs w:val="14"/>
                <w:b w:val="1"/>
                <w:bCs w:val="1"/>
                <w:color w:val="665B4F"/>
              </w:rPr>
              <w:t>EARNED OR</w:t>
            </w:r>
          </w:p>
        </w:tc>
        <w:tc>
          <w:tcPr>
            <w:tcW w:w="10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665B4F"/>
              </w:rPr>
              <w:t>TOTAL</w:t>
            </w:r>
          </w:p>
        </w:tc>
        <w:tc>
          <w:tcPr>
            <w:tcW w:w="0" w:type="dxa"/>
            <w:vAlign w:val="bottom"/>
          </w:tcPr>
          <w:p>
            <w:pPr>
              <w:spacing w:after="0"/>
              <w:rPr>
                <w:sz w:val="1"/>
                <w:szCs w:val="1"/>
                <w:color w:val="auto"/>
              </w:rPr>
            </w:pPr>
          </w:p>
        </w:tc>
      </w:tr>
      <w:tr>
        <w:trPr>
          <w:trHeight w:val="149"/>
        </w:trPr>
        <w:tc>
          <w:tcPr>
            <w:tcW w:w="3040" w:type="dxa"/>
            <w:vAlign w:val="bottom"/>
            <w:vMerge w:val="restart"/>
          </w:tcPr>
          <w:p>
            <w:pPr>
              <w:ind w:left="60"/>
              <w:spacing w:after="0"/>
              <w:rPr>
                <w:sz w:val="20"/>
                <w:szCs w:val="20"/>
                <w:color w:val="auto"/>
              </w:rPr>
            </w:pPr>
            <w:r>
              <w:rPr>
                <w:rFonts w:ascii="Arial" w:cs="Arial" w:eastAsia="Arial" w:hAnsi="Arial"/>
                <w:sz w:val="14"/>
                <w:szCs w:val="14"/>
                <w:b w:val="1"/>
                <w:bCs w:val="1"/>
                <w:color w:val="665B4F"/>
              </w:rPr>
              <w:t>NAME</w:t>
            </w:r>
          </w:p>
        </w:tc>
        <w:tc>
          <w:tcPr>
            <w:tcW w:w="2940" w:type="dxa"/>
            <w:vAlign w:val="bottom"/>
            <w:gridSpan w:val="2"/>
          </w:tcPr>
          <w:p>
            <w:pPr>
              <w:jc w:val="right"/>
              <w:ind w:right="148"/>
              <w:spacing w:after="0" w:line="149" w:lineRule="exact"/>
              <w:rPr>
                <w:sz w:val="20"/>
                <w:szCs w:val="20"/>
                <w:color w:val="auto"/>
              </w:rPr>
            </w:pPr>
            <w:r>
              <w:rPr>
                <w:rFonts w:ascii="Arial" w:cs="Arial" w:eastAsia="Arial" w:hAnsi="Arial"/>
                <w:sz w:val="14"/>
                <w:szCs w:val="14"/>
                <w:b w:val="1"/>
                <w:bCs w:val="1"/>
                <w:color w:val="665B4F"/>
              </w:rPr>
              <w:t>PAID IN CASH</w:t>
            </w:r>
          </w:p>
        </w:tc>
        <w:tc>
          <w:tcPr>
            <w:tcW w:w="10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665B4F"/>
              </w:rPr>
              <w:t>AWARDS</w:t>
            </w:r>
          </w:p>
        </w:tc>
        <w:tc>
          <w:tcPr>
            <w:tcW w:w="110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665B4F"/>
              </w:rPr>
              <w:t>AWARDS</w:t>
            </w:r>
          </w:p>
        </w:tc>
        <w:tc>
          <w:tcPr>
            <w:tcW w:w="1700" w:type="dxa"/>
            <w:vAlign w:val="bottom"/>
            <w:gridSpan w:val="2"/>
          </w:tcPr>
          <w:p>
            <w:pPr>
              <w:jc w:val="right"/>
              <w:ind w:right="208"/>
              <w:spacing w:after="0" w:line="149" w:lineRule="exact"/>
              <w:rPr>
                <w:sz w:val="20"/>
                <w:szCs w:val="20"/>
                <w:color w:val="auto"/>
              </w:rPr>
            </w:pPr>
            <w:r>
              <w:rPr>
                <w:rFonts w:ascii="Arial" w:cs="Arial" w:eastAsia="Arial" w:hAnsi="Arial"/>
                <w:sz w:val="14"/>
                <w:szCs w:val="14"/>
                <w:b w:val="1"/>
                <w:bCs w:val="1"/>
                <w:color w:val="665B4F"/>
              </w:rPr>
              <w:t>COMPENSATION</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40" w:type="dxa"/>
            <w:vAlign w:val="bottom"/>
            <w:vMerge w:val="continue"/>
          </w:tcPr>
          <w:p>
            <w:pPr>
              <w:spacing w:after="0"/>
              <w:rPr>
                <w:sz w:val="16"/>
                <w:szCs w:val="16"/>
                <w:color w:val="auto"/>
              </w:rPr>
            </w:pPr>
          </w:p>
        </w:tc>
        <w:tc>
          <w:tcPr>
            <w:tcW w:w="2240" w:type="dxa"/>
            <w:vAlign w:val="bottom"/>
          </w:tcPr>
          <w:p>
            <w:pPr>
              <w:spacing w:after="0"/>
              <w:rPr>
                <w:sz w:val="16"/>
                <w:szCs w:val="16"/>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665B4F"/>
              </w:rPr>
              <w:t>($)</w:t>
            </w:r>
          </w:p>
        </w:tc>
        <w:tc>
          <w:tcPr>
            <w:tcW w:w="1080" w:type="dxa"/>
            <w:vAlign w:val="bottom"/>
          </w:tcPr>
          <w:p>
            <w:pPr>
              <w:jc w:val="right"/>
              <w:ind w:right="188"/>
              <w:spacing w:after="0"/>
              <w:rPr>
                <w:sz w:val="20"/>
                <w:szCs w:val="20"/>
                <w:color w:val="auto"/>
              </w:rPr>
            </w:pPr>
            <w:r>
              <w:rPr>
                <w:rFonts w:ascii="Arial" w:cs="Arial" w:eastAsia="Arial" w:hAnsi="Arial"/>
                <w:sz w:val="14"/>
                <w:szCs w:val="14"/>
                <w:b w:val="1"/>
                <w:bCs w:val="1"/>
                <w:color w:val="665B4F"/>
              </w:rPr>
              <w:t xml:space="preserve">($) </w:t>
            </w:r>
            <w:r>
              <w:rPr>
                <w:rFonts w:ascii="Arial" w:cs="Arial" w:eastAsia="Arial" w:hAnsi="Arial"/>
                <w:sz w:val="12"/>
                <w:szCs w:val="12"/>
                <w:b w:val="1"/>
                <w:bCs w:val="1"/>
                <w:color w:val="665B4F"/>
              </w:rPr>
              <w:t>(1)</w:t>
            </w:r>
          </w:p>
        </w:tc>
        <w:tc>
          <w:tcPr>
            <w:tcW w:w="1100" w:type="dxa"/>
            <w:vAlign w:val="bottom"/>
          </w:tcPr>
          <w:p>
            <w:pPr>
              <w:jc w:val="right"/>
              <w:ind w:right="168"/>
              <w:spacing w:after="0"/>
              <w:rPr>
                <w:sz w:val="20"/>
                <w:szCs w:val="20"/>
                <w:color w:val="auto"/>
              </w:rPr>
            </w:pPr>
            <w:r>
              <w:rPr>
                <w:rFonts w:ascii="Arial" w:cs="Arial" w:eastAsia="Arial" w:hAnsi="Arial"/>
                <w:sz w:val="14"/>
                <w:szCs w:val="14"/>
                <w:b w:val="1"/>
                <w:bCs w:val="1"/>
                <w:color w:val="665B4F"/>
              </w:rPr>
              <w:t xml:space="preserve">($) </w:t>
            </w:r>
            <w:r>
              <w:rPr>
                <w:rFonts w:ascii="Arial" w:cs="Arial" w:eastAsia="Arial" w:hAnsi="Arial"/>
                <w:sz w:val="12"/>
                <w:szCs w:val="12"/>
                <w:b w:val="1"/>
                <w:bCs w:val="1"/>
                <w:color w:val="665B4F"/>
              </w:rPr>
              <w:t>(2)</w:t>
            </w:r>
          </w:p>
        </w:tc>
        <w:tc>
          <w:tcPr>
            <w:tcW w:w="102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665B4F"/>
              </w:rPr>
              <w:t xml:space="preserve">($) </w:t>
            </w:r>
            <w:r>
              <w:rPr>
                <w:rFonts w:ascii="Arial" w:cs="Arial" w:eastAsia="Arial" w:hAnsi="Arial"/>
                <w:sz w:val="12"/>
                <w:szCs w:val="12"/>
                <w:b w:val="1"/>
                <w:bCs w:val="1"/>
                <w:color w:val="665B4F"/>
              </w:rPr>
              <w:t>(3)</w:t>
            </w:r>
          </w:p>
        </w:tc>
        <w:tc>
          <w:tcPr>
            <w:tcW w:w="1160" w:type="dxa"/>
            <w:vAlign w:val="bottom"/>
          </w:tcPr>
          <w:p>
            <w:pPr>
              <w:jc w:val="right"/>
              <w:ind w:right="228"/>
              <w:spacing w:after="0"/>
              <w:rPr>
                <w:sz w:val="20"/>
                <w:szCs w:val="20"/>
                <w:color w:val="auto"/>
              </w:rPr>
            </w:pPr>
            <w:r>
              <w:rPr>
                <w:rFonts w:ascii="Arial" w:cs="Arial" w:eastAsia="Arial" w:hAnsi="Arial"/>
                <w:sz w:val="14"/>
                <w:szCs w:val="14"/>
                <w:b w:val="1"/>
                <w:bCs w:val="1"/>
                <w:color w:val="665B4F"/>
              </w:rPr>
              <w:t>($)</w:t>
            </w:r>
          </w:p>
        </w:tc>
        <w:tc>
          <w:tcPr>
            <w:tcW w:w="0" w:type="dxa"/>
            <w:vAlign w:val="bottom"/>
          </w:tcPr>
          <w:p>
            <w:pPr>
              <w:spacing w:after="0"/>
              <w:rPr>
                <w:sz w:val="1"/>
                <w:szCs w:val="1"/>
                <w:color w:val="auto"/>
              </w:rPr>
            </w:pPr>
          </w:p>
        </w:tc>
      </w:tr>
      <w:tr>
        <w:trPr>
          <w:trHeight w:val="39"/>
        </w:trPr>
        <w:tc>
          <w:tcPr>
            <w:tcW w:w="3040" w:type="dxa"/>
            <w:vAlign w:val="bottom"/>
            <w:tcBorders>
              <w:bottom w:val="single" w:sz="8" w:color="D1CDCA"/>
            </w:tcBorders>
          </w:tcPr>
          <w:p>
            <w:pPr>
              <w:spacing w:after="0"/>
              <w:rPr>
                <w:sz w:val="3"/>
                <w:szCs w:val="3"/>
                <w:color w:val="auto"/>
              </w:rPr>
            </w:pPr>
          </w:p>
        </w:tc>
        <w:tc>
          <w:tcPr>
            <w:tcW w:w="2940" w:type="dxa"/>
            <w:vAlign w:val="bottom"/>
            <w:tcBorders>
              <w:bottom w:val="single" w:sz="8" w:color="D1CDCA"/>
            </w:tcBorders>
            <w:gridSpan w:val="2"/>
          </w:tcPr>
          <w:p>
            <w:pPr>
              <w:spacing w:after="0"/>
              <w:rPr>
                <w:sz w:val="3"/>
                <w:szCs w:val="3"/>
                <w:color w:val="auto"/>
              </w:rPr>
            </w:pPr>
          </w:p>
        </w:tc>
        <w:tc>
          <w:tcPr>
            <w:tcW w:w="1080" w:type="dxa"/>
            <w:vAlign w:val="bottom"/>
            <w:tcBorders>
              <w:bottom w:val="single" w:sz="8" w:color="D1CDCA"/>
            </w:tcBorders>
          </w:tcPr>
          <w:p>
            <w:pPr>
              <w:spacing w:after="0"/>
              <w:rPr>
                <w:sz w:val="3"/>
                <w:szCs w:val="3"/>
                <w:color w:val="auto"/>
              </w:rPr>
            </w:pPr>
          </w:p>
        </w:tc>
        <w:tc>
          <w:tcPr>
            <w:tcW w:w="1100" w:type="dxa"/>
            <w:vAlign w:val="bottom"/>
            <w:tcBorders>
              <w:bottom w:val="single" w:sz="8" w:color="D1CDCA"/>
            </w:tcBorders>
          </w:tcPr>
          <w:p>
            <w:pPr>
              <w:spacing w:after="0"/>
              <w:rPr>
                <w:sz w:val="3"/>
                <w:szCs w:val="3"/>
                <w:color w:val="auto"/>
              </w:rPr>
            </w:pPr>
          </w:p>
        </w:tc>
        <w:tc>
          <w:tcPr>
            <w:tcW w:w="1020" w:type="dxa"/>
            <w:vAlign w:val="bottom"/>
            <w:tcBorders>
              <w:bottom w:val="single" w:sz="8" w:color="D1CDCA"/>
            </w:tcBorders>
          </w:tcPr>
          <w:p>
            <w:pPr>
              <w:spacing w:after="0"/>
              <w:rPr>
                <w:sz w:val="3"/>
                <w:szCs w:val="3"/>
                <w:color w:val="auto"/>
              </w:rPr>
            </w:pPr>
          </w:p>
        </w:tc>
        <w:tc>
          <w:tcPr>
            <w:tcW w:w="680" w:type="dxa"/>
            <w:vAlign w:val="bottom"/>
            <w:tcBorders>
              <w:bottom w:val="single" w:sz="8" w:color="D1CDCA"/>
            </w:tcBorders>
          </w:tcPr>
          <w:p>
            <w:pPr>
              <w:spacing w:after="0"/>
              <w:rPr>
                <w:sz w:val="3"/>
                <w:szCs w:val="3"/>
                <w:color w:val="auto"/>
              </w:rPr>
            </w:pPr>
          </w:p>
        </w:tc>
        <w:tc>
          <w:tcPr>
            <w:tcW w:w="1160" w:type="dxa"/>
            <w:vAlign w:val="bottom"/>
            <w:tcBorders>
              <w:bottom w:val="single" w:sz="8" w:color="D1CDCA"/>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John J. Hagenbuch</w:t>
            </w:r>
          </w:p>
        </w:tc>
        <w:tc>
          <w:tcPr>
            <w:tcW w:w="2940" w:type="dxa"/>
            <w:vAlign w:val="bottom"/>
            <w:tcBorders>
              <w:bottom w:val="single" w:sz="8" w:color="F7F7E5"/>
            </w:tcBorders>
            <w:gridSpan w:val="2"/>
            <w:shd w:val="clear" w:color="auto" w:fill="F7F7E5"/>
          </w:tcPr>
          <w:p>
            <w:pPr>
              <w:jc w:val="right"/>
              <w:ind w:right="148"/>
              <w:spacing w:after="0"/>
              <w:rPr>
                <w:sz w:val="20"/>
                <w:szCs w:val="20"/>
                <w:color w:val="auto"/>
              </w:rPr>
            </w:pPr>
            <w:r>
              <w:rPr>
                <w:rFonts w:ascii="Arial" w:cs="Arial" w:eastAsia="Arial" w:hAnsi="Arial"/>
                <w:sz w:val="14"/>
                <w:szCs w:val="14"/>
                <w:color w:val="auto"/>
              </w:rPr>
              <w:t>$139,500</w:t>
            </w:r>
          </w:p>
        </w:tc>
        <w:tc>
          <w:tcPr>
            <w:tcW w:w="1080" w:type="dxa"/>
            <w:vAlign w:val="bottom"/>
            <w:tcBorders>
              <w:bottom w:val="single" w:sz="8" w:color="F7F7E5"/>
            </w:tcBorders>
            <w:shd w:val="clear" w:color="auto" w:fill="F7F7E5"/>
          </w:tcPr>
          <w:p>
            <w:pPr>
              <w:jc w:val="right"/>
              <w:ind w:right="188"/>
              <w:spacing w:after="0"/>
              <w:rPr>
                <w:sz w:val="20"/>
                <w:szCs w:val="20"/>
                <w:color w:val="auto"/>
              </w:rPr>
            </w:pPr>
            <w:r>
              <w:rPr>
                <w:rFonts w:ascii="Arial" w:cs="Arial" w:eastAsia="Arial" w:hAnsi="Arial"/>
                <w:sz w:val="14"/>
                <w:szCs w:val="14"/>
                <w:color w:val="auto"/>
              </w:rPr>
              <w:t>$249,955</w:t>
            </w:r>
          </w:p>
        </w:tc>
        <w:tc>
          <w:tcPr>
            <w:tcW w:w="1100" w:type="dxa"/>
            <w:vAlign w:val="bottom"/>
            <w:tcBorders>
              <w:bottom w:val="single" w:sz="8" w:color="F7F7E5"/>
            </w:tcBorders>
            <w:shd w:val="clear" w:color="auto" w:fill="F7F7E5"/>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F7F7E5"/>
            </w:tcBorders>
            <w:shd w:val="clear" w:color="auto" w:fill="F7F7E5"/>
          </w:tcPr>
          <w:p>
            <w:pPr>
              <w:jc w:val="right"/>
              <w:ind w:right="208"/>
              <w:spacing w:after="0"/>
              <w:rPr>
                <w:sz w:val="20"/>
                <w:szCs w:val="20"/>
                <w:color w:val="auto"/>
              </w:rPr>
            </w:pPr>
            <w:r>
              <w:rPr>
                <w:rFonts w:ascii="Arial" w:cs="Arial" w:eastAsia="Arial" w:hAnsi="Arial"/>
                <w:sz w:val="14"/>
                <w:szCs w:val="14"/>
                <w:color w:val="auto"/>
              </w:rPr>
              <w:t>9,584</w:t>
            </w:r>
          </w:p>
        </w:tc>
        <w:tc>
          <w:tcPr>
            <w:tcW w:w="1160" w:type="dxa"/>
            <w:vAlign w:val="bottom"/>
            <w:tcBorders>
              <w:bottom w:val="single" w:sz="8" w:color="F7F7E5"/>
            </w:tcBorders>
            <w:shd w:val="clear" w:color="auto" w:fill="F7F7E5"/>
          </w:tcPr>
          <w:p>
            <w:pPr>
              <w:jc w:val="right"/>
              <w:ind w:right="228"/>
              <w:spacing w:after="0"/>
              <w:rPr>
                <w:sz w:val="20"/>
                <w:szCs w:val="20"/>
                <w:color w:val="auto"/>
              </w:rPr>
            </w:pPr>
            <w:r>
              <w:rPr>
                <w:rFonts w:ascii="Arial" w:cs="Arial" w:eastAsia="Arial" w:hAnsi="Arial"/>
                <w:sz w:val="14"/>
                <w:szCs w:val="14"/>
                <w:color w:val="auto"/>
              </w:rPr>
              <w:t>$399,039</w:t>
            </w:r>
          </w:p>
        </w:tc>
        <w:tc>
          <w:tcPr>
            <w:tcW w:w="0" w:type="dxa"/>
            <w:vAlign w:val="bottom"/>
          </w:tcPr>
          <w:p>
            <w:pPr>
              <w:spacing w:after="0"/>
              <w:rPr>
                <w:sz w:val="1"/>
                <w:szCs w:val="1"/>
                <w:color w:val="auto"/>
              </w:rPr>
            </w:pPr>
          </w:p>
        </w:tc>
      </w:tr>
      <w:tr>
        <w:trPr>
          <w:trHeight w:val="250"/>
        </w:trPr>
        <w:tc>
          <w:tcPr>
            <w:tcW w:w="3040" w:type="dxa"/>
            <w:vAlign w:val="bottom"/>
            <w:tcBorders>
              <w:top w:val="single" w:sz="8" w:color="D1CDCA"/>
              <w:bottom w:val="single" w:sz="8" w:color="D1CDCA"/>
            </w:tcBorders>
          </w:tcPr>
          <w:p>
            <w:pPr>
              <w:ind w:left="60"/>
              <w:spacing w:after="0" w:line="250" w:lineRule="exact"/>
              <w:rPr>
                <w:sz w:val="20"/>
                <w:szCs w:val="20"/>
                <w:color w:val="auto"/>
              </w:rPr>
            </w:pPr>
            <w:r>
              <w:rPr>
                <w:rFonts w:ascii="Arial" w:cs="Arial" w:eastAsia="Arial" w:hAnsi="Arial"/>
                <w:sz w:val="14"/>
                <w:szCs w:val="14"/>
                <w:color w:val="auto"/>
              </w:rPr>
              <w:t xml:space="preserve">Dr. Ray R. Irani </w:t>
            </w:r>
            <w:r>
              <w:rPr>
                <w:rFonts w:ascii="Arial" w:cs="Arial" w:eastAsia="Arial" w:hAnsi="Arial"/>
                <w:sz w:val="24"/>
                <w:szCs w:val="24"/>
                <w:color w:val="auto"/>
                <w:vertAlign w:val="superscript"/>
              </w:rPr>
              <w:t>(4)</w:t>
            </w:r>
          </w:p>
        </w:tc>
        <w:tc>
          <w:tcPr>
            <w:tcW w:w="2240" w:type="dxa"/>
            <w:vAlign w:val="bottom"/>
            <w:tcBorders>
              <w:top w:val="single" w:sz="8" w:color="D1CDCA"/>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D1CDCA"/>
              <w:bottom w:val="single" w:sz="8" w:color="D1CDCA"/>
            </w:tcBorders>
          </w:tcPr>
          <w:p>
            <w:pPr>
              <w:jc w:val="right"/>
              <w:ind w:right="148"/>
              <w:spacing w:after="0"/>
              <w:rPr>
                <w:sz w:val="20"/>
                <w:szCs w:val="20"/>
                <w:color w:val="auto"/>
              </w:rPr>
            </w:pPr>
            <w:r>
              <w:rPr>
                <w:rFonts w:ascii="Arial" w:cs="Arial" w:eastAsia="Arial" w:hAnsi="Arial"/>
                <w:sz w:val="14"/>
                <w:szCs w:val="14"/>
                <w:color w:val="auto"/>
              </w:rPr>
              <w:t>91,500</w:t>
            </w:r>
          </w:p>
        </w:tc>
        <w:tc>
          <w:tcPr>
            <w:tcW w:w="1080" w:type="dxa"/>
            <w:vAlign w:val="bottom"/>
            <w:tcBorders>
              <w:top w:val="single" w:sz="8" w:color="D1CDCA"/>
              <w:bottom w:val="single" w:sz="8" w:color="D1CDCA"/>
            </w:tcBorders>
          </w:tcPr>
          <w:p>
            <w:pPr>
              <w:jc w:val="right"/>
              <w:ind w:right="188"/>
              <w:spacing w:after="0"/>
              <w:rPr>
                <w:sz w:val="20"/>
                <w:szCs w:val="20"/>
                <w:color w:val="auto"/>
              </w:rPr>
            </w:pPr>
            <w:r>
              <w:rPr>
                <w:rFonts w:ascii="Arial" w:cs="Arial" w:eastAsia="Arial" w:hAnsi="Arial"/>
                <w:sz w:val="14"/>
                <w:szCs w:val="14"/>
                <w:color w:val="auto"/>
              </w:rPr>
              <w:t>$249,955</w:t>
            </w:r>
          </w:p>
        </w:tc>
        <w:tc>
          <w:tcPr>
            <w:tcW w:w="1100" w:type="dxa"/>
            <w:vAlign w:val="bottom"/>
            <w:tcBorders>
              <w:top w:val="single" w:sz="8" w:color="D1CDCA"/>
              <w:bottom w:val="single" w:sz="8" w:color="D1CDCA"/>
            </w:tcBorders>
          </w:tcPr>
          <w:p>
            <w:pPr>
              <w:jc w:val="right"/>
              <w:ind w:right="16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D1CDCA"/>
              <w:bottom w:val="single" w:sz="8" w:color="D1CDCA"/>
            </w:tcBorders>
            <w:gridSpan w:val="2"/>
          </w:tcPr>
          <w:p>
            <w:pPr>
              <w:jc w:val="right"/>
              <w:ind w:right="208"/>
              <w:spacing w:after="0"/>
              <w:rPr>
                <w:sz w:val="20"/>
                <w:szCs w:val="20"/>
                <w:color w:val="auto"/>
              </w:rPr>
            </w:pPr>
            <w:r>
              <w:rPr>
                <w:rFonts w:ascii="Arial" w:cs="Arial" w:eastAsia="Arial" w:hAnsi="Arial"/>
                <w:sz w:val="14"/>
                <w:szCs w:val="14"/>
                <w:color w:val="auto"/>
              </w:rPr>
              <w:t>$10,559</w:t>
            </w:r>
          </w:p>
        </w:tc>
        <w:tc>
          <w:tcPr>
            <w:tcW w:w="1160" w:type="dxa"/>
            <w:vAlign w:val="bottom"/>
            <w:tcBorders>
              <w:top w:val="single" w:sz="8" w:color="D1CDCA"/>
              <w:bottom w:val="single" w:sz="8" w:color="D1CDCA"/>
            </w:tcBorders>
          </w:tcPr>
          <w:p>
            <w:pPr>
              <w:jc w:val="right"/>
              <w:ind w:right="228"/>
              <w:spacing w:after="0"/>
              <w:rPr>
                <w:sz w:val="20"/>
                <w:szCs w:val="20"/>
                <w:color w:val="auto"/>
              </w:rPr>
            </w:pPr>
            <w:r>
              <w:rPr>
                <w:rFonts w:ascii="Arial" w:cs="Arial" w:eastAsia="Arial" w:hAnsi="Arial"/>
                <w:sz w:val="14"/>
                <w:szCs w:val="14"/>
                <w:color w:val="auto"/>
              </w:rPr>
              <w:t>$352,014</w:t>
            </w:r>
          </w:p>
        </w:tc>
        <w:tc>
          <w:tcPr>
            <w:tcW w:w="0" w:type="dxa"/>
            <w:vAlign w:val="bottom"/>
          </w:tcPr>
          <w:p>
            <w:pPr>
              <w:spacing w:after="0"/>
              <w:rPr>
                <w:sz w:val="1"/>
                <w:szCs w:val="1"/>
                <w:color w:val="auto"/>
              </w:rPr>
            </w:pPr>
          </w:p>
        </w:tc>
      </w:tr>
      <w:tr>
        <w:trPr>
          <w:trHeight w:val="255"/>
        </w:trPr>
        <w:tc>
          <w:tcPr>
            <w:tcW w:w="304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Jay L. Johnson</w:t>
            </w:r>
          </w:p>
        </w:tc>
        <w:tc>
          <w:tcPr>
            <w:tcW w:w="224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7F7E5"/>
            </w:tcBorders>
            <w:shd w:val="clear" w:color="auto" w:fill="F7F7E5"/>
          </w:tcPr>
          <w:p>
            <w:pPr>
              <w:jc w:val="right"/>
              <w:ind w:right="148"/>
              <w:spacing w:after="0"/>
              <w:rPr>
                <w:sz w:val="20"/>
                <w:szCs w:val="20"/>
                <w:color w:val="auto"/>
              </w:rPr>
            </w:pPr>
            <w:r>
              <w:rPr>
                <w:rFonts w:ascii="Arial" w:cs="Arial" w:eastAsia="Arial" w:hAnsi="Arial"/>
                <w:sz w:val="14"/>
                <w:szCs w:val="14"/>
                <w:color w:val="auto"/>
              </w:rPr>
              <w:t>97,500</w:t>
            </w:r>
          </w:p>
        </w:tc>
        <w:tc>
          <w:tcPr>
            <w:tcW w:w="1080" w:type="dxa"/>
            <w:vAlign w:val="bottom"/>
            <w:tcBorders>
              <w:bottom w:val="single" w:sz="8" w:color="F7F7E5"/>
            </w:tcBorders>
            <w:shd w:val="clear" w:color="auto" w:fill="F7F7E5"/>
          </w:tcPr>
          <w:p>
            <w:pPr>
              <w:jc w:val="right"/>
              <w:ind w:right="188"/>
              <w:spacing w:after="0"/>
              <w:rPr>
                <w:sz w:val="20"/>
                <w:szCs w:val="20"/>
                <w:color w:val="auto"/>
              </w:rPr>
            </w:pPr>
            <w:r>
              <w:rPr>
                <w:rFonts w:ascii="Arial" w:cs="Arial" w:eastAsia="Arial" w:hAnsi="Arial"/>
                <w:sz w:val="14"/>
                <w:szCs w:val="14"/>
                <w:color w:val="auto"/>
              </w:rPr>
              <w:t>$249,955</w:t>
            </w:r>
          </w:p>
        </w:tc>
        <w:tc>
          <w:tcPr>
            <w:tcW w:w="1100" w:type="dxa"/>
            <w:vAlign w:val="bottom"/>
            <w:tcBorders>
              <w:bottom w:val="single" w:sz="8" w:color="F7F7E5"/>
            </w:tcBorders>
            <w:shd w:val="clear" w:color="auto" w:fill="F7F7E5"/>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F7F7E5"/>
            </w:tcBorders>
            <w:shd w:val="clear" w:color="auto" w:fill="F7F7E5"/>
          </w:tcPr>
          <w:p>
            <w:pPr>
              <w:jc w:val="right"/>
              <w:ind w:right="208"/>
              <w:spacing w:after="0"/>
              <w:rPr>
                <w:sz w:val="20"/>
                <w:szCs w:val="20"/>
                <w:color w:val="auto"/>
              </w:rPr>
            </w:pPr>
            <w:r>
              <w:rPr>
                <w:rFonts w:ascii="Arial" w:cs="Arial" w:eastAsia="Arial" w:hAnsi="Arial"/>
                <w:sz w:val="14"/>
                <w:szCs w:val="14"/>
                <w:color w:val="auto"/>
              </w:rPr>
              <w:t>3,228</w:t>
            </w:r>
          </w:p>
        </w:tc>
        <w:tc>
          <w:tcPr>
            <w:tcW w:w="1160" w:type="dxa"/>
            <w:vAlign w:val="bottom"/>
            <w:tcBorders>
              <w:bottom w:val="single" w:sz="8" w:color="F7F7E5"/>
            </w:tcBorders>
            <w:shd w:val="clear" w:color="auto" w:fill="F7F7E5"/>
          </w:tcPr>
          <w:p>
            <w:pPr>
              <w:jc w:val="right"/>
              <w:ind w:right="228"/>
              <w:spacing w:after="0"/>
              <w:rPr>
                <w:sz w:val="20"/>
                <w:szCs w:val="20"/>
                <w:color w:val="auto"/>
              </w:rPr>
            </w:pPr>
            <w:r>
              <w:rPr>
                <w:rFonts w:ascii="Arial" w:cs="Arial" w:eastAsia="Arial" w:hAnsi="Arial"/>
                <w:sz w:val="14"/>
                <w:szCs w:val="14"/>
                <w:color w:val="auto"/>
              </w:rPr>
              <w:t>$350,683</w:t>
            </w:r>
          </w:p>
        </w:tc>
        <w:tc>
          <w:tcPr>
            <w:tcW w:w="0" w:type="dxa"/>
            <w:vAlign w:val="bottom"/>
          </w:tcPr>
          <w:p>
            <w:pPr>
              <w:spacing w:after="0"/>
              <w:rPr>
                <w:sz w:val="1"/>
                <w:szCs w:val="1"/>
                <w:color w:val="auto"/>
              </w:rPr>
            </w:pPr>
          </w:p>
        </w:tc>
      </w:tr>
      <w:tr>
        <w:trPr>
          <w:trHeight w:val="250"/>
        </w:trPr>
        <w:tc>
          <w:tcPr>
            <w:tcW w:w="3040" w:type="dxa"/>
            <w:vAlign w:val="bottom"/>
            <w:tcBorders>
              <w:top w:val="single" w:sz="8" w:color="D1CDCA"/>
              <w:bottom w:val="single" w:sz="8" w:color="D1CDCA"/>
            </w:tcBorders>
          </w:tcPr>
          <w:p>
            <w:pPr>
              <w:ind w:left="60"/>
              <w:spacing w:after="0" w:line="250" w:lineRule="exact"/>
              <w:rPr>
                <w:sz w:val="20"/>
                <w:szCs w:val="20"/>
                <w:color w:val="auto"/>
              </w:rPr>
            </w:pPr>
            <w:r>
              <w:rPr>
                <w:rFonts w:ascii="Arial" w:cs="Arial" w:eastAsia="Arial" w:hAnsi="Arial"/>
                <w:sz w:val="14"/>
                <w:szCs w:val="14"/>
                <w:color w:val="auto"/>
              </w:rPr>
              <w:t xml:space="preserve">Robert J. Miller </w:t>
            </w:r>
            <w:r>
              <w:rPr>
                <w:rFonts w:ascii="Arial" w:cs="Arial" w:eastAsia="Arial" w:hAnsi="Arial"/>
                <w:sz w:val="24"/>
                <w:szCs w:val="24"/>
                <w:color w:val="auto"/>
                <w:vertAlign w:val="superscript"/>
              </w:rPr>
              <w:t>(5)</w:t>
            </w:r>
          </w:p>
        </w:tc>
        <w:tc>
          <w:tcPr>
            <w:tcW w:w="2940" w:type="dxa"/>
            <w:vAlign w:val="bottom"/>
            <w:tcBorders>
              <w:top w:val="single" w:sz="8" w:color="D1CDCA"/>
              <w:bottom w:val="single" w:sz="8" w:color="D1CDCA"/>
            </w:tcBorders>
            <w:gridSpan w:val="2"/>
          </w:tcPr>
          <w:p>
            <w:pPr>
              <w:jc w:val="right"/>
              <w:ind w:right="148"/>
              <w:spacing w:after="0"/>
              <w:rPr>
                <w:sz w:val="20"/>
                <w:szCs w:val="20"/>
                <w:color w:val="auto"/>
              </w:rPr>
            </w:pPr>
            <w:r>
              <w:rPr>
                <w:rFonts w:ascii="Arial" w:cs="Arial" w:eastAsia="Arial" w:hAnsi="Arial"/>
                <w:sz w:val="14"/>
                <w:szCs w:val="14"/>
                <w:color w:val="auto"/>
              </w:rPr>
              <w:t>$252,000</w:t>
            </w:r>
          </w:p>
        </w:tc>
        <w:tc>
          <w:tcPr>
            <w:tcW w:w="1080" w:type="dxa"/>
            <w:vAlign w:val="bottom"/>
            <w:tcBorders>
              <w:top w:val="single" w:sz="8" w:color="D1CDCA"/>
              <w:bottom w:val="single" w:sz="8" w:color="D1CDCA"/>
            </w:tcBorders>
          </w:tcPr>
          <w:p>
            <w:pPr>
              <w:jc w:val="right"/>
              <w:ind w:right="188"/>
              <w:spacing w:after="0"/>
              <w:rPr>
                <w:sz w:val="20"/>
                <w:szCs w:val="20"/>
                <w:color w:val="auto"/>
              </w:rPr>
            </w:pPr>
            <w:r>
              <w:rPr>
                <w:rFonts w:ascii="Arial" w:cs="Arial" w:eastAsia="Arial" w:hAnsi="Arial"/>
                <w:sz w:val="14"/>
                <w:szCs w:val="14"/>
                <w:color w:val="auto"/>
              </w:rPr>
              <w:t>$249,955</w:t>
            </w:r>
          </w:p>
        </w:tc>
        <w:tc>
          <w:tcPr>
            <w:tcW w:w="1100" w:type="dxa"/>
            <w:vAlign w:val="bottom"/>
            <w:tcBorders>
              <w:top w:val="single" w:sz="8" w:color="D1CDCA"/>
              <w:bottom w:val="single" w:sz="8" w:color="D1CDCA"/>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D1CDCA"/>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D1CDCA"/>
              <w:bottom w:val="single" w:sz="8" w:color="D1CDCA"/>
            </w:tcBorders>
          </w:tcPr>
          <w:p>
            <w:pPr>
              <w:jc w:val="right"/>
              <w:ind w:right="208"/>
              <w:spacing w:after="0"/>
              <w:rPr>
                <w:sz w:val="20"/>
                <w:szCs w:val="20"/>
                <w:color w:val="auto"/>
              </w:rPr>
            </w:pPr>
            <w:r>
              <w:rPr>
                <w:rFonts w:ascii="Arial" w:cs="Arial" w:eastAsia="Arial" w:hAnsi="Arial"/>
                <w:sz w:val="14"/>
                <w:szCs w:val="14"/>
                <w:color w:val="auto"/>
              </w:rPr>
              <w:t>9,584</w:t>
            </w:r>
          </w:p>
        </w:tc>
        <w:tc>
          <w:tcPr>
            <w:tcW w:w="1160" w:type="dxa"/>
            <w:vAlign w:val="bottom"/>
            <w:tcBorders>
              <w:top w:val="single" w:sz="8" w:color="D1CDCA"/>
              <w:bottom w:val="single" w:sz="8" w:color="D1CDCA"/>
            </w:tcBorders>
          </w:tcPr>
          <w:p>
            <w:pPr>
              <w:jc w:val="right"/>
              <w:ind w:right="228"/>
              <w:spacing w:after="0"/>
              <w:rPr>
                <w:sz w:val="20"/>
                <w:szCs w:val="20"/>
                <w:color w:val="auto"/>
              </w:rPr>
            </w:pPr>
            <w:r>
              <w:rPr>
                <w:rFonts w:ascii="Arial" w:cs="Arial" w:eastAsia="Arial" w:hAnsi="Arial"/>
                <w:sz w:val="14"/>
                <w:szCs w:val="14"/>
                <w:color w:val="auto"/>
              </w:rPr>
              <w:t>$511,539</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D1CDCA"/>
            </w:tcBorders>
            <w:shd w:val="clear" w:color="auto" w:fill="F7F7E5"/>
          </w:tcPr>
          <w:p>
            <w:pPr>
              <w:ind w:left="60"/>
              <w:spacing w:after="0" w:line="250" w:lineRule="exact"/>
              <w:rPr>
                <w:sz w:val="20"/>
                <w:szCs w:val="20"/>
                <w:color w:val="auto"/>
              </w:rPr>
            </w:pPr>
            <w:r>
              <w:rPr>
                <w:rFonts w:ascii="Arial" w:cs="Arial" w:eastAsia="Arial" w:hAnsi="Arial"/>
                <w:sz w:val="14"/>
                <w:szCs w:val="14"/>
                <w:color w:val="auto"/>
              </w:rPr>
              <w:t xml:space="preserve">Patricia Mulroy </w:t>
            </w:r>
            <w:r>
              <w:rPr>
                <w:rFonts w:ascii="Arial" w:cs="Arial" w:eastAsia="Arial" w:hAnsi="Arial"/>
                <w:sz w:val="24"/>
                <w:szCs w:val="24"/>
                <w:color w:val="auto"/>
                <w:vertAlign w:val="superscript"/>
              </w:rPr>
              <w:t>(6)</w:t>
            </w:r>
          </w:p>
        </w:tc>
        <w:tc>
          <w:tcPr>
            <w:tcW w:w="2940" w:type="dxa"/>
            <w:vAlign w:val="bottom"/>
            <w:tcBorders>
              <w:bottom w:val="single" w:sz="8" w:color="D1CDCA"/>
            </w:tcBorders>
            <w:gridSpan w:val="2"/>
            <w:shd w:val="clear" w:color="auto" w:fill="F7F7E5"/>
          </w:tcPr>
          <w:p>
            <w:pPr>
              <w:jc w:val="right"/>
              <w:ind w:right="148"/>
              <w:spacing w:after="0"/>
              <w:rPr>
                <w:sz w:val="20"/>
                <w:szCs w:val="20"/>
                <w:color w:val="auto"/>
              </w:rPr>
            </w:pPr>
            <w:r>
              <w:rPr>
                <w:rFonts w:ascii="Arial" w:cs="Arial" w:eastAsia="Arial" w:hAnsi="Arial"/>
                <w:sz w:val="14"/>
                <w:szCs w:val="14"/>
                <w:color w:val="auto"/>
              </w:rPr>
              <w:t>$119,065</w:t>
            </w:r>
          </w:p>
        </w:tc>
        <w:tc>
          <w:tcPr>
            <w:tcW w:w="1080" w:type="dxa"/>
            <w:vAlign w:val="bottom"/>
            <w:tcBorders>
              <w:bottom w:val="single" w:sz="8" w:color="D1CDCA"/>
            </w:tcBorders>
            <w:shd w:val="clear" w:color="auto" w:fill="F7F7E5"/>
          </w:tcPr>
          <w:p>
            <w:pPr>
              <w:jc w:val="right"/>
              <w:ind w:right="188"/>
              <w:spacing w:after="0"/>
              <w:rPr>
                <w:sz w:val="20"/>
                <w:szCs w:val="20"/>
                <w:color w:val="auto"/>
              </w:rPr>
            </w:pPr>
            <w:r>
              <w:rPr>
                <w:rFonts w:ascii="Arial" w:cs="Arial" w:eastAsia="Arial" w:hAnsi="Arial"/>
                <w:sz w:val="14"/>
                <w:szCs w:val="14"/>
                <w:color w:val="auto"/>
              </w:rPr>
              <w:t>$249,955</w:t>
            </w:r>
          </w:p>
        </w:tc>
        <w:tc>
          <w:tcPr>
            <w:tcW w:w="1100" w:type="dxa"/>
            <w:vAlign w:val="bottom"/>
            <w:tcBorders>
              <w:bottom w:val="single" w:sz="8" w:color="D1CDCA"/>
            </w:tcBorders>
            <w:shd w:val="clear" w:color="auto" w:fill="F7F7E5"/>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1CDCA"/>
            </w:tcBorders>
            <w:shd w:val="clear" w:color="auto" w:fill="F7F7E5"/>
          </w:tcPr>
          <w:p>
            <w:pPr>
              <w:jc w:val="right"/>
              <w:ind w:right="208"/>
              <w:spacing w:after="0"/>
              <w:rPr>
                <w:sz w:val="20"/>
                <w:szCs w:val="20"/>
                <w:color w:val="auto"/>
              </w:rPr>
            </w:pPr>
            <w:r>
              <w:rPr>
                <w:rFonts w:ascii="Arial" w:cs="Arial" w:eastAsia="Arial" w:hAnsi="Arial"/>
                <w:sz w:val="14"/>
                <w:szCs w:val="14"/>
                <w:color w:val="auto"/>
              </w:rPr>
              <w:t>4,160</w:t>
            </w:r>
          </w:p>
        </w:tc>
        <w:tc>
          <w:tcPr>
            <w:tcW w:w="1160" w:type="dxa"/>
            <w:vAlign w:val="bottom"/>
            <w:tcBorders>
              <w:bottom w:val="single" w:sz="8" w:color="D1CDCA"/>
            </w:tcBorders>
            <w:shd w:val="clear" w:color="auto" w:fill="F7F7E5"/>
          </w:tcPr>
          <w:p>
            <w:pPr>
              <w:jc w:val="right"/>
              <w:ind w:right="228"/>
              <w:spacing w:after="0"/>
              <w:rPr>
                <w:sz w:val="20"/>
                <w:szCs w:val="20"/>
                <w:color w:val="auto"/>
              </w:rPr>
            </w:pPr>
            <w:r>
              <w:rPr>
                <w:rFonts w:ascii="Arial" w:cs="Arial" w:eastAsia="Arial" w:hAnsi="Arial"/>
                <w:sz w:val="14"/>
                <w:szCs w:val="14"/>
                <w:color w:val="auto"/>
              </w:rPr>
              <w:t>$373,180</w:t>
            </w:r>
          </w:p>
        </w:tc>
        <w:tc>
          <w:tcPr>
            <w:tcW w:w="0" w:type="dxa"/>
            <w:vAlign w:val="bottom"/>
          </w:tcPr>
          <w:p>
            <w:pPr>
              <w:spacing w:after="0"/>
              <w:rPr>
                <w:sz w:val="1"/>
                <w:szCs w:val="1"/>
                <w:color w:val="auto"/>
              </w:rPr>
            </w:pPr>
          </w:p>
        </w:tc>
      </w:tr>
      <w:tr>
        <w:trPr>
          <w:trHeight w:val="211"/>
        </w:trPr>
        <w:tc>
          <w:tcPr>
            <w:tcW w:w="3040" w:type="dxa"/>
            <w:vAlign w:val="bottom"/>
          </w:tcPr>
          <w:p>
            <w:pPr>
              <w:ind w:left="60"/>
              <w:spacing w:after="0"/>
              <w:rPr>
                <w:sz w:val="20"/>
                <w:szCs w:val="20"/>
                <w:color w:val="auto"/>
              </w:rPr>
            </w:pPr>
            <w:r>
              <w:rPr>
                <w:rFonts w:ascii="Arial" w:cs="Arial" w:eastAsia="Arial" w:hAnsi="Arial"/>
                <w:sz w:val="14"/>
                <w:szCs w:val="14"/>
                <w:color w:val="auto"/>
              </w:rPr>
              <w:t>Clark T. Randt, Jr.</w:t>
            </w:r>
          </w:p>
        </w:tc>
        <w:tc>
          <w:tcPr>
            <w:tcW w:w="22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72,000</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$249,955</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4,160</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$326,115</w:t>
            </w:r>
          </w:p>
        </w:tc>
        <w:tc>
          <w:tcPr>
            <w:tcW w:w="0" w:type="dxa"/>
            <w:vAlign w:val="bottom"/>
          </w:tcPr>
          <w:p>
            <w:pPr>
              <w:spacing w:after="0"/>
              <w:rPr>
                <w:sz w:val="1"/>
                <w:szCs w:val="1"/>
                <w:color w:val="auto"/>
              </w:rPr>
            </w:pPr>
          </w:p>
        </w:tc>
      </w:tr>
      <w:tr>
        <w:trPr>
          <w:trHeight w:val="39"/>
        </w:trPr>
        <w:tc>
          <w:tcPr>
            <w:tcW w:w="3040" w:type="dxa"/>
            <w:vAlign w:val="bottom"/>
            <w:tcBorders>
              <w:bottom w:val="single" w:sz="8" w:color="D1CDCA"/>
            </w:tcBorders>
          </w:tcPr>
          <w:p>
            <w:pPr>
              <w:spacing w:after="0"/>
              <w:rPr>
                <w:sz w:val="3"/>
                <w:szCs w:val="3"/>
                <w:color w:val="auto"/>
              </w:rPr>
            </w:pPr>
          </w:p>
        </w:tc>
        <w:tc>
          <w:tcPr>
            <w:tcW w:w="2940" w:type="dxa"/>
            <w:vAlign w:val="bottom"/>
            <w:tcBorders>
              <w:bottom w:val="single" w:sz="8" w:color="D1CDCA"/>
            </w:tcBorders>
            <w:gridSpan w:val="2"/>
          </w:tcPr>
          <w:p>
            <w:pPr>
              <w:spacing w:after="0"/>
              <w:rPr>
                <w:sz w:val="3"/>
                <w:szCs w:val="3"/>
                <w:color w:val="auto"/>
              </w:rPr>
            </w:pPr>
          </w:p>
        </w:tc>
        <w:tc>
          <w:tcPr>
            <w:tcW w:w="1080" w:type="dxa"/>
            <w:vAlign w:val="bottom"/>
            <w:tcBorders>
              <w:bottom w:val="single" w:sz="8" w:color="D1CDCA"/>
            </w:tcBorders>
          </w:tcPr>
          <w:p>
            <w:pPr>
              <w:spacing w:after="0"/>
              <w:rPr>
                <w:sz w:val="3"/>
                <w:szCs w:val="3"/>
                <w:color w:val="auto"/>
              </w:rPr>
            </w:pPr>
          </w:p>
        </w:tc>
        <w:tc>
          <w:tcPr>
            <w:tcW w:w="1100" w:type="dxa"/>
            <w:vAlign w:val="bottom"/>
            <w:tcBorders>
              <w:bottom w:val="single" w:sz="8" w:color="D1CDCA"/>
            </w:tcBorders>
          </w:tcPr>
          <w:p>
            <w:pPr>
              <w:spacing w:after="0"/>
              <w:rPr>
                <w:sz w:val="3"/>
                <w:szCs w:val="3"/>
                <w:color w:val="auto"/>
              </w:rPr>
            </w:pPr>
          </w:p>
        </w:tc>
        <w:tc>
          <w:tcPr>
            <w:tcW w:w="1700" w:type="dxa"/>
            <w:vAlign w:val="bottom"/>
            <w:tcBorders>
              <w:bottom w:val="single" w:sz="8" w:color="D1CDCA"/>
            </w:tcBorders>
            <w:gridSpan w:val="2"/>
          </w:tcPr>
          <w:p>
            <w:pPr>
              <w:spacing w:after="0"/>
              <w:rPr>
                <w:sz w:val="3"/>
                <w:szCs w:val="3"/>
                <w:color w:val="auto"/>
              </w:rPr>
            </w:pPr>
          </w:p>
        </w:tc>
        <w:tc>
          <w:tcPr>
            <w:tcW w:w="1160" w:type="dxa"/>
            <w:vAlign w:val="bottom"/>
            <w:tcBorders>
              <w:bottom w:val="single" w:sz="8" w:color="D1CDCA"/>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Alvin V. Shoemaker</w:t>
            </w:r>
          </w:p>
        </w:tc>
        <w:tc>
          <w:tcPr>
            <w:tcW w:w="2940" w:type="dxa"/>
            <w:vAlign w:val="bottom"/>
            <w:tcBorders>
              <w:bottom w:val="single" w:sz="8" w:color="F7F7E5"/>
            </w:tcBorders>
            <w:gridSpan w:val="2"/>
            <w:shd w:val="clear" w:color="auto" w:fill="F7F7E5"/>
          </w:tcPr>
          <w:p>
            <w:pPr>
              <w:jc w:val="right"/>
              <w:ind w:right="148"/>
              <w:spacing w:after="0"/>
              <w:rPr>
                <w:sz w:val="20"/>
                <w:szCs w:val="20"/>
                <w:color w:val="auto"/>
              </w:rPr>
            </w:pPr>
            <w:r>
              <w:rPr>
                <w:rFonts w:ascii="Arial" w:cs="Arial" w:eastAsia="Arial" w:hAnsi="Arial"/>
                <w:sz w:val="14"/>
                <w:szCs w:val="14"/>
                <w:color w:val="auto"/>
              </w:rPr>
              <w:t>$123,000</w:t>
            </w:r>
          </w:p>
        </w:tc>
        <w:tc>
          <w:tcPr>
            <w:tcW w:w="1080" w:type="dxa"/>
            <w:vAlign w:val="bottom"/>
            <w:tcBorders>
              <w:bottom w:val="single" w:sz="8" w:color="F7F7E5"/>
            </w:tcBorders>
            <w:shd w:val="clear" w:color="auto" w:fill="F7F7E5"/>
          </w:tcPr>
          <w:p>
            <w:pPr>
              <w:jc w:val="right"/>
              <w:ind w:right="188"/>
              <w:spacing w:after="0"/>
              <w:rPr>
                <w:sz w:val="20"/>
                <w:szCs w:val="20"/>
                <w:color w:val="auto"/>
              </w:rPr>
            </w:pPr>
            <w:r>
              <w:rPr>
                <w:rFonts w:ascii="Arial" w:cs="Arial" w:eastAsia="Arial" w:hAnsi="Arial"/>
                <w:sz w:val="14"/>
                <w:szCs w:val="14"/>
                <w:color w:val="auto"/>
              </w:rPr>
              <w:t>$249,955</w:t>
            </w:r>
          </w:p>
        </w:tc>
        <w:tc>
          <w:tcPr>
            <w:tcW w:w="1100" w:type="dxa"/>
            <w:vAlign w:val="bottom"/>
            <w:tcBorders>
              <w:bottom w:val="single" w:sz="8" w:color="F7F7E5"/>
            </w:tcBorders>
            <w:shd w:val="clear" w:color="auto" w:fill="F7F7E5"/>
          </w:tcPr>
          <w:p>
            <w:pPr>
              <w:jc w:val="right"/>
              <w:ind w:right="1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F7F7E5"/>
            </w:tcBorders>
            <w:gridSpan w:val="2"/>
            <w:shd w:val="clear" w:color="auto" w:fill="F7F7E5"/>
          </w:tcPr>
          <w:p>
            <w:pPr>
              <w:jc w:val="right"/>
              <w:ind w:right="208"/>
              <w:spacing w:after="0"/>
              <w:rPr>
                <w:sz w:val="20"/>
                <w:szCs w:val="20"/>
                <w:color w:val="auto"/>
              </w:rPr>
            </w:pPr>
            <w:r>
              <w:rPr>
                <w:rFonts w:ascii="Arial" w:cs="Arial" w:eastAsia="Arial" w:hAnsi="Arial"/>
                <w:sz w:val="14"/>
                <w:szCs w:val="14"/>
                <w:color w:val="auto"/>
              </w:rPr>
              <w:t>$10,509</w:t>
            </w:r>
          </w:p>
        </w:tc>
        <w:tc>
          <w:tcPr>
            <w:tcW w:w="1160" w:type="dxa"/>
            <w:vAlign w:val="bottom"/>
            <w:tcBorders>
              <w:bottom w:val="single" w:sz="8" w:color="F7F7E5"/>
            </w:tcBorders>
            <w:shd w:val="clear" w:color="auto" w:fill="F7F7E5"/>
          </w:tcPr>
          <w:p>
            <w:pPr>
              <w:jc w:val="right"/>
              <w:ind w:right="228"/>
              <w:spacing w:after="0"/>
              <w:rPr>
                <w:sz w:val="20"/>
                <w:szCs w:val="20"/>
                <w:color w:val="auto"/>
              </w:rPr>
            </w:pPr>
            <w:r>
              <w:rPr>
                <w:rFonts w:ascii="Arial" w:cs="Arial" w:eastAsia="Arial" w:hAnsi="Arial"/>
                <w:sz w:val="14"/>
                <w:szCs w:val="14"/>
                <w:color w:val="auto"/>
              </w:rPr>
              <w:t>$383,464</w:t>
            </w:r>
          </w:p>
        </w:tc>
        <w:tc>
          <w:tcPr>
            <w:tcW w:w="0" w:type="dxa"/>
            <w:vAlign w:val="bottom"/>
          </w:tcPr>
          <w:p>
            <w:pPr>
              <w:spacing w:after="0"/>
              <w:rPr>
                <w:sz w:val="1"/>
                <w:szCs w:val="1"/>
                <w:color w:val="auto"/>
              </w:rPr>
            </w:pPr>
          </w:p>
        </w:tc>
      </w:tr>
      <w:tr>
        <w:trPr>
          <w:trHeight w:val="250"/>
        </w:trPr>
        <w:tc>
          <w:tcPr>
            <w:tcW w:w="3040" w:type="dxa"/>
            <w:vAlign w:val="bottom"/>
            <w:tcBorders>
              <w:top w:val="single" w:sz="8" w:color="D1CDCA"/>
              <w:bottom w:val="single" w:sz="8" w:color="D1CDCA"/>
            </w:tcBorders>
          </w:tcPr>
          <w:p>
            <w:pPr>
              <w:ind w:left="60"/>
              <w:spacing w:after="0" w:line="250" w:lineRule="exact"/>
              <w:rPr>
                <w:sz w:val="20"/>
                <w:szCs w:val="20"/>
                <w:color w:val="auto"/>
              </w:rPr>
            </w:pPr>
            <w:r>
              <w:rPr>
                <w:rFonts w:ascii="Arial" w:cs="Arial" w:eastAsia="Arial" w:hAnsi="Arial"/>
                <w:sz w:val="14"/>
                <w:szCs w:val="14"/>
                <w:color w:val="auto"/>
              </w:rPr>
              <w:t xml:space="preserve">J. Edward Virtue </w:t>
            </w:r>
            <w:r>
              <w:rPr>
                <w:rFonts w:ascii="Arial" w:cs="Arial" w:eastAsia="Arial" w:hAnsi="Arial"/>
                <w:sz w:val="24"/>
                <w:szCs w:val="24"/>
                <w:color w:val="auto"/>
                <w:vertAlign w:val="superscript"/>
              </w:rPr>
              <w:t>(7)</w:t>
            </w:r>
          </w:p>
        </w:tc>
        <w:tc>
          <w:tcPr>
            <w:tcW w:w="2940" w:type="dxa"/>
            <w:vAlign w:val="bottom"/>
            <w:tcBorders>
              <w:top w:val="single" w:sz="8" w:color="D1CDCA"/>
              <w:bottom w:val="single" w:sz="8" w:color="D1CDCA"/>
            </w:tcBorders>
            <w:gridSpan w:val="2"/>
          </w:tcPr>
          <w:p>
            <w:pPr>
              <w:jc w:val="right"/>
              <w:ind w:right="148"/>
              <w:spacing w:after="0"/>
              <w:rPr>
                <w:sz w:val="20"/>
                <w:szCs w:val="20"/>
                <w:color w:val="auto"/>
              </w:rPr>
            </w:pPr>
            <w:r>
              <w:rPr>
                <w:rFonts w:ascii="Arial" w:cs="Arial" w:eastAsia="Arial" w:hAnsi="Arial"/>
                <w:sz w:val="14"/>
                <w:szCs w:val="14"/>
                <w:color w:val="auto"/>
              </w:rPr>
              <w:t>$124,500</w:t>
            </w:r>
          </w:p>
        </w:tc>
        <w:tc>
          <w:tcPr>
            <w:tcW w:w="1080" w:type="dxa"/>
            <w:vAlign w:val="bottom"/>
            <w:tcBorders>
              <w:top w:val="single" w:sz="8" w:color="D1CDCA"/>
              <w:bottom w:val="single" w:sz="8" w:color="D1CDCA"/>
            </w:tcBorders>
          </w:tcPr>
          <w:p>
            <w:pPr>
              <w:jc w:val="right"/>
              <w:ind w:right="188"/>
              <w:spacing w:after="0"/>
              <w:rPr>
                <w:sz w:val="20"/>
                <w:szCs w:val="20"/>
                <w:color w:val="auto"/>
              </w:rPr>
            </w:pPr>
            <w:r>
              <w:rPr>
                <w:rFonts w:ascii="Arial" w:cs="Arial" w:eastAsia="Arial" w:hAnsi="Arial"/>
                <w:sz w:val="14"/>
                <w:szCs w:val="14"/>
                <w:color w:val="auto"/>
              </w:rPr>
              <w:t>$249,955</w:t>
            </w:r>
          </w:p>
        </w:tc>
        <w:tc>
          <w:tcPr>
            <w:tcW w:w="1100" w:type="dxa"/>
            <w:vAlign w:val="bottom"/>
            <w:tcBorders>
              <w:top w:val="single" w:sz="8" w:color="D1CDCA"/>
              <w:bottom w:val="single" w:sz="8" w:color="D1CDCA"/>
            </w:tcBorders>
          </w:tcPr>
          <w:p>
            <w:pPr>
              <w:jc w:val="right"/>
              <w:ind w:right="16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D1CDCA"/>
              <w:bottom w:val="single" w:sz="8" w:color="D1CDCA"/>
            </w:tcBorders>
            <w:gridSpan w:val="2"/>
          </w:tcPr>
          <w:p>
            <w:pPr>
              <w:jc w:val="right"/>
              <w:ind w:right="208"/>
              <w:spacing w:after="0"/>
              <w:rPr>
                <w:sz w:val="20"/>
                <w:szCs w:val="20"/>
                <w:color w:val="auto"/>
              </w:rPr>
            </w:pPr>
            <w:r>
              <w:rPr>
                <w:rFonts w:ascii="Arial" w:cs="Arial" w:eastAsia="Arial" w:hAnsi="Arial"/>
                <w:sz w:val="14"/>
                <w:szCs w:val="14"/>
                <w:color w:val="auto"/>
              </w:rPr>
              <w:t>$11,223</w:t>
            </w:r>
          </w:p>
        </w:tc>
        <w:tc>
          <w:tcPr>
            <w:tcW w:w="1160" w:type="dxa"/>
            <w:vAlign w:val="bottom"/>
            <w:tcBorders>
              <w:top w:val="single" w:sz="8" w:color="D1CDCA"/>
              <w:bottom w:val="single" w:sz="8" w:color="D1CDCA"/>
            </w:tcBorders>
          </w:tcPr>
          <w:p>
            <w:pPr>
              <w:jc w:val="right"/>
              <w:ind w:right="228"/>
              <w:spacing w:after="0"/>
              <w:rPr>
                <w:sz w:val="20"/>
                <w:szCs w:val="20"/>
                <w:color w:val="auto"/>
              </w:rPr>
            </w:pPr>
            <w:r>
              <w:rPr>
                <w:rFonts w:ascii="Arial" w:cs="Arial" w:eastAsia="Arial" w:hAnsi="Arial"/>
                <w:sz w:val="14"/>
                <w:szCs w:val="14"/>
                <w:color w:val="auto"/>
              </w:rPr>
              <w:t>$385,678</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D. Boone Wayson</w:t>
            </w:r>
          </w:p>
        </w:tc>
        <w:tc>
          <w:tcPr>
            <w:tcW w:w="2940" w:type="dxa"/>
            <w:vAlign w:val="bottom"/>
            <w:tcBorders>
              <w:bottom w:val="single" w:sz="8" w:color="F7F7E5"/>
            </w:tcBorders>
            <w:gridSpan w:val="2"/>
            <w:shd w:val="clear" w:color="auto" w:fill="F7F7E5"/>
          </w:tcPr>
          <w:p>
            <w:pPr>
              <w:jc w:val="right"/>
              <w:ind w:right="148"/>
              <w:spacing w:after="0"/>
              <w:rPr>
                <w:sz w:val="20"/>
                <w:szCs w:val="20"/>
                <w:color w:val="auto"/>
              </w:rPr>
            </w:pPr>
            <w:r>
              <w:rPr>
                <w:rFonts w:ascii="Arial" w:cs="Arial" w:eastAsia="Arial" w:hAnsi="Arial"/>
                <w:sz w:val="14"/>
                <w:szCs w:val="14"/>
                <w:color w:val="auto"/>
              </w:rPr>
              <w:t>$120,000</w:t>
            </w:r>
          </w:p>
        </w:tc>
        <w:tc>
          <w:tcPr>
            <w:tcW w:w="1080" w:type="dxa"/>
            <w:vAlign w:val="bottom"/>
            <w:tcBorders>
              <w:bottom w:val="single" w:sz="8" w:color="F7F7E5"/>
            </w:tcBorders>
            <w:shd w:val="clear" w:color="auto" w:fill="F7F7E5"/>
          </w:tcPr>
          <w:p>
            <w:pPr>
              <w:jc w:val="right"/>
              <w:ind w:right="188"/>
              <w:spacing w:after="0"/>
              <w:rPr>
                <w:sz w:val="20"/>
                <w:szCs w:val="20"/>
                <w:color w:val="auto"/>
              </w:rPr>
            </w:pPr>
            <w:r>
              <w:rPr>
                <w:rFonts w:ascii="Arial" w:cs="Arial" w:eastAsia="Arial" w:hAnsi="Arial"/>
                <w:sz w:val="14"/>
                <w:szCs w:val="14"/>
                <w:color w:val="auto"/>
              </w:rPr>
              <w:t>$249,955</w:t>
            </w:r>
          </w:p>
        </w:tc>
        <w:tc>
          <w:tcPr>
            <w:tcW w:w="1100" w:type="dxa"/>
            <w:vAlign w:val="bottom"/>
            <w:tcBorders>
              <w:bottom w:val="single" w:sz="8" w:color="F7F7E5"/>
            </w:tcBorders>
            <w:shd w:val="clear" w:color="auto" w:fill="F7F7E5"/>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F7F7E5"/>
            </w:tcBorders>
            <w:shd w:val="clear" w:color="auto" w:fill="F7F7E5"/>
          </w:tcPr>
          <w:p>
            <w:pPr>
              <w:jc w:val="right"/>
              <w:ind w:right="208"/>
              <w:spacing w:after="0"/>
              <w:rPr>
                <w:sz w:val="20"/>
                <w:szCs w:val="20"/>
                <w:color w:val="auto"/>
              </w:rPr>
            </w:pPr>
            <w:r>
              <w:rPr>
                <w:rFonts w:ascii="Arial" w:cs="Arial" w:eastAsia="Arial" w:hAnsi="Arial"/>
                <w:sz w:val="14"/>
                <w:szCs w:val="14"/>
                <w:color w:val="auto"/>
              </w:rPr>
              <w:t>9,584</w:t>
            </w:r>
          </w:p>
        </w:tc>
        <w:tc>
          <w:tcPr>
            <w:tcW w:w="1160" w:type="dxa"/>
            <w:vAlign w:val="bottom"/>
            <w:tcBorders>
              <w:bottom w:val="single" w:sz="8" w:color="F7F7E5"/>
            </w:tcBorders>
            <w:shd w:val="clear" w:color="auto" w:fill="F7F7E5"/>
          </w:tcPr>
          <w:p>
            <w:pPr>
              <w:jc w:val="right"/>
              <w:ind w:right="228"/>
              <w:spacing w:after="0"/>
              <w:rPr>
                <w:sz w:val="20"/>
                <w:szCs w:val="20"/>
                <w:color w:val="auto"/>
              </w:rPr>
            </w:pPr>
            <w:r>
              <w:rPr>
                <w:rFonts w:ascii="Arial" w:cs="Arial" w:eastAsia="Arial" w:hAnsi="Arial"/>
                <w:sz w:val="14"/>
                <w:szCs w:val="14"/>
                <w:color w:val="auto"/>
              </w:rPr>
              <w:t>$379,539</w:t>
            </w:r>
          </w:p>
        </w:tc>
        <w:tc>
          <w:tcPr>
            <w:tcW w:w="0" w:type="dxa"/>
            <w:vAlign w:val="bottom"/>
          </w:tcPr>
          <w:p>
            <w:pPr>
              <w:spacing w:after="0"/>
              <w:rPr>
                <w:sz w:val="1"/>
                <w:szCs w:val="1"/>
                <w:color w:val="auto"/>
              </w:rPr>
            </w:pPr>
          </w:p>
        </w:tc>
      </w:tr>
      <w:tr>
        <w:trPr>
          <w:trHeight w:val="20"/>
        </w:trPr>
        <w:tc>
          <w:tcPr>
            <w:tcW w:w="3040" w:type="dxa"/>
            <w:vAlign w:val="bottom"/>
            <w:shd w:val="clear" w:color="auto" w:fill="D1CDCA"/>
          </w:tcPr>
          <w:p>
            <w:pPr>
              <w:spacing w:after="0" w:line="20" w:lineRule="exact"/>
              <w:rPr>
                <w:sz w:val="1"/>
                <w:szCs w:val="1"/>
                <w:color w:val="auto"/>
              </w:rPr>
            </w:pPr>
          </w:p>
        </w:tc>
        <w:tc>
          <w:tcPr>
            <w:tcW w:w="2240" w:type="dxa"/>
            <w:vAlign w:val="bottom"/>
            <w:shd w:val="clear" w:color="auto" w:fill="D1CDCA"/>
          </w:tcPr>
          <w:p>
            <w:pPr>
              <w:spacing w:after="0" w:line="20" w:lineRule="exact"/>
              <w:rPr>
                <w:sz w:val="1"/>
                <w:szCs w:val="1"/>
                <w:color w:val="auto"/>
              </w:rPr>
            </w:pPr>
          </w:p>
        </w:tc>
        <w:tc>
          <w:tcPr>
            <w:tcW w:w="700" w:type="dxa"/>
            <w:vAlign w:val="bottom"/>
            <w:shd w:val="clear" w:color="auto" w:fill="D1CDCA"/>
          </w:tcPr>
          <w:p>
            <w:pPr>
              <w:spacing w:after="0" w:line="20" w:lineRule="exact"/>
              <w:rPr>
                <w:sz w:val="1"/>
                <w:szCs w:val="1"/>
                <w:color w:val="auto"/>
              </w:rPr>
            </w:pPr>
          </w:p>
        </w:tc>
        <w:tc>
          <w:tcPr>
            <w:tcW w:w="1080" w:type="dxa"/>
            <w:vAlign w:val="bottom"/>
            <w:shd w:val="clear" w:color="auto" w:fill="D1CDCA"/>
          </w:tcPr>
          <w:p>
            <w:pPr>
              <w:spacing w:after="0" w:line="20" w:lineRule="exact"/>
              <w:rPr>
                <w:sz w:val="1"/>
                <w:szCs w:val="1"/>
                <w:color w:val="auto"/>
              </w:rPr>
            </w:pPr>
          </w:p>
        </w:tc>
        <w:tc>
          <w:tcPr>
            <w:tcW w:w="1100" w:type="dxa"/>
            <w:vAlign w:val="bottom"/>
            <w:shd w:val="clear" w:color="auto" w:fill="D1CDCA"/>
          </w:tcPr>
          <w:p>
            <w:pPr>
              <w:spacing w:after="0" w:line="20" w:lineRule="exact"/>
              <w:rPr>
                <w:sz w:val="1"/>
                <w:szCs w:val="1"/>
                <w:color w:val="auto"/>
              </w:rPr>
            </w:pPr>
          </w:p>
        </w:tc>
        <w:tc>
          <w:tcPr>
            <w:tcW w:w="1020" w:type="dxa"/>
            <w:vAlign w:val="bottom"/>
            <w:shd w:val="clear" w:color="auto" w:fill="D1CDCA"/>
          </w:tcPr>
          <w:p>
            <w:pPr>
              <w:spacing w:after="0" w:line="20" w:lineRule="exact"/>
              <w:rPr>
                <w:sz w:val="1"/>
                <w:szCs w:val="1"/>
                <w:color w:val="auto"/>
              </w:rPr>
            </w:pPr>
          </w:p>
        </w:tc>
        <w:tc>
          <w:tcPr>
            <w:tcW w:w="680" w:type="dxa"/>
            <w:vAlign w:val="bottom"/>
            <w:shd w:val="clear" w:color="auto" w:fill="D1CDCA"/>
          </w:tcPr>
          <w:p>
            <w:pPr>
              <w:spacing w:after="0" w:line="20" w:lineRule="exact"/>
              <w:rPr>
                <w:sz w:val="1"/>
                <w:szCs w:val="1"/>
                <w:color w:val="auto"/>
              </w:rPr>
            </w:pPr>
          </w:p>
        </w:tc>
        <w:tc>
          <w:tcPr>
            <w:tcW w:w="1160" w:type="dxa"/>
            <w:vAlign w:val="bottom"/>
            <w:shd w:val="clear" w:color="auto" w:fill="D1CDC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360" w:right="240" w:hanging="148"/>
        <w:spacing w:after="0" w:line="238" w:lineRule="auto"/>
        <w:rPr>
          <w:sz w:val="20"/>
          <w:szCs w:val="20"/>
          <w:color w:val="auto"/>
        </w:rPr>
      </w:pPr>
      <w:r>
        <w:rPr>
          <w:rFonts w:ascii="Arial" w:cs="Arial" w:eastAsia="Arial" w:hAnsi="Arial"/>
          <w:sz w:val="12"/>
          <w:szCs w:val="12"/>
          <w:color w:val="auto"/>
        </w:rPr>
        <w:t>(1)</w:t>
      </w:r>
      <w:r>
        <w:rPr>
          <w:rFonts w:ascii="Arial" w:cs="Arial" w:eastAsia="Arial" w:hAnsi="Arial"/>
          <w:sz w:val="14"/>
          <w:szCs w:val="14"/>
          <w:color w:val="auto"/>
        </w:rPr>
        <w:t>The amounts set forth in this column reflect the aggregate grant date fair value of 2,152 restricted stock awards granted to each non-employee director on April 20, 2017. The aggregate</w:t>
      </w:r>
      <w:r>
        <w:rPr>
          <w:rFonts w:ascii="Arial" w:cs="Arial" w:eastAsia="Arial" w:hAnsi="Arial"/>
          <w:sz w:val="12"/>
          <w:szCs w:val="12"/>
          <w:color w:val="auto"/>
        </w:rPr>
        <w:t xml:space="preserve"> </w:t>
      </w:r>
      <w:r>
        <w:rPr>
          <w:rFonts w:ascii="Arial" w:cs="Arial" w:eastAsia="Arial" w:hAnsi="Arial"/>
          <w:sz w:val="14"/>
          <w:szCs w:val="14"/>
          <w:color w:val="auto"/>
        </w:rPr>
        <w:t>number of unvested stock awards held by each director at December 31, 2017 is as follows: Dr. Irani, Governor Miller, Messrs. Hagenbuch, Shoemaker, Virtue and Wayson, 5,048 each; Ms. Mulroy and Ambassador Randt, 4,072 each; and Admiral Johnson, 2,152.</w:t>
      </w:r>
    </w:p>
    <w:p>
      <w:pPr>
        <w:spacing w:after="0" w:line="34" w:lineRule="exact"/>
        <w:rPr>
          <w:sz w:val="20"/>
          <w:szCs w:val="20"/>
          <w:color w:val="auto"/>
        </w:rPr>
      </w:pPr>
    </w:p>
    <w:p>
      <w:pPr>
        <w:ind w:left="360" w:right="300" w:hanging="148"/>
        <w:spacing w:after="0" w:line="238" w:lineRule="auto"/>
        <w:rPr>
          <w:sz w:val="20"/>
          <w:szCs w:val="20"/>
          <w:color w:val="auto"/>
        </w:rPr>
      </w:pPr>
      <w:r>
        <w:rPr>
          <w:rFonts w:ascii="Arial" w:cs="Arial" w:eastAsia="Arial" w:hAnsi="Arial"/>
          <w:sz w:val="12"/>
          <w:szCs w:val="12"/>
          <w:color w:val="auto"/>
        </w:rPr>
        <w:t>(2)</w:t>
      </w:r>
      <w:r>
        <w:rPr>
          <w:rFonts w:ascii="Arial" w:cs="Arial" w:eastAsia="Arial" w:hAnsi="Arial"/>
          <w:sz w:val="14"/>
          <w:szCs w:val="14"/>
          <w:color w:val="auto"/>
        </w:rPr>
        <w:t>The aggregate number of outstanding option awards held by each director at December 31, 2017, is as follows: Dr. Irani, Governor Miller and Mr. Wayson 36,890 (35,815 vested 1,075</w:t>
      </w:r>
      <w:r>
        <w:rPr>
          <w:rFonts w:ascii="Arial" w:cs="Arial" w:eastAsia="Arial" w:hAnsi="Arial"/>
          <w:sz w:val="12"/>
          <w:szCs w:val="12"/>
          <w:color w:val="auto"/>
        </w:rPr>
        <w:t xml:space="preserve"> </w:t>
      </w:r>
      <w:r>
        <w:rPr>
          <w:rFonts w:ascii="Arial" w:cs="Arial" w:eastAsia="Arial" w:hAnsi="Arial"/>
          <w:sz w:val="14"/>
          <w:szCs w:val="14"/>
          <w:color w:val="auto"/>
        </w:rPr>
        <w:t>unvested) each; Mr. Shoemaker 21,890 (20,815 vested and 1,075 unvested); Mr. Hagenbuch and Mr. Virtue 20,600 (19,525 vested and 1,075 unvested) each; Admiral Johnson 10,000 vested; Ambassador Randt 7,000 vested and Ms. Mulroy 6,700 vested.</w:t>
      </w:r>
    </w:p>
    <w:p>
      <w:pPr>
        <w:spacing w:after="0" w:line="34" w:lineRule="exact"/>
        <w:rPr>
          <w:sz w:val="20"/>
          <w:szCs w:val="20"/>
          <w:color w:val="auto"/>
        </w:rPr>
      </w:pPr>
    </w:p>
    <w:p>
      <w:pPr>
        <w:ind w:left="360" w:right="60" w:hanging="148"/>
        <w:spacing w:after="0" w:line="253" w:lineRule="auto"/>
        <w:rPr>
          <w:sz w:val="20"/>
          <w:szCs w:val="20"/>
          <w:color w:val="auto"/>
        </w:rPr>
      </w:pPr>
      <w:r>
        <w:rPr>
          <w:rFonts w:ascii="Arial" w:cs="Arial" w:eastAsia="Arial" w:hAnsi="Arial"/>
          <w:sz w:val="12"/>
          <w:szCs w:val="12"/>
          <w:color w:val="auto"/>
        </w:rPr>
        <w:t>(3)</w:t>
      </w:r>
      <w:r>
        <w:rPr>
          <w:rFonts w:ascii="Arial" w:cs="Arial" w:eastAsia="Arial" w:hAnsi="Arial"/>
          <w:sz w:val="14"/>
          <w:szCs w:val="14"/>
          <w:color w:val="auto"/>
        </w:rPr>
        <w:t>“All Other Compensation” consists entirely of cash dividends accrued on unvested stock for each director other than Dr. Irani, Mr. Shoemaker and Mr. Virtue, which is paid if and when the</w:t>
      </w:r>
      <w:r>
        <w:rPr>
          <w:rFonts w:ascii="Arial" w:cs="Arial" w:eastAsia="Arial" w:hAnsi="Arial"/>
          <w:sz w:val="12"/>
          <w:szCs w:val="12"/>
          <w:color w:val="auto"/>
        </w:rPr>
        <w:t xml:space="preserve"> </w:t>
      </w:r>
      <w:r>
        <w:rPr>
          <w:rFonts w:ascii="Arial" w:cs="Arial" w:eastAsia="Arial" w:hAnsi="Arial"/>
          <w:sz w:val="14"/>
          <w:szCs w:val="14"/>
          <w:color w:val="auto"/>
        </w:rPr>
        <w:t>stock vests.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amounts are included in “All Other Compensation” for Dr. Irani: (i) personal use of aircraft of $975; and (ii) accrued cash dividends on unvested restricted stock of $9,584.</w:t>
      </w:r>
    </w:p>
    <w:p>
      <w:pPr>
        <w:spacing w:after="0" w:line="53" w:lineRule="exact"/>
        <w:rPr>
          <w:sz w:val="20"/>
          <w:szCs w:val="20"/>
          <w:color w:val="auto"/>
        </w:rPr>
      </w:pPr>
    </w:p>
    <w:p>
      <w:pPr>
        <w:ind w:left="320" w:right="280"/>
        <w:spacing w:after="0" w:line="253" w:lineRule="auto"/>
        <w:rPr>
          <w:sz w:val="20"/>
          <w:szCs w:val="20"/>
          <w:color w:val="auto"/>
        </w:rPr>
      </w:pPr>
      <w:r>
        <w:rPr>
          <w:rFonts w:ascii="Arial" w:cs="Arial" w:eastAsia="Arial" w:hAnsi="Arial"/>
          <w:sz w:val="14"/>
          <w:szCs w:val="14"/>
          <w:color w:val="auto"/>
        </w:rPr>
        <w:t>The following amounts are included in “All Other Compensation” for Mr. Shoemaker: (i) personal use of aircraft of $925; and (ii) accrued cash dividends on unvested restricted stock of $9,584.</w:t>
      </w:r>
    </w:p>
    <w:p>
      <w:pPr>
        <w:spacing w:after="0" w:line="12" w:lineRule="exact"/>
        <w:rPr>
          <w:sz w:val="20"/>
          <w:szCs w:val="20"/>
          <w:color w:val="auto"/>
        </w:rPr>
      </w:pPr>
    </w:p>
    <w:p>
      <w:pPr>
        <w:ind w:left="320" w:right="460"/>
        <w:spacing w:after="0" w:line="253" w:lineRule="auto"/>
        <w:rPr>
          <w:sz w:val="20"/>
          <w:szCs w:val="20"/>
          <w:color w:val="auto"/>
        </w:rPr>
      </w:pPr>
      <w:r>
        <w:rPr>
          <w:rFonts w:ascii="Arial" w:cs="Arial" w:eastAsia="Arial" w:hAnsi="Arial"/>
          <w:sz w:val="14"/>
          <w:szCs w:val="14"/>
          <w:color w:val="auto"/>
        </w:rPr>
        <w:t>The following amounts are included in “All Other Compensation” for Mr. Virtue: (i) personal use of aircraft of $1,639; and (ii) accrued cash dividends on unvested restricted stock of $9,584.</w:t>
      </w:r>
    </w:p>
    <w:p>
      <w:pPr>
        <w:spacing w:after="0" w:line="25" w:lineRule="exact"/>
        <w:rPr>
          <w:sz w:val="20"/>
          <w:szCs w:val="20"/>
          <w:color w:val="auto"/>
        </w:rPr>
      </w:pPr>
    </w:p>
    <w:p>
      <w:pPr>
        <w:ind w:left="400" w:hanging="196"/>
        <w:spacing w:after="0"/>
        <w:tabs>
          <w:tab w:leader="none" w:pos="400" w:val="left"/>
        </w:tabs>
        <w:numPr>
          <w:ilvl w:val="0"/>
          <w:numId w:val="52"/>
        </w:numPr>
        <w:rPr>
          <w:rFonts w:ascii="Arial" w:cs="Arial" w:eastAsia="Arial" w:hAnsi="Arial"/>
          <w:sz w:val="12"/>
          <w:szCs w:val="12"/>
          <w:color w:val="auto"/>
        </w:rPr>
      </w:pPr>
      <w:r>
        <w:rPr>
          <w:rFonts w:ascii="Arial" w:cs="Arial" w:eastAsia="Arial" w:hAnsi="Arial"/>
          <w:sz w:val="14"/>
          <w:szCs w:val="14"/>
          <w:color w:val="auto"/>
        </w:rPr>
        <w:t>Dr. Irani resigned from the Board on March 5, 2018.</w:t>
      </w:r>
    </w:p>
    <w:p>
      <w:pPr>
        <w:spacing w:after="0" w:line="55" w:lineRule="exact"/>
        <w:rPr>
          <w:sz w:val="20"/>
          <w:szCs w:val="20"/>
          <w:color w:val="auto"/>
        </w:rPr>
      </w:pPr>
    </w:p>
    <w:p>
      <w:pPr>
        <w:ind w:left="360" w:right="280" w:hanging="148"/>
        <w:spacing w:after="0" w:line="253" w:lineRule="auto"/>
        <w:rPr>
          <w:sz w:val="20"/>
          <w:szCs w:val="20"/>
          <w:color w:val="auto"/>
        </w:rPr>
      </w:pPr>
      <w:r>
        <w:rPr>
          <w:rFonts w:ascii="Arial" w:cs="Arial" w:eastAsia="Arial" w:hAnsi="Arial"/>
          <w:sz w:val="12"/>
          <w:szCs w:val="12"/>
          <w:color w:val="auto"/>
        </w:rPr>
        <w:t>(5)</w:t>
      </w:r>
      <w:r>
        <w:rPr>
          <w:rFonts w:ascii="Arial" w:cs="Arial" w:eastAsia="Arial" w:hAnsi="Arial"/>
          <w:sz w:val="14"/>
          <w:szCs w:val="14"/>
          <w:color w:val="auto"/>
        </w:rPr>
        <w:t>Governor Miller, as a member of the Board, received a $70,000 annual retainer for his service as the Chairman of the Company’s Corporate Compliance Committee and the Company’s</w:t>
      </w:r>
      <w:r>
        <w:rPr>
          <w:rFonts w:ascii="Arial" w:cs="Arial" w:eastAsia="Arial" w:hAnsi="Arial"/>
          <w:sz w:val="12"/>
          <w:szCs w:val="12"/>
          <w:color w:val="auto"/>
        </w:rPr>
        <w:t xml:space="preserve"> </w:t>
      </w:r>
      <w:r>
        <w:rPr>
          <w:rFonts w:ascii="Arial" w:cs="Arial" w:eastAsia="Arial" w:hAnsi="Arial"/>
          <w:sz w:val="14"/>
          <w:szCs w:val="14"/>
          <w:color w:val="auto"/>
        </w:rPr>
        <w:t>Compliance Director and a $50,000 annual retainer as the Lead Independent Director.</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(6)</w:t>
      </w:r>
      <w:r>
        <w:rPr>
          <w:rFonts w:ascii="Arial" w:cs="Arial" w:eastAsia="Arial" w:hAnsi="Arial"/>
          <w:sz w:val="13"/>
          <w:szCs w:val="13"/>
          <w:color w:val="auto"/>
        </w:rPr>
        <w:t>Ms. Mulroy, as a member of the Board, received a $25,000 annual retainer for her service as the non-employee director member of the Company’s Corporate Compliance Committee.</w:t>
      </w:r>
    </w:p>
    <w:p>
      <w:pPr>
        <w:spacing w:after="0" w:line="67" w:lineRule="exact"/>
        <w:rPr>
          <w:sz w:val="20"/>
          <w:szCs w:val="20"/>
          <w:color w:val="auto"/>
        </w:rPr>
      </w:pPr>
    </w:p>
    <w:p>
      <w:pPr>
        <w:ind w:left="400" w:hanging="196"/>
        <w:spacing w:after="0"/>
        <w:tabs>
          <w:tab w:leader="none" w:pos="400" w:val="left"/>
        </w:tabs>
        <w:numPr>
          <w:ilvl w:val="0"/>
          <w:numId w:val="53"/>
        </w:numPr>
        <w:rPr>
          <w:rFonts w:ascii="Arial" w:cs="Arial" w:eastAsia="Arial" w:hAnsi="Arial"/>
          <w:sz w:val="12"/>
          <w:szCs w:val="12"/>
          <w:color w:val="auto"/>
        </w:rPr>
      </w:pPr>
      <w:r>
        <w:rPr>
          <w:rFonts w:ascii="Arial" w:cs="Arial" w:eastAsia="Arial" w:hAnsi="Arial"/>
          <w:sz w:val="14"/>
          <w:szCs w:val="14"/>
          <w:color w:val="auto"/>
        </w:rPr>
        <w:t>Mr. Virtue will not stand for re-election at the expiration of his term at the Company’s 2018 Annual Meeting.</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CERTAIN LEGAL PROCEEDINGS</w:t>
      </w:r>
    </w:p>
    <w:p>
      <w:pPr>
        <w:spacing w:after="0" w:line="124"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auto"/>
        </w:rPr>
        <w:t>A number of shareholder derivative actions have been filed purportedly on behalf of the Company in state and federal court located in Clark County, Nevada against certain current and former members of the Company’s Board of Directors and, in some cases, the Company’s management. Each of the complaints alleges, among other things, breach of fiduciary duties in failing to detect, prevent and remedy alleged inappropriate personal conduct by Mr. Wynn in the workplace. Specifically, (i) on February 6, 2018, Norfolk County Retirement System filed a shareholder derivative action against certain current and former members of the Company’s Board of Directors and the Company’s General Counsel, which was voluntarily dismissed on February 21, 2018; (ii) on February 15, 2018, Operating Engineers Construction Industry and Miscellaneous Pension Fund filed a shareholder derivative action against certain current and former members of the Company’s Board of Directors; (iii) on February 15, 2018, Boynton Beach Municipal Firefighters’ Pension Trust Fund and the Firemen’s Retirement System of St. Louis filed a shareholder derivative action against certain current and former members of the Company’s Board of Directors and the Company’s General Counsel; (iv) on February 22, 2018, Thomas P. DiNapoli, Comptroller of the State of New York, as Administrative Head of the New York State and Local Retirement System and trustee of the New York State Common Retirement Fund, filed a shareholder derivative action against certain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9" w:lineRule="exact"/>
        <w:rPr>
          <w:sz w:val="20"/>
          <w:szCs w:val="20"/>
          <w:color w:val="auto"/>
        </w:rPr>
      </w:pPr>
    </w:p>
    <w:p>
      <w:pPr>
        <w:ind w:left="8860"/>
        <w:spacing w:after="0"/>
        <w:tabs>
          <w:tab w:leader="none" w:pos="10840" w:val="left"/>
          <w:tab w:leader="none" w:pos="110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16</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OUR BOARD AND CORPORATE GOVERNANCE</w:t>
      </w:r>
    </w:p>
    <w:p>
      <w:pPr>
        <w:spacing w:after="0" w:line="178"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 xml:space="preserve">and former members of the Company’s Board of Directors and the Company’s General Counsel; (v) on February 22, 2018, Erste-Sparinvest Kapitalanlagegesellschaft M.B.H. filed a shareholder derivative action against certain current and former members of the Company’s Board of Directors and the Company’s General Counsel; (vi) on March 6, 2018, the State of Oregon filed a shareholder derivative action against certain current and former members of the Company’s Board of Directors and the Company’s General Counsel; and (vii) on March 15, 2018, Insulators and Asbestos Workers Local No. 14 Pension and Health and Welfare Funds filed a shareholder derivative action against certain current and former members of the Company’s Board of Directors and the Company’s Chief Executive Officer and General Counsel. The actions filed in the United States District Court District of Nevada have been consolidated as </w:t>
      </w:r>
      <w:r>
        <w:rPr>
          <w:rFonts w:ascii="Arial" w:cs="Arial" w:eastAsia="Arial" w:hAnsi="Arial"/>
          <w:sz w:val="16"/>
          <w:szCs w:val="16"/>
          <w:i w:val="1"/>
          <w:iCs w:val="1"/>
          <w:color w:val="auto"/>
        </w:rPr>
        <w:t>In re Wynn Resorts, Ltd. Derivative Litigation</w:t>
      </w:r>
      <w:r>
        <w:rPr>
          <w:rFonts w:ascii="Arial" w:cs="Arial" w:eastAsia="Arial" w:hAnsi="Arial"/>
          <w:sz w:val="16"/>
          <w:szCs w:val="16"/>
          <w:color w:val="auto"/>
        </w:rPr>
        <w:t>, which also claim corporate waste and violation of Section 14(a) of the Exchange Act. Each of the actions seeks to recover for the Company unspecified damages, including restitution and disgorgement of profits, and also seeks to recover attorneys’ fees, costs and related expenses for the plaintiff. Additional demands have been made to the Company that it commence similar actions and additional lawsuits may be filed in the future.</w:t>
      </w:r>
    </w:p>
    <w:p>
      <w:pPr>
        <w:spacing w:after="0" w:line="206" w:lineRule="exact"/>
        <w:rPr>
          <w:sz w:val="20"/>
          <w:szCs w:val="20"/>
          <w:color w:val="auto"/>
        </w:rPr>
      </w:pPr>
    </w:p>
    <w:p>
      <w:pPr>
        <w:ind w:left="200" w:right="440"/>
        <w:spacing w:after="0" w:line="260" w:lineRule="auto"/>
        <w:rPr>
          <w:sz w:val="20"/>
          <w:szCs w:val="20"/>
          <w:color w:val="auto"/>
        </w:rPr>
      </w:pPr>
      <w:r>
        <w:rPr>
          <w:rFonts w:ascii="Arial" w:cs="Arial" w:eastAsia="Arial" w:hAnsi="Arial"/>
          <w:sz w:val="16"/>
          <w:szCs w:val="16"/>
          <w:color w:val="auto"/>
        </w:rPr>
        <w:t>These actions are in preliminary stages and the Company has determined that based on proceedings to date, it is currently unable to determine the probability of the outcome of these actions or the range of reasonably possible loss,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97155</wp:posOffset>
            </wp:positionV>
            <wp:extent cx="6997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200025</wp:posOffset>
            </wp:positionV>
            <wp:extent cx="608965"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00"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17</w:t>
        <w:tab/>
        <w:t>|</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89445" cy="8027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89445" cy="802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right="2840"/>
        <w:spacing w:after="0" w:line="281" w:lineRule="auto"/>
        <w:rPr>
          <w:sz w:val="20"/>
          <w:szCs w:val="20"/>
          <w:color w:val="auto"/>
        </w:rPr>
      </w:pPr>
      <w:r>
        <w:rPr>
          <w:rFonts w:ascii="Arial" w:cs="Arial" w:eastAsia="Arial" w:hAnsi="Arial"/>
          <w:sz w:val="41"/>
          <w:szCs w:val="41"/>
          <w:b w:val="1"/>
          <w:bCs w:val="1"/>
          <w:color w:val="665B4F"/>
        </w:rPr>
        <w:t>OUR PEOPLE AND OUR STEWARDSHIP</w:t>
      </w:r>
    </w:p>
    <w:p>
      <w:pPr>
        <w:spacing w:after="0" w:line="254"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INTRODUCTION</w:t>
      </w:r>
    </w:p>
    <w:p>
      <w:pPr>
        <w:spacing w:after="0" w:line="124"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In this section we will tell you about:</w:t>
      </w:r>
    </w:p>
    <w:p>
      <w:pPr>
        <w:spacing w:after="0" w:line="127" w:lineRule="exact"/>
        <w:rPr>
          <w:sz w:val="20"/>
          <w:szCs w:val="20"/>
          <w:color w:val="auto"/>
        </w:rPr>
      </w:pPr>
    </w:p>
    <w:p>
      <w:pPr>
        <w:ind w:left="3940" w:hanging="212"/>
        <w:spacing w:after="0"/>
        <w:tabs>
          <w:tab w:leader="none" w:pos="3940" w:val="left"/>
        </w:tabs>
        <w:numPr>
          <w:ilvl w:val="0"/>
          <w:numId w:val="54"/>
        </w:numPr>
        <w:rPr>
          <w:rFonts w:ascii="Arial" w:cs="Arial" w:eastAsia="Arial" w:hAnsi="Arial"/>
          <w:sz w:val="16"/>
          <w:szCs w:val="16"/>
          <w:color w:val="665B4F"/>
        </w:rPr>
      </w:pPr>
      <w:r>
        <w:rPr>
          <w:rFonts w:ascii="Arial" w:cs="Arial" w:eastAsia="Arial" w:hAnsi="Arial"/>
          <w:sz w:val="16"/>
          <w:szCs w:val="16"/>
          <w:color w:val="auto"/>
        </w:rPr>
        <w:t>Our People</w:t>
      </w:r>
    </w:p>
    <w:p>
      <w:pPr>
        <w:spacing w:after="0" w:line="140" w:lineRule="exact"/>
        <w:rPr>
          <w:rFonts w:ascii="Arial" w:cs="Arial" w:eastAsia="Arial" w:hAnsi="Arial"/>
          <w:sz w:val="16"/>
          <w:szCs w:val="16"/>
          <w:color w:val="665B4F"/>
        </w:rPr>
      </w:pPr>
    </w:p>
    <w:p>
      <w:pPr>
        <w:ind w:left="390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Exceptional Employee Benefits</w:t>
      </w:r>
    </w:p>
    <w:p>
      <w:pPr>
        <w:spacing w:after="0" w:line="126" w:lineRule="exact"/>
        <w:rPr>
          <w:rFonts w:ascii="Arial" w:cs="Arial" w:eastAsia="Arial" w:hAnsi="Arial"/>
          <w:sz w:val="16"/>
          <w:szCs w:val="16"/>
          <w:color w:val="665B4F"/>
        </w:rPr>
      </w:pPr>
    </w:p>
    <w:p>
      <w:pPr>
        <w:ind w:left="390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Employee Training, Talent Management</w:t>
      </w:r>
    </w:p>
    <w:p>
      <w:pPr>
        <w:spacing w:after="0" w:line="126" w:lineRule="exact"/>
        <w:rPr>
          <w:rFonts w:ascii="Arial" w:cs="Arial" w:eastAsia="Arial" w:hAnsi="Arial"/>
          <w:sz w:val="16"/>
          <w:szCs w:val="16"/>
          <w:color w:val="665B4F"/>
        </w:rPr>
      </w:pPr>
    </w:p>
    <w:p>
      <w:pPr>
        <w:ind w:left="390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Employee Retention and Satisfaction</w:t>
      </w:r>
    </w:p>
    <w:p>
      <w:pPr>
        <w:spacing w:after="0" w:line="126" w:lineRule="exact"/>
        <w:rPr>
          <w:rFonts w:ascii="Arial" w:cs="Arial" w:eastAsia="Arial" w:hAnsi="Arial"/>
          <w:sz w:val="16"/>
          <w:szCs w:val="16"/>
          <w:color w:val="665B4F"/>
        </w:rPr>
      </w:pPr>
    </w:p>
    <w:p>
      <w:pPr>
        <w:ind w:left="390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Employee and Supply Chain Diversity and Inclusion</w:t>
      </w:r>
    </w:p>
    <w:p>
      <w:pPr>
        <w:spacing w:after="0" w:line="126" w:lineRule="exact"/>
        <w:rPr>
          <w:rFonts w:ascii="Arial" w:cs="Arial" w:eastAsia="Arial" w:hAnsi="Arial"/>
          <w:sz w:val="16"/>
          <w:szCs w:val="16"/>
          <w:color w:val="665B4F"/>
        </w:rPr>
      </w:pPr>
    </w:p>
    <w:p>
      <w:pPr>
        <w:ind w:left="390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Exceptional Employees</w:t>
      </w:r>
    </w:p>
    <w:p>
      <w:pPr>
        <w:spacing w:after="0" w:line="126" w:lineRule="exact"/>
        <w:rPr>
          <w:rFonts w:ascii="Arial" w:cs="Arial" w:eastAsia="Arial" w:hAnsi="Arial"/>
          <w:sz w:val="16"/>
          <w:szCs w:val="16"/>
          <w:color w:val="665B4F"/>
        </w:rPr>
      </w:pPr>
    </w:p>
    <w:p>
      <w:pPr>
        <w:ind w:left="3940" w:hanging="212"/>
        <w:spacing w:after="0"/>
        <w:tabs>
          <w:tab w:leader="none" w:pos="3940" w:val="left"/>
        </w:tabs>
        <w:numPr>
          <w:ilvl w:val="0"/>
          <w:numId w:val="54"/>
        </w:numPr>
        <w:rPr>
          <w:rFonts w:ascii="Arial" w:cs="Arial" w:eastAsia="Arial" w:hAnsi="Arial"/>
          <w:sz w:val="16"/>
          <w:szCs w:val="16"/>
          <w:color w:val="665B4F"/>
        </w:rPr>
      </w:pPr>
      <w:r>
        <w:rPr>
          <w:rFonts w:ascii="Arial" w:cs="Arial" w:eastAsia="Arial" w:hAnsi="Arial"/>
          <w:sz w:val="16"/>
          <w:szCs w:val="16"/>
          <w:color w:val="auto"/>
        </w:rPr>
        <w:t>Our Communities</w:t>
      </w:r>
    </w:p>
    <w:p>
      <w:pPr>
        <w:spacing w:after="0" w:line="140" w:lineRule="exact"/>
        <w:rPr>
          <w:rFonts w:ascii="Arial" w:cs="Arial" w:eastAsia="Arial" w:hAnsi="Arial"/>
          <w:sz w:val="16"/>
          <w:szCs w:val="16"/>
          <w:color w:val="665B4F"/>
        </w:rPr>
      </w:pPr>
    </w:p>
    <w:p>
      <w:pPr>
        <w:ind w:left="3940" w:hanging="212"/>
        <w:spacing w:after="0"/>
        <w:tabs>
          <w:tab w:leader="none" w:pos="3940" w:val="left"/>
        </w:tabs>
        <w:numPr>
          <w:ilvl w:val="0"/>
          <w:numId w:val="54"/>
        </w:numPr>
        <w:rPr>
          <w:rFonts w:ascii="Arial" w:cs="Arial" w:eastAsia="Arial" w:hAnsi="Arial"/>
          <w:sz w:val="16"/>
          <w:szCs w:val="16"/>
          <w:color w:val="665B4F"/>
        </w:rPr>
      </w:pPr>
      <w:r>
        <w:rPr>
          <w:rFonts w:ascii="Arial" w:cs="Arial" w:eastAsia="Arial" w:hAnsi="Arial"/>
          <w:sz w:val="16"/>
          <w:szCs w:val="16"/>
          <w:color w:val="auto"/>
        </w:rPr>
        <w:t>Our Planet</w:t>
      </w:r>
    </w:p>
    <w:p>
      <w:pPr>
        <w:spacing w:after="0" w:line="235" w:lineRule="exact"/>
        <w:rPr>
          <w:sz w:val="20"/>
          <w:szCs w:val="20"/>
          <w:color w:val="auto"/>
        </w:rPr>
      </w:pPr>
    </w:p>
    <w:p>
      <w:pPr>
        <w:ind w:left="3620" w:right="60"/>
        <w:spacing w:after="0" w:line="251" w:lineRule="auto"/>
        <w:rPr>
          <w:sz w:val="20"/>
          <w:szCs w:val="20"/>
          <w:color w:val="auto"/>
        </w:rPr>
      </w:pPr>
      <w:r>
        <w:rPr>
          <w:rFonts w:ascii="Arial" w:cs="Arial" w:eastAsia="Arial" w:hAnsi="Arial"/>
          <w:sz w:val="16"/>
          <w:szCs w:val="16"/>
          <w:color w:val="auto"/>
        </w:rPr>
        <w:t>To understand Wynn Resorts, you need to understand that excellence is at the core of our business model. We believe Wynn Resorts is the preeminent designer, developer, and operator of integrated resorts. Our resorts combine luxury hotel rooms, high-end retail, and an array of dining and entertainment options, including meeting space and gaming, all supported by superior levels of customer service.</w:t>
      </w:r>
    </w:p>
    <w:p>
      <w:pPr>
        <w:spacing w:after="0" w:line="203" w:lineRule="exact"/>
        <w:rPr>
          <w:sz w:val="20"/>
          <w:szCs w:val="20"/>
          <w:color w:val="auto"/>
        </w:rPr>
      </w:pPr>
    </w:p>
    <w:p>
      <w:pPr>
        <w:ind w:left="3620" w:right="80"/>
        <w:spacing w:after="0" w:line="253" w:lineRule="auto"/>
        <w:rPr>
          <w:sz w:val="20"/>
          <w:szCs w:val="20"/>
          <w:color w:val="auto"/>
        </w:rPr>
      </w:pPr>
      <w:r>
        <w:rPr>
          <w:rFonts w:ascii="Arial" w:cs="Arial" w:eastAsia="Arial" w:hAnsi="Arial"/>
          <w:sz w:val="16"/>
          <w:szCs w:val="16"/>
          <w:color w:val="auto"/>
        </w:rPr>
        <w:t>Excellence is what our business is designed to deliver. Excellence is so essential to us that we incorporate achievement of Forbes Five-Star distinctions in hotel, food and beverage, and spa categories into our compensation metrics. We strive to be best-in-class of all the high-end integrated resorts.</w:t>
      </w:r>
    </w:p>
    <w:p>
      <w:pPr>
        <w:spacing w:after="0" w:line="201" w:lineRule="exact"/>
        <w:rPr>
          <w:sz w:val="20"/>
          <w:szCs w:val="20"/>
          <w:color w:val="auto"/>
        </w:rPr>
      </w:pPr>
    </w:p>
    <w:p>
      <w:pPr>
        <w:jc w:val="both"/>
        <w:ind w:left="3620" w:right="180"/>
        <w:spacing w:after="0" w:line="253" w:lineRule="auto"/>
        <w:rPr>
          <w:sz w:val="20"/>
          <w:szCs w:val="20"/>
          <w:color w:val="auto"/>
        </w:rPr>
      </w:pPr>
      <w:r>
        <w:rPr>
          <w:rFonts w:ascii="Arial" w:cs="Arial" w:eastAsia="Arial" w:hAnsi="Arial"/>
          <w:sz w:val="16"/>
          <w:szCs w:val="16"/>
          <w:color w:val="auto"/>
        </w:rPr>
        <w:t>And we have delivered: We have developed three of the world’s most recognized integrated resorts and collectively, Wynn Resorts has more Forbes Travel Guide Five-Star awards than any other independent hotel company in the world.</w:t>
      </w:r>
    </w:p>
    <w:p>
      <w:pPr>
        <w:spacing w:after="0" w:line="201" w:lineRule="exact"/>
        <w:rPr>
          <w:sz w:val="20"/>
          <w:szCs w:val="20"/>
          <w:color w:val="auto"/>
        </w:rPr>
      </w:pPr>
    </w:p>
    <w:p>
      <w:pPr>
        <w:ind w:left="3620" w:right="440"/>
        <w:spacing w:after="0" w:line="250" w:lineRule="auto"/>
        <w:rPr>
          <w:sz w:val="20"/>
          <w:szCs w:val="20"/>
          <w:color w:val="auto"/>
        </w:rPr>
      </w:pPr>
      <w:r>
        <w:rPr>
          <w:rFonts w:ascii="Arial" w:cs="Arial" w:eastAsia="Arial" w:hAnsi="Arial"/>
          <w:sz w:val="16"/>
          <w:szCs w:val="16"/>
          <w:color w:val="auto"/>
        </w:rPr>
        <w:t>Excellence doesn’t guarantee perfection—no company can promise that. But we are confident no company tries harder to show our approximately 25,000 employees that each is essential to our reputation for excellence—our business is dependent on repeat visits from our guests and their experiences with our employees are a huge factor in their desire to return. Five-star service, in other words, depends on five-star employees feeling five-star valued by a company they can believe in.</w:t>
      </w:r>
    </w:p>
    <w:p>
      <w:pPr>
        <w:spacing w:after="0" w:line="203" w:lineRule="exact"/>
        <w:rPr>
          <w:sz w:val="20"/>
          <w:szCs w:val="20"/>
          <w:color w:val="auto"/>
        </w:rPr>
      </w:pPr>
    </w:p>
    <w:p>
      <w:pPr>
        <w:ind w:left="3620" w:right="780"/>
        <w:spacing w:after="0" w:line="260" w:lineRule="auto"/>
        <w:rPr>
          <w:sz w:val="20"/>
          <w:szCs w:val="20"/>
          <w:color w:val="auto"/>
        </w:rPr>
      </w:pPr>
      <w:r>
        <w:rPr>
          <w:rFonts w:ascii="Arial" w:cs="Arial" w:eastAsia="Arial" w:hAnsi="Arial"/>
          <w:sz w:val="16"/>
          <w:szCs w:val="16"/>
          <w:color w:val="auto"/>
        </w:rPr>
        <w:t>Here are some of the things we do to be good stewards of human capital, good stewards of the environment, and good corporate citizens:</w:t>
      </w:r>
    </w:p>
    <w:p>
      <w:pPr>
        <w:spacing w:after="0" w:line="166"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OUR PEOPLE</w:t>
      </w:r>
    </w:p>
    <w:p>
      <w:pPr>
        <w:spacing w:after="0" w:line="124"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The impact of the investments we make in our people show up in our data.</w:t>
      </w:r>
    </w:p>
    <w:p>
      <w:pPr>
        <w:spacing w:after="0" w:line="127" w:lineRule="exact"/>
        <w:rPr>
          <w:sz w:val="20"/>
          <w:szCs w:val="20"/>
          <w:color w:val="auto"/>
        </w:rPr>
      </w:pPr>
    </w:p>
    <w:p>
      <w:pPr>
        <w:ind w:left="3940" w:right="180" w:hanging="212"/>
        <w:spacing w:after="0" w:line="253" w:lineRule="auto"/>
        <w:tabs>
          <w:tab w:leader="none" w:pos="3940" w:val="left"/>
        </w:tabs>
        <w:numPr>
          <w:ilvl w:val="0"/>
          <w:numId w:val="55"/>
        </w:numPr>
        <w:rPr>
          <w:rFonts w:ascii="Arial" w:cs="Arial" w:eastAsia="Arial" w:hAnsi="Arial"/>
          <w:sz w:val="16"/>
          <w:szCs w:val="16"/>
          <w:color w:val="665B4F"/>
        </w:rPr>
      </w:pPr>
      <w:r>
        <w:rPr>
          <w:rFonts w:ascii="Arial" w:cs="Arial" w:eastAsia="Arial" w:hAnsi="Arial"/>
          <w:sz w:val="16"/>
          <w:szCs w:val="16"/>
          <w:color w:val="auto"/>
        </w:rPr>
        <w:t>Our voluntary employee turnover rates are half the industry average—11% in 2017 versus 22% across all consumer services companies globally (data sourced from Bloomberg, 03/26/2018)—our employees consistently choose to stay with Wynn even in an era when job hopping is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829945</wp:posOffset>
            </wp:positionV>
            <wp:extent cx="48196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860"/>
        <w:spacing w:after="0"/>
        <w:tabs>
          <w:tab w:leader="none" w:pos="10840" w:val="left"/>
          <w:tab w:leader="none" w:pos="110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18</w:t>
      </w:r>
    </w:p>
    <w:p>
      <w:pPr>
        <w:sectPr>
          <w:pgSz w:w="11900" w:h="16838" w:orient="portrait"/>
          <w:cols w:equalWidth="0" w:num="1">
            <w:col w:w="11220"/>
          </w:cols>
          <w:pgMar w:left="24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OUR PEOPLE AND OUR STEWARDSHIP</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 w:hanging="208"/>
        <w:spacing w:after="0"/>
        <w:tabs>
          <w:tab w:leader="none" w:pos="520" w:val="left"/>
        </w:tabs>
        <w:numPr>
          <w:ilvl w:val="0"/>
          <w:numId w:val="56"/>
        </w:numPr>
        <w:rPr>
          <w:rFonts w:ascii="Arial" w:cs="Arial" w:eastAsia="Arial" w:hAnsi="Arial"/>
          <w:sz w:val="16"/>
          <w:szCs w:val="16"/>
          <w:color w:val="665B4F"/>
        </w:rPr>
      </w:pPr>
      <w:r>
        <w:rPr>
          <w:rFonts w:ascii="Arial" w:cs="Arial" w:eastAsia="Arial" w:hAnsi="Arial"/>
          <w:sz w:val="16"/>
          <w:szCs w:val="16"/>
          <w:color w:val="auto"/>
        </w:rPr>
        <w:t>We invest in our talent—55% of our jobs were filled with internal people in 2017</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EMPLOYEE BENEFITS</w:t>
      </w:r>
    </w:p>
    <w:p>
      <w:pPr>
        <w:spacing w:after="0" w:line="142" w:lineRule="exact"/>
        <w:rPr>
          <w:sz w:val="20"/>
          <w:szCs w:val="20"/>
          <w:color w:val="auto"/>
        </w:rPr>
      </w:pPr>
    </w:p>
    <w:p>
      <w:pPr>
        <w:ind w:left="520" w:right="80" w:hanging="208"/>
        <w:spacing w:after="0" w:line="260" w:lineRule="auto"/>
        <w:tabs>
          <w:tab w:leader="none" w:pos="520" w:val="left"/>
        </w:tabs>
        <w:numPr>
          <w:ilvl w:val="0"/>
          <w:numId w:val="57"/>
        </w:numPr>
        <w:rPr>
          <w:rFonts w:ascii="Arial" w:cs="Arial" w:eastAsia="Arial" w:hAnsi="Arial"/>
          <w:sz w:val="16"/>
          <w:szCs w:val="16"/>
          <w:color w:val="665B4F"/>
        </w:rPr>
      </w:pPr>
      <w:r>
        <w:rPr>
          <w:rFonts w:ascii="Arial" w:cs="Arial" w:eastAsia="Arial" w:hAnsi="Arial"/>
          <w:sz w:val="16"/>
          <w:szCs w:val="16"/>
          <w:color w:val="auto"/>
        </w:rPr>
        <w:t>Medical, prescription, dental and vision insurance for all full-time employees and their families, and all part-time employees who average 30 or more hours per week</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57"/>
        </w:numPr>
        <w:rPr>
          <w:rFonts w:ascii="Arial" w:cs="Arial" w:eastAsia="Arial" w:hAnsi="Arial"/>
          <w:sz w:val="16"/>
          <w:szCs w:val="16"/>
          <w:color w:val="665B4F"/>
        </w:rPr>
      </w:pPr>
      <w:r>
        <w:rPr>
          <w:rFonts w:ascii="Arial" w:cs="Arial" w:eastAsia="Arial" w:hAnsi="Arial"/>
          <w:sz w:val="16"/>
          <w:szCs w:val="16"/>
          <w:color w:val="auto"/>
        </w:rPr>
        <w:t>401(k) plan with company match incentive</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57"/>
        </w:numPr>
        <w:rPr>
          <w:rFonts w:ascii="Arial" w:cs="Arial" w:eastAsia="Arial" w:hAnsi="Arial"/>
          <w:sz w:val="16"/>
          <w:szCs w:val="16"/>
          <w:color w:val="665B4F"/>
        </w:rPr>
      </w:pPr>
      <w:r>
        <w:rPr>
          <w:rFonts w:ascii="Arial" w:cs="Arial" w:eastAsia="Arial" w:hAnsi="Arial"/>
          <w:sz w:val="16"/>
          <w:szCs w:val="16"/>
          <w:color w:val="auto"/>
        </w:rPr>
        <w:t>Paid time off for holidays, perfect attendance, floating holiday, and vacation</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57"/>
        </w:numPr>
        <w:rPr>
          <w:rFonts w:ascii="Arial" w:cs="Arial" w:eastAsia="Arial" w:hAnsi="Arial"/>
          <w:sz w:val="16"/>
          <w:szCs w:val="16"/>
          <w:color w:val="665B4F"/>
        </w:rPr>
      </w:pPr>
      <w:r>
        <w:rPr>
          <w:rFonts w:ascii="Arial" w:cs="Arial" w:eastAsia="Arial" w:hAnsi="Arial"/>
          <w:sz w:val="16"/>
          <w:szCs w:val="16"/>
          <w:color w:val="auto"/>
        </w:rPr>
        <w:t>On-site wellness facilities including health coaches and 24 hour wellness centers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57"/>
        </w:numPr>
        <w:rPr>
          <w:rFonts w:ascii="Arial" w:cs="Arial" w:eastAsia="Arial" w:hAnsi="Arial"/>
          <w:sz w:val="16"/>
          <w:szCs w:val="16"/>
          <w:color w:val="665B4F"/>
        </w:rPr>
      </w:pPr>
      <w:r>
        <w:rPr>
          <w:rFonts w:ascii="Arial" w:cs="Arial" w:eastAsia="Arial" w:hAnsi="Arial"/>
          <w:sz w:val="16"/>
          <w:szCs w:val="16"/>
          <w:color w:val="auto"/>
        </w:rPr>
        <w:t>Six weeks paid parental leave and Perfect Start program, giving $250 to new parents to help with early expenses</w:t>
      </w:r>
    </w:p>
    <w:p>
      <w:pPr>
        <w:spacing w:after="0" w:line="140" w:lineRule="exact"/>
        <w:rPr>
          <w:rFonts w:ascii="Arial" w:cs="Arial" w:eastAsia="Arial" w:hAnsi="Arial"/>
          <w:sz w:val="16"/>
          <w:szCs w:val="16"/>
          <w:color w:val="665B4F"/>
        </w:rPr>
      </w:pPr>
    </w:p>
    <w:p>
      <w:pPr>
        <w:ind w:left="520" w:right="60" w:hanging="208"/>
        <w:spacing w:after="0" w:line="260" w:lineRule="auto"/>
        <w:tabs>
          <w:tab w:leader="none" w:pos="520" w:val="left"/>
        </w:tabs>
        <w:numPr>
          <w:ilvl w:val="0"/>
          <w:numId w:val="57"/>
        </w:numPr>
        <w:rPr>
          <w:rFonts w:ascii="Arial" w:cs="Arial" w:eastAsia="Arial" w:hAnsi="Arial"/>
          <w:sz w:val="16"/>
          <w:szCs w:val="16"/>
          <w:color w:val="665B4F"/>
        </w:rPr>
      </w:pPr>
      <w:r>
        <w:rPr>
          <w:rFonts w:ascii="Arial" w:cs="Arial" w:eastAsia="Arial" w:hAnsi="Arial"/>
          <w:sz w:val="16"/>
          <w:szCs w:val="16"/>
          <w:color w:val="auto"/>
        </w:rPr>
        <w:t>Employee Assistance Program with generous benefits and extensive work-life resources, including free legal advice, relocation advice, financial and tax information, and private counseling sessions</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57"/>
        </w:numPr>
        <w:rPr>
          <w:rFonts w:ascii="Arial" w:cs="Arial" w:eastAsia="Arial" w:hAnsi="Arial"/>
          <w:sz w:val="16"/>
          <w:szCs w:val="16"/>
          <w:color w:val="665B4F"/>
        </w:rPr>
      </w:pPr>
      <w:r>
        <w:rPr>
          <w:rFonts w:ascii="Arial" w:cs="Arial" w:eastAsia="Arial" w:hAnsi="Arial"/>
          <w:sz w:val="16"/>
          <w:szCs w:val="16"/>
          <w:color w:val="auto"/>
        </w:rPr>
        <w:t>Employer paid life insurance benefits, which include identity theft protection and travel assistance plan</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57"/>
        </w:numPr>
        <w:rPr>
          <w:rFonts w:ascii="Arial" w:cs="Arial" w:eastAsia="Arial" w:hAnsi="Arial"/>
          <w:sz w:val="16"/>
          <w:szCs w:val="16"/>
          <w:color w:val="665B4F"/>
        </w:rPr>
      </w:pPr>
      <w:r>
        <w:rPr>
          <w:rFonts w:ascii="Arial" w:cs="Arial" w:eastAsia="Arial" w:hAnsi="Arial"/>
          <w:sz w:val="16"/>
          <w:szCs w:val="16"/>
          <w:color w:val="auto"/>
        </w:rPr>
        <w:t>Group discounts for supplemental coverage, including disability, auto/home, legal, pet, additional life, critical illness, etc.</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57"/>
        </w:numPr>
        <w:rPr>
          <w:rFonts w:ascii="Arial" w:cs="Arial" w:eastAsia="Arial" w:hAnsi="Arial"/>
          <w:sz w:val="16"/>
          <w:szCs w:val="16"/>
          <w:color w:val="665B4F"/>
        </w:rPr>
      </w:pPr>
      <w:r>
        <w:rPr>
          <w:rFonts w:ascii="Arial" w:cs="Arial" w:eastAsia="Arial" w:hAnsi="Arial"/>
          <w:sz w:val="16"/>
          <w:szCs w:val="16"/>
          <w:color w:val="auto"/>
        </w:rPr>
        <w:t>Free meals in our employee dining rooms, including healthy options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57"/>
        </w:numPr>
        <w:rPr>
          <w:rFonts w:ascii="Arial" w:cs="Arial" w:eastAsia="Arial" w:hAnsi="Arial"/>
          <w:sz w:val="16"/>
          <w:szCs w:val="16"/>
          <w:color w:val="665B4F"/>
        </w:rPr>
      </w:pPr>
      <w:r>
        <w:rPr>
          <w:rFonts w:ascii="Arial" w:cs="Arial" w:eastAsia="Arial" w:hAnsi="Arial"/>
          <w:sz w:val="16"/>
          <w:szCs w:val="16"/>
          <w:color w:val="auto"/>
        </w:rPr>
        <w:t>We Save employee discount program, including child-care facilities discounts and fitness center memberships</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EMPLOYEE EDUCATION AND TRAINING</w:t>
      </w:r>
    </w:p>
    <w:p>
      <w:pPr>
        <w:spacing w:after="0" w:line="142" w:lineRule="exact"/>
        <w:rPr>
          <w:sz w:val="20"/>
          <w:szCs w:val="20"/>
          <w:color w:val="auto"/>
        </w:rPr>
      </w:pPr>
    </w:p>
    <w:p>
      <w:pPr>
        <w:ind w:left="520" w:hanging="208"/>
        <w:spacing w:after="0"/>
        <w:tabs>
          <w:tab w:leader="none" w:pos="520" w:val="left"/>
        </w:tabs>
        <w:numPr>
          <w:ilvl w:val="0"/>
          <w:numId w:val="58"/>
        </w:numPr>
        <w:rPr>
          <w:rFonts w:ascii="Arial" w:cs="Arial" w:eastAsia="Arial" w:hAnsi="Arial"/>
          <w:sz w:val="16"/>
          <w:szCs w:val="16"/>
          <w:color w:val="665B4F"/>
        </w:rPr>
      </w:pPr>
      <w:r>
        <w:rPr>
          <w:rFonts w:ascii="Arial" w:cs="Arial" w:eastAsia="Arial" w:hAnsi="Arial"/>
          <w:sz w:val="16"/>
          <w:szCs w:val="16"/>
          <w:color w:val="auto"/>
        </w:rPr>
        <w:t>Tuition reimbursement program with a focus on continuing education</w:t>
      </w:r>
    </w:p>
    <w:p>
      <w:pPr>
        <w:spacing w:after="0" w:line="140" w:lineRule="exact"/>
        <w:rPr>
          <w:rFonts w:ascii="Arial" w:cs="Arial" w:eastAsia="Arial" w:hAnsi="Arial"/>
          <w:sz w:val="16"/>
          <w:szCs w:val="16"/>
          <w:color w:val="665B4F"/>
        </w:rPr>
      </w:pPr>
    </w:p>
    <w:p>
      <w:pPr>
        <w:ind w:left="520" w:right="180" w:hanging="208"/>
        <w:spacing w:after="0" w:line="260" w:lineRule="auto"/>
        <w:tabs>
          <w:tab w:leader="none" w:pos="520" w:val="left"/>
        </w:tabs>
        <w:numPr>
          <w:ilvl w:val="0"/>
          <w:numId w:val="58"/>
        </w:numPr>
        <w:rPr>
          <w:rFonts w:ascii="Arial" w:cs="Arial" w:eastAsia="Arial" w:hAnsi="Arial"/>
          <w:sz w:val="16"/>
          <w:szCs w:val="16"/>
          <w:color w:val="665B4F"/>
        </w:rPr>
      </w:pPr>
      <w:r>
        <w:rPr>
          <w:rFonts w:ascii="Arial" w:cs="Arial" w:eastAsia="Arial" w:hAnsi="Arial"/>
          <w:sz w:val="16"/>
          <w:szCs w:val="16"/>
          <w:color w:val="auto"/>
        </w:rPr>
        <w:t>Wynn Scholarship Fund, providing $300,000 annually to qualifying Wynn Las Vegas employees and family members to be used towards earning a degree in any field of study at any Nevada university or college</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58"/>
        </w:numPr>
        <w:rPr>
          <w:rFonts w:ascii="Arial" w:cs="Arial" w:eastAsia="Arial" w:hAnsi="Arial"/>
          <w:sz w:val="16"/>
          <w:szCs w:val="16"/>
          <w:color w:val="665B4F"/>
        </w:rPr>
      </w:pPr>
      <w:r>
        <w:rPr>
          <w:rFonts w:ascii="Arial" w:cs="Arial" w:eastAsia="Arial" w:hAnsi="Arial"/>
          <w:sz w:val="16"/>
          <w:szCs w:val="16"/>
          <w:color w:val="auto"/>
        </w:rPr>
        <w:t>Sponsorship of 12-week courses to prepare employees for US citizenship test</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58"/>
        </w:numPr>
        <w:rPr>
          <w:rFonts w:ascii="Arial" w:cs="Arial" w:eastAsia="Arial" w:hAnsi="Arial"/>
          <w:sz w:val="16"/>
          <w:szCs w:val="16"/>
          <w:color w:val="665B4F"/>
        </w:rPr>
      </w:pPr>
      <w:r>
        <w:rPr>
          <w:rFonts w:ascii="Arial" w:cs="Arial" w:eastAsia="Arial" w:hAnsi="Arial"/>
          <w:sz w:val="16"/>
          <w:szCs w:val="16"/>
          <w:color w:val="auto"/>
        </w:rPr>
        <w:t>English as a second language program</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58"/>
        </w:numPr>
        <w:rPr>
          <w:rFonts w:ascii="Arial" w:cs="Arial" w:eastAsia="Arial" w:hAnsi="Arial"/>
          <w:sz w:val="16"/>
          <w:szCs w:val="16"/>
          <w:color w:val="665B4F"/>
        </w:rPr>
      </w:pPr>
      <w:r>
        <w:rPr>
          <w:rFonts w:ascii="Arial" w:cs="Arial" w:eastAsia="Arial" w:hAnsi="Arial"/>
          <w:sz w:val="16"/>
          <w:szCs w:val="16"/>
          <w:color w:val="auto"/>
        </w:rPr>
        <w:t>On site leadership and self-development classes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58"/>
        </w:numPr>
        <w:rPr>
          <w:rFonts w:ascii="Arial" w:cs="Arial" w:eastAsia="Arial" w:hAnsi="Arial"/>
          <w:sz w:val="16"/>
          <w:szCs w:val="16"/>
          <w:color w:val="665B4F"/>
        </w:rPr>
      </w:pPr>
      <w:r>
        <w:rPr>
          <w:rFonts w:ascii="Arial" w:cs="Arial" w:eastAsia="Arial" w:hAnsi="Arial"/>
          <w:sz w:val="16"/>
          <w:szCs w:val="16"/>
          <w:color w:val="auto"/>
        </w:rPr>
        <w:t>Compliance training</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58"/>
        </w:numPr>
        <w:rPr>
          <w:rFonts w:ascii="Arial" w:cs="Arial" w:eastAsia="Arial" w:hAnsi="Arial"/>
          <w:sz w:val="16"/>
          <w:szCs w:val="16"/>
          <w:color w:val="665B4F"/>
        </w:rPr>
      </w:pPr>
      <w:r>
        <w:rPr>
          <w:rFonts w:ascii="Arial" w:cs="Arial" w:eastAsia="Arial" w:hAnsi="Arial"/>
          <w:sz w:val="16"/>
          <w:szCs w:val="16"/>
          <w:color w:val="auto"/>
        </w:rPr>
        <w:t>Code of Business Conduct and Ethics training</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58"/>
        </w:numPr>
        <w:rPr>
          <w:rFonts w:ascii="Arial" w:cs="Arial" w:eastAsia="Arial" w:hAnsi="Arial"/>
          <w:sz w:val="16"/>
          <w:szCs w:val="16"/>
          <w:color w:val="665B4F"/>
        </w:rPr>
      </w:pPr>
      <w:r>
        <w:rPr>
          <w:rFonts w:ascii="Arial" w:cs="Arial" w:eastAsia="Arial" w:hAnsi="Arial"/>
          <w:sz w:val="16"/>
          <w:szCs w:val="16"/>
          <w:color w:val="auto"/>
        </w:rPr>
        <w:t>Responsible Gaming training</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EMPLOYEE AND SUPPLY CHAIN DIVERSITY AND INCLUSION</w:t>
      </w:r>
    </w:p>
    <w:p>
      <w:pPr>
        <w:spacing w:after="0" w:line="142" w:lineRule="exact"/>
        <w:rPr>
          <w:sz w:val="20"/>
          <w:szCs w:val="20"/>
          <w:color w:val="auto"/>
        </w:rPr>
      </w:pPr>
    </w:p>
    <w:p>
      <w:pPr>
        <w:ind w:left="520" w:hanging="208"/>
        <w:spacing w:after="0"/>
        <w:tabs>
          <w:tab w:leader="none" w:pos="520" w:val="left"/>
        </w:tabs>
        <w:numPr>
          <w:ilvl w:val="0"/>
          <w:numId w:val="59"/>
        </w:numPr>
        <w:rPr>
          <w:rFonts w:ascii="Arial" w:cs="Arial" w:eastAsia="Arial" w:hAnsi="Arial"/>
          <w:sz w:val="16"/>
          <w:szCs w:val="16"/>
          <w:color w:val="665B4F"/>
        </w:rPr>
      </w:pPr>
      <w:r>
        <w:rPr>
          <w:rFonts w:ascii="Arial" w:cs="Arial" w:eastAsia="Arial" w:hAnsi="Arial"/>
          <w:sz w:val="16"/>
          <w:szCs w:val="16"/>
          <w:color w:val="auto"/>
        </w:rPr>
        <w:t>Exceptionally diverse workforce:</w:t>
      </w:r>
    </w:p>
    <w:p>
      <w:pPr>
        <w:spacing w:after="0" w:line="140"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US workforce 66% minority, 47% women</w:t>
      </w:r>
    </w:p>
    <w:p>
      <w:pPr>
        <w:spacing w:after="0" w:line="126"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US executives 30% minority, 32% women</w:t>
      </w:r>
    </w:p>
    <w:p>
      <w:pPr>
        <w:spacing w:after="0" w:line="126"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Macau workforce 67% local, 36% local women</w:t>
      </w:r>
    </w:p>
    <w:p>
      <w:pPr>
        <w:spacing w:after="0" w:line="126" w:lineRule="exact"/>
        <w:rPr>
          <w:rFonts w:ascii="Arial" w:cs="Arial" w:eastAsia="Arial" w:hAnsi="Arial"/>
          <w:sz w:val="16"/>
          <w:szCs w:val="16"/>
          <w:color w:val="665B4F"/>
        </w:rPr>
      </w:pPr>
    </w:p>
    <w:p>
      <w:pPr>
        <w:ind w:left="520" w:hanging="208"/>
        <w:spacing w:after="0"/>
        <w:tabs>
          <w:tab w:leader="none" w:pos="520" w:val="left"/>
        </w:tabs>
        <w:numPr>
          <w:ilvl w:val="0"/>
          <w:numId w:val="59"/>
        </w:numPr>
        <w:rPr>
          <w:rFonts w:ascii="Arial" w:cs="Arial" w:eastAsia="Arial" w:hAnsi="Arial"/>
          <w:sz w:val="16"/>
          <w:szCs w:val="16"/>
          <w:color w:val="665B4F"/>
        </w:rPr>
      </w:pPr>
      <w:r>
        <w:rPr>
          <w:rFonts w:ascii="Arial" w:cs="Arial" w:eastAsia="Arial" w:hAnsi="Arial"/>
          <w:sz w:val="16"/>
          <w:szCs w:val="16"/>
          <w:color w:val="auto"/>
        </w:rPr>
        <w:t>100% on the Corporate Equality Index nine times since 2009, earning the designation as a “Best Place to Work for LGBTQ Equality”</w:t>
      </w:r>
    </w:p>
    <w:p>
      <w:pPr>
        <w:spacing w:after="0" w:line="140" w:lineRule="exact"/>
        <w:rPr>
          <w:rFonts w:ascii="Arial" w:cs="Arial" w:eastAsia="Arial" w:hAnsi="Arial"/>
          <w:sz w:val="16"/>
          <w:szCs w:val="16"/>
          <w:color w:val="665B4F"/>
        </w:rPr>
      </w:pPr>
    </w:p>
    <w:p>
      <w:pPr>
        <w:ind w:left="520" w:hanging="208"/>
        <w:spacing w:after="0" w:line="253" w:lineRule="auto"/>
        <w:tabs>
          <w:tab w:leader="none" w:pos="520" w:val="left"/>
        </w:tabs>
        <w:numPr>
          <w:ilvl w:val="0"/>
          <w:numId w:val="59"/>
        </w:numPr>
        <w:rPr>
          <w:rFonts w:ascii="Arial" w:cs="Arial" w:eastAsia="Arial" w:hAnsi="Arial"/>
          <w:sz w:val="16"/>
          <w:szCs w:val="16"/>
          <w:color w:val="665B4F"/>
        </w:rPr>
      </w:pPr>
      <w:r>
        <w:rPr>
          <w:rFonts w:ascii="Arial" w:cs="Arial" w:eastAsia="Arial" w:hAnsi="Arial"/>
          <w:sz w:val="16"/>
          <w:szCs w:val="16"/>
          <w:color w:val="auto"/>
        </w:rPr>
        <w:t>Recognizing that women are traditionally under-represented in the building trades, Wynn and Minuteman High School founded the Massachusetts “Girls in Trade” Advisory Group to work with developers, contractors, building trades unions and government officials to increase career opportunities for women in construction</w:t>
      </w:r>
    </w:p>
    <w:p>
      <w:pPr>
        <w:spacing w:after="0" w:line="106" w:lineRule="exact"/>
        <w:rPr>
          <w:rFonts w:ascii="Arial" w:cs="Arial" w:eastAsia="Arial" w:hAnsi="Arial"/>
          <w:sz w:val="16"/>
          <w:szCs w:val="16"/>
          <w:color w:val="665B4F"/>
        </w:rPr>
      </w:pPr>
    </w:p>
    <w:p>
      <w:pPr>
        <w:ind w:left="520" w:hanging="208"/>
        <w:spacing w:after="0"/>
        <w:tabs>
          <w:tab w:leader="none" w:pos="520" w:val="left"/>
        </w:tabs>
        <w:numPr>
          <w:ilvl w:val="0"/>
          <w:numId w:val="59"/>
        </w:numPr>
        <w:rPr>
          <w:rFonts w:ascii="Arial" w:cs="Arial" w:eastAsia="Arial" w:hAnsi="Arial"/>
          <w:sz w:val="16"/>
          <w:szCs w:val="16"/>
          <w:color w:val="665B4F"/>
        </w:rPr>
      </w:pPr>
      <w:r>
        <w:rPr>
          <w:rFonts w:ascii="Arial" w:cs="Arial" w:eastAsia="Arial" w:hAnsi="Arial"/>
          <w:sz w:val="16"/>
          <w:szCs w:val="16"/>
          <w:color w:val="auto"/>
        </w:rPr>
        <w:t>Affinity groups for employees, including our Diversity Council and LGBT Focus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224790</wp:posOffset>
            </wp:positionV>
            <wp:extent cx="608965"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39"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19</w:t>
        <w:tab/>
        <w:t>|</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5B4F"/>
        </w:rPr>
        <w:t>OUR PEOPLE AND OUR STEWARDSHIP</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 w:hanging="208"/>
        <w:spacing w:after="0"/>
        <w:tabs>
          <w:tab w:leader="none" w:pos="520" w:val="left"/>
        </w:tabs>
        <w:numPr>
          <w:ilvl w:val="0"/>
          <w:numId w:val="60"/>
        </w:numPr>
        <w:rPr>
          <w:rFonts w:ascii="Arial" w:cs="Arial" w:eastAsia="Arial" w:hAnsi="Arial"/>
          <w:sz w:val="16"/>
          <w:szCs w:val="16"/>
          <w:color w:val="665B4F"/>
        </w:rPr>
      </w:pPr>
      <w:r>
        <w:rPr>
          <w:rFonts w:ascii="Arial" w:cs="Arial" w:eastAsia="Arial" w:hAnsi="Arial"/>
          <w:sz w:val="16"/>
          <w:szCs w:val="16"/>
          <w:color w:val="auto"/>
        </w:rPr>
        <w:t>Supplier diversity program and purchasing guidelines:</w:t>
      </w:r>
    </w:p>
    <w:p>
      <w:pPr>
        <w:spacing w:after="0" w:line="140"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236 minority, women or veteran owned business partners receive over $32 million in annual procurement spending from Wynn Las Vegas</w:t>
      </w:r>
    </w:p>
    <w:p>
      <w:pPr>
        <w:spacing w:after="0" w:line="126"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Wynn Boston Harbor has issued over $11 million in design contracts to minority, women, or veteran-owned businesses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OUR COMMUNITIES</w:t>
      </w:r>
    </w:p>
    <w:p>
      <w:pPr>
        <w:spacing w:after="0" w:line="137" w:lineRule="exact"/>
        <w:rPr>
          <w:sz w:val="20"/>
          <w:szCs w:val="20"/>
          <w:color w:val="auto"/>
        </w:rPr>
      </w:pPr>
    </w:p>
    <w:p>
      <w:pPr>
        <w:ind w:left="520" w:hanging="208"/>
        <w:spacing w:after="0"/>
        <w:tabs>
          <w:tab w:leader="none" w:pos="520" w:val="left"/>
        </w:tabs>
        <w:numPr>
          <w:ilvl w:val="0"/>
          <w:numId w:val="61"/>
        </w:numPr>
        <w:rPr>
          <w:rFonts w:ascii="Arial" w:cs="Arial" w:eastAsia="Arial" w:hAnsi="Arial"/>
          <w:sz w:val="16"/>
          <w:szCs w:val="16"/>
          <w:color w:val="665B4F"/>
        </w:rPr>
      </w:pPr>
      <w:r>
        <w:rPr>
          <w:rFonts w:ascii="Arial" w:cs="Arial" w:eastAsia="Arial" w:hAnsi="Arial"/>
          <w:sz w:val="16"/>
          <w:szCs w:val="16"/>
          <w:color w:val="auto"/>
        </w:rPr>
        <w:t>Support for over 100 diverse community organizations including:</w:t>
      </w:r>
    </w:p>
    <w:p>
      <w:pPr>
        <w:spacing w:after="0" w:line="140"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Over 19,000 hours of community service</w:t>
      </w:r>
    </w:p>
    <w:p>
      <w:pPr>
        <w:spacing w:after="0" w:line="126"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Support for Las Vegas schools serving low-income and at-risk neighborhoods</w:t>
      </w:r>
    </w:p>
    <w:p>
      <w:pPr>
        <w:spacing w:after="0" w:line="126"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Teacher support through 60 Adopt-a-Classroom programs</w:t>
      </w:r>
    </w:p>
    <w:p>
      <w:pPr>
        <w:spacing w:after="0" w:line="126"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Support for Veterans Village</w:t>
      </w:r>
    </w:p>
    <w:p>
      <w:pPr>
        <w:spacing w:after="0" w:line="126" w:lineRule="exact"/>
        <w:rPr>
          <w:rFonts w:ascii="Arial" w:cs="Arial" w:eastAsia="Arial" w:hAnsi="Arial"/>
          <w:sz w:val="16"/>
          <w:szCs w:val="16"/>
          <w:color w:val="665B4F"/>
        </w:rPr>
      </w:pPr>
    </w:p>
    <w:p>
      <w:pPr>
        <w:ind w:left="520" w:right="40" w:hanging="208"/>
        <w:spacing w:after="0" w:line="260" w:lineRule="auto"/>
        <w:tabs>
          <w:tab w:leader="none" w:pos="520" w:val="left"/>
        </w:tabs>
        <w:numPr>
          <w:ilvl w:val="0"/>
          <w:numId w:val="61"/>
        </w:numPr>
        <w:rPr>
          <w:rFonts w:ascii="Arial" w:cs="Arial" w:eastAsia="Arial" w:hAnsi="Arial"/>
          <w:sz w:val="16"/>
          <w:szCs w:val="16"/>
          <w:color w:val="665B4F"/>
        </w:rPr>
      </w:pPr>
      <w:r>
        <w:rPr>
          <w:rFonts w:ascii="Arial" w:cs="Arial" w:eastAsia="Arial" w:hAnsi="Arial"/>
          <w:sz w:val="16"/>
          <w:szCs w:val="16"/>
          <w:color w:val="auto"/>
        </w:rPr>
        <w:t>A new Wynn development has the potential to transform a local economy. When Wynn Las Vegas opened in 2005, it triggered the largest increase in non-gaming revenue in Las Vegas history. Wynn Boston Harbor is also demonstrating how we develop shared goals with host cities to:</w:t>
      </w:r>
    </w:p>
    <w:p>
      <w:pPr>
        <w:spacing w:after="0" w:line="101"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Stimulate economic growth and create local jobs</w:t>
      </w:r>
    </w:p>
    <w:p>
      <w:pPr>
        <w:spacing w:after="0" w:line="126" w:lineRule="exact"/>
        <w:rPr>
          <w:rFonts w:ascii="Arial" w:cs="Arial" w:eastAsia="Arial" w:hAnsi="Arial"/>
          <w:sz w:val="16"/>
          <w:szCs w:val="16"/>
          <w:color w:val="665B4F"/>
        </w:rPr>
      </w:pPr>
    </w:p>
    <w:p>
      <w:pPr>
        <w:ind w:left="740" w:right="80" w:hanging="216"/>
        <w:spacing w:after="0" w:line="260" w:lineRule="auto"/>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Fund local infrastructure improvements, including the transformation of unproductive and environmentally damaged local sites into productive city</w:t>
      </w:r>
      <w:r>
        <w:rPr>
          <w:rFonts w:ascii="Arial" w:cs="Arial" w:eastAsia="Arial" w:hAnsi="Arial"/>
          <w:sz w:val="16"/>
          <w:szCs w:val="16"/>
          <w:color w:val="665B4F"/>
        </w:rPr>
        <w:t xml:space="preserve"> </w:t>
      </w:r>
      <w:r>
        <w:rPr>
          <w:rFonts w:ascii="Arial" w:cs="Arial" w:eastAsia="Arial" w:hAnsi="Arial"/>
          <w:sz w:val="16"/>
          <w:szCs w:val="16"/>
          <w:color w:val="000000"/>
        </w:rPr>
        <w:t>amenities</w:t>
      </w:r>
    </w:p>
    <w:p>
      <w:pPr>
        <w:spacing w:after="0" w:line="101" w:lineRule="exact"/>
        <w:rPr>
          <w:rFonts w:ascii="Arial" w:cs="Arial" w:eastAsia="Arial" w:hAnsi="Arial"/>
          <w:sz w:val="16"/>
          <w:szCs w:val="16"/>
          <w:color w:val="665B4F"/>
        </w:rPr>
      </w:pPr>
    </w:p>
    <w:p>
      <w:pPr>
        <w:ind w:left="740" w:right="200" w:hanging="216"/>
        <w:spacing w:after="0" w:line="260" w:lineRule="auto"/>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Provide a financial boost to existing cultural and entertainment assets, including via cross marketing opportunities and enhanced local customer</w:t>
      </w:r>
      <w:r>
        <w:rPr>
          <w:rFonts w:ascii="Arial" w:cs="Arial" w:eastAsia="Arial" w:hAnsi="Arial"/>
          <w:sz w:val="16"/>
          <w:szCs w:val="16"/>
          <w:color w:val="665B4F"/>
        </w:rPr>
        <w:t xml:space="preserve"> </w:t>
      </w:r>
      <w:r>
        <w:rPr>
          <w:rFonts w:ascii="Arial" w:cs="Arial" w:eastAsia="Arial" w:hAnsi="Arial"/>
          <w:sz w:val="16"/>
          <w:szCs w:val="16"/>
          <w:color w:val="000000"/>
        </w:rPr>
        <w:t>traffic</w:t>
      </w:r>
    </w:p>
    <w:p>
      <w:pPr>
        <w:spacing w:after="0" w:line="101" w:lineRule="exact"/>
        <w:rPr>
          <w:rFonts w:ascii="Arial" w:cs="Arial" w:eastAsia="Arial" w:hAnsi="Arial"/>
          <w:sz w:val="16"/>
          <w:szCs w:val="16"/>
          <w:color w:val="665B4F"/>
        </w:rPr>
      </w:pPr>
    </w:p>
    <w:p>
      <w:pPr>
        <w:ind w:left="520"/>
        <w:spacing w:after="0"/>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Partner with national and local authorities to establish world-class regulatory frameworks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OUR PLANET</w:t>
      </w:r>
    </w:p>
    <w:p>
      <w:pPr>
        <w:spacing w:after="0" w:line="137" w:lineRule="exact"/>
        <w:rPr>
          <w:sz w:val="20"/>
          <w:szCs w:val="20"/>
          <w:color w:val="auto"/>
        </w:rPr>
      </w:pPr>
    </w:p>
    <w:p>
      <w:pPr>
        <w:ind w:left="520" w:right="420" w:hanging="208"/>
        <w:spacing w:after="0" w:line="260" w:lineRule="auto"/>
        <w:tabs>
          <w:tab w:leader="none" w:pos="520" w:val="left"/>
        </w:tabs>
        <w:numPr>
          <w:ilvl w:val="0"/>
          <w:numId w:val="62"/>
        </w:numPr>
        <w:rPr>
          <w:rFonts w:ascii="Arial" w:cs="Arial" w:eastAsia="Arial" w:hAnsi="Arial"/>
          <w:sz w:val="16"/>
          <w:szCs w:val="16"/>
          <w:color w:val="665B4F"/>
        </w:rPr>
      </w:pPr>
      <w:r>
        <w:rPr>
          <w:rFonts w:ascii="Arial" w:cs="Arial" w:eastAsia="Arial" w:hAnsi="Arial"/>
          <w:sz w:val="16"/>
          <w:szCs w:val="16"/>
          <w:color w:val="auto"/>
        </w:rPr>
        <w:t>For the past 4 years, Wynn Las Vegas has been awarded a LEED Gold Equivalent Building Certification, a designation given by the U.S. Green Building Council</w:t>
      </w:r>
    </w:p>
    <w:p>
      <w:pPr>
        <w:spacing w:after="0" w:line="101" w:lineRule="exact"/>
        <w:rPr>
          <w:rFonts w:ascii="Arial" w:cs="Arial" w:eastAsia="Arial" w:hAnsi="Arial"/>
          <w:sz w:val="16"/>
          <w:szCs w:val="16"/>
          <w:color w:val="665B4F"/>
        </w:rPr>
      </w:pPr>
    </w:p>
    <w:p>
      <w:pPr>
        <w:ind w:left="520" w:right="40" w:hanging="208"/>
        <w:spacing w:after="0" w:line="260" w:lineRule="auto"/>
        <w:tabs>
          <w:tab w:leader="none" w:pos="520" w:val="left"/>
        </w:tabs>
        <w:numPr>
          <w:ilvl w:val="0"/>
          <w:numId w:val="62"/>
        </w:numPr>
        <w:rPr>
          <w:rFonts w:ascii="Arial" w:cs="Arial" w:eastAsia="Arial" w:hAnsi="Arial"/>
          <w:sz w:val="16"/>
          <w:szCs w:val="16"/>
          <w:color w:val="665B4F"/>
        </w:rPr>
      </w:pPr>
      <w:r>
        <w:rPr>
          <w:rFonts w:ascii="Arial" w:cs="Arial" w:eastAsia="Arial" w:hAnsi="Arial"/>
          <w:sz w:val="16"/>
          <w:szCs w:val="16"/>
          <w:color w:val="auto"/>
        </w:rPr>
        <w:t>Significant investments in solar. The combined output of Wynn Resorts’ solar projects will offset approximately 35,000 metric tons of greenhouse gas emissions, which is equivalent to the annual energy use of 5,243 residential homes:</w:t>
      </w:r>
    </w:p>
    <w:p>
      <w:pPr>
        <w:spacing w:after="0" w:line="101" w:lineRule="exact"/>
        <w:rPr>
          <w:rFonts w:ascii="Arial" w:cs="Arial" w:eastAsia="Arial" w:hAnsi="Arial"/>
          <w:sz w:val="16"/>
          <w:szCs w:val="16"/>
          <w:color w:val="665B4F"/>
        </w:rPr>
      </w:pPr>
    </w:p>
    <w:p>
      <w:pPr>
        <w:ind w:left="740" w:right="460" w:hanging="216"/>
        <w:spacing w:after="0" w:line="260" w:lineRule="auto"/>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In December 2017, Wynn Las Vegas executed a 20 megawatt power purchase agreement for a term of 7 years with Enel Green Power. The</w:t>
      </w:r>
      <w:r>
        <w:rPr>
          <w:rFonts w:ascii="Arial" w:cs="Arial" w:eastAsia="Arial" w:hAnsi="Arial"/>
          <w:sz w:val="16"/>
          <w:szCs w:val="16"/>
          <w:color w:val="665B4F"/>
        </w:rPr>
        <w:t xml:space="preserve"> </w:t>
      </w:r>
      <w:r>
        <w:rPr>
          <w:rFonts w:ascii="Arial" w:cs="Arial" w:eastAsia="Arial" w:hAnsi="Arial"/>
          <w:sz w:val="16"/>
          <w:szCs w:val="16"/>
          <w:color w:val="000000"/>
        </w:rPr>
        <w:t>Wynn solar facility is expected provide enough energy to supply 100% of Wynn Las Vegas’ new development’s energy needs.</w:t>
      </w:r>
    </w:p>
    <w:p>
      <w:pPr>
        <w:spacing w:after="0" w:line="101" w:lineRule="exact"/>
        <w:rPr>
          <w:rFonts w:ascii="Arial" w:cs="Arial" w:eastAsia="Arial" w:hAnsi="Arial"/>
          <w:sz w:val="16"/>
          <w:szCs w:val="16"/>
          <w:color w:val="665B4F"/>
        </w:rPr>
      </w:pPr>
    </w:p>
    <w:p>
      <w:pPr>
        <w:ind w:left="740" w:right="140" w:hanging="216"/>
        <w:spacing w:after="0" w:line="260" w:lineRule="auto"/>
        <w:rPr>
          <w:rFonts w:ascii="Arial" w:cs="Arial" w:eastAsia="Arial" w:hAnsi="Arial"/>
          <w:sz w:val="16"/>
          <w:szCs w:val="16"/>
          <w:color w:val="665B4F"/>
        </w:rPr>
      </w:pPr>
      <w:r>
        <w:rPr>
          <w:rFonts w:ascii="Arial" w:cs="Arial" w:eastAsia="Arial" w:hAnsi="Arial"/>
          <w:sz w:val="16"/>
          <w:szCs w:val="16"/>
          <w:color w:val="665B4F"/>
        </w:rPr>
        <w:t xml:space="preserve">– </w:t>
      </w:r>
      <w:r>
        <w:rPr>
          <w:rFonts w:ascii="Arial" w:cs="Arial" w:eastAsia="Arial" w:hAnsi="Arial"/>
          <w:sz w:val="16"/>
          <w:szCs w:val="16"/>
          <w:color w:val="000000"/>
        </w:rPr>
        <w:t>Wynn Boston Harbor will be installing approximately 1 megawatt of rooftop solar that will be utilized on-site and integrated into the resort’s power</w:t>
      </w:r>
      <w:r>
        <w:rPr>
          <w:rFonts w:ascii="Arial" w:cs="Arial" w:eastAsia="Arial" w:hAnsi="Arial"/>
          <w:sz w:val="16"/>
          <w:szCs w:val="16"/>
          <w:color w:val="665B4F"/>
        </w:rPr>
        <w:t xml:space="preserve"> </w:t>
      </w:r>
      <w:r>
        <w:rPr>
          <w:rFonts w:ascii="Arial" w:cs="Arial" w:eastAsia="Arial" w:hAnsi="Arial"/>
          <w:sz w:val="16"/>
          <w:szCs w:val="16"/>
          <w:color w:val="000000"/>
        </w:rPr>
        <w:t>supply</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62"/>
        </w:numPr>
        <w:rPr>
          <w:rFonts w:ascii="Arial" w:cs="Arial" w:eastAsia="Arial" w:hAnsi="Arial"/>
          <w:sz w:val="16"/>
          <w:szCs w:val="16"/>
          <w:color w:val="665B4F"/>
        </w:rPr>
      </w:pPr>
      <w:r>
        <w:rPr>
          <w:rFonts w:ascii="Arial" w:cs="Arial" w:eastAsia="Arial" w:hAnsi="Arial"/>
          <w:sz w:val="16"/>
          <w:szCs w:val="16"/>
          <w:color w:val="auto"/>
        </w:rPr>
        <w:t>Full remediation program for abandoned industrial site in Boston, including development of a living shoreline</w:t>
      </w:r>
    </w:p>
    <w:p>
      <w:pPr>
        <w:spacing w:after="0" w:line="140" w:lineRule="exact"/>
        <w:rPr>
          <w:rFonts w:ascii="Arial" w:cs="Arial" w:eastAsia="Arial" w:hAnsi="Arial"/>
          <w:sz w:val="16"/>
          <w:szCs w:val="16"/>
          <w:color w:val="665B4F"/>
        </w:rPr>
      </w:pPr>
    </w:p>
    <w:p>
      <w:pPr>
        <w:ind w:left="520" w:right="60" w:hanging="208"/>
        <w:spacing w:after="0" w:line="260" w:lineRule="auto"/>
        <w:tabs>
          <w:tab w:leader="none" w:pos="520" w:val="left"/>
        </w:tabs>
        <w:numPr>
          <w:ilvl w:val="0"/>
          <w:numId w:val="62"/>
        </w:numPr>
        <w:rPr>
          <w:rFonts w:ascii="Arial" w:cs="Arial" w:eastAsia="Arial" w:hAnsi="Arial"/>
          <w:sz w:val="16"/>
          <w:szCs w:val="16"/>
          <w:color w:val="665B4F"/>
        </w:rPr>
      </w:pPr>
      <w:r>
        <w:rPr>
          <w:rFonts w:ascii="Arial" w:cs="Arial" w:eastAsia="Arial" w:hAnsi="Arial"/>
          <w:sz w:val="16"/>
          <w:szCs w:val="16"/>
          <w:color w:val="auto"/>
        </w:rPr>
        <w:t>Eco-efficiency programs throughout Wynn Las Vegas. These programs have offset over 74,422 metric tons of greenhouse gas emissions, equivalent to saving 8.4 million gallons of gasoline.</w:t>
      </w:r>
    </w:p>
    <w:p>
      <w:pPr>
        <w:spacing w:after="0" w:line="101" w:lineRule="exact"/>
        <w:rPr>
          <w:rFonts w:ascii="Arial" w:cs="Arial" w:eastAsia="Arial" w:hAnsi="Arial"/>
          <w:sz w:val="16"/>
          <w:szCs w:val="16"/>
          <w:color w:val="665B4F"/>
        </w:rPr>
      </w:pPr>
    </w:p>
    <w:p>
      <w:pPr>
        <w:ind w:left="520" w:right="20" w:hanging="208"/>
        <w:spacing w:after="0" w:line="253" w:lineRule="auto"/>
        <w:tabs>
          <w:tab w:leader="none" w:pos="520" w:val="left"/>
        </w:tabs>
        <w:numPr>
          <w:ilvl w:val="0"/>
          <w:numId w:val="62"/>
        </w:numPr>
        <w:rPr>
          <w:rFonts w:ascii="Arial" w:cs="Arial" w:eastAsia="Arial" w:hAnsi="Arial"/>
          <w:sz w:val="16"/>
          <w:szCs w:val="16"/>
          <w:color w:val="665B4F"/>
        </w:rPr>
      </w:pPr>
      <w:r>
        <w:rPr>
          <w:rFonts w:ascii="Arial" w:cs="Arial" w:eastAsia="Arial" w:hAnsi="Arial"/>
          <w:sz w:val="16"/>
          <w:szCs w:val="16"/>
          <w:color w:val="auto"/>
        </w:rPr>
        <w:t>Attributable to an ongoing investment in energy efficient measures, stabilization of energy demand, and equipment upgrades, Wynn Macau has reduced its energy consumption per square meter by 27% since 2015, resulting in the reduction of Wynn Macau’s greenhouse gas emissions by over 13,000 metric tons.</w:t>
      </w:r>
    </w:p>
    <w:p>
      <w:pPr>
        <w:spacing w:after="0" w:line="106" w:lineRule="exact"/>
        <w:rPr>
          <w:rFonts w:ascii="Arial" w:cs="Arial" w:eastAsia="Arial" w:hAnsi="Arial"/>
          <w:sz w:val="16"/>
          <w:szCs w:val="16"/>
          <w:color w:val="665B4F"/>
        </w:rPr>
      </w:pPr>
    </w:p>
    <w:p>
      <w:pPr>
        <w:ind w:left="520" w:hanging="208"/>
        <w:spacing w:after="0"/>
        <w:tabs>
          <w:tab w:leader="none" w:pos="520" w:val="left"/>
        </w:tabs>
        <w:numPr>
          <w:ilvl w:val="0"/>
          <w:numId w:val="62"/>
        </w:numPr>
        <w:rPr>
          <w:rFonts w:ascii="Arial" w:cs="Arial" w:eastAsia="Arial" w:hAnsi="Arial"/>
          <w:sz w:val="16"/>
          <w:szCs w:val="16"/>
          <w:color w:val="665B4F"/>
        </w:rPr>
      </w:pPr>
      <w:r>
        <w:rPr>
          <w:rFonts w:ascii="Arial" w:cs="Arial" w:eastAsia="Arial" w:hAnsi="Arial"/>
          <w:sz w:val="16"/>
          <w:szCs w:val="16"/>
          <w:color w:val="auto"/>
        </w:rPr>
        <w:t>Emissions- and waste-reductions programs throughout properties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62"/>
        </w:numPr>
        <w:rPr>
          <w:rFonts w:ascii="Arial" w:cs="Arial" w:eastAsia="Arial" w:hAnsi="Arial"/>
          <w:sz w:val="16"/>
          <w:szCs w:val="16"/>
          <w:color w:val="665B4F"/>
        </w:rPr>
      </w:pPr>
      <w:r>
        <w:rPr>
          <w:rFonts w:ascii="Arial" w:cs="Arial" w:eastAsia="Arial" w:hAnsi="Arial"/>
          <w:sz w:val="16"/>
          <w:szCs w:val="16"/>
          <w:color w:val="auto"/>
        </w:rPr>
        <w:t>Energy and water use monitoring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spacing w:after="0"/>
        <w:tabs>
          <w:tab w:leader="none" w:pos="340" w:val="left"/>
          <w:tab w:leader="none" w:pos="1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20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41"/>
          <w:szCs w:val="41"/>
          <w:b w:val="1"/>
          <w:bCs w:val="1"/>
          <w:color w:val="665B4F"/>
        </w:rPr>
        <w:t>EXECUTIVE OFFICERS</w:t>
      </w: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Executive Officers and certain key management personnel as of March 19,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156210</wp:posOffset>
            </wp:positionV>
            <wp:extent cx="6997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2560" w:type="dxa"/>
            <w:vAlign w:val="bottom"/>
            <w:tcBorders>
              <w:bottom w:val="single" w:sz="8" w:color="D1CDCA"/>
            </w:tcBorders>
          </w:tcPr>
          <w:p>
            <w:pPr>
              <w:ind w:left="60"/>
              <w:spacing w:after="0"/>
              <w:rPr>
                <w:sz w:val="20"/>
                <w:szCs w:val="20"/>
                <w:color w:val="auto"/>
              </w:rPr>
            </w:pPr>
            <w:r>
              <w:rPr>
                <w:rFonts w:ascii="Arial" w:cs="Arial" w:eastAsia="Arial" w:hAnsi="Arial"/>
                <w:sz w:val="14"/>
                <w:szCs w:val="14"/>
                <w:b w:val="1"/>
                <w:bCs w:val="1"/>
                <w:color w:val="665B4F"/>
              </w:rPr>
              <w:t>NAME</w:t>
            </w:r>
          </w:p>
        </w:tc>
        <w:tc>
          <w:tcPr>
            <w:tcW w:w="1540" w:type="dxa"/>
            <w:vAlign w:val="bottom"/>
            <w:tcBorders>
              <w:bottom w:val="single" w:sz="8" w:color="D1CDCA"/>
            </w:tcBorders>
          </w:tcPr>
          <w:p>
            <w:pPr>
              <w:jc w:val="right"/>
              <w:ind w:right="68"/>
              <w:spacing w:after="0"/>
              <w:rPr>
                <w:sz w:val="20"/>
                <w:szCs w:val="20"/>
                <w:color w:val="auto"/>
              </w:rPr>
            </w:pPr>
            <w:r>
              <w:rPr>
                <w:rFonts w:ascii="Arial" w:cs="Arial" w:eastAsia="Arial" w:hAnsi="Arial"/>
                <w:sz w:val="14"/>
                <w:szCs w:val="14"/>
                <w:b w:val="1"/>
                <w:bCs w:val="1"/>
                <w:color w:val="665B4F"/>
              </w:rPr>
              <w:t>AGE</w:t>
            </w:r>
          </w:p>
        </w:tc>
        <w:tc>
          <w:tcPr>
            <w:tcW w:w="6920" w:type="dxa"/>
            <w:vAlign w:val="bottom"/>
            <w:tcBorders>
              <w:bottom w:val="single" w:sz="8" w:color="D1CDCA"/>
            </w:tcBorders>
          </w:tcPr>
          <w:p>
            <w:pPr>
              <w:ind w:left="120"/>
              <w:spacing w:after="0"/>
              <w:rPr>
                <w:sz w:val="20"/>
                <w:szCs w:val="20"/>
                <w:color w:val="auto"/>
              </w:rPr>
            </w:pPr>
            <w:r>
              <w:rPr>
                <w:rFonts w:ascii="Arial" w:cs="Arial" w:eastAsia="Arial" w:hAnsi="Arial"/>
                <w:sz w:val="14"/>
                <w:szCs w:val="14"/>
                <w:b w:val="1"/>
                <w:bCs w:val="1"/>
                <w:color w:val="665B4F"/>
              </w:rPr>
              <w:t>POSITION</w:t>
            </w:r>
          </w:p>
        </w:tc>
      </w:tr>
      <w:tr>
        <w:trPr>
          <w:trHeight w:val="196"/>
        </w:trPr>
        <w:tc>
          <w:tcPr>
            <w:tcW w:w="256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Matt Maddox</w:t>
            </w:r>
          </w:p>
        </w:tc>
        <w:tc>
          <w:tcPr>
            <w:tcW w:w="1540" w:type="dxa"/>
            <w:vAlign w:val="bottom"/>
            <w:tcBorders>
              <w:bottom w:val="single" w:sz="8" w:color="D1CDCA"/>
            </w:tcBorders>
            <w:shd w:val="clear" w:color="auto" w:fill="F7F7E5"/>
          </w:tcPr>
          <w:p>
            <w:pPr>
              <w:jc w:val="right"/>
              <w:ind w:right="68"/>
              <w:spacing w:after="0"/>
              <w:rPr>
                <w:sz w:val="20"/>
                <w:szCs w:val="20"/>
                <w:color w:val="auto"/>
              </w:rPr>
            </w:pPr>
            <w:r>
              <w:rPr>
                <w:rFonts w:ascii="Arial" w:cs="Arial" w:eastAsia="Arial" w:hAnsi="Arial"/>
                <w:sz w:val="14"/>
                <w:szCs w:val="14"/>
                <w:color w:val="auto"/>
              </w:rPr>
              <w:t>42</w:t>
            </w:r>
          </w:p>
        </w:tc>
        <w:tc>
          <w:tcPr>
            <w:tcW w:w="6920" w:type="dxa"/>
            <w:vAlign w:val="bottom"/>
            <w:tcBorders>
              <w:bottom w:val="single" w:sz="8" w:color="D1CDCA"/>
            </w:tcBorders>
            <w:shd w:val="clear" w:color="auto" w:fill="F7F7E5"/>
          </w:tcPr>
          <w:p>
            <w:pPr>
              <w:ind w:left="120"/>
              <w:spacing w:after="0"/>
              <w:rPr>
                <w:sz w:val="20"/>
                <w:szCs w:val="20"/>
                <w:color w:val="auto"/>
              </w:rPr>
            </w:pPr>
            <w:r>
              <w:rPr>
                <w:rFonts w:ascii="Arial" w:cs="Arial" w:eastAsia="Arial" w:hAnsi="Arial"/>
                <w:sz w:val="14"/>
                <w:szCs w:val="14"/>
                <w:color w:val="auto"/>
              </w:rPr>
              <w:t>Chief Executive Officer and President</w:t>
            </w:r>
          </w:p>
        </w:tc>
      </w:tr>
      <w:tr>
        <w:trPr>
          <w:trHeight w:val="196"/>
        </w:trPr>
        <w:tc>
          <w:tcPr>
            <w:tcW w:w="256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Kim Sinatra</w:t>
            </w:r>
          </w:p>
        </w:tc>
        <w:tc>
          <w:tcPr>
            <w:tcW w:w="1540" w:type="dxa"/>
            <w:vAlign w:val="bottom"/>
            <w:tcBorders>
              <w:bottom w:val="single" w:sz="8" w:color="D1CDCA"/>
            </w:tcBorders>
          </w:tcPr>
          <w:p>
            <w:pPr>
              <w:jc w:val="right"/>
              <w:ind w:right="68"/>
              <w:spacing w:after="0"/>
              <w:rPr>
                <w:sz w:val="20"/>
                <w:szCs w:val="20"/>
                <w:color w:val="auto"/>
              </w:rPr>
            </w:pPr>
            <w:r>
              <w:rPr>
                <w:rFonts w:ascii="Arial" w:cs="Arial" w:eastAsia="Arial" w:hAnsi="Arial"/>
                <w:sz w:val="14"/>
                <w:szCs w:val="14"/>
                <w:color w:val="auto"/>
              </w:rPr>
              <w:t>57</w:t>
            </w:r>
          </w:p>
        </w:tc>
        <w:tc>
          <w:tcPr>
            <w:tcW w:w="6920" w:type="dxa"/>
            <w:vAlign w:val="bottom"/>
            <w:tcBorders>
              <w:bottom w:val="single" w:sz="8" w:color="D1CDCA"/>
            </w:tcBorders>
          </w:tcPr>
          <w:p>
            <w:pPr>
              <w:ind w:left="120"/>
              <w:spacing w:after="0"/>
              <w:rPr>
                <w:sz w:val="20"/>
                <w:szCs w:val="20"/>
                <w:color w:val="auto"/>
              </w:rPr>
            </w:pPr>
            <w:r>
              <w:rPr>
                <w:rFonts w:ascii="Arial" w:cs="Arial" w:eastAsia="Arial" w:hAnsi="Arial"/>
                <w:sz w:val="14"/>
                <w:szCs w:val="14"/>
                <w:color w:val="auto"/>
              </w:rPr>
              <w:t>Executive Vice President, General Counsel and Secretary</w:t>
            </w:r>
          </w:p>
        </w:tc>
      </w:tr>
      <w:tr>
        <w:trPr>
          <w:trHeight w:val="196"/>
        </w:trPr>
        <w:tc>
          <w:tcPr>
            <w:tcW w:w="256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Craig Billings</w:t>
            </w:r>
          </w:p>
        </w:tc>
        <w:tc>
          <w:tcPr>
            <w:tcW w:w="1540" w:type="dxa"/>
            <w:vAlign w:val="bottom"/>
            <w:tcBorders>
              <w:bottom w:val="single" w:sz="8" w:color="D1CDCA"/>
            </w:tcBorders>
            <w:shd w:val="clear" w:color="auto" w:fill="F7F7E5"/>
          </w:tcPr>
          <w:p>
            <w:pPr>
              <w:jc w:val="right"/>
              <w:ind w:right="68"/>
              <w:spacing w:after="0"/>
              <w:rPr>
                <w:sz w:val="20"/>
                <w:szCs w:val="20"/>
                <w:color w:val="auto"/>
              </w:rPr>
            </w:pPr>
            <w:r>
              <w:rPr>
                <w:rFonts w:ascii="Arial" w:cs="Arial" w:eastAsia="Arial" w:hAnsi="Arial"/>
                <w:sz w:val="14"/>
                <w:szCs w:val="14"/>
                <w:color w:val="auto"/>
              </w:rPr>
              <w:t>45</w:t>
            </w:r>
          </w:p>
        </w:tc>
        <w:tc>
          <w:tcPr>
            <w:tcW w:w="6920" w:type="dxa"/>
            <w:vAlign w:val="bottom"/>
            <w:tcBorders>
              <w:bottom w:val="single" w:sz="8" w:color="D1CDCA"/>
            </w:tcBorders>
            <w:shd w:val="clear" w:color="auto" w:fill="F7F7E5"/>
          </w:tcPr>
          <w:p>
            <w:pPr>
              <w:ind w:left="120"/>
              <w:spacing w:after="0"/>
              <w:rPr>
                <w:sz w:val="20"/>
                <w:szCs w:val="20"/>
                <w:color w:val="auto"/>
              </w:rPr>
            </w:pPr>
            <w:r>
              <w:rPr>
                <w:rFonts w:ascii="Arial" w:cs="Arial" w:eastAsia="Arial" w:hAnsi="Arial"/>
                <w:sz w:val="14"/>
                <w:szCs w:val="14"/>
                <w:color w:val="auto"/>
              </w:rPr>
              <w:t>Chief Financial Officer and Treasurer</w:t>
            </w:r>
          </w:p>
        </w:tc>
      </w:tr>
      <w:tr>
        <w:trPr>
          <w:trHeight w:val="196"/>
        </w:trPr>
        <w:tc>
          <w:tcPr>
            <w:tcW w:w="256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Linda Chen</w:t>
            </w:r>
          </w:p>
        </w:tc>
        <w:tc>
          <w:tcPr>
            <w:tcW w:w="1540" w:type="dxa"/>
            <w:vAlign w:val="bottom"/>
            <w:tcBorders>
              <w:bottom w:val="single" w:sz="8" w:color="D1CDCA"/>
            </w:tcBorders>
          </w:tcPr>
          <w:p>
            <w:pPr>
              <w:jc w:val="right"/>
              <w:ind w:right="68"/>
              <w:spacing w:after="0"/>
              <w:rPr>
                <w:sz w:val="20"/>
                <w:szCs w:val="20"/>
                <w:color w:val="auto"/>
              </w:rPr>
            </w:pPr>
            <w:r>
              <w:rPr>
                <w:rFonts w:ascii="Arial" w:cs="Arial" w:eastAsia="Arial" w:hAnsi="Arial"/>
                <w:sz w:val="14"/>
                <w:szCs w:val="14"/>
                <w:color w:val="auto"/>
              </w:rPr>
              <w:t>51</w:t>
            </w:r>
          </w:p>
        </w:tc>
        <w:tc>
          <w:tcPr>
            <w:tcW w:w="6920" w:type="dxa"/>
            <w:vAlign w:val="bottom"/>
            <w:tcBorders>
              <w:bottom w:val="single" w:sz="8" w:color="D1CDCA"/>
            </w:tcBorders>
          </w:tcPr>
          <w:p>
            <w:pPr>
              <w:ind w:left="120"/>
              <w:spacing w:after="0"/>
              <w:rPr>
                <w:sz w:val="20"/>
                <w:szCs w:val="20"/>
                <w:color w:val="auto"/>
              </w:rPr>
            </w:pPr>
            <w:r>
              <w:rPr>
                <w:rFonts w:ascii="Arial" w:cs="Arial" w:eastAsia="Arial" w:hAnsi="Arial"/>
                <w:sz w:val="14"/>
                <w:szCs w:val="14"/>
                <w:color w:val="auto"/>
              </w:rPr>
              <w:t>President and Executive Director—Wynn Resorts (Macau)</w:t>
            </w:r>
          </w:p>
        </w:tc>
      </w:tr>
      <w:tr>
        <w:trPr>
          <w:trHeight w:val="196"/>
        </w:trPr>
        <w:tc>
          <w:tcPr>
            <w:tcW w:w="256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Ian Michael Coughlan</w:t>
            </w:r>
          </w:p>
        </w:tc>
        <w:tc>
          <w:tcPr>
            <w:tcW w:w="1540" w:type="dxa"/>
            <w:vAlign w:val="bottom"/>
            <w:tcBorders>
              <w:bottom w:val="single" w:sz="8" w:color="D1CDCA"/>
            </w:tcBorders>
            <w:shd w:val="clear" w:color="auto" w:fill="F7F7E5"/>
          </w:tcPr>
          <w:p>
            <w:pPr>
              <w:jc w:val="right"/>
              <w:ind w:right="68"/>
              <w:spacing w:after="0"/>
              <w:rPr>
                <w:sz w:val="20"/>
                <w:szCs w:val="20"/>
                <w:color w:val="auto"/>
              </w:rPr>
            </w:pPr>
            <w:r>
              <w:rPr>
                <w:rFonts w:ascii="Arial" w:cs="Arial" w:eastAsia="Arial" w:hAnsi="Arial"/>
                <w:sz w:val="14"/>
                <w:szCs w:val="14"/>
                <w:color w:val="auto"/>
              </w:rPr>
              <w:t>58</w:t>
            </w:r>
          </w:p>
        </w:tc>
        <w:tc>
          <w:tcPr>
            <w:tcW w:w="6920" w:type="dxa"/>
            <w:vAlign w:val="bottom"/>
            <w:tcBorders>
              <w:bottom w:val="single" w:sz="8" w:color="D1CDCA"/>
            </w:tcBorders>
            <w:shd w:val="clear" w:color="auto" w:fill="F7F7E5"/>
          </w:tcPr>
          <w:p>
            <w:pPr>
              <w:ind w:left="120"/>
              <w:spacing w:after="0"/>
              <w:rPr>
                <w:sz w:val="20"/>
                <w:szCs w:val="20"/>
                <w:color w:val="auto"/>
              </w:rPr>
            </w:pPr>
            <w:r>
              <w:rPr>
                <w:rFonts w:ascii="Arial" w:cs="Arial" w:eastAsia="Arial" w:hAnsi="Arial"/>
                <w:sz w:val="14"/>
                <w:szCs w:val="14"/>
                <w:color w:val="auto"/>
              </w:rPr>
              <w:t>President and Executive Director—Wynn Macau, Limited</w:t>
            </w:r>
          </w:p>
        </w:tc>
      </w:tr>
    </w:tbl>
    <w:p>
      <w:pPr>
        <w:spacing w:after="0" w:line="218" w:lineRule="exact"/>
        <w:rPr>
          <w:sz w:val="20"/>
          <w:szCs w:val="20"/>
          <w:color w:val="auto"/>
        </w:rPr>
      </w:pPr>
    </w:p>
    <w:p>
      <w:pPr>
        <w:ind w:left="200" w:right="500"/>
        <w:spacing w:after="0" w:line="253" w:lineRule="auto"/>
        <w:rPr>
          <w:sz w:val="20"/>
          <w:szCs w:val="20"/>
          <w:color w:val="auto"/>
        </w:rPr>
      </w:pPr>
      <w:r>
        <w:rPr>
          <w:rFonts w:ascii="Arial" w:cs="Arial" w:eastAsia="Arial" w:hAnsi="Arial"/>
          <w:sz w:val="16"/>
          <w:szCs w:val="16"/>
          <w:color w:val="auto"/>
        </w:rPr>
        <w:t>Stephen A. Wynn, age 76, resigned as the Company’s Chairman and Chief Executive Officer, effective February 6, 2018, at which time the Board appointed Matt Maddox to serve as the Chief Executive Officer. Our executive officers are appointed by the Board and serve at the discretion of the Board, subject to applicable employment agreements.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-1624965</wp:posOffset>
            </wp:positionV>
            <wp:extent cx="1809750" cy="13036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149225</wp:posOffset>
            </wp:positionV>
            <wp:extent cx="23069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JOINED WYNN: 2002</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APPOINTED AS CEO: FEBRUARY 2018</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42</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b w:val="1"/>
          <w:bCs w:val="1"/>
          <w:color w:val="auto"/>
        </w:rPr>
        <w:t xml:space="preserve">Mr. Maddox </w:t>
      </w:r>
      <w:r>
        <w:rPr>
          <w:rFonts w:ascii="Arial" w:cs="Arial" w:eastAsia="Arial" w:hAnsi="Arial"/>
          <w:sz w:val="16"/>
          <w:szCs w:val="16"/>
          <w:color w:val="auto"/>
        </w:rPr>
        <w:t>has served as the Company’s President since November 2013 and its CEO since</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2018. He was a non-executive Director of Wynn Macau, Limited from March 28, 2013 until he was re-designated as an Executive Director of Wynn Macau, Limited in February 2018. From March 2008 to May 2014, Mr. Maddox was the Company’s Chief Financial Officer. Since joining Wynn Resorts in 2002, Mr. Maddox has served as the Company’s Senior Vice President of Business Development and Treasurer, as the Senior Vice President of Business Development for Wynn Las Vegas, as the Chief Financial Officer of Wynn Resorts (Macau), and as the Company’s Treasurer and Vice President-Investor Relations. Mr. Maddox also serves as an officer of several of the Company’s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PREVIOUS EXPERIENCE</w:t>
      </w:r>
    </w:p>
    <w:p>
      <w:pPr>
        <w:spacing w:after="0" w:line="142" w:lineRule="exact"/>
        <w:rPr>
          <w:sz w:val="20"/>
          <w:szCs w:val="20"/>
          <w:color w:val="auto"/>
        </w:rPr>
      </w:pPr>
    </w:p>
    <w:p>
      <w:pPr>
        <w:ind w:left="300" w:right="880" w:hanging="181"/>
        <w:spacing w:after="0" w:line="278" w:lineRule="auto"/>
        <w:tabs>
          <w:tab w:leader="none" w:pos="295" w:val="left"/>
        </w:tabs>
        <w:numPr>
          <w:ilvl w:val="0"/>
          <w:numId w:val="63"/>
        </w:numPr>
        <w:rPr>
          <w:rFonts w:ascii="Arial" w:cs="Arial" w:eastAsia="Arial" w:hAnsi="Arial"/>
          <w:sz w:val="16"/>
          <w:szCs w:val="16"/>
          <w:color w:val="665B4F"/>
        </w:rPr>
      </w:pPr>
      <w:r>
        <w:rPr>
          <w:rFonts w:ascii="Arial" w:cs="Arial" w:eastAsia="Arial" w:hAnsi="Arial"/>
          <w:sz w:val="16"/>
          <w:szCs w:val="16"/>
          <w:color w:val="auto"/>
        </w:rPr>
        <w:t>Previously, Corporate Finance, Caesars Entertainment, Inc. (formerly Park Place Entertainment, Inc.)</w:t>
      </w:r>
    </w:p>
    <w:p>
      <w:pPr>
        <w:spacing w:after="0" w:line="86" w:lineRule="exact"/>
        <w:rPr>
          <w:rFonts w:ascii="Arial" w:cs="Arial" w:eastAsia="Arial" w:hAnsi="Arial"/>
          <w:sz w:val="16"/>
          <w:szCs w:val="16"/>
          <w:color w:val="665B4F"/>
        </w:rPr>
      </w:pPr>
    </w:p>
    <w:p>
      <w:pPr>
        <w:ind w:left="300" w:hanging="181"/>
        <w:spacing w:after="0"/>
        <w:tabs>
          <w:tab w:leader="none" w:pos="300" w:val="left"/>
        </w:tabs>
        <w:numPr>
          <w:ilvl w:val="0"/>
          <w:numId w:val="63"/>
        </w:numPr>
        <w:rPr>
          <w:rFonts w:ascii="Arial" w:cs="Arial" w:eastAsia="Arial" w:hAnsi="Arial"/>
          <w:sz w:val="16"/>
          <w:szCs w:val="16"/>
          <w:color w:val="665B4F"/>
        </w:rPr>
      </w:pPr>
      <w:r>
        <w:rPr>
          <w:rFonts w:ascii="Arial" w:cs="Arial" w:eastAsia="Arial" w:hAnsi="Arial"/>
          <w:sz w:val="16"/>
          <w:szCs w:val="16"/>
          <w:color w:val="auto"/>
        </w:rPr>
        <w:t>Previously M&amp;A banker, Bank of America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EDUCATION</w:t>
      </w:r>
    </w:p>
    <w:p>
      <w:pPr>
        <w:spacing w:after="0" w:line="142" w:lineRule="exact"/>
        <w:rPr>
          <w:sz w:val="20"/>
          <w:szCs w:val="20"/>
          <w:color w:val="auto"/>
        </w:rPr>
      </w:pPr>
    </w:p>
    <w:p>
      <w:pPr>
        <w:ind w:left="300" w:hanging="181"/>
        <w:spacing w:after="0"/>
        <w:tabs>
          <w:tab w:leader="none" w:pos="300" w:val="left"/>
        </w:tabs>
        <w:numPr>
          <w:ilvl w:val="0"/>
          <w:numId w:val="64"/>
        </w:numPr>
        <w:rPr>
          <w:rFonts w:ascii="Arial" w:cs="Arial" w:eastAsia="Arial" w:hAnsi="Arial"/>
          <w:sz w:val="16"/>
          <w:szCs w:val="16"/>
          <w:color w:val="665B4F"/>
        </w:rPr>
      </w:pPr>
      <w:r>
        <w:rPr>
          <w:rFonts w:ascii="Arial" w:cs="Arial" w:eastAsia="Arial" w:hAnsi="Arial"/>
          <w:sz w:val="16"/>
          <w:szCs w:val="16"/>
          <w:color w:val="auto"/>
        </w:rPr>
        <w:t>Mr. Maddox graduated with a B.B.A. in finance from Southern Methodist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396240</wp:posOffset>
            </wp:positionV>
            <wp:extent cx="6997700" cy="308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7700" cy="308610"/>
                    </a:xfrm>
                    <a:prstGeom prst="rect">
                      <a:avLst/>
                    </a:prstGeom>
                    <a:noFill/>
                  </pic:spPr>
                </pic:pic>
              </a:graphicData>
            </a:graphic>
          </wp:anchor>
        </w:drawing>
      </w:r>
    </w:p>
    <w:p>
      <w:pPr>
        <w:spacing w:after="0" w:line="535" w:lineRule="exact"/>
        <w:rPr>
          <w:sz w:val="20"/>
          <w:szCs w:val="20"/>
          <w:color w:val="auto"/>
        </w:rPr>
      </w:pPr>
    </w:p>
    <w:p>
      <w:pPr>
        <w:sectPr>
          <w:pgSz w:w="11900" w:h="16838" w:orient="portrait"/>
          <w:cols w:equalWidth="0" w:num="2">
            <w:col w:w="3840" w:space="440"/>
            <w:col w:w="6960"/>
          </w:cols>
          <w:pgMar w:left="240" w:top="459" w:right="419" w:bottom="1440" w:gutter="0" w:footer="0" w:header="0"/>
          <w:type w:val="continuous"/>
        </w:sectPr>
      </w:pPr>
    </w:p>
    <w:p>
      <w:pPr>
        <w:spacing w:after="0" w:line="169" w:lineRule="exact"/>
        <w:rPr>
          <w:sz w:val="20"/>
          <w:szCs w:val="20"/>
          <w:color w:val="auto"/>
        </w:rPr>
      </w:pPr>
    </w:p>
    <w:p>
      <w:pPr>
        <w:ind w:left="300" w:right="180" w:firstLine="2494"/>
        <w:spacing w:after="0" w:line="230" w:lineRule="auto"/>
        <w:rPr>
          <w:sz w:val="20"/>
          <w:szCs w:val="20"/>
          <w:color w:val="auto"/>
        </w:rPr>
      </w:pPr>
      <w:r>
        <w:rPr>
          <w:rFonts w:ascii="Arial" w:cs="Arial" w:eastAsia="Arial" w:hAnsi="Arial"/>
          <w:sz w:val="16"/>
          <w:szCs w:val="16"/>
          <w:i w:val="1"/>
          <w:iCs w:val="1"/>
          <w:color w:val="auto"/>
        </w:rPr>
        <w:t xml:space="preserve">Mr. Maddox, hailing from small-town Arkansas, has risen through the ranks at Wynn over the past 16 years, leading </w:t>
      </w:r>
      <w:r>
        <w:rPr>
          <w:rFonts w:ascii="Arial" w:cs="Arial" w:eastAsia="Arial" w:hAnsi="Arial"/>
          <w:sz w:val="39"/>
          <w:szCs w:val="39"/>
          <w:b w:val="1"/>
          <w:bCs w:val="1"/>
          <w:color w:val="665B4F"/>
          <w:vertAlign w:val="superscript"/>
        </w:rPr>
        <w:t>#WEAREWYNNRESORTS</w:t>
      </w:r>
      <w:r>
        <w:rPr>
          <w:rFonts w:ascii="Arial" w:cs="Arial" w:eastAsia="Arial" w:hAnsi="Arial"/>
          <w:sz w:val="16"/>
          <w:szCs w:val="16"/>
          <w:i w:val="1"/>
          <w:iCs w:val="1"/>
          <w:color w:val="auto"/>
        </w:rPr>
        <w:t xml:space="preserve"> the company as CEO since February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6997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86995</wp:posOffset>
            </wp:positionV>
            <wp:extent cx="608965" cy="274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122"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21</w:t>
        <w:tab/>
        <w:t>|</w:t>
      </w:r>
    </w:p>
    <w:p>
      <w:pPr>
        <w:sectPr>
          <w:pgSz w:w="11900" w:h="16838" w:orient="portrait"/>
          <w:cols w:equalWidth="0" w:num="1">
            <w:col w:w="11240"/>
          </w:cols>
          <w:pgMar w:left="240" w:top="459" w:right="41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665B4F"/>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6997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500" w:right="40"/>
        <w:spacing w:after="0" w:line="266" w:lineRule="auto"/>
        <w:rPr>
          <w:sz w:val="20"/>
          <w:szCs w:val="20"/>
          <w:color w:val="auto"/>
        </w:rPr>
      </w:pPr>
      <w:r>
        <w:rPr>
          <w:rFonts w:ascii="Arial" w:cs="Arial" w:eastAsia="Arial" w:hAnsi="Arial"/>
          <w:sz w:val="16"/>
          <w:szCs w:val="16"/>
          <w:b w:val="1"/>
          <w:bCs w:val="1"/>
          <w:color w:val="auto"/>
        </w:rPr>
        <w:t xml:space="preserve">Ms. Sinatra </w:t>
      </w:r>
      <w:r>
        <w:rPr>
          <w:rFonts w:ascii="Arial" w:cs="Arial" w:eastAsia="Arial" w:hAnsi="Arial"/>
          <w:sz w:val="16"/>
          <w:szCs w:val="16"/>
          <w:color w:val="auto"/>
        </w:rPr>
        <w:t>has been a Non-Executive Director of Wynn Macau, since April 2017. She joined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January 2004 as Senior Vice President and General Counsel of its development activities. She also serves as an officer of several of the Company’s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1809750" cy="13036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7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665B4F"/>
        </w:rPr>
        <w:t>PREVIOUS EXPERIENCE</w:t>
      </w:r>
    </w:p>
    <w:p>
      <w:pPr>
        <w:spacing w:after="0" w:line="130" w:lineRule="exact"/>
        <w:rPr>
          <w:sz w:val="20"/>
          <w:szCs w:val="20"/>
          <w:color w:val="auto"/>
        </w:rPr>
      </w:pPr>
    </w:p>
    <w:p>
      <w:pPr>
        <w:ind w:left="3800" w:right="140" w:hanging="184"/>
        <w:spacing w:after="0" w:line="293" w:lineRule="auto"/>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2000 to 2003: Executive Vice President and Chief Legal Officer, Caesars Entertainment, Inc. (formerly</w:t>
      </w:r>
      <w:r>
        <w:rPr>
          <w:rFonts w:ascii="Arial" w:cs="Arial" w:eastAsia="Arial" w:hAnsi="Arial"/>
          <w:sz w:val="16"/>
          <w:szCs w:val="16"/>
          <w:color w:val="665B4F"/>
        </w:rPr>
        <w:t xml:space="preserve"> </w:t>
      </w:r>
      <w:r>
        <w:rPr>
          <w:rFonts w:ascii="Arial" w:cs="Arial" w:eastAsia="Arial" w:hAnsi="Arial"/>
          <w:sz w:val="16"/>
          <w:szCs w:val="16"/>
          <w:color w:val="000000"/>
        </w:rPr>
        <w:t>Park Place Entertainment, Inc.)</w:t>
      </w:r>
    </w:p>
    <w:p>
      <w:pPr>
        <w:spacing w:after="0" w:line="64" w:lineRule="exact"/>
        <w:rPr>
          <w:sz w:val="20"/>
          <w:szCs w:val="20"/>
          <w:color w:val="auto"/>
        </w:rPr>
      </w:pPr>
    </w:p>
    <w:p>
      <w:pPr>
        <w:ind w:left="3620" w:right="1180"/>
        <w:spacing w:after="0" w:line="423" w:lineRule="auto"/>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Previously General Counsel, The Griffin Group, Inc., Merv Griffin’s investment company</w:t>
      </w:r>
      <w:r>
        <w:rPr>
          <w:rFonts w:ascii="Arial" w:cs="Arial" w:eastAsia="Arial" w:hAnsi="Arial"/>
          <w:sz w:val="16"/>
          <w:szCs w:val="16"/>
          <w:color w:val="665B4F"/>
        </w:rPr>
        <w:t xml:space="preserve"> • </w:t>
      </w:r>
      <w:r>
        <w:rPr>
          <w:rFonts w:ascii="Arial" w:cs="Arial" w:eastAsia="Arial" w:hAnsi="Arial"/>
          <w:sz w:val="16"/>
          <w:szCs w:val="16"/>
          <w:color w:val="000000"/>
        </w:rPr>
        <w:t>Previously partner in the New York office of the law firm Gibson, Dunn &amp; Crutcher LLP</w:t>
      </w:r>
    </w:p>
    <w:tbl>
      <w:tblPr>
        <w:tblLayout w:type="fixed"/>
        <w:tblInd w:w="200" w:type="dxa"/>
        <w:tblCellMar>
          <w:top w:w="0" w:type="dxa"/>
          <w:left w:w="0" w:type="dxa"/>
          <w:bottom w:w="0" w:type="dxa"/>
          <w:right w:w="0" w:type="dxa"/>
        </w:tblCellMar>
      </w:tblPr>
      <w:tr>
        <w:trPr>
          <w:trHeight w:val="347"/>
        </w:trPr>
        <w:tc>
          <w:tcPr>
            <w:tcW w:w="2620" w:type="dxa"/>
            <w:vAlign w:val="bottom"/>
            <w:gridSpan w:val="2"/>
          </w:tcPr>
          <w:p>
            <w:pPr>
              <w:spacing w:after="0"/>
              <w:rPr>
                <w:sz w:val="20"/>
                <w:szCs w:val="20"/>
                <w:color w:val="auto"/>
              </w:rPr>
            </w:pPr>
            <w:r>
              <w:rPr>
                <w:rFonts w:ascii="Arial" w:cs="Arial" w:eastAsia="Arial" w:hAnsi="Arial"/>
                <w:sz w:val="25"/>
                <w:szCs w:val="25"/>
                <w:b w:val="1"/>
                <w:bCs w:val="1"/>
                <w:color w:val="auto"/>
              </w:rPr>
              <w:t>KIM SINATRA</w:t>
            </w:r>
          </w:p>
        </w:tc>
        <w:tc>
          <w:tcPr>
            <w:tcW w:w="240" w:type="dxa"/>
            <w:vAlign w:val="bottom"/>
          </w:tcPr>
          <w:p>
            <w:pPr>
              <w:spacing w:after="0"/>
              <w:rPr>
                <w:sz w:val="24"/>
                <w:szCs w:val="24"/>
                <w:color w:val="auto"/>
              </w:rPr>
            </w:pPr>
          </w:p>
        </w:tc>
        <w:tc>
          <w:tcPr>
            <w:tcW w:w="8180" w:type="dxa"/>
            <w:vAlign w:val="bottom"/>
          </w:tcPr>
          <w:p>
            <w:pPr>
              <w:ind w:left="440"/>
              <w:spacing w:after="0"/>
              <w:rPr>
                <w:sz w:val="20"/>
                <w:szCs w:val="20"/>
                <w:color w:val="auto"/>
              </w:rPr>
            </w:pPr>
            <w:r>
              <w:rPr>
                <w:rFonts w:ascii="Arial" w:cs="Arial" w:eastAsia="Arial" w:hAnsi="Arial"/>
                <w:sz w:val="18"/>
                <w:szCs w:val="18"/>
                <w:b w:val="1"/>
                <w:bCs w:val="1"/>
                <w:color w:val="665B4F"/>
              </w:rPr>
              <w:t>EDUCATION</w:t>
            </w:r>
          </w:p>
        </w:tc>
        <w:tc>
          <w:tcPr>
            <w:tcW w:w="0" w:type="dxa"/>
            <w:vAlign w:val="bottom"/>
          </w:tcPr>
          <w:p>
            <w:pPr>
              <w:spacing w:after="0"/>
              <w:rPr>
                <w:sz w:val="1"/>
                <w:szCs w:val="1"/>
                <w:color w:val="auto"/>
              </w:rPr>
            </w:pPr>
          </w:p>
        </w:tc>
      </w:tr>
      <w:tr>
        <w:trPr>
          <w:trHeight w:val="251"/>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EXECUTIVE VICE PRESIDENT,</w:t>
            </w:r>
          </w:p>
        </w:tc>
        <w:tc>
          <w:tcPr>
            <w:tcW w:w="240" w:type="dxa"/>
            <w:vAlign w:val="bottom"/>
          </w:tcPr>
          <w:p>
            <w:pPr>
              <w:spacing w:after="0"/>
              <w:rPr>
                <w:sz w:val="21"/>
                <w:szCs w:val="21"/>
                <w:color w:val="auto"/>
              </w:rPr>
            </w:pPr>
          </w:p>
        </w:tc>
        <w:tc>
          <w:tcPr>
            <w:tcW w:w="8180" w:type="dxa"/>
            <w:vAlign w:val="bottom"/>
            <w:vMerge w:val="restart"/>
          </w:tcPr>
          <w:p>
            <w:pPr>
              <w:ind w:left="560"/>
              <w:spacing w:after="0"/>
              <w:rPr>
                <w:sz w:val="20"/>
                <w:szCs w:val="20"/>
                <w:color w:val="auto"/>
              </w:rPr>
            </w:pPr>
            <w:r>
              <w:rPr>
                <w:rFonts w:ascii="Arial" w:cs="Arial" w:eastAsia="Arial" w:hAnsi="Arial"/>
                <w:sz w:val="16"/>
                <w:szCs w:val="16"/>
                <w:color w:val="665B4F"/>
              </w:rPr>
              <w:t xml:space="preserve">•  </w:t>
            </w:r>
            <w:r>
              <w:rPr>
                <w:rFonts w:ascii="Arial" w:cs="Arial" w:eastAsia="Arial" w:hAnsi="Arial"/>
                <w:sz w:val="16"/>
                <w:szCs w:val="16"/>
                <w:color w:val="000000"/>
              </w:rPr>
              <w:t>Ms. Sinatra graduated with a B.A. (phi beta kappa) from Wellesley College and has a J.D. from the</w:t>
            </w:r>
          </w:p>
        </w:tc>
        <w:tc>
          <w:tcPr>
            <w:tcW w:w="0" w:type="dxa"/>
            <w:vAlign w:val="bottom"/>
          </w:tcPr>
          <w:p>
            <w:pPr>
              <w:spacing w:after="0"/>
              <w:rPr>
                <w:sz w:val="1"/>
                <w:szCs w:val="1"/>
                <w:color w:val="auto"/>
              </w:rPr>
            </w:pPr>
          </w:p>
        </w:tc>
      </w:tr>
      <w:tr>
        <w:trPr>
          <w:trHeight w:val="54"/>
        </w:trPr>
        <w:tc>
          <w:tcPr>
            <w:tcW w:w="2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GENERAL</w:t>
            </w:r>
          </w:p>
        </w:tc>
        <w:tc>
          <w:tcPr>
            <w:tcW w:w="240" w:type="dxa"/>
            <w:vAlign w:val="bottom"/>
          </w:tcPr>
          <w:p>
            <w:pPr>
              <w:spacing w:after="0"/>
              <w:rPr>
                <w:sz w:val="4"/>
                <w:szCs w:val="4"/>
                <w:color w:val="auto"/>
              </w:rPr>
            </w:pPr>
          </w:p>
        </w:tc>
        <w:tc>
          <w:tcPr>
            <w:tcW w:w="8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6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180" w:type="dxa"/>
            <w:vAlign w:val="bottom"/>
            <w:vMerge w:val="restart"/>
          </w:tcPr>
          <w:p>
            <w:pPr>
              <w:ind w:left="740"/>
              <w:spacing w:after="0"/>
              <w:rPr>
                <w:sz w:val="20"/>
                <w:szCs w:val="20"/>
                <w:color w:val="auto"/>
              </w:rPr>
            </w:pPr>
            <w:r>
              <w:rPr>
                <w:rFonts w:ascii="Arial" w:cs="Arial" w:eastAsia="Arial" w:hAnsi="Arial"/>
                <w:sz w:val="16"/>
                <w:szCs w:val="16"/>
                <w:color w:val="auto"/>
              </w:rPr>
              <w:t>University of Chicago.</w:t>
            </w:r>
          </w:p>
        </w:tc>
        <w:tc>
          <w:tcPr>
            <w:tcW w:w="0" w:type="dxa"/>
            <w:vAlign w:val="bottom"/>
          </w:tcPr>
          <w:p>
            <w:pPr>
              <w:spacing w:after="0"/>
              <w:rPr>
                <w:sz w:val="1"/>
                <w:szCs w:val="1"/>
                <w:color w:val="auto"/>
              </w:rPr>
            </w:pPr>
          </w:p>
        </w:tc>
      </w:tr>
      <w:tr>
        <w:trPr>
          <w:trHeight w:val="48"/>
        </w:trPr>
        <w:tc>
          <w:tcPr>
            <w:tcW w:w="2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COUNSEL AND SECRETARY</w:t>
            </w:r>
          </w:p>
        </w:tc>
        <w:tc>
          <w:tcPr>
            <w:tcW w:w="240" w:type="dxa"/>
            <w:vAlign w:val="bottom"/>
          </w:tcPr>
          <w:p>
            <w:pPr>
              <w:spacing w:after="0"/>
              <w:rPr>
                <w:sz w:val="4"/>
                <w:szCs w:val="4"/>
                <w:color w:val="auto"/>
              </w:rPr>
            </w:pPr>
          </w:p>
        </w:tc>
        <w:tc>
          <w:tcPr>
            <w:tcW w:w="8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6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665B4F"/>
            </w:tcBorders>
          </w:tcPr>
          <w:p>
            <w:pPr>
              <w:spacing w:after="0"/>
              <w:rPr>
                <w:sz w:val="16"/>
                <w:szCs w:val="16"/>
                <w:color w:val="auto"/>
              </w:rPr>
            </w:pPr>
          </w:p>
        </w:tc>
        <w:tc>
          <w:tcPr>
            <w:tcW w:w="2600" w:type="dxa"/>
            <w:vAlign w:val="bottom"/>
            <w:tcBorders>
              <w:bottom w:val="single" w:sz="8" w:color="665B4F"/>
            </w:tcBorders>
          </w:tcPr>
          <w:p>
            <w:pPr>
              <w:spacing w:after="0"/>
              <w:rPr>
                <w:sz w:val="16"/>
                <w:szCs w:val="16"/>
                <w:color w:val="auto"/>
              </w:rPr>
            </w:pPr>
          </w:p>
        </w:tc>
        <w:tc>
          <w:tcPr>
            <w:tcW w:w="240" w:type="dxa"/>
            <w:vAlign w:val="bottom"/>
            <w:tcBorders>
              <w:bottom w:val="single" w:sz="8" w:color="665B4F"/>
            </w:tcBorders>
          </w:tcPr>
          <w:p>
            <w:pPr>
              <w:spacing w:after="0"/>
              <w:rPr>
                <w:sz w:val="16"/>
                <w:szCs w:val="16"/>
                <w:color w:val="auto"/>
              </w:rPr>
            </w:pPr>
          </w:p>
        </w:tc>
        <w:tc>
          <w:tcPr>
            <w:tcW w:w="8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2620" w:type="dxa"/>
            <w:vAlign w:val="bottom"/>
            <w:gridSpan w:val="2"/>
          </w:tcPr>
          <w:p>
            <w:pPr>
              <w:spacing w:after="0"/>
              <w:rPr>
                <w:sz w:val="20"/>
                <w:szCs w:val="20"/>
                <w:color w:val="auto"/>
              </w:rPr>
            </w:pPr>
            <w:r>
              <w:rPr>
                <w:rFonts w:ascii="Arial" w:cs="Arial" w:eastAsia="Arial" w:hAnsi="Arial"/>
                <w:sz w:val="16"/>
                <w:szCs w:val="16"/>
                <w:b w:val="1"/>
                <w:bCs w:val="1"/>
                <w:color w:val="665B4F"/>
              </w:rPr>
              <w:t>JOINED WYNN: JANUARY 2004</w:t>
            </w:r>
          </w:p>
        </w:tc>
        <w:tc>
          <w:tcPr>
            <w:tcW w:w="24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620" w:type="dxa"/>
            <w:vAlign w:val="bottom"/>
            <w:gridSpan w:val="2"/>
          </w:tcPr>
          <w:p>
            <w:pPr>
              <w:spacing w:after="0"/>
              <w:rPr>
                <w:sz w:val="20"/>
                <w:szCs w:val="20"/>
                <w:color w:val="auto"/>
              </w:rPr>
            </w:pPr>
            <w:r>
              <w:rPr>
                <w:rFonts w:ascii="Arial" w:cs="Arial" w:eastAsia="Arial" w:hAnsi="Arial"/>
                <w:sz w:val="16"/>
                <w:szCs w:val="16"/>
                <w:b w:val="1"/>
                <w:bCs w:val="1"/>
                <w:color w:val="665B4F"/>
              </w:rPr>
              <w:t>APPOINTED IN CURRENT</w:t>
            </w:r>
          </w:p>
        </w:tc>
        <w:tc>
          <w:tcPr>
            <w:tcW w:w="24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spacing w:after="0"/>
              <w:rPr>
                <w:sz w:val="20"/>
                <w:szCs w:val="20"/>
                <w:color w:val="auto"/>
              </w:rPr>
            </w:pPr>
            <w:r>
              <w:rPr>
                <w:rFonts w:ascii="Arial" w:cs="Arial" w:eastAsia="Arial" w:hAnsi="Arial"/>
                <w:sz w:val="16"/>
                <w:szCs w:val="16"/>
                <w:b w:val="1"/>
                <w:bCs w:val="1"/>
                <w:color w:val="665B4F"/>
              </w:rPr>
              <w:t>POSITION:</w:t>
            </w:r>
          </w:p>
        </w:tc>
        <w:tc>
          <w:tcPr>
            <w:tcW w:w="24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gridSpan w:val="2"/>
          </w:tcPr>
          <w:p>
            <w:pPr>
              <w:spacing w:after="0"/>
              <w:rPr>
                <w:sz w:val="20"/>
                <w:szCs w:val="20"/>
                <w:color w:val="auto"/>
              </w:rPr>
            </w:pPr>
            <w:r>
              <w:rPr>
                <w:rFonts w:ascii="Arial" w:cs="Arial" w:eastAsia="Arial" w:hAnsi="Arial"/>
                <w:sz w:val="16"/>
                <w:szCs w:val="16"/>
                <w:b w:val="1"/>
                <w:bCs w:val="1"/>
                <w:color w:val="665B4F"/>
              </w:rPr>
              <w:t>FEBRUARY 2006</w:t>
            </w:r>
          </w:p>
        </w:tc>
        <w:tc>
          <w:tcPr>
            <w:tcW w:w="24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620" w:type="dxa"/>
            <w:vAlign w:val="bottom"/>
            <w:gridSpan w:val="2"/>
          </w:tcPr>
          <w:p>
            <w:pPr>
              <w:spacing w:after="0"/>
              <w:rPr>
                <w:sz w:val="20"/>
                <w:szCs w:val="20"/>
                <w:color w:val="auto"/>
              </w:rPr>
            </w:pPr>
            <w:r>
              <w:rPr>
                <w:rFonts w:ascii="Arial" w:cs="Arial" w:eastAsia="Arial" w:hAnsi="Arial"/>
                <w:sz w:val="16"/>
                <w:szCs w:val="16"/>
                <w:b w:val="1"/>
                <w:bCs w:val="1"/>
                <w:color w:val="665B4F"/>
              </w:rPr>
              <w:t>AGE: 57</w:t>
            </w:r>
          </w:p>
        </w:tc>
        <w:tc>
          <w:tcPr>
            <w:tcW w:w="24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00" w:type="dxa"/>
            <w:vAlign w:val="bottom"/>
            <w:tcBorders>
              <w:bottom w:val="single" w:sz="8" w:color="665B4F"/>
            </w:tcBorders>
          </w:tcPr>
          <w:p>
            <w:pPr>
              <w:spacing w:after="0"/>
              <w:rPr>
                <w:sz w:val="22"/>
                <w:szCs w:val="22"/>
                <w:color w:val="auto"/>
              </w:rPr>
            </w:pPr>
          </w:p>
        </w:tc>
        <w:tc>
          <w:tcPr>
            <w:tcW w:w="8420" w:type="dxa"/>
            <w:vAlign w:val="bottom"/>
            <w:tcBorders>
              <w:bottom w:val="single" w:sz="8" w:color="665B4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right w:val="single" w:sz="8" w:color="665B4F"/>
            </w:tcBorders>
            <w:vMerge w:val="restart"/>
          </w:tcPr>
          <w:p>
            <w:pPr>
              <w:ind w:left="80"/>
              <w:spacing w:after="0"/>
              <w:rPr>
                <w:sz w:val="20"/>
                <w:szCs w:val="20"/>
                <w:color w:val="auto"/>
              </w:rPr>
            </w:pPr>
            <w:r>
              <w:rPr>
                <w:rFonts w:ascii="Arial" w:cs="Arial" w:eastAsia="Arial" w:hAnsi="Arial"/>
                <w:sz w:val="20"/>
                <w:szCs w:val="20"/>
                <w:b w:val="1"/>
                <w:bCs w:val="1"/>
                <w:color w:val="665B4F"/>
              </w:rPr>
              <w:t>#WEAREWYNNRESORTS</w:t>
            </w:r>
          </w:p>
        </w:tc>
        <w:tc>
          <w:tcPr>
            <w:tcW w:w="8420" w:type="dxa"/>
            <w:vAlign w:val="bottom"/>
            <w:gridSpan w:val="2"/>
          </w:tcPr>
          <w:p>
            <w:pPr>
              <w:ind w:left="80"/>
              <w:spacing w:after="0"/>
              <w:rPr>
                <w:sz w:val="20"/>
                <w:szCs w:val="20"/>
                <w:color w:val="auto"/>
              </w:rPr>
            </w:pPr>
            <w:r>
              <w:rPr>
                <w:rFonts w:ascii="Arial" w:cs="Arial" w:eastAsia="Arial" w:hAnsi="Arial"/>
                <w:sz w:val="16"/>
                <w:szCs w:val="16"/>
                <w:i w:val="1"/>
                <w:iCs w:val="1"/>
                <w:color w:val="auto"/>
              </w:rPr>
              <w:t>“I have three sons (19, 20, and 25), who have grown up with my Wynn family. My passion is legal aid, particularly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0" w:type="dxa"/>
            <w:vAlign w:val="bottom"/>
            <w:tcBorders>
              <w:right w:val="single" w:sz="8" w:color="665B4F"/>
            </w:tcBorders>
            <w:vMerge w:val="continue"/>
          </w:tcPr>
          <w:p>
            <w:pPr>
              <w:spacing w:after="0"/>
              <w:rPr>
                <w:sz w:val="18"/>
                <w:szCs w:val="18"/>
                <w:color w:val="auto"/>
              </w:rPr>
            </w:pPr>
          </w:p>
        </w:tc>
        <w:tc>
          <w:tcPr>
            <w:tcW w:w="8420" w:type="dxa"/>
            <w:vAlign w:val="bottom"/>
            <w:gridSpan w:val="2"/>
          </w:tcPr>
          <w:p>
            <w:pPr>
              <w:ind w:left="80"/>
              <w:spacing w:after="0"/>
              <w:rPr>
                <w:sz w:val="20"/>
                <w:szCs w:val="20"/>
                <w:color w:val="auto"/>
              </w:rPr>
            </w:pPr>
            <w:r>
              <w:rPr>
                <w:rFonts w:ascii="Arial" w:cs="Arial" w:eastAsia="Arial" w:hAnsi="Arial"/>
                <w:sz w:val="16"/>
                <w:szCs w:val="16"/>
                <w:i w:val="1"/>
                <w:iCs w:val="1"/>
                <w:color w:val="auto"/>
              </w:rPr>
              <w:t>the representation of children in the foster care system.”</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600" w:type="dxa"/>
            <w:vAlign w:val="bottom"/>
            <w:tcBorders>
              <w:bottom w:val="single" w:sz="8" w:color="665B4F"/>
            </w:tcBorders>
          </w:tcPr>
          <w:p>
            <w:pPr>
              <w:spacing w:after="0"/>
              <w:rPr>
                <w:sz w:val="24"/>
                <w:szCs w:val="24"/>
                <w:color w:val="auto"/>
              </w:rPr>
            </w:pPr>
          </w:p>
        </w:tc>
        <w:tc>
          <w:tcPr>
            <w:tcW w:w="240" w:type="dxa"/>
            <w:vAlign w:val="bottom"/>
            <w:tcBorders>
              <w:bottom w:val="single" w:sz="8" w:color="665B4F"/>
            </w:tcBorders>
          </w:tcPr>
          <w:p>
            <w:pPr>
              <w:spacing w:after="0"/>
              <w:rPr>
                <w:sz w:val="24"/>
                <w:szCs w:val="24"/>
                <w:color w:val="auto"/>
              </w:rPr>
            </w:pPr>
          </w:p>
        </w:tc>
        <w:tc>
          <w:tcPr>
            <w:tcW w:w="8180" w:type="dxa"/>
            <w:vAlign w:val="bottom"/>
            <w:tcBorders>
              <w:bottom w:val="single" w:sz="8" w:color="665B4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-1624965</wp:posOffset>
            </wp:positionV>
            <wp:extent cx="1809750" cy="13036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149225</wp:posOffset>
            </wp:positionV>
            <wp:extent cx="23241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JOINED WYNN: MARCH 2017</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45</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20" w:right="420"/>
        <w:spacing w:after="0" w:line="286" w:lineRule="auto"/>
        <w:rPr>
          <w:sz w:val="20"/>
          <w:szCs w:val="20"/>
          <w:color w:val="auto"/>
        </w:rPr>
      </w:pPr>
      <w:r>
        <w:rPr>
          <w:rFonts w:ascii="Arial" w:cs="Arial" w:eastAsia="Arial" w:hAnsi="Arial"/>
          <w:sz w:val="16"/>
          <w:szCs w:val="16"/>
          <w:b w:val="1"/>
          <w:bCs w:val="1"/>
          <w:color w:val="auto"/>
        </w:rPr>
        <w:t xml:space="preserve">Mr. Billings </w:t>
      </w:r>
      <w:r>
        <w:rPr>
          <w:rFonts w:ascii="Arial" w:cs="Arial" w:eastAsia="Arial" w:hAnsi="Arial"/>
          <w:sz w:val="16"/>
          <w:szCs w:val="16"/>
          <w:color w:val="auto"/>
        </w:rPr>
        <w:t>is the Company’s Chief Financial Officer and Treasurer, a position he has held</w:t>
      </w:r>
      <w:r>
        <w:rPr>
          <w:rFonts w:ascii="Arial" w:cs="Arial" w:eastAsia="Arial" w:hAnsi="Arial"/>
          <w:sz w:val="16"/>
          <w:szCs w:val="16"/>
          <w:b w:val="1"/>
          <w:bCs w:val="1"/>
          <w:color w:val="auto"/>
        </w:rPr>
        <w:t xml:space="preserve"> </w:t>
      </w:r>
      <w:r>
        <w:rPr>
          <w:rFonts w:ascii="Arial" w:cs="Arial" w:eastAsia="Arial" w:hAnsi="Arial"/>
          <w:sz w:val="16"/>
          <w:szCs w:val="16"/>
          <w:color w:val="auto"/>
        </w:rPr>
        <w:t>since March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PREVIOUS EXPERIENCE</w:t>
      </w:r>
    </w:p>
    <w:p>
      <w:pPr>
        <w:spacing w:after="0" w:line="142" w:lineRule="exact"/>
        <w:rPr>
          <w:sz w:val="20"/>
          <w:szCs w:val="20"/>
          <w:color w:val="auto"/>
        </w:rPr>
      </w:pPr>
    </w:p>
    <w:p>
      <w:pPr>
        <w:ind w:left="300" w:hanging="174"/>
        <w:spacing w:after="0"/>
        <w:tabs>
          <w:tab w:leader="none" w:pos="300" w:val="left"/>
        </w:tabs>
        <w:numPr>
          <w:ilvl w:val="0"/>
          <w:numId w:val="65"/>
        </w:numPr>
        <w:rPr>
          <w:rFonts w:ascii="Arial" w:cs="Arial" w:eastAsia="Arial" w:hAnsi="Arial"/>
          <w:sz w:val="16"/>
          <w:szCs w:val="16"/>
          <w:color w:val="665B4F"/>
        </w:rPr>
      </w:pPr>
      <w:r>
        <w:rPr>
          <w:rFonts w:ascii="Arial" w:cs="Arial" w:eastAsia="Arial" w:hAnsi="Arial"/>
          <w:sz w:val="16"/>
          <w:szCs w:val="16"/>
          <w:color w:val="auto"/>
        </w:rPr>
        <w:t>2015 to 2017: Gaming industry independent advisor and investor</w:t>
      </w:r>
    </w:p>
    <w:p>
      <w:pPr>
        <w:spacing w:after="0" w:line="140" w:lineRule="exact"/>
        <w:rPr>
          <w:rFonts w:ascii="Arial" w:cs="Arial" w:eastAsia="Arial" w:hAnsi="Arial"/>
          <w:sz w:val="16"/>
          <w:szCs w:val="16"/>
          <w:color w:val="665B4F"/>
        </w:rPr>
      </w:pPr>
    </w:p>
    <w:p>
      <w:pPr>
        <w:ind w:left="320" w:right="260" w:hanging="194"/>
        <w:spacing w:after="0" w:line="278" w:lineRule="auto"/>
        <w:tabs>
          <w:tab w:leader="none" w:pos="315" w:val="left"/>
        </w:tabs>
        <w:numPr>
          <w:ilvl w:val="0"/>
          <w:numId w:val="65"/>
        </w:numPr>
        <w:rPr>
          <w:rFonts w:ascii="Arial" w:cs="Arial" w:eastAsia="Arial" w:hAnsi="Arial"/>
          <w:sz w:val="16"/>
          <w:szCs w:val="16"/>
          <w:color w:val="665B4F"/>
        </w:rPr>
      </w:pPr>
      <w:r>
        <w:rPr>
          <w:rFonts w:ascii="Arial" w:cs="Arial" w:eastAsia="Arial" w:hAnsi="Arial"/>
          <w:sz w:val="16"/>
          <w:szCs w:val="16"/>
          <w:color w:val="auto"/>
        </w:rPr>
        <w:t>2012 to 2015: Chief Digital Officer, Strategy &amp; Business Development Managing Director, various roles, Aristocrat Leisure Ltd</w:t>
      </w:r>
    </w:p>
    <w:p>
      <w:pPr>
        <w:spacing w:after="0" w:line="86" w:lineRule="exact"/>
        <w:rPr>
          <w:rFonts w:ascii="Arial" w:cs="Arial" w:eastAsia="Arial" w:hAnsi="Arial"/>
          <w:sz w:val="16"/>
          <w:szCs w:val="16"/>
          <w:color w:val="665B4F"/>
        </w:rPr>
      </w:pPr>
    </w:p>
    <w:p>
      <w:pPr>
        <w:ind w:left="320" w:right="360" w:hanging="194"/>
        <w:spacing w:after="0" w:line="278" w:lineRule="auto"/>
        <w:tabs>
          <w:tab w:leader="none" w:pos="315" w:val="left"/>
        </w:tabs>
        <w:numPr>
          <w:ilvl w:val="0"/>
          <w:numId w:val="65"/>
        </w:numPr>
        <w:rPr>
          <w:rFonts w:ascii="Arial" w:cs="Arial" w:eastAsia="Arial" w:hAnsi="Arial"/>
          <w:sz w:val="16"/>
          <w:szCs w:val="16"/>
          <w:color w:val="665B4F"/>
        </w:rPr>
      </w:pPr>
      <w:r>
        <w:rPr>
          <w:rFonts w:ascii="Arial" w:cs="Arial" w:eastAsia="Arial" w:hAnsi="Arial"/>
          <w:sz w:val="16"/>
          <w:szCs w:val="16"/>
          <w:color w:val="auto"/>
        </w:rPr>
        <w:t>Previously Vice President in the Investment Banking Division of Goldman Sachs in both New York and London, covering the gaming industry</w:t>
      </w:r>
    </w:p>
    <w:p>
      <w:pPr>
        <w:spacing w:after="0" w:line="86" w:lineRule="exact"/>
        <w:rPr>
          <w:rFonts w:ascii="Arial" w:cs="Arial" w:eastAsia="Arial" w:hAnsi="Arial"/>
          <w:sz w:val="16"/>
          <w:szCs w:val="16"/>
          <w:color w:val="665B4F"/>
        </w:rPr>
      </w:pPr>
    </w:p>
    <w:p>
      <w:pPr>
        <w:ind w:left="300" w:hanging="174"/>
        <w:spacing w:after="0"/>
        <w:tabs>
          <w:tab w:leader="none" w:pos="300" w:val="left"/>
        </w:tabs>
        <w:numPr>
          <w:ilvl w:val="0"/>
          <w:numId w:val="65"/>
        </w:numPr>
        <w:rPr>
          <w:rFonts w:ascii="Arial" w:cs="Arial" w:eastAsia="Arial" w:hAnsi="Arial"/>
          <w:sz w:val="16"/>
          <w:szCs w:val="16"/>
          <w:color w:val="665B4F"/>
        </w:rPr>
      </w:pPr>
      <w:r>
        <w:rPr>
          <w:rFonts w:ascii="Arial" w:cs="Arial" w:eastAsia="Arial" w:hAnsi="Arial"/>
          <w:sz w:val="16"/>
          <w:szCs w:val="16"/>
          <w:color w:val="auto"/>
        </w:rPr>
        <w:t>Previously Manager in the Audit Division of Deloitte &amp; Touche in Las Vegas, NV</w:t>
      </w:r>
    </w:p>
    <w:p>
      <w:pPr>
        <w:spacing w:after="0" w:line="140" w:lineRule="exact"/>
        <w:rPr>
          <w:rFonts w:ascii="Arial" w:cs="Arial" w:eastAsia="Arial" w:hAnsi="Arial"/>
          <w:sz w:val="16"/>
          <w:szCs w:val="16"/>
          <w:color w:val="665B4F"/>
        </w:rPr>
      </w:pPr>
    </w:p>
    <w:p>
      <w:pPr>
        <w:ind w:left="320" w:right="440" w:hanging="194"/>
        <w:spacing w:after="0" w:line="278" w:lineRule="auto"/>
        <w:tabs>
          <w:tab w:leader="none" w:pos="315" w:val="left"/>
        </w:tabs>
        <w:numPr>
          <w:ilvl w:val="0"/>
          <w:numId w:val="65"/>
        </w:numPr>
        <w:rPr>
          <w:rFonts w:ascii="Arial" w:cs="Arial" w:eastAsia="Arial" w:hAnsi="Arial"/>
          <w:sz w:val="16"/>
          <w:szCs w:val="16"/>
          <w:color w:val="665B4F"/>
        </w:rPr>
      </w:pPr>
      <w:r>
        <w:rPr>
          <w:rFonts w:ascii="Arial" w:cs="Arial" w:eastAsia="Arial" w:hAnsi="Arial"/>
          <w:sz w:val="16"/>
          <w:szCs w:val="16"/>
          <w:color w:val="auto"/>
        </w:rPr>
        <w:t>2015 to 2018: Director and Non-Executive Chairman, NYX Gaming Group (now part of Scientific Games)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EDUCATION</w:t>
      </w:r>
    </w:p>
    <w:p>
      <w:pPr>
        <w:spacing w:after="0" w:line="142" w:lineRule="exact"/>
        <w:rPr>
          <w:sz w:val="20"/>
          <w:szCs w:val="20"/>
          <w:color w:val="auto"/>
        </w:rPr>
      </w:pPr>
    </w:p>
    <w:p>
      <w:pPr>
        <w:ind w:left="300" w:hanging="174"/>
        <w:spacing w:after="0"/>
        <w:tabs>
          <w:tab w:leader="none" w:pos="300" w:val="left"/>
        </w:tabs>
        <w:numPr>
          <w:ilvl w:val="0"/>
          <w:numId w:val="66"/>
        </w:numPr>
        <w:rPr>
          <w:rFonts w:ascii="Arial" w:cs="Arial" w:eastAsia="Arial" w:hAnsi="Arial"/>
          <w:sz w:val="16"/>
          <w:szCs w:val="16"/>
          <w:color w:val="665B4F"/>
        </w:rPr>
      </w:pPr>
      <w:r>
        <w:rPr>
          <w:rFonts w:ascii="Arial" w:cs="Arial" w:eastAsia="Arial" w:hAnsi="Arial"/>
          <w:sz w:val="16"/>
          <w:szCs w:val="16"/>
          <w:color w:val="auto"/>
        </w:rPr>
        <w:t>Mr. Billings graduated with a B.S. (Cum Laude) in Accounting from the University of Nevada,</w:t>
      </w:r>
    </w:p>
    <w:p>
      <w:pPr>
        <w:spacing w:after="0" w:line="19" w:lineRule="exact"/>
        <w:rPr>
          <w:sz w:val="20"/>
          <w:szCs w:val="20"/>
          <w:color w:val="auto"/>
        </w:rPr>
      </w:pPr>
    </w:p>
    <w:p>
      <w:pPr>
        <w:sectPr>
          <w:pgSz w:w="11900" w:h="16838" w:orient="portrait"/>
          <w:cols w:equalWidth="0" w:num="2">
            <w:col w:w="3860" w:space="440"/>
            <w:col w:w="6940"/>
          </w:cols>
          <w:pgMar w:left="240" w:top="459" w:right="419" w:bottom="1440" w:gutter="0" w:footer="0" w:header="0"/>
          <w:type w:val="continuous"/>
        </w:sectPr>
      </w:pPr>
    </w:p>
    <w:p>
      <w:pPr>
        <w:ind w:left="4620" w:right="580"/>
        <w:spacing w:after="0" w:line="260" w:lineRule="auto"/>
        <w:rPr>
          <w:sz w:val="20"/>
          <w:szCs w:val="20"/>
          <w:color w:val="auto"/>
        </w:rPr>
      </w:pPr>
      <w:r>
        <w:rPr>
          <w:rFonts w:ascii="Arial" w:cs="Arial" w:eastAsia="Arial" w:hAnsi="Arial"/>
          <w:sz w:val="16"/>
          <w:szCs w:val="16"/>
          <w:color w:val="auto"/>
        </w:rPr>
        <w:t>Las Vegas, and received an M.B.A. from Columbia Business School. Mr. Billings is a Certified Public Accountant.</w:t>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2600" w:type="dxa"/>
            <w:vAlign w:val="bottom"/>
            <w:tcBorders>
              <w:top w:val="single" w:sz="8" w:color="665B4F"/>
              <w:right w:val="single" w:sz="8" w:color="665B4F"/>
            </w:tcBorders>
            <w:vMerge w:val="restart"/>
          </w:tcPr>
          <w:p>
            <w:pPr>
              <w:ind w:left="80"/>
              <w:spacing w:after="0"/>
              <w:rPr>
                <w:sz w:val="20"/>
                <w:szCs w:val="20"/>
                <w:color w:val="auto"/>
              </w:rPr>
            </w:pPr>
            <w:r>
              <w:rPr>
                <w:rFonts w:ascii="Arial" w:cs="Arial" w:eastAsia="Arial" w:hAnsi="Arial"/>
                <w:sz w:val="20"/>
                <w:szCs w:val="20"/>
                <w:b w:val="1"/>
                <w:bCs w:val="1"/>
                <w:color w:val="665B4F"/>
              </w:rPr>
              <w:t>#WEAREWYNNRESORTS</w:t>
            </w:r>
          </w:p>
        </w:tc>
        <w:tc>
          <w:tcPr>
            <w:tcW w:w="8420" w:type="dxa"/>
            <w:vAlign w:val="bottom"/>
            <w:tcBorders>
              <w:top w:val="single" w:sz="8" w:color="665B4F"/>
            </w:tcBorders>
          </w:tcPr>
          <w:p>
            <w:pPr>
              <w:ind w:left="80"/>
              <w:spacing w:after="0"/>
              <w:rPr>
                <w:sz w:val="20"/>
                <w:szCs w:val="20"/>
                <w:color w:val="auto"/>
              </w:rPr>
            </w:pPr>
            <w:r>
              <w:rPr>
                <w:rFonts w:ascii="Arial" w:cs="Arial" w:eastAsia="Arial" w:hAnsi="Arial"/>
                <w:sz w:val="16"/>
                <w:szCs w:val="16"/>
                <w:i w:val="1"/>
                <w:iCs w:val="1"/>
                <w:color w:val="auto"/>
              </w:rPr>
              <w:t>“Craig is the sharpest analytical mind in the gaming industry. Bar none.”</w:t>
            </w:r>
          </w:p>
        </w:tc>
        <w:tc>
          <w:tcPr>
            <w:tcW w:w="0" w:type="dxa"/>
            <w:vAlign w:val="bottom"/>
          </w:tcPr>
          <w:p>
            <w:pPr>
              <w:spacing w:after="0"/>
              <w:rPr>
                <w:sz w:val="1"/>
                <w:szCs w:val="1"/>
                <w:color w:val="auto"/>
              </w:rPr>
            </w:pPr>
          </w:p>
        </w:tc>
      </w:tr>
      <w:tr>
        <w:trPr>
          <w:trHeight w:val="217"/>
        </w:trPr>
        <w:tc>
          <w:tcPr>
            <w:tcW w:w="2600" w:type="dxa"/>
            <w:vAlign w:val="bottom"/>
            <w:tcBorders>
              <w:right w:val="single" w:sz="8" w:color="665B4F"/>
            </w:tcBorders>
            <w:vMerge w:val="continue"/>
          </w:tcPr>
          <w:p>
            <w:pPr>
              <w:spacing w:after="0"/>
              <w:rPr>
                <w:sz w:val="18"/>
                <w:szCs w:val="18"/>
                <w:color w:val="auto"/>
              </w:rPr>
            </w:pPr>
          </w:p>
        </w:tc>
        <w:tc>
          <w:tcPr>
            <w:tcW w:w="8420" w:type="dxa"/>
            <w:vAlign w:val="bottom"/>
          </w:tcPr>
          <w:p>
            <w:pPr>
              <w:ind w:left="80"/>
              <w:spacing w:after="0"/>
              <w:rPr>
                <w:sz w:val="20"/>
                <w:szCs w:val="20"/>
                <w:color w:val="auto"/>
              </w:rPr>
            </w:pPr>
            <w:r>
              <w:rPr>
                <w:rFonts w:ascii="Arial" w:cs="Arial" w:eastAsia="Arial" w:hAnsi="Arial"/>
                <w:sz w:val="16"/>
                <w:szCs w:val="16"/>
                <w:i w:val="1"/>
                <w:iCs w:val="1"/>
                <w:color w:val="auto"/>
              </w:rPr>
              <w:t>Daniel Marks, CEO at Gimmie Games</w:t>
            </w:r>
          </w:p>
        </w:tc>
        <w:tc>
          <w:tcPr>
            <w:tcW w:w="0" w:type="dxa"/>
            <w:vAlign w:val="bottom"/>
          </w:tcPr>
          <w:p>
            <w:pPr>
              <w:spacing w:after="0"/>
              <w:rPr>
                <w:sz w:val="1"/>
                <w:szCs w:val="1"/>
                <w:color w:val="auto"/>
              </w:rPr>
            </w:pPr>
          </w:p>
        </w:tc>
      </w:tr>
      <w:tr>
        <w:trPr>
          <w:trHeight w:val="162"/>
        </w:trPr>
        <w:tc>
          <w:tcPr>
            <w:tcW w:w="2600" w:type="dxa"/>
            <w:vAlign w:val="bottom"/>
            <w:tcBorders>
              <w:bottom w:val="single" w:sz="8" w:color="665B4F"/>
            </w:tcBorders>
          </w:tcPr>
          <w:p>
            <w:pPr>
              <w:spacing w:after="0"/>
              <w:rPr>
                <w:sz w:val="14"/>
                <w:szCs w:val="14"/>
                <w:color w:val="auto"/>
              </w:rPr>
            </w:pPr>
          </w:p>
        </w:tc>
        <w:tc>
          <w:tcPr>
            <w:tcW w:w="8420" w:type="dxa"/>
            <w:vAlign w:val="bottom"/>
            <w:tcBorders>
              <w:bottom w:val="single" w:sz="8" w:color="665B4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spacing w:after="0" w:line="57" w:lineRule="exact"/>
        <w:rPr>
          <w:sz w:val="20"/>
          <w:szCs w:val="20"/>
          <w:color w:val="auto"/>
        </w:rPr>
      </w:pPr>
    </w:p>
    <w:p>
      <w:pPr>
        <w:ind w:left="8860"/>
        <w:spacing w:after="0"/>
        <w:tabs>
          <w:tab w:leader="none" w:pos="10840" w:val="left"/>
          <w:tab w:leader="none" w:pos="110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22</w:t>
      </w:r>
    </w:p>
    <w:p>
      <w:pPr>
        <w:sectPr>
          <w:pgSz w:w="11900" w:h="16838" w:orient="portrait"/>
          <w:cols w:equalWidth="0" w:num="1">
            <w:col w:w="11240"/>
          </w:cols>
          <w:pgMar w:left="240" w:top="459" w:right="41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497840</wp:posOffset>
            </wp:positionV>
            <wp:extent cx="6997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500" w:right="100"/>
        <w:spacing w:after="0" w:line="253" w:lineRule="auto"/>
        <w:rPr>
          <w:sz w:val="20"/>
          <w:szCs w:val="20"/>
          <w:color w:val="auto"/>
        </w:rPr>
      </w:pPr>
      <w:r>
        <w:rPr>
          <w:rFonts w:ascii="Arial" w:cs="Arial" w:eastAsia="Arial" w:hAnsi="Arial"/>
          <w:sz w:val="16"/>
          <w:szCs w:val="16"/>
          <w:b w:val="1"/>
          <w:bCs w:val="1"/>
          <w:color w:val="auto"/>
        </w:rPr>
        <w:t xml:space="preserve">Ms. Chen </w:t>
      </w:r>
      <w:r>
        <w:rPr>
          <w:rFonts w:ascii="Arial" w:cs="Arial" w:eastAsia="Arial" w:hAnsi="Arial"/>
          <w:sz w:val="16"/>
          <w:szCs w:val="16"/>
          <w:color w:val="auto"/>
        </w:rPr>
        <w:t>serves as the President of Wynn International Marketing, a position she has held since January</w:t>
      </w:r>
      <w:r>
        <w:rPr>
          <w:rFonts w:ascii="Arial" w:cs="Arial" w:eastAsia="Arial" w:hAnsi="Arial"/>
          <w:sz w:val="16"/>
          <w:szCs w:val="16"/>
          <w:b w:val="1"/>
          <w:bCs w:val="1"/>
          <w:color w:val="auto"/>
        </w:rPr>
        <w:t xml:space="preserve"> </w:t>
      </w:r>
      <w:r>
        <w:rPr>
          <w:rFonts w:ascii="Arial" w:cs="Arial" w:eastAsia="Arial" w:hAnsi="Arial"/>
          <w:sz w:val="16"/>
          <w:szCs w:val="16"/>
          <w:color w:val="auto"/>
        </w:rPr>
        <w:t>2005. She has also held the position of President and Executive Director of Wynn Resorts (Macau) since March 2017, and the position of Chief Operating Officer of Wynn Macau, Limited since 2009. She was appointed to serve as the Vice Chairman of the Board of Wynn Macau, Limited in April 2018 and has been an Executive Director of Wynn Macau, Limited since 2009. In addition, Ms. Chen is a member of the Chinese People’s Political consultative Conference (Macau). Ms. Chen served on the Board of Directors of Wynn Resorts from 2007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-850265</wp:posOffset>
            </wp:positionV>
            <wp:extent cx="1809750" cy="13036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8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665B4F"/>
        </w:rPr>
        <w:t>PREVIOUS EXPERIENCE</w:t>
      </w:r>
    </w:p>
    <w:p>
      <w:pPr>
        <w:spacing w:after="0" w:line="142" w:lineRule="exact"/>
        <w:rPr>
          <w:sz w:val="20"/>
          <w:szCs w:val="20"/>
          <w:color w:val="auto"/>
        </w:rPr>
      </w:pPr>
    </w:p>
    <w:p>
      <w:pPr>
        <w:ind w:left="3800" w:hanging="184"/>
        <w:spacing w:after="0"/>
        <w:tabs>
          <w:tab w:leader="none" w:pos="3800" w:val="left"/>
        </w:tabs>
        <w:numPr>
          <w:ilvl w:val="0"/>
          <w:numId w:val="67"/>
        </w:numPr>
        <w:rPr>
          <w:rFonts w:ascii="Arial" w:cs="Arial" w:eastAsia="Arial" w:hAnsi="Arial"/>
          <w:sz w:val="16"/>
          <w:szCs w:val="16"/>
          <w:color w:val="665B4F"/>
        </w:rPr>
      </w:pPr>
      <w:r>
        <w:rPr>
          <w:rFonts w:ascii="Arial" w:cs="Arial" w:eastAsia="Arial" w:hAnsi="Arial"/>
          <w:sz w:val="16"/>
          <w:szCs w:val="16"/>
          <w:color w:val="auto"/>
        </w:rPr>
        <w:t>1997 to 2002: Executive Vice President, International Marketing, MGM MIRAGE</w:t>
      </w:r>
    </w:p>
    <w:p>
      <w:pPr>
        <w:sectPr>
          <w:pgSz w:w="11900" w:h="16838" w:orient="portrait"/>
          <w:cols w:equalWidth="0" w:num="1">
            <w:col w:w="11240"/>
          </w:cols>
          <w:pgMar w:left="240" w:top="459" w:right="419" w:bottom="777" w:gutter="0" w:footer="0" w:header="0"/>
        </w:sectPr>
      </w:pPr>
    </w:p>
    <w:p>
      <w:pPr>
        <w:spacing w:after="0" w:line="196"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LINDA CHEN</w:t>
      </w:r>
    </w:p>
    <w:p>
      <w:pPr>
        <w:spacing w:after="0" w:line="100" w:lineRule="exact"/>
        <w:rPr>
          <w:sz w:val="20"/>
          <w:szCs w:val="20"/>
          <w:color w:val="auto"/>
        </w:rPr>
      </w:pPr>
    </w:p>
    <w:p>
      <w:pPr>
        <w:ind w:left="200" w:right="120"/>
        <w:spacing w:after="0" w:line="275" w:lineRule="auto"/>
        <w:rPr>
          <w:sz w:val="20"/>
          <w:szCs w:val="20"/>
          <w:color w:val="auto"/>
        </w:rPr>
      </w:pPr>
      <w:r>
        <w:rPr>
          <w:rFonts w:ascii="Arial" w:cs="Arial" w:eastAsia="Arial" w:hAnsi="Arial"/>
          <w:sz w:val="16"/>
          <w:szCs w:val="16"/>
          <w:b w:val="1"/>
          <w:bCs w:val="1"/>
          <w:color w:val="auto"/>
        </w:rPr>
        <w:t>PRESIDENT AND EXECUTIVE DIRECTOR—WYNN RESORTS (MACAU) PRESIDENT-WYNN INTERNATIONAL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245110</wp:posOffset>
            </wp:positionV>
            <wp:extent cx="18097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JOINED WYNN: JUNE 2002</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APPOINTED IN CURRENT</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POSITION:</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JANUARY 2005</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51</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EDUCATION</w:t>
      </w:r>
    </w:p>
    <w:p>
      <w:pPr>
        <w:spacing w:after="0" w:line="142" w:lineRule="exact"/>
        <w:rPr>
          <w:sz w:val="20"/>
          <w:szCs w:val="20"/>
          <w:color w:val="auto"/>
        </w:rPr>
      </w:pPr>
    </w:p>
    <w:p>
      <w:pPr>
        <w:ind w:left="300" w:hanging="184"/>
        <w:spacing w:after="0"/>
        <w:tabs>
          <w:tab w:leader="none" w:pos="300" w:val="left"/>
        </w:tabs>
        <w:numPr>
          <w:ilvl w:val="0"/>
          <w:numId w:val="68"/>
        </w:numPr>
        <w:rPr>
          <w:rFonts w:ascii="Arial" w:cs="Arial" w:eastAsia="Arial" w:hAnsi="Arial"/>
          <w:sz w:val="16"/>
          <w:szCs w:val="16"/>
          <w:color w:val="665B4F"/>
        </w:rPr>
      </w:pPr>
      <w:r>
        <w:rPr>
          <w:rFonts w:ascii="Arial" w:cs="Arial" w:eastAsia="Arial" w:hAnsi="Arial"/>
          <w:sz w:val="16"/>
          <w:szCs w:val="16"/>
          <w:color w:val="auto"/>
        </w:rPr>
        <w:t>Ms. Chen graduated with a B.S. in Hotel Administration from Cornell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1734185</wp:posOffset>
            </wp:positionV>
            <wp:extent cx="6997700" cy="4286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7700" cy="428625"/>
                    </a:xfrm>
                    <a:prstGeom prst="rect">
                      <a:avLst/>
                    </a:prstGeom>
                    <a:noFill/>
                  </pic:spPr>
                </pic:pic>
              </a:graphicData>
            </a:graphic>
          </wp:anchor>
        </w:drawing>
      </w:r>
    </w:p>
    <w:p>
      <w:pPr>
        <w:spacing w:after="0" w:line="2642" w:lineRule="exact"/>
        <w:rPr>
          <w:sz w:val="20"/>
          <w:szCs w:val="20"/>
          <w:color w:val="auto"/>
        </w:rPr>
      </w:pPr>
    </w:p>
    <w:p>
      <w:pPr>
        <w:sectPr>
          <w:pgSz w:w="11900" w:h="16838" w:orient="portrait"/>
          <w:cols w:equalWidth="0" w:num="2">
            <w:col w:w="2780" w:space="720"/>
            <w:col w:w="7740"/>
          </w:cols>
          <w:pgMar w:left="240" w:top="459" w:right="419" w:bottom="777" w:gutter="0" w:footer="0" w:header="0"/>
          <w:type w:val="continuous"/>
        </w:sectPr>
      </w:pPr>
    </w:p>
    <w:p>
      <w:pPr>
        <w:spacing w:after="0" w:line="169" w:lineRule="exact"/>
        <w:rPr>
          <w:sz w:val="20"/>
          <w:szCs w:val="20"/>
          <w:color w:val="auto"/>
        </w:rPr>
      </w:pPr>
    </w:p>
    <w:p>
      <w:pPr>
        <w:ind w:left="2900"/>
        <w:spacing w:after="0"/>
        <w:rPr>
          <w:sz w:val="20"/>
          <w:szCs w:val="20"/>
          <w:color w:val="auto"/>
        </w:rPr>
      </w:pPr>
      <w:r>
        <w:rPr>
          <w:rFonts w:ascii="Arial" w:cs="Arial" w:eastAsia="Arial" w:hAnsi="Arial"/>
          <w:sz w:val="16"/>
          <w:szCs w:val="16"/>
          <w:i w:val="1"/>
          <w:iCs w:val="1"/>
          <w:color w:val="auto"/>
        </w:rPr>
        <w:t>“Linda moved to the U.S. at 12, knowing very little English. She graduated from Cornell and joined Mirage Resorts</w:t>
      </w:r>
    </w:p>
    <w:p>
      <w:pPr>
        <w:spacing w:after="0" w:line="21" w:lineRule="exact"/>
        <w:rPr>
          <w:sz w:val="20"/>
          <w:szCs w:val="20"/>
          <w:color w:val="auto"/>
        </w:rPr>
      </w:pPr>
    </w:p>
    <w:p>
      <w:pPr>
        <w:ind w:left="2900" w:right="180" w:hanging="2599"/>
        <w:spacing w:after="0" w:line="182" w:lineRule="auto"/>
        <w:tabs>
          <w:tab w:leader="none" w:pos="2880" w:val="left"/>
        </w:tabs>
        <w:rPr>
          <w:sz w:val="20"/>
          <w:szCs w:val="20"/>
          <w:color w:val="auto"/>
        </w:rPr>
      </w:pPr>
      <w:r>
        <w:rPr>
          <w:rFonts w:ascii="Arial" w:cs="Arial" w:eastAsia="Arial" w:hAnsi="Arial"/>
          <w:sz w:val="30"/>
          <w:szCs w:val="30"/>
          <w:b w:val="1"/>
          <w:bCs w:val="1"/>
          <w:color w:val="665B4F"/>
          <w:vertAlign w:val="subscript"/>
        </w:rPr>
        <w:t>#WEAREWYNNRESORTS</w:t>
      </w:r>
      <w:r>
        <w:rPr>
          <w:sz w:val="20"/>
          <w:szCs w:val="20"/>
          <w:color w:val="auto"/>
        </w:rPr>
        <w:tab/>
      </w:r>
      <w:r>
        <w:rPr>
          <w:rFonts w:ascii="Arial" w:cs="Arial" w:eastAsia="Arial" w:hAnsi="Arial"/>
          <w:sz w:val="14"/>
          <w:szCs w:val="14"/>
          <w:i w:val="1"/>
          <w:iCs w:val="1"/>
          <w:color w:val="auto"/>
        </w:rPr>
        <w:t>upon graduation. She is now the most senior woman at Wynn and is an amazing colleague!” Kim Sinatra, General Counsel and Secretary,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167005</wp:posOffset>
            </wp:positionV>
            <wp:extent cx="6997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3500" w:right="60"/>
        <w:spacing w:after="0" w:line="256" w:lineRule="auto"/>
        <w:rPr>
          <w:sz w:val="20"/>
          <w:szCs w:val="20"/>
          <w:color w:val="auto"/>
        </w:rPr>
      </w:pPr>
      <w:r>
        <w:rPr>
          <w:rFonts w:ascii="Arial" w:cs="Arial" w:eastAsia="Arial" w:hAnsi="Arial"/>
          <w:sz w:val="16"/>
          <w:szCs w:val="16"/>
          <w:b w:val="1"/>
          <w:bCs w:val="1"/>
          <w:color w:val="auto"/>
        </w:rPr>
        <w:t xml:space="preserve">Mr. Coughlan </w:t>
      </w:r>
      <w:r>
        <w:rPr>
          <w:rFonts w:ascii="Arial" w:cs="Arial" w:eastAsia="Arial" w:hAnsi="Arial"/>
          <w:sz w:val="16"/>
          <w:szCs w:val="16"/>
          <w:color w:val="auto"/>
        </w:rPr>
        <w:t>is responsible for the entire operations of Wynn Macau and Wynn Palace and is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Wynn Macau, Limited, a position he has held since September 2016. Mr. Coughlan has also been serving as an Executive Director of Wynn Macau, Limited since September 2009 and has also served as President of Wynn Resorts (Macau) from July 2007 until March 2017. Prior to that, Mr. Coughlan was Director of Hotel Operations Worldwide for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-585470</wp:posOffset>
            </wp:positionV>
            <wp:extent cx="1809750" cy="13036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09750" cy="1303655"/>
                    </a:xfrm>
                    <a:prstGeom prst="rect">
                      <a:avLst/>
                    </a:prstGeom>
                    <a:noFill/>
                  </pic:spPr>
                </pic:pic>
              </a:graphicData>
            </a:graphic>
          </wp:anchor>
        </w:drawing>
      </w:r>
    </w:p>
    <w:p>
      <w:pPr>
        <w:spacing w:after="0" w:line="18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665B4F"/>
        </w:rPr>
        <w:t>PREVIOUS EXPERIENCE</w:t>
      </w:r>
    </w:p>
    <w:p>
      <w:pPr>
        <w:spacing w:after="0" w:line="142" w:lineRule="exact"/>
        <w:rPr>
          <w:sz w:val="20"/>
          <w:szCs w:val="20"/>
          <w:color w:val="auto"/>
        </w:rPr>
      </w:pPr>
    </w:p>
    <w:p>
      <w:pPr>
        <w:ind w:left="3800" w:hanging="184"/>
        <w:spacing w:after="0"/>
        <w:tabs>
          <w:tab w:leader="none" w:pos="3800" w:val="left"/>
        </w:tabs>
        <w:numPr>
          <w:ilvl w:val="0"/>
          <w:numId w:val="69"/>
        </w:numPr>
        <w:rPr>
          <w:rFonts w:ascii="Arial" w:cs="Arial" w:eastAsia="Arial" w:hAnsi="Arial"/>
          <w:sz w:val="16"/>
          <w:szCs w:val="16"/>
          <w:color w:val="665B4F"/>
        </w:rPr>
      </w:pPr>
      <w:r>
        <w:rPr>
          <w:rFonts w:ascii="Arial" w:cs="Arial" w:eastAsia="Arial" w:hAnsi="Arial"/>
          <w:sz w:val="16"/>
          <w:szCs w:val="16"/>
          <w:color w:val="auto"/>
        </w:rPr>
        <w:t>2004 to 2007: General Manager, The Peninsula Hong Kong</w:t>
      </w:r>
    </w:p>
    <w:p>
      <w:pPr>
        <w:spacing w:after="0" w:line="140" w:lineRule="exact"/>
        <w:rPr>
          <w:rFonts w:ascii="Arial" w:cs="Arial" w:eastAsia="Arial" w:hAnsi="Arial"/>
          <w:sz w:val="16"/>
          <w:szCs w:val="16"/>
          <w:color w:val="665B4F"/>
        </w:rPr>
      </w:pPr>
    </w:p>
    <w:p>
      <w:pPr>
        <w:ind w:left="3800" w:hanging="184"/>
        <w:spacing w:after="0"/>
        <w:tabs>
          <w:tab w:leader="none" w:pos="3800" w:val="left"/>
        </w:tabs>
        <w:numPr>
          <w:ilvl w:val="0"/>
          <w:numId w:val="69"/>
        </w:numPr>
        <w:rPr>
          <w:rFonts w:ascii="Arial" w:cs="Arial" w:eastAsia="Arial" w:hAnsi="Arial"/>
          <w:sz w:val="16"/>
          <w:szCs w:val="16"/>
          <w:color w:val="665B4F"/>
        </w:rPr>
      </w:pPr>
      <w:r>
        <w:rPr>
          <w:rFonts w:ascii="Arial" w:cs="Arial" w:eastAsia="Arial" w:hAnsi="Arial"/>
          <w:sz w:val="16"/>
          <w:szCs w:val="16"/>
          <w:color w:val="auto"/>
        </w:rPr>
        <w:t>1999 to 2004: General Manager, The Peninsula Bangkok</w:t>
      </w:r>
    </w:p>
    <w:p>
      <w:pPr>
        <w:sectPr>
          <w:pgSz w:w="11900" w:h="16838" w:orient="portrait"/>
          <w:cols w:equalWidth="0" w:num="1">
            <w:col w:w="11240"/>
          </w:cols>
          <w:pgMar w:left="240" w:top="459" w:right="419" w:bottom="777" w:gutter="0" w:footer="0" w:header="0"/>
          <w:type w:val="continuous"/>
        </w:sectPr>
      </w:pPr>
    </w:p>
    <w:p>
      <w:pPr>
        <w:spacing w:after="0" w:line="291" w:lineRule="exact"/>
        <w:rPr>
          <w:sz w:val="20"/>
          <w:szCs w:val="20"/>
          <w:color w:val="auto"/>
        </w:rPr>
      </w:pPr>
    </w:p>
    <w:p>
      <w:pPr>
        <w:ind w:left="200" w:right="820"/>
        <w:spacing w:after="0" w:line="282" w:lineRule="auto"/>
        <w:rPr>
          <w:sz w:val="20"/>
          <w:szCs w:val="20"/>
          <w:color w:val="auto"/>
        </w:rPr>
      </w:pPr>
      <w:r>
        <w:rPr>
          <w:rFonts w:ascii="Arial" w:cs="Arial" w:eastAsia="Arial" w:hAnsi="Arial"/>
          <w:sz w:val="25"/>
          <w:szCs w:val="25"/>
          <w:b w:val="1"/>
          <w:bCs w:val="1"/>
          <w:color w:val="auto"/>
        </w:rPr>
        <w:t>IAN MICHAEL COUGHLAN</w:t>
      </w:r>
    </w:p>
    <w:p>
      <w:pPr>
        <w:spacing w:after="0" w:line="9" w:lineRule="exact"/>
        <w:rPr>
          <w:sz w:val="20"/>
          <w:szCs w:val="20"/>
          <w:color w:val="auto"/>
        </w:rPr>
      </w:pPr>
    </w:p>
    <w:p>
      <w:pPr>
        <w:ind w:left="200" w:right="260"/>
        <w:spacing w:after="0" w:line="281" w:lineRule="auto"/>
        <w:rPr>
          <w:sz w:val="20"/>
          <w:szCs w:val="20"/>
          <w:color w:val="auto"/>
        </w:rPr>
      </w:pPr>
      <w:r>
        <w:rPr>
          <w:rFonts w:ascii="Arial" w:cs="Arial" w:eastAsia="Arial" w:hAnsi="Arial"/>
          <w:sz w:val="16"/>
          <w:szCs w:val="16"/>
          <w:b w:val="1"/>
          <w:bCs w:val="1"/>
          <w:color w:val="auto"/>
        </w:rPr>
        <w:t>PRESIDENT AND EXECUTIVE DIRECTOR—WYNN MACAU,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18097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665B4F"/>
        </w:rPr>
        <w:t>JOINED WYNN: JANUARY 2007</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APPOINTED IN CURRENT</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POSITION:</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SEPTEMBER 2016</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65B4F"/>
        </w:rPr>
        <w:t>AGE: 58</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665B4F"/>
        </w:rPr>
        <w:t>EDUCATION</w:t>
      </w:r>
    </w:p>
    <w:p>
      <w:pPr>
        <w:spacing w:after="0" w:line="142" w:lineRule="exact"/>
        <w:rPr>
          <w:sz w:val="20"/>
          <w:szCs w:val="20"/>
          <w:color w:val="auto"/>
        </w:rPr>
      </w:pPr>
    </w:p>
    <w:p>
      <w:pPr>
        <w:ind w:left="300" w:hanging="184"/>
        <w:spacing w:after="0"/>
        <w:tabs>
          <w:tab w:leader="none" w:pos="300" w:val="left"/>
        </w:tabs>
        <w:numPr>
          <w:ilvl w:val="0"/>
          <w:numId w:val="70"/>
        </w:numPr>
        <w:rPr>
          <w:rFonts w:ascii="Arial" w:cs="Arial" w:eastAsia="Arial" w:hAnsi="Arial"/>
          <w:sz w:val="16"/>
          <w:szCs w:val="16"/>
          <w:color w:val="665B4F"/>
        </w:rPr>
      </w:pPr>
      <w:r>
        <w:rPr>
          <w:rFonts w:ascii="Arial" w:cs="Arial" w:eastAsia="Arial" w:hAnsi="Arial"/>
          <w:sz w:val="16"/>
          <w:szCs w:val="16"/>
          <w:color w:val="auto"/>
        </w:rPr>
        <w:t>Mr. Coughlan received his Diploma in Hotel Management from Shannon College of Hotel Management.</w:t>
      </w:r>
    </w:p>
    <w:p>
      <w:pPr>
        <w:spacing w:after="0" w:line="2628" w:lineRule="exact"/>
        <w:rPr>
          <w:sz w:val="20"/>
          <w:szCs w:val="20"/>
          <w:color w:val="auto"/>
        </w:rPr>
      </w:pPr>
    </w:p>
    <w:p>
      <w:pPr>
        <w:sectPr>
          <w:pgSz w:w="11900" w:h="16838" w:orient="portrait"/>
          <w:cols w:equalWidth="0" w:num="2">
            <w:col w:w="2780" w:space="720"/>
            <w:col w:w="7740"/>
          </w:cols>
          <w:pgMar w:left="240" w:top="459" w:right="419" w:bottom="777" w:gutter="0" w:footer="0" w:header="0"/>
          <w:type w:val="continuous"/>
        </w:sectPr>
      </w:pPr>
    </w:p>
    <w:p>
      <w:pPr>
        <w:spacing w:after="0" w:line="69" w:lineRule="exact"/>
        <w:rPr>
          <w:sz w:val="20"/>
          <w:szCs w:val="20"/>
          <w:color w:val="auto"/>
        </w:rPr>
      </w:pPr>
    </w:p>
    <w:tbl>
      <w:tblPr>
        <w:tblLayout w:type="fixed"/>
        <w:tblInd w:w="20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2600" w:type="dxa"/>
            <w:vAlign w:val="bottom"/>
            <w:tcBorders>
              <w:top w:val="single" w:sz="8" w:color="665B4F"/>
              <w:right w:val="single" w:sz="8" w:color="665B4F"/>
            </w:tcBorders>
            <w:vMerge w:val="restart"/>
          </w:tcPr>
          <w:p>
            <w:pPr>
              <w:jc w:val="right"/>
              <w:ind w:right="21"/>
              <w:spacing w:after="0"/>
              <w:rPr>
                <w:sz w:val="20"/>
                <w:szCs w:val="20"/>
                <w:color w:val="auto"/>
              </w:rPr>
            </w:pPr>
            <w:r>
              <w:rPr>
                <w:rFonts w:ascii="Arial" w:cs="Arial" w:eastAsia="Arial" w:hAnsi="Arial"/>
                <w:sz w:val="20"/>
                <w:szCs w:val="20"/>
                <w:b w:val="1"/>
                <w:bCs w:val="1"/>
                <w:color w:val="665B4F"/>
              </w:rPr>
              <w:t>#WEAREWYNNRESORTS</w:t>
            </w:r>
          </w:p>
        </w:tc>
        <w:tc>
          <w:tcPr>
            <w:tcW w:w="8420" w:type="dxa"/>
            <w:vAlign w:val="bottom"/>
            <w:tcBorders>
              <w:top w:val="single" w:sz="8" w:color="665B4F"/>
            </w:tcBorders>
          </w:tcPr>
          <w:p>
            <w:pPr>
              <w:ind w:left="80"/>
              <w:spacing w:after="0"/>
              <w:rPr>
                <w:sz w:val="20"/>
                <w:szCs w:val="20"/>
                <w:color w:val="auto"/>
              </w:rPr>
            </w:pPr>
            <w:r>
              <w:rPr>
                <w:rFonts w:ascii="Arial" w:cs="Arial" w:eastAsia="Arial" w:hAnsi="Arial"/>
                <w:sz w:val="16"/>
                <w:szCs w:val="16"/>
                <w:i w:val="1"/>
                <w:iCs w:val="1"/>
                <w:color w:val="auto"/>
              </w:rPr>
              <w:t>“The most important part of my day is an early morning walk with my Rhodesian Ridgeback. This sets me up for the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0" w:type="dxa"/>
            <w:vAlign w:val="bottom"/>
            <w:tcBorders>
              <w:right w:val="single" w:sz="8" w:color="665B4F"/>
            </w:tcBorders>
            <w:vMerge w:val="continue"/>
          </w:tcPr>
          <w:p>
            <w:pPr>
              <w:spacing w:after="0"/>
              <w:rPr>
                <w:sz w:val="18"/>
                <w:szCs w:val="18"/>
                <w:color w:val="auto"/>
              </w:rPr>
            </w:pPr>
          </w:p>
        </w:tc>
        <w:tc>
          <w:tcPr>
            <w:tcW w:w="8420" w:type="dxa"/>
            <w:vAlign w:val="bottom"/>
          </w:tcPr>
          <w:p>
            <w:pPr>
              <w:ind w:left="80"/>
              <w:spacing w:after="0"/>
              <w:rPr>
                <w:sz w:val="20"/>
                <w:szCs w:val="20"/>
                <w:color w:val="auto"/>
              </w:rPr>
            </w:pPr>
            <w:r>
              <w:rPr>
                <w:rFonts w:ascii="Arial" w:cs="Arial" w:eastAsia="Arial" w:hAnsi="Arial"/>
                <w:sz w:val="16"/>
                <w:szCs w:val="16"/>
                <w:i w:val="1"/>
                <w:iCs w:val="1"/>
                <w:color w:val="auto"/>
              </w:rPr>
              <w:t>challenges ahead, leading 13,000 colleagues in a dynamic and pioneering environment.”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0" w:type="dxa"/>
            <w:vAlign w:val="bottom"/>
            <w:tcBorders>
              <w:bottom w:val="single" w:sz="8" w:color="665B4F"/>
            </w:tcBorders>
          </w:tcPr>
          <w:p>
            <w:pPr>
              <w:spacing w:after="0"/>
              <w:rPr>
                <w:sz w:val="14"/>
                <w:szCs w:val="14"/>
                <w:color w:val="auto"/>
              </w:rPr>
            </w:pPr>
          </w:p>
        </w:tc>
        <w:tc>
          <w:tcPr>
            <w:tcW w:w="8420" w:type="dxa"/>
            <w:vAlign w:val="bottom"/>
            <w:tcBorders>
              <w:bottom w:val="single" w:sz="8" w:color="665B4F"/>
            </w:tcBorders>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2620" w:type="dxa"/>
            <w:vAlign w:val="bottom"/>
            <w:gridSpan w:val="2"/>
          </w:tcPr>
          <w:p>
            <w:pPr>
              <w:jc w:val="right"/>
              <w:ind w:right="2161"/>
              <w:spacing w:after="0"/>
              <w:rPr>
                <w:sz w:val="20"/>
                <w:szCs w:val="20"/>
                <w:color w:val="auto"/>
              </w:rPr>
            </w:pPr>
            <w:r>
              <w:rPr>
                <w:rFonts w:ascii="Arial" w:cs="Arial" w:eastAsia="Arial" w:hAnsi="Arial"/>
                <w:sz w:val="14"/>
                <w:szCs w:val="14"/>
                <w:color w:val="auto"/>
              </w:rPr>
              <w:t>23  |</w:t>
            </w: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-111760</wp:posOffset>
            </wp:positionV>
            <wp:extent cx="608965"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ectPr>
          <w:pgSz w:w="11900" w:h="16838" w:orient="portrait"/>
          <w:cols w:equalWidth="0" w:num="1">
            <w:col w:w="11240"/>
          </w:cols>
          <w:pgMar w:left="240" w:top="459" w:right="419" w:bottom="777"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89445" cy="8027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89445" cy="802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right="540"/>
        <w:spacing w:after="0" w:line="281" w:lineRule="auto"/>
        <w:rPr>
          <w:sz w:val="20"/>
          <w:szCs w:val="20"/>
          <w:color w:val="auto"/>
        </w:rPr>
      </w:pPr>
      <w:r>
        <w:rPr>
          <w:rFonts w:ascii="Arial" w:cs="Arial" w:eastAsia="Arial" w:hAnsi="Arial"/>
          <w:sz w:val="41"/>
          <w:szCs w:val="41"/>
          <w:b w:val="1"/>
          <w:bCs w:val="1"/>
          <w:color w:val="665B4F"/>
        </w:rPr>
        <w:t>COMPENSATION DISCUSSION AND ANALYSIS</w:t>
      </w:r>
    </w:p>
    <w:p>
      <w:pPr>
        <w:spacing w:after="0" w:line="295"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WHO WE ARE</w:t>
      </w:r>
    </w:p>
    <w:p>
      <w:pPr>
        <w:spacing w:after="0" w:line="124" w:lineRule="exact"/>
        <w:rPr>
          <w:sz w:val="20"/>
          <w:szCs w:val="20"/>
          <w:color w:val="auto"/>
        </w:rPr>
      </w:pPr>
    </w:p>
    <w:p>
      <w:pPr>
        <w:ind w:left="3620" w:right="120"/>
        <w:spacing w:after="0" w:line="251" w:lineRule="auto"/>
        <w:rPr>
          <w:sz w:val="20"/>
          <w:szCs w:val="20"/>
          <w:color w:val="auto"/>
        </w:rPr>
      </w:pPr>
      <w:r>
        <w:rPr>
          <w:rFonts w:ascii="Arial" w:cs="Arial" w:eastAsia="Arial" w:hAnsi="Arial"/>
          <w:sz w:val="16"/>
          <w:szCs w:val="16"/>
          <w:color w:val="auto"/>
        </w:rPr>
        <w:t>We believe Wynn Resorts is the world’s preeminent designer, developer, and operator of integrated resorts. The Company’s business model integrates luxury hotel rooms, high-end retail, an array of dining and entertainment options, meeting space, and gaming, all supported by superior levels of customer service provided by our over 25,000 employees.</w:t>
      </w:r>
    </w:p>
    <w:p>
      <w:pPr>
        <w:spacing w:after="0" w:line="203" w:lineRule="exact"/>
        <w:rPr>
          <w:sz w:val="20"/>
          <w:szCs w:val="20"/>
          <w:color w:val="auto"/>
        </w:rPr>
      </w:pPr>
    </w:p>
    <w:p>
      <w:pPr>
        <w:ind w:left="3620"/>
        <w:spacing w:after="0" w:line="253" w:lineRule="auto"/>
        <w:rPr>
          <w:sz w:val="20"/>
          <w:szCs w:val="20"/>
          <w:color w:val="auto"/>
        </w:rPr>
      </w:pPr>
      <w:r>
        <w:rPr>
          <w:rFonts w:ascii="Arial" w:cs="Arial" w:eastAsia="Arial" w:hAnsi="Arial"/>
          <w:sz w:val="16"/>
          <w:szCs w:val="16"/>
          <w:color w:val="auto"/>
        </w:rPr>
        <w:t>Our operations in Las Vegas and Macau attract (and at Wynn Boston Harbor, which is expected to open in mid-2019, is designed to attract) a wide range of domestic guests and increasingly attract international customers.</w:t>
      </w:r>
    </w:p>
    <w:p>
      <w:pPr>
        <w:spacing w:after="0" w:line="280"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HOW WE DID IN 2017</w:t>
      </w:r>
    </w:p>
    <w:p>
      <w:pPr>
        <w:spacing w:after="0" w:line="104" w:lineRule="exact"/>
        <w:rPr>
          <w:sz w:val="20"/>
          <w:szCs w:val="20"/>
          <w:color w:val="auto"/>
        </w:rPr>
      </w:pPr>
    </w:p>
    <w:p>
      <w:pPr>
        <w:ind w:left="3620" w:right="20"/>
        <w:spacing w:after="0" w:line="266" w:lineRule="auto"/>
        <w:rPr>
          <w:sz w:val="20"/>
          <w:szCs w:val="20"/>
          <w:color w:val="auto"/>
        </w:rPr>
      </w:pPr>
      <w:r>
        <w:rPr>
          <w:rFonts w:ascii="Arial" w:cs="Arial" w:eastAsia="Arial" w:hAnsi="Arial"/>
          <w:sz w:val="16"/>
          <w:szCs w:val="16"/>
          <w:color w:val="auto"/>
        </w:rPr>
        <w:t>As the chart below illustrates</w:t>
      </w:r>
      <w:r>
        <w:rPr>
          <w:rFonts w:ascii="Arial" w:cs="Arial" w:eastAsia="Arial" w:hAnsi="Arial"/>
          <w:sz w:val="16"/>
          <w:szCs w:val="16"/>
          <w:b w:val="1"/>
          <w:bCs w:val="1"/>
          <w:color w:val="auto"/>
        </w:rPr>
        <w:t>, our 2017 performance was strong</w:t>
      </w:r>
      <w:r>
        <w:rPr>
          <w:rFonts w:ascii="Arial" w:cs="Arial" w:eastAsia="Arial" w:hAnsi="Arial"/>
          <w:sz w:val="16"/>
          <w:szCs w:val="16"/>
          <w:color w:val="auto"/>
        </w:rPr>
        <w:t>: We delivered approximately 97% Total Shareholder Return, out-performing by significant margins the S&amp;P 500 (up approximately 22%) and the S&amp;P consumer discretionary index (up approximately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137795</wp:posOffset>
            </wp:positionV>
            <wp:extent cx="4185285" cy="21697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000000"/>
                        </a:clrFrom>
                        <a:clrTo>
                          <a:srgbClr val="000000">
                            <a:alpha val="0"/>
                          </a:srgbClr>
                        </a:clrTo>
                      </a:clrChange>
                      <a:extLst>
                        <a:ext uri="{28A0092B-C50C-407E-A947-70E740481C1C}"/>
                      </a:extLst>
                    </a:blip>
                    <a:srcRect/>
                    <a:stretch>
                      <a:fillRect/>
                    </a:stretch>
                  </pic:blipFill>
                  <pic:spPr bwMode="auto">
                    <a:xfrm>
                      <a:off x="0" y="0"/>
                      <a:ext cx="4185285" cy="216979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137795</wp:posOffset>
            </wp:positionV>
            <wp:extent cx="4185285" cy="21697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418528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20" w:right="40"/>
        <w:spacing w:after="0" w:line="252" w:lineRule="auto"/>
        <w:rPr>
          <w:sz w:val="20"/>
          <w:szCs w:val="20"/>
          <w:color w:val="auto"/>
        </w:rPr>
      </w:pPr>
      <w:r>
        <w:rPr>
          <w:rFonts w:ascii="Arial" w:cs="Arial" w:eastAsia="Arial" w:hAnsi="Arial"/>
          <w:sz w:val="16"/>
          <w:szCs w:val="16"/>
          <w:color w:val="auto"/>
        </w:rPr>
        <w:t>Our 2017 performance is consistent with the strong results we have delivered since our initial public offering in 2002. Over that 15 year period, the Company has averaged a 23% TSR (including reinvestment of dividends), which is more than double the S&amp;P 500’s average of 10% TSR over the same time period.</w:t>
      </w:r>
    </w:p>
    <w:p>
      <w:pPr>
        <w:spacing w:after="0" w:line="393"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Our key accomplishments in 2017 include:</w:t>
      </w:r>
    </w:p>
    <w:p>
      <w:pPr>
        <w:spacing w:after="0" w:line="107" w:lineRule="exact"/>
        <w:rPr>
          <w:sz w:val="20"/>
          <w:szCs w:val="20"/>
          <w:color w:val="auto"/>
        </w:rPr>
      </w:pPr>
    </w:p>
    <w:p>
      <w:pPr>
        <w:ind w:left="3940" w:right="40" w:hanging="212"/>
        <w:spacing w:after="0" w:line="251" w:lineRule="auto"/>
        <w:tabs>
          <w:tab w:leader="none" w:pos="3940" w:val="left"/>
        </w:tabs>
        <w:numPr>
          <w:ilvl w:val="0"/>
          <w:numId w:val="71"/>
        </w:numPr>
        <w:rPr>
          <w:rFonts w:ascii="Arial" w:cs="Arial" w:eastAsia="Arial" w:hAnsi="Arial"/>
          <w:sz w:val="16"/>
          <w:szCs w:val="16"/>
          <w:color w:val="665B4F"/>
        </w:rPr>
      </w:pPr>
      <w:r>
        <w:rPr>
          <w:rFonts w:ascii="Arial" w:cs="Arial" w:eastAsia="Arial" w:hAnsi="Arial"/>
          <w:sz w:val="16"/>
          <w:szCs w:val="16"/>
          <w:b w:val="1"/>
          <w:bCs w:val="1"/>
          <w:color w:val="auto"/>
        </w:rPr>
        <w:t>Meaningfully Increasing Market Share in Macau with the Successful Ramp-up of Wynn Palace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property, which opened in August of 2016, generated $528 million of Adjusted Property EBITDA and achieved 7.4% of gross gaming revenue market share in 2017, its first full fiscal year of operations. This contributed to very strong operating results from the Company’s Macau operations during the year. </w:t>
      </w:r>
      <w:r>
        <w:rPr>
          <w:rFonts w:ascii="Arial" w:cs="Arial" w:eastAsia="Arial" w:hAnsi="Arial"/>
          <w:sz w:val="16"/>
          <w:szCs w:val="16"/>
          <w:i w:val="1"/>
          <w:iCs w:val="1"/>
          <w:color w:val="auto"/>
        </w:rPr>
        <w:t>See pages 127-130 of our Annual Report on Form 10-K for the year ended</w:t>
      </w:r>
      <w:r>
        <w:rPr>
          <w:rFonts w:ascii="Arial" w:cs="Arial" w:eastAsia="Arial" w:hAnsi="Arial"/>
          <w:sz w:val="16"/>
          <w:szCs w:val="16"/>
          <w:color w:val="auto"/>
        </w:rPr>
        <w:t xml:space="preserve"> </w:t>
      </w:r>
      <w:r>
        <w:rPr>
          <w:rFonts w:ascii="Arial" w:cs="Arial" w:eastAsia="Arial" w:hAnsi="Arial"/>
          <w:sz w:val="16"/>
          <w:szCs w:val="16"/>
          <w:i w:val="1"/>
          <w:iCs w:val="1"/>
          <w:color w:val="auto"/>
        </w:rPr>
        <w:t>December 31, 2017 (Item 8, Note 15—“Segment Information” to our Consolidated Financial Statements) for the definition of “Adjusted Property EBITDA,” a reconciliation of Adjusted Property EBITDA to net income attributable to Wynn Resorts, and other information regarding this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294640</wp:posOffset>
            </wp:positionV>
            <wp:extent cx="48196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8860"/>
        <w:spacing w:after="0"/>
        <w:tabs>
          <w:tab w:leader="none" w:pos="10840" w:val="left"/>
          <w:tab w:leader="none" w:pos="110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24</w:t>
      </w:r>
    </w:p>
    <w:p>
      <w:pPr>
        <w:sectPr>
          <w:pgSz w:w="11900" w:h="16838" w:orient="portrait"/>
          <w:cols w:equalWidth="0" w:num="1">
            <w:col w:w="11220"/>
          </w:cols>
          <w:pgMar w:left="24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COMPENSATION DISCUSSION AND ANALYSIS</w:t>
      </w:r>
    </w:p>
    <w:p>
      <w:pPr>
        <w:spacing w:after="0" w:line="279" w:lineRule="exact"/>
        <w:rPr>
          <w:sz w:val="20"/>
          <w:szCs w:val="20"/>
          <w:color w:val="auto"/>
        </w:rPr>
      </w:pPr>
    </w:p>
    <w:p>
      <w:pPr>
        <w:ind w:left="520" w:right="20" w:hanging="208"/>
        <w:spacing w:after="0" w:line="266" w:lineRule="auto"/>
        <w:tabs>
          <w:tab w:leader="none" w:pos="520" w:val="left"/>
        </w:tabs>
        <w:numPr>
          <w:ilvl w:val="0"/>
          <w:numId w:val="72"/>
        </w:numPr>
        <w:rPr>
          <w:rFonts w:ascii="Arial" w:cs="Arial" w:eastAsia="Arial" w:hAnsi="Arial"/>
          <w:sz w:val="16"/>
          <w:szCs w:val="16"/>
          <w:color w:val="665B4F"/>
        </w:rPr>
      </w:pPr>
      <w:r>
        <w:rPr>
          <w:rFonts w:ascii="Arial" w:cs="Arial" w:eastAsia="Arial" w:hAnsi="Arial"/>
          <w:sz w:val="16"/>
          <w:szCs w:val="16"/>
          <w:b w:val="1"/>
          <w:bCs w:val="1"/>
          <w:color w:val="auto"/>
        </w:rPr>
        <w:t xml:space="preserve">Generating Record Results at Wynn Las Vegas. </w:t>
      </w:r>
      <w:r>
        <w:rPr>
          <w:rFonts w:ascii="Arial" w:cs="Arial" w:eastAsia="Arial" w:hAnsi="Arial"/>
          <w:sz w:val="16"/>
          <w:szCs w:val="16"/>
          <w:color w:val="auto"/>
        </w:rPr>
        <w:t>Wynn Las Vegas generated an all-time property record $522 million of Adjusted Property EBITDA</w:t>
      </w:r>
      <w:r>
        <w:rPr>
          <w:rFonts w:ascii="Arial" w:cs="Arial" w:eastAsia="Arial" w:hAnsi="Arial"/>
          <w:sz w:val="16"/>
          <w:szCs w:val="16"/>
          <w:b w:val="1"/>
          <w:bCs w:val="1"/>
          <w:color w:val="auto"/>
        </w:rPr>
        <w:t xml:space="preserve"> </w:t>
      </w:r>
      <w:r>
        <w:rPr>
          <w:rFonts w:ascii="Arial" w:cs="Arial" w:eastAsia="Arial" w:hAnsi="Arial"/>
          <w:sz w:val="16"/>
          <w:szCs w:val="16"/>
          <w:color w:val="auto"/>
        </w:rPr>
        <w:t>in 2017, a 10% increase from 2016; broad-based net revenue growth of 4% in 2017, led by its non-gaming segments; and non-gaming gross revenues at Wynn Las Vegas reached a record high for Wynn Las Vegas of $1.22 billion in 2017.</w:t>
      </w:r>
    </w:p>
    <w:p>
      <w:pPr>
        <w:spacing w:after="0" w:line="77" w:lineRule="exact"/>
        <w:rPr>
          <w:rFonts w:ascii="Arial" w:cs="Arial" w:eastAsia="Arial" w:hAnsi="Arial"/>
          <w:sz w:val="16"/>
          <w:szCs w:val="16"/>
          <w:color w:val="665B4F"/>
        </w:rPr>
      </w:pPr>
    </w:p>
    <w:p>
      <w:pPr>
        <w:ind w:left="520" w:right="120" w:hanging="208"/>
        <w:spacing w:after="0" w:line="259" w:lineRule="auto"/>
        <w:tabs>
          <w:tab w:leader="none" w:pos="520" w:val="left"/>
        </w:tabs>
        <w:numPr>
          <w:ilvl w:val="0"/>
          <w:numId w:val="72"/>
        </w:numPr>
        <w:rPr>
          <w:rFonts w:ascii="Arial" w:cs="Arial" w:eastAsia="Arial" w:hAnsi="Arial"/>
          <w:sz w:val="16"/>
          <w:szCs w:val="16"/>
          <w:color w:val="665B4F"/>
        </w:rPr>
      </w:pPr>
      <w:r>
        <w:rPr>
          <w:rFonts w:ascii="Arial" w:cs="Arial" w:eastAsia="Arial" w:hAnsi="Arial"/>
          <w:sz w:val="16"/>
          <w:szCs w:val="16"/>
          <w:b w:val="1"/>
          <w:bCs w:val="1"/>
          <w:color w:val="auto"/>
        </w:rPr>
        <w:t>Making Substantial Progress in the Construction of Wynn Boston Harbor</w:t>
      </w:r>
      <w:r>
        <w:rPr>
          <w:rFonts w:ascii="Arial" w:cs="Arial" w:eastAsia="Arial" w:hAnsi="Arial"/>
          <w:sz w:val="16"/>
          <w:szCs w:val="16"/>
          <w:color w:val="auto"/>
        </w:rPr>
        <w:t>. The integrated resort in Everett, Massachusetts adjacent to Boston</w:t>
      </w:r>
      <w:r>
        <w:rPr>
          <w:rFonts w:ascii="Arial" w:cs="Arial" w:eastAsia="Arial" w:hAnsi="Arial"/>
          <w:sz w:val="16"/>
          <w:szCs w:val="16"/>
          <w:b w:val="1"/>
          <w:bCs w:val="1"/>
          <w:color w:val="auto"/>
        </w:rPr>
        <w:t xml:space="preserve"> </w:t>
      </w:r>
      <w:r>
        <w:rPr>
          <w:rFonts w:ascii="Arial" w:cs="Arial" w:eastAsia="Arial" w:hAnsi="Arial"/>
          <w:sz w:val="16"/>
          <w:szCs w:val="16"/>
          <w:color w:val="auto"/>
        </w:rPr>
        <w:t>along the Mystic River, will feature an array of premium amenities, including a hotel, a waterfront boardwalk, meeting and convention space, casino, spa, retail offerings, and food and beverage outlets. We expect to open Wynn Boston Harbor in mid-2019, and as of December, 2017 have incurred $1.13 billion in total project costs of an estimated total project budget of approximately $2.5 billion.</w:t>
      </w:r>
    </w:p>
    <w:p>
      <w:pPr>
        <w:spacing w:after="0" w:line="83" w:lineRule="exact"/>
        <w:rPr>
          <w:rFonts w:ascii="Arial" w:cs="Arial" w:eastAsia="Arial" w:hAnsi="Arial"/>
          <w:sz w:val="16"/>
          <w:szCs w:val="16"/>
          <w:color w:val="665B4F"/>
        </w:rPr>
      </w:pPr>
    </w:p>
    <w:p>
      <w:pPr>
        <w:ind w:left="520" w:right="80" w:hanging="208"/>
        <w:spacing w:after="0" w:line="256" w:lineRule="auto"/>
        <w:tabs>
          <w:tab w:leader="none" w:pos="520" w:val="left"/>
        </w:tabs>
        <w:numPr>
          <w:ilvl w:val="0"/>
          <w:numId w:val="72"/>
        </w:numPr>
        <w:rPr>
          <w:rFonts w:ascii="Arial" w:cs="Arial" w:eastAsia="Arial" w:hAnsi="Arial"/>
          <w:sz w:val="16"/>
          <w:szCs w:val="16"/>
          <w:color w:val="665B4F"/>
        </w:rPr>
      </w:pPr>
      <w:r>
        <w:rPr>
          <w:rFonts w:ascii="Arial" w:cs="Arial" w:eastAsia="Arial" w:hAnsi="Arial"/>
          <w:sz w:val="16"/>
          <w:szCs w:val="16"/>
          <w:b w:val="1"/>
          <w:bCs w:val="1"/>
          <w:color w:val="auto"/>
        </w:rPr>
        <w:t>Maintaining a Robust Capital Investment Program at Existing Properties</w:t>
      </w:r>
      <w:r>
        <w:rPr>
          <w:rFonts w:ascii="Arial" w:cs="Arial" w:eastAsia="Arial" w:hAnsi="Arial"/>
          <w:sz w:val="16"/>
          <w:szCs w:val="16"/>
          <w:color w:val="auto"/>
        </w:rPr>
        <w:t>. We continually enhance the guest experience at our properties in Las</w:t>
      </w:r>
      <w:r>
        <w:rPr>
          <w:rFonts w:ascii="Arial" w:cs="Arial" w:eastAsia="Arial" w:hAnsi="Arial"/>
          <w:sz w:val="16"/>
          <w:szCs w:val="16"/>
          <w:b w:val="1"/>
          <w:bCs w:val="1"/>
          <w:color w:val="auto"/>
        </w:rPr>
        <w:t xml:space="preserve"> </w:t>
      </w:r>
      <w:r>
        <w:rPr>
          <w:rFonts w:ascii="Arial" w:cs="Arial" w:eastAsia="Arial" w:hAnsi="Arial"/>
          <w:sz w:val="16"/>
          <w:szCs w:val="16"/>
          <w:color w:val="auto"/>
        </w:rPr>
        <w:t>Vegas and Macau through strategic capital investments. This includes the construction of Wynn Plaza at Wynn Las Vegas, a 74,000 square-foot luxury retail plaza scheduled to open in the second half of 2018. We have started the site preparation for Phase I redevelopment of the Wynn Las Vegas golf course, expected to include a lagoon and additional meeting and convention space and anticipated to open in the first half of 2020. In Macau, we made investments to enhance the public areas and food and beverage offerings at both properties.</w:t>
      </w:r>
    </w:p>
    <w:p>
      <w:pPr>
        <w:spacing w:after="0" w:line="85" w:lineRule="exact"/>
        <w:rPr>
          <w:rFonts w:ascii="Arial" w:cs="Arial" w:eastAsia="Arial" w:hAnsi="Arial"/>
          <w:sz w:val="16"/>
          <w:szCs w:val="16"/>
          <w:color w:val="665B4F"/>
        </w:rPr>
      </w:pPr>
    </w:p>
    <w:p>
      <w:pPr>
        <w:ind w:left="520" w:right="240" w:hanging="208"/>
        <w:spacing w:after="0" w:line="254" w:lineRule="auto"/>
        <w:tabs>
          <w:tab w:leader="none" w:pos="520" w:val="left"/>
        </w:tabs>
        <w:numPr>
          <w:ilvl w:val="0"/>
          <w:numId w:val="72"/>
        </w:numPr>
        <w:rPr>
          <w:rFonts w:ascii="Arial" w:cs="Arial" w:eastAsia="Arial" w:hAnsi="Arial"/>
          <w:sz w:val="16"/>
          <w:szCs w:val="16"/>
          <w:color w:val="665B4F"/>
        </w:rPr>
      </w:pPr>
      <w:r>
        <w:rPr>
          <w:rFonts w:ascii="Arial" w:cs="Arial" w:eastAsia="Arial" w:hAnsi="Arial"/>
          <w:sz w:val="16"/>
          <w:szCs w:val="16"/>
          <w:b w:val="1"/>
          <w:bCs w:val="1"/>
          <w:color w:val="auto"/>
        </w:rPr>
        <w:t>Maintaining Healthy Liquidity and Financial Flexibility</w:t>
      </w:r>
      <w:r>
        <w:rPr>
          <w:rFonts w:ascii="Arial" w:cs="Arial" w:eastAsia="Arial" w:hAnsi="Arial"/>
          <w:sz w:val="16"/>
          <w:szCs w:val="16"/>
          <w:color w:val="auto"/>
        </w:rPr>
        <w:t>. As of December 31, 2017, the Company had approximately $3.13 billion of cash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on-hand and approximately $1.60 billion of undrawn debt capacity to help fund its current and potential future development projects. During 2017, the Company meaningfully improved the maturity profile of its debt obligations by amending and extending the Wynn America Credit Facilities, redeeming the Wynn Las Vegas First Mortgage Notes due 2022 by using proceeds from the issuance of new Wynn Las Vegas Senior Notes due 2027, and redeeming the Wynn Macau Senior Notes due 2021 by using proceeds from the issuance of new Wynn Macau Senior Notes due 2024 and 2027.</w:t>
      </w:r>
    </w:p>
    <w:p>
      <w:pPr>
        <w:spacing w:after="0" w:line="87" w:lineRule="exact"/>
        <w:rPr>
          <w:rFonts w:ascii="Arial" w:cs="Arial" w:eastAsia="Arial" w:hAnsi="Arial"/>
          <w:sz w:val="16"/>
          <w:szCs w:val="16"/>
          <w:color w:val="665B4F"/>
        </w:rPr>
      </w:pPr>
    </w:p>
    <w:p>
      <w:pPr>
        <w:ind w:left="520" w:right="120" w:hanging="208"/>
        <w:spacing w:after="0" w:line="266" w:lineRule="auto"/>
        <w:tabs>
          <w:tab w:leader="none" w:pos="520" w:val="left"/>
        </w:tabs>
        <w:numPr>
          <w:ilvl w:val="0"/>
          <w:numId w:val="72"/>
        </w:numPr>
        <w:rPr>
          <w:rFonts w:ascii="Arial" w:cs="Arial" w:eastAsia="Arial" w:hAnsi="Arial"/>
          <w:sz w:val="16"/>
          <w:szCs w:val="16"/>
          <w:color w:val="665B4F"/>
        </w:rPr>
      </w:pPr>
      <w:r>
        <w:rPr>
          <w:rFonts w:ascii="Arial" w:cs="Arial" w:eastAsia="Arial" w:hAnsi="Arial"/>
          <w:sz w:val="16"/>
          <w:szCs w:val="16"/>
          <w:b w:val="1"/>
          <w:bCs w:val="1"/>
          <w:color w:val="auto"/>
        </w:rPr>
        <w:t xml:space="preserve">Continuing to Return Significant Capital to our Shareholders. </w:t>
      </w:r>
      <w:r>
        <w:rPr>
          <w:rFonts w:ascii="Arial" w:cs="Arial" w:eastAsia="Arial" w:hAnsi="Arial"/>
          <w:sz w:val="16"/>
          <w:szCs w:val="16"/>
          <w:color w:val="auto"/>
        </w:rPr>
        <w:t>During 2017, we returned approximately $204 million ($2.00 per share) of cash to</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through dividend payments. Through the end of 2017, we have returned approximately $6.6 billion ($60.75 per share) since our initial public offering in 2002.</w:t>
      </w:r>
    </w:p>
    <w:p>
      <w:pPr>
        <w:spacing w:after="0" w:line="77" w:lineRule="exact"/>
        <w:rPr>
          <w:rFonts w:ascii="Arial" w:cs="Arial" w:eastAsia="Arial" w:hAnsi="Arial"/>
          <w:sz w:val="16"/>
          <w:szCs w:val="16"/>
          <w:color w:val="665B4F"/>
        </w:rPr>
      </w:pPr>
    </w:p>
    <w:p>
      <w:pPr>
        <w:ind w:left="520" w:hanging="208"/>
        <w:spacing w:after="0" w:line="256" w:lineRule="auto"/>
        <w:tabs>
          <w:tab w:leader="none" w:pos="520" w:val="left"/>
        </w:tabs>
        <w:numPr>
          <w:ilvl w:val="0"/>
          <w:numId w:val="72"/>
        </w:numPr>
        <w:rPr>
          <w:rFonts w:ascii="Arial" w:cs="Arial" w:eastAsia="Arial" w:hAnsi="Arial"/>
          <w:sz w:val="16"/>
          <w:szCs w:val="16"/>
          <w:color w:val="665B4F"/>
        </w:rPr>
      </w:pPr>
      <w:r>
        <w:rPr>
          <w:rFonts w:ascii="Arial" w:cs="Arial" w:eastAsia="Arial" w:hAnsi="Arial"/>
          <w:sz w:val="16"/>
          <w:szCs w:val="16"/>
          <w:b w:val="1"/>
          <w:bCs w:val="1"/>
          <w:color w:val="auto"/>
        </w:rPr>
        <w:t>Earned More Forbes Five-Star Awards than Any Independent Hotel Company</w:t>
      </w:r>
      <w:r>
        <w:rPr>
          <w:rFonts w:ascii="Arial" w:cs="Arial" w:eastAsia="Arial" w:hAnsi="Arial"/>
          <w:sz w:val="16"/>
          <w:szCs w:val="16"/>
          <w:color w:val="auto"/>
        </w:rPr>
        <w:t>. Forbes Travel Guide awarded sixteen Five-Star awards in 2018</w:t>
      </w:r>
      <w:r>
        <w:rPr>
          <w:rFonts w:ascii="Arial" w:cs="Arial" w:eastAsia="Arial" w:hAnsi="Arial"/>
          <w:sz w:val="16"/>
          <w:szCs w:val="16"/>
          <w:b w:val="1"/>
          <w:bCs w:val="1"/>
          <w:color w:val="auto"/>
        </w:rPr>
        <w:t xml:space="preserve"> </w:t>
      </w:r>
      <w:r>
        <w:rPr>
          <w:rFonts w:ascii="Arial" w:cs="Arial" w:eastAsia="Arial" w:hAnsi="Arial"/>
          <w:sz w:val="16"/>
          <w:szCs w:val="16"/>
          <w:color w:val="auto"/>
        </w:rPr>
        <w:t>to Wynn Macau, Wynn Palace and Wynn Las Vegas. Wynn Palace earned a coveted Five-Star triple crown for its hotel, spa, and Sushi Mizumi restaurant while Wing Lei at Wynn Las Vegas remained the only Five-Star Chinese restaurant in North America. Collectively, Wynn Resorts has more Forbes Travel Guide Five-Star awards than any other independent hotel company in the world. Wynn Macau is the only resort in the world with eight Forbes Travel Guide Five-Star awards.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HOW WE USE COMPENSATION TO FURTHER OUR STRATEGY AND SUPPORT OUR PERFORMANCE</w:t>
      </w:r>
    </w:p>
    <w:p>
      <w:pPr>
        <w:spacing w:after="0" w:line="124" w:lineRule="exact"/>
        <w:rPr>
          <w:sz w:val="20"/>
          <w:szCs w:val="20"/>
          <w:color w:val="auto"/>
        </w:rPr>
      </w:pPr>
    </w:p>
    <w:p>
      <w:pPr>
        <w:ind w:left="200" w:right="380"/>
        <w:spacing w:after="0" w:line="251" w:lineRule="auto"/>
        <w:rPr>
          <w:sz w:val="20"/>
          <w:szCs w:val="20"/>
          <w:color w:val="auto"/>
        </w:rPr>
      </w:pPr>
      <w:r>
        <w:rPr>
          <w:rFonts w:ascii="Arial" w:cs="Arial" w:eastAsia="Arial" w:hAnsi="Arial"/>
          <w:sz w:val="16"/>
          <w:szCs w:val="16"/>
          <w:color w:val="auto"/>
        </w:rPr>
        <w:t>We take a multi-decade investment approach to our business that focuses on rewarding strong near-term performance and the creation of long-term shareholder value. Because product quality and service excellence are at the core of our strategy, we use annually focused, operations-based pay to highlight the critical importance of performing well each year for each customer. We supplement that with a set of long-term incentives and holding requirements to support the sustainability of our reputation and our ongoing returns.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SHAREHOLDER ENGAGEMENT</w:t>
      </w:r>
    </w:p>
    <w:p>
      <w:pPr>
        <w:spacing w:after="0" w:line="124" w:lineRule="exact"/>
        <w:rPr>
          <w:sz w:val="20"/>
          <w:szCs w:val="20"/>
          <w:color w:val="auto"/>
        </w:rPr>
      </w:pPr>
    </w:p>
    <w:p>
      <w:pPr>
        <w:jc w:val="both"/>
        <w:ind w:left="200" w:right="360"/>
        <w:spacing w:after="0" w:line="253" w:lineRule="auto"/>
        <w:rPr>
          <w:sz w:val="20"/>
          <w:szCs w:val="20"/>
          <w:color w:val="auto"/>
        </w:rPr>
      </w:pPr>
      <w:r>
        <w:rPr>
          <w:rFonts w:ascii="Arial" w:cs="Arial" w:eastAsia="Arial" w:hAnsi="Arial"/>
          <w:sz w:val="16"/>
          <w:szCs w:val="16"/>
          <w:color w:val="auto"/>
        </w:rPr>
        <w:t>Over the last five years (from 2013 through April 2018) we have made important updates to our pay plans and corporate governance documents and policies based on our changing needs and the input we have received from engagements with our shareholders. Each change supports our business model and the aligning of our compensation with our performance goals. These changes include:</w:t>
      </w:r>
    </w:p>
    <w:p>
      <w:pPr>
        <w:spacing w:after="0" w:line="107" w:lineRule="exact"/>
        <w:rPr>
          <w:sz w:val="20"/>
          <w:szCs w:val="20"/>
          <w:color w:val="auto"/>
        </w:rPr>
      </w:pPr>
    </w:p>
    <w:p>
      <w:pPr>
        <w:ind w:left="520" w:hanging="208"/>
        <w:spacing w:after="0"/>
        <w:tabs>
          <w:tab w:leader="none" w:pos="520" w:val="left"/>
        </w:tabs>
        <w:numPr>
          <w:ilvl w:val="0"/>
          <w:numId w:val="73"/>
        </w:numPr>
        <w:rPr>
          <w:rFonts w:ascii="Arial" w:cs="Arial" w:eastAsia="Arial" w:hAnsi="Arial"/>
          <w:sz w:val="16"/>
          <w:szCs w:val="16"/>
          <w:color w:val="665B4F"/>
        </w:rPr>
      </w:pPr>
      <w:r>
        <w:rPr>
          <w:rFonts w:ascii="Arial" w:cs="Arial" w:eastAsia="Arial" w:hAnsi="Arial"/>
          <w:sz w:val="16"/>
          <w:szCs w:val="16"/>
          <w:color w:val="auto"/>
        </w:rPr>
        <w:t>Separating the positions of Chairman of the Board and CEO, with an independent director as board chair</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73"/>
        </w:numPr>
        <w:rPr>
          <w:rFonts w:ascii="Arial" w:cs="Arial" w:eastAsia="Arial" w:hAnsi="Arial"/>
          <w:sz w:val="16"/>
          <w:szCs w:val="16"/>
          <w:color w:val="665B4F"/>
        </w:rPr>
      </w:pPr>
      <w:r>
        <w:rPr>
          <w:rFonts w:ascii="Arial" w:cs="Arial" w:eastAsia="Arial" w:hAnsi="Arial"/>
          <w:sz w:val="16"/>
          <w:szCs w:val="16"/>
          <w:color w:val="auto"/>
        </w:rPr>
        <w:t>Commencing a board refreshment process to meet our evolving needs and strengthen our Board’s diversity, skills and experience</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73"/>
        </w:numPr>
        <w:rPr>
          <w:rFonts w:ascii="Arial" w:cs="Arial" w:eastAsia="Arial" w:hAnsi="Arial"/>
          <w:sz w:val="16"/>
          <w:szCs w:val="16"/>
          <w:color w:val="665B4F"/>
        </w:rPr>
      </w:pPr>
      <w:r>
        <w:rPr>
          <w:rFonts w:ascii="Arial" w:cs="Arial" w:eastAsia="Arial" w:hAnsi="Arial"/>
          <w:sz w:val="16"/>
          <w:szCs w:val="16"/>
          <w:color w:val="auto"/>
        </w:rPr>
        <w:t>Eliminating all excise tax-gross ups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73"/>
        </w:numPr>
        <w:rPr>
          <w:rFonts w:ascii="Arial" w:cs="Arial" w:eastAsia="Arial" w:hAnsi="Arial"/>
          <w:sz w:val="16"/>
          <w:szCs w:val="16"/>
          <w:color w:val="665B4F"/>
        </w:rPr>
      </w:pPr>
      <w:r>
        <w:rPr>
          <w:rFonts w:ascii="Arial" w:cs="Arial" w:eastAsia="Arial" w:hAnsi="Arial"/>
          <w:sz w:val="16"/>
          <w:szCs w:val="16"/>
          <w:color w:val="auto"/>
        </w:rPr>
        <w:t>Doubling the stock holding requirement for our CEO (now 10X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224790</wp:posOffset>
            </wp:positionV>
            <wp:extent cx="608965" cy="274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39"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25</w:t>
        <w:tab/>
        <w:t>|</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5B4F"/>
        </w:rPr>
        <w:t>COMPENSATION DISCUSSION AND ANALYSIS</w:t>
      </w:r>
    </w:p>
    <w:p>
      <w:pPr>
        <w:spacing w:after="0" w:line="299" w:lineRule="exact"/>
        <w:rPr>
          <w:sz w:val="20"/>
          <w:szCs w:val="20"/>
          <w:color w:val="auto"/>
        </w:rPr>
      </w:pPr>
    </w:p>
    <w:p>
      <w:pPr>
        <w:ind w:left="520" w:hanging="208"/>
        <w:spacing w:after="0"/>
        <w:tabs>
          <w:tab w:leader="none" w:pos="520" w:val="left"/>
        </w:tabs>
        <w:numPr>
          <w:ilvl w:val="0"/>
          <w:numId w:val="74"/>
        </w:numPr>
        <w:rPr>
          <w:rFonts w:ascii="Arial" w:cs="Arial" w:eastAsia="Arial" w:hAnsi="Arial"/>
          <w:sz w:val="16"/>
          <w:szCs w:val="16"/>
          <w:color w:val="665B4F"/>
        </w:rPr>
      </w:pPr>
      <w:r>
        <w:rPr>
          <w:rFonts w:ascii="Arial" w:cs="Arial" w:eastAsia="Arial" w:hAnsi="Arial"/>
          <w:sz w:val="16"/>
          <w:szCs w:val="16"/>
          <w:color w:val="auto"/>
        </w:rPr>
        <w:t>Implementing a policy requiring a director who does not receive 50% of votes cast in an uncontested election to offer his or her resignation</w:t>
      </w:r>
    </w:p>
    <w:p>
      <w:pPr>
        <w:spacing w:after="0" w:line="140" w:lineRule="exact"/>
        <w:rPr>
          <w:rFonts w:ascii="Arial" w:cs="Arial" w:eastAsia="Arial" w:hAnsi="Arial"/>
          <w:sz w:val="16"/>
          <w:szCs w:val="16"/>
          <w:color w:val="665B4F"/>
        </w:rPr>
      </w:pPr>
    </w:p>
    <w:p>
      <w:pPr>
        <w:ind w:left="520" w:right="500" w:hanging="208"/>
        <w:spacing w:after="0" w:line="260" w:lineRule="auto"/>
        <w:tabs>
          <w:tab w:leader="none" w:pos="520" w:val="left"/>
        </w:tabs>
        <w:numPr>
          <w:ilvl w:val="0"/>
          <w:numId w:val="74"/>
        </w:numPr>
        <w:rPr>
          <w:rFonts w:ascii="Arial" w:cs="Arial" w:eastAsia="Arial" w:hAnsi="Arial"/>
          <w:sz w:val="16"/>
          <w:szCs w:val="16"/>
          <w:color w:val="665B4F"/>
        </w:rPr>
      </w:pPr>
      <w:r>
        <w:rPr>
          <w:rFonts w:ascii="Arial" w:cs="Arial" w:eastAsia="Arial" w:hAnsi="Arial"/>
          <w:sz w:val="16"/>
          <w:szCs w:val="16"/>
          <w:color w:val="auto"/>
        </w:rPr>
        <w:t>Creating multiple metrics for our annual incentive programs, consistent with best practices, including increasing by 10% the minimum Adjusted Property EBITDA goal with respect to 2017 performance awards</w:t>
      </w:r>
    </w:p>
    <w:p>
      <w:pPr>
        <w:spacing w:after="0" w:line="101" w:lineRule="exact"/>
        <w:rPr>
          <w:rFonts w:ascii="Arial" w:cs="Arial" w:eastAsia="Arial" w:hAnsi="Arial"/>
          <w:sz w:val="16"/>
          <w:szCs w:val="16"/>
          <w:color w:val="665B4F"/>
        </w:rPr>
      </w:pPr>
    </w:p>
    <w:p>
      <w:pPr>
        <w:ind w:left="520" w:right="40" w:hanging="208"/>
        <w:spacing w:after="0" w:line="260" w:lineRule="auto"/>
        <w:tabs>
          <w:tab w:leader="none" w:pos="520" w:val="left"/>
        </w:tabs>
        <w:numPr>
          <w:ilvl w:val="0"/>
          <w:numId w:val="74"/>
        </w:numPr>
        <w:rPr>
          <w:rFonts w:ascii="Arial" w:cs="Arial" w:eastAsia="Arial" w:hAnsi="Arial"/>
          <w:sz w:val="16"/>
          <w:szCs w:val="16"/>
          <w:color w:val="665B4F"/>
        </w:rPr>
      </w:pPr>
      <w:r>
        <w:rPr>
          <w:rFonts w:ascii="Arial" w:cs="Arial" w:eastAsia="Arial" w:hAnsi="Arial"/>
          <w:sz w:val="16"/>
          <w:szCs w:val="16"/>
          <w:color w:val="auto"/>
        </w:rPr>
        <w:t>Implementing plans in which the majority of NEOs’ pay is “at risk.” For 2017, approximately 87% of Mr. Wynn’s total compensation (as reported in the Summary Compensation Table) was at-risk and tied to the achievement of three performance goals set by the Compensation Committee</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74"/>
        </w:numPr>
        <w:rPr>
          <w:rFonts w:ascii="Arial" w:cs="Arial" w:eastAsia="Arial" w:hAnsi="Arial"/>
          <w:sz w:val="16"/>
          <w:szCs w:val="16"/>
          <w:color w:val="665B4F"/>
        </w:rPr>
      </w:pPr>
      <w:r>
        <w:rPr>
          <w:rFonts w:ascii="Arial" w:cs="Arial" w:eastAsia="Arial" w:hAnsi="Arial"/>
          <w:sz w:val="16"/>
          <w:szCs w:val="16"/>
          <w:color w:val="auto"/>
        </w:rPr>
        <w:t>Creating performance-based stock awards that vest over multiple years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74"/>
        </w:numPr>
        <w:rPr>
          <w:rFonts w:ascii="Arial" w:cs="Arial" w:eastAsia="Arial" w:hAnsi="Arial"/>
          <w:sz w:val="16"/>
          <w:szCs w:val="16"/>
          <w:color w:val="665B4F"/>
        </w:rPr>
      </w:pPr>
      <w:r>
        <w:rPr>
          <w:rFonts w:ascii="Arial" w:cs="Arial" w:eastAsia="Arial" w:hAnsi="Arial"/>
          <w:sz w:val="16"/>
          <w:szCs w:val="16"/>
          <w:color w:val="auto"/>
        </w:rPr>
        <w:t>Reducing our former CEO’s base salary and eliminating various former CEO perquisites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74"/>
        </w:numPr>
        <w:rPr>
          <w:rFonts w:ascii="Arial" w:cs="Arial" w:eastAsia="Arial" w:hAnsi="Arial"/>
          <w:sz w:val="16"/>
          <w:szCs w:val="16"/>
          <w:color w:val="665B4F"/>
        </w:rPr>
      </w:pPr>
      <w:r>
        <w:rPr>
          <w:rFonts w:ascii="Arial" w:cs="Arial" w:eastAsia="Arial" w:hAnsi="Arial"/>
          <w:sz w:val="16"/>
          <w:szCs w:val="16"/>
          <w:color w:val="auto"/>
        </w:rPr>
        <w:t>Shifting payments of annual incentive bonuses from all cash to 50% stock</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74"/>
        </w:numPr>
        <w:rPr>
          <w:rFonts w:ascii="Arial" w:cs="Arial" w:eastAsia="Arial" w:hAnsi="Arial"/>
          <w:sz w:val="16"/>
          <w:szCs w:val="16"/>
          <w:color w:val="665B4F"/>
        </w:rPr>
      </w:pPr>
      <w:r>
        <w:rPr>
          <w:rFonts w:ascii="Arial" w:cs="Arial" w:eastAsia="Arial" w:hAnsi="Arial"/>
          <w:sz w:val="16"/>
          <w:szCs w:val="16"/>
          <w:color w:val="auto"/>
        </w:rPr>
        <w:t>Exercising negative discretion to reduce compensation payouts when warranted</w:t>
      </w:r>
    </w:p>
    <w:p>
      <w:pPr>
        <w:spacing w:after="0" w:line="31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SAY-ON-PAY VOTE HISTORY</w:t>
      </w:r>
    </w:p>
    <w:p>
      <w:pPr>
        <w:spacing w:after="0" w:line="124" w:lineRule="exact"/>
        <w:rPr>
          <w:sz w:val="20"/>
          <w:szCs w:val="20"/>
          <w:color w:val="auto"/>
        </w:rPr>
      </w:pPr>
    </w:p>
    <w:p>
      <w:pPr>
        <w:ind w:left="200" w:right="160"/>
        <w:spacing w:after="0" w:line="250" w:lineRule="auto"/>
        <w:rPr>
          <w:sz w:val="20"/>
          <w:szCs w:val="20"/>
          <w:color w:val="auto"/>
        </w:rPr>
      </w:pPr>
      <w:r>
        <w:rPr>
          <w:rFonts w:ascii="Arial" w:cs="Arial" w:eastAsia="Arial" w:hAnsi="Arial"/>
          <w:sz w:val="16"/>
          <w:szCs w:val="16"/>
          <w:color w:val="auto"/>
        </w:rPr>
        <w:t>We intend to continue to improve our compensation plans, and are grateful for the ongoing shareholder input that informs our discussions. Although a majority of our shareholders supported our advisory vote on the compensation of our named executive officers in 2017, the total votes in support— approximately 62%—were well short of the levels we had hoped to achieve then, or in future years. We encourage you, our shareholders, to continue to reach out to us via the various means described in this proxy statement. We value the input of our shareholders and encourage the ongoing information exchange that enables us to remain current with prevailing practices.</w:t>
      </w:r>
    </w:p>
    <w:p>
      <w:pPr>
        <w:spacing w:after="0" w:line="203"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auto"/>
        </w:rPr>
        <w:t>This compensation discussion and analysis focuses, as required by applicable rules, on compensation awarded in 2017 to our Named Executive Officers, which includes our former CEO and Chairman Stephen A. Wynn. To provide context, we also provide some information on actions taken since Mr. Wynn resigned and Matt Maddox became CEO. We do not think of Wynn Resorts as a company run by a small group of officers, but as a team of over 25,000 employees dedicated to providing our guests the best possible experiences, being welcome members of our communities and generating ongoing returns for our shareholders.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EXECUTIVE COMPENSATION PROGRAM HIGHLIGHTS</w:t>
      </w:r>
    </w:p>
    <w:p>
      <w:pPr>
        <w:spacing w:after="0" w:line="137" w:lineRule="exact"/>
        <w:rPr>
          <w:sz w:val="20"/>
          <w:szCs w:val="20"/>
          <w:color w:val="auto"/>
        </w:rPr>
      </w:pPr>
    </w:p>
    <w:p>
      <w:pPr>
        <w:ind w:left="520" w:hanging="208"/>
        <w:spacing w:after="0"/>
        <w:tabs>
          <w:tab w:leader="none" w:pos="520" w:val="left"/>
        </w:tabs>
        <w:numPr>
          <w:ilvl w:val="0"/>
          <w:numId w:val="75"/>
        </w:numPr>
        <w:rPr>
          <w:rFonts w:ascii="Arial" w:cs="Arial" w:eastAsia="Arial" w:hAnsi="Arial"/>
          <w:sz w:val="16"/>
          <w:szCs w:val="16"/>
          <w:color w:val="665B4F"/>
        </w:rPr>
      </w:pPr>
      <w:r>
        <w:rPr>
          <w:rFonts w:ascii="Arial" w:cs="Arial" w:eastAsia="Arial" w:hAnsi="Arial"/>
          <w:sz w:val="16"/>
          <w:szCs w:val="16"/>
          <w:color w:val="auto"/>
        </w:rPr>
        <w:t>Our pay structures are simple and transparent</w:t>
      </w:r>
    </w:p>
    <w:p>
      <w:pPr>
        <w:spacing w:after="0" w:line="140" w:lineRule="exact"/>
        <w:rPr>
          <w:rFonts w:ascii="Arial" w:cs="Arial" w:eastAsia="Arial" w:hAnsi="Arial"/>
          <w:sz w:val="16"/>
          <w:szCs w:val="16"/>
          <w:color w:val="665B4F"/>
        </w:rPr>
      </w:pPr>
    </w:p>
    <w:p>
      <w:pPr>
        <w:ind w:left="520" w:right="180" w:hanging="208"/>
        <w:spacing w:after="0" w:line="260" w:lineRule="auto"/>
        <w:tabs>
          <w:tab w:leader="none" w:pos="520" w:val="left"/>
        </w:tabs>
        <w:numPr>
          <w:ilvl w:val="0"/>
          <w:numId w:val="75"/>
        </w:numPr>
        <w:rPr>
          <w:rFonts w:ascii="Arial" w:cs="Arial" w:eastAsia="Arial" w:hAnsi="Arial"/>
          <w:sz w:val="16"/>
          <w:szCs w:val="16"/>
          <w:color w:val="665B4F"/>
        </w:rPr>
      </w:pPr>
      <w:r>
        <w:rPr>
          <w:rFonts w:ascii="Arial" w:cs="Arial" w:eastAsia="Arial" w:hAnsi="Arial"/>
          <w:sz w:val="16"/>
          <w:szCs w:val="16"/>
          <w:color w:val="auto"/>
        </w:rPr>
        <w:t>Our Compensation Committee is comprised solely of independent directors and it hires a compensation consultant who provides no services to our management</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75"/>
        </w:numPr>
        <w:rPr>
          <w:rFonts w:ascii="Arial" w:cs="Arial" w:eastAsia="Arial" w:hAnsi="Arial"/>
          <w:sz w:val="16"/>
          <w:szCs w:val="16"/>
          <w:color w:val="665B4F"/>
        </w:rPr>
      </w:pPr>
      <w:r>
        <w:rPr>
          <w:rFonts w:ascii="Arial" w:cs="Arial" w:eastAsia="Arial" w:hAnsi="Arial"/>
          <w:sz w:val="16"/>
          <w:szCs w:val="16"/>
          <w:color w:val="auto"/>
        </w:rPr>
        <w:t>Our annual incentives are aligned with critical operating and excellence goals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75"/>
        </w:numPr>
        <w:rPr>
          <w:rFonts w:ascii="Arial" w:cs="Arial" w:eastAsia="Arial" w:hAnsi="Arial"/>
          <w:sz w:val="16"/>
          <w:szCs w:val="16"/>
          <w:color w:val="665B4F"/>
        </w:rPr>
      </w:pPr>
      <w:r>
        <w:rPr>
          <w:rFonts w:ascii="Arial" w:cs="Arial" w:eastAsia="Arial" w:hAnsi="Arial"/>
          <w:sz w:val="16"/>
          <w:szCs w:val="16"/>
          <w:color w:val="auto"/>
        </w:rPr>
        <w:t>Our equity-based grants vest over long periods and are subject to meaningful holding requirements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75"/>
        </w:numPr>
        <w:rPr>
          <w:rFonts w:ascii="Arial" w:cs="Arial" w:eastAsia="Arial" w:hAnsi="Arial"/>
          <w:sz w:val="16"/>
          <w:szCs w:val="16"/>
          <w:color w:val="665B4F"/>
        </w:rPr>
      </w:pPr>
      <w:r>
        <w:rPr>
          <w:rFonts w:ascii="Arial" w:cs="Arial" w:eastAsia="Arial" w:hAnsi="Arial"/>
          <w:sz w:val="16"/>
          <w:szCs w:val="16"/>
          <w:color w:val="auto"/>
        </w:rPr>
        <w:t>Our annual incentives do not have minimum guaranteed payouts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75"/>
        </w:numPr>
        <w:rPr>
          <w:rFonts w:ascii="Arial" w:cs="Arial" w:eastAsia="Arial" w:hAnsi="Arial"/>
          <w:sz w:val="16"/>
          <w:szCs w:val="16"/>
          <w:color w:val="665B4F"/>
        </w:rPr>
      </w:pPr>
      <w:r>
        <w:rPr>
          <w:rFonts w:ascii="Arial" w:cs="Arial" w:eastAsia="Arial" w:hAnsi="Arial"/>
          <w:sz w:val="16"/>
          <w:szCs w:val="16"/>
          <w:color w:val="auto"/>
        </w:rPr>
        <w:t>We do not reprice options or pay dividends on option awards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75"/>
        </w:numPr>
        <w:rPr>
          <w:rFonts w:ascii="Arial" w:cs="Arial" w:eastAsia="Arial" w:hAnsi="Arial"/>
          <w:sz w:val="16"/>
          <w:szCs w:val="16"/>
          <w:color w:val="665B4F"/>
        </w:rPr>
      </w:pPr>
      <w:r>
        <w:rPr>
          <w:rFonts w:ascii="Arial" w:cs="Arial" w:eastAsia="Arial" w:hAnsi="Arial"/>
          <w:sz w:val="16"/>
          <w:szCs w:val="16"/>
          <w:color w:val="auto"/>
        </w:rPr>
        <w:t>We do not provide supplemental retirement or pension benefits to NEOs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75"/>
        </w:numPr>
        <w:rPr>
          <w:rFonts w:ascii="Arial" w:cs="Arial" w:eastAsia="Arial" w:hAnsi="Arial"/>
          <w:sz w:val="16"/>
          <w:szCs w:val="16"/>
          <w:color w:val="665B4F"/>
        </w:rPr>
      </w:pPr>
      <w:r>
        <w:rPr>
          <w:rFonts w:ascii="Arial" w:cs="Arial" w:eastAsia="Arial" w:hAnsi="Arial"/>
          <w:sz w:val="16"/>
          <w:szCs w:val="16"/>
          <w:color w:val="auto"/>
        </w:rPr>
        <w:t>We do not provide excise tax gross-ups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75"/>
        </w:numPr>
        <w:rPr>
          <w:rFonts w:ascii="Arial" w:cs="Arial" w:eastAsia="Arial" w:hAnsi="Arial"/>
          <w:sz w:val="16"/>
          <w:szCs w:val="16"/>
          <w:color w:val="665B4F"/>
        </w:rPr>
      </w:pPr>
      <w:r>
        <w:rPr>
          <w:rFonts w:ascii="Arial" w:cs="Arial" w:eastAsia="Arial" w:hAnsi="Arial"/>
          <w:sz w:val="16"/>
          <w:szCs w:val="16"/>
          <w:color w:val="auto"/>
        </w:rPr>
        <w:t>Our change-in-control payments are subject to double triggers</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75"/>
        </w:numPr>
        <w:rPr>
          <w:rFonts w:ascii="Arial" w:cs="Arial" w:eastAsia="Arial" w:hAnsi="Arial"/>
          <w:sz w:val="16"/>
          <w:szCs w:val="16"/>
          <w:color w:val="665B4F"/>
        </w:rPr>
      </w:pPr>
      <w:r>
        <w:rPr>
          <w:rFonts w:ascii="Arial" w:cs="Arial" w:eastAsia="Arial" w:hAnsi="Arial"/>
          <w:sz w:val="16"/>
          <w:szCs w:val="16"/>
          <w:color w:val="auto"/>
        </w:rPr>
        <w:t>Our pay plans are structured to discourage inappropriate risk taking</w:t>
      </w:r>
    </w:p>
    <w:p>
      <w:pPr>
        <w:spacing w:after="0" w:line="31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PHILOSOPHY AND OVERVIEW OF OUR EXECUTIVE COMPENSATION PROGRAM</w:t>
      </w:r>
    </w:p>
    <w:p>
      <w:pPr>
        <w:spacing w:after="0" w:line="104" w:lineRule="exact"/>
        <w:rPr>
          <w:sz w:val="20"/>
          <w:szCs w:val="20"/>
          <w:color w:val="auto"/>
        </w:rPr>
      </w:pPr>
    </w:p>
    <w:p>
      <w:pPr>
        <w:ind w:left="200" w:right="60"/>
        <w:spacing w:after="0" w:line="286" w:lineRule="auto"/>
        <w:rPr>
          <w:sz w:val="20"/>
          <w:szCs w:val="20"/>
          <w:color w:val="auto"/>
        </w:rPr>
      </w:pPr>
      <w:r>
        <w:rPr>
          <w:rFonts w:ascii="Arial" w:cs="Arial" w:eastAsia="Arial" w:hAnsi="Arial"/>
          <w:sz w:val="16"/>
          <w:szCs w:val="16"/>
          <w:b w:val="1"/>
          <w:bCs w:val="1"/>
          <w:color w:val="auto"/>
        </w:rPr>
        <w:t xml:space="preserve">Our Compensation Philosophy. </w:t>
      </w:r>
      <w:r>
        <w:rPr>
          <w:rFonts w:ascii="Arial" w:cs="Arial" w:eastAsia="Arial" w:hAnsi="Arial"/>
          <w:sz w:val="16"/>
          <w:szCs w:val="16"/>
          <w:color w:val="auto"/>
        </w:rPr>
        <w:t>We, the Compensation Committee, believe that our ability to oversee the delivery of operational excellence and steady</w:t>
      </w:r>
      <w:r>
        <w:rPr>
          <w:rFonts w:ascii="Arial" w:cs="Arial" w:eastAsia="Arial" w:hAnsi="Arial"/>
          <w:sz w:val="16"/>
          <w:szCs w:val="16"/>
          <w:b w:val="1"/>
          <w:bCs w:val="1"/>
          <w:color w:val="auto"/>
        </w:rPr>
        <w:t xml:space="preserve"> </w:t>
      </w:r>
      <w:r>
        <w:rPr>
          <w:rFonts w:ascii="Arial" w:cs="Arial" w:eastAsia="Arial" w:hAnsi="Arial"/>
          <w:sz w:val="16"/>
          <w:szCs w:val="16"/>
          <w:color w:val="auto"/>
        </w:rPr>
        <w:t>returns depends on attracting and retaining a high-performing management team. To achieve this we rely on these principles:</w:t>
      </w:r>
    </w:p>
    <w:p>
      <w:pPr>
        <w:spacing w:after="0" w:line="61" w:lineRule="exact"/>
        <w:rPr>
          <w:sz w:val="20"/>
          <w:szCs w:val="20"/>
          <w:color w:val="auto"/>
        </w:rPr>
      </w:pPr>
    </w:p>
    <w:p>
      <w:pPr>
        <w:ind w:left="520" w:right="100" w:hanging="208"/>
        <w:spacing w:after="0" w:line="286" w:lineRule="auto"/>
        <w:tabs>
          <w:tab w:leader="none" w:pos="520" w:val="left"/>
        </w:tabs>
        <w:numPr>
          <w:ilvl w:val="0"/>
          <w:numId w:val="76"/>
        </w:numPr>
        <w:rPr>
          <w:rFonts w:ascii="Arial" w:cs="Arial" w:eastAsia="Arial" w:hAnsi="Arial"/>
          <w:sz w:val="16"/>
          <w:szCs w:val="16"/>
          <w:color w:val="665B4F"/>
        </w:rPr>
      </w:pPr>
      <w:r>
        <w:rPr>
          <w:rFonts w:ascii="Arial" w:cs="Arial" w:eastAsia="Arial" w:hAnsi="Arial"/>
          <w:sz w:val="16"/>
          <w:szCs w:val="16"/>
          <w:b w:val="1"/>
          <w:bCs w:val="1"/>
          <w:color w:val="auto"/>
        </w:rPr>
        <w:t>Top talent</w:t>
      </w:r>
      <w:r>
        <w:rPr>
          <w:rFonts w:ascii="Arial" w:cs="Arial" w:eastAsia="Arial" w:hAnsi="Arial"/>
          <w:sz w:val="16"/>
          <w:szCs w:val="16"/>
          <w:color w:val="auto"/>
        </w:rPr>
        <w:t>. Our business spans continents, requires tight coordination with regulators, depends on knowledge of numerous types of operations,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is highly dependent on a reputation for excellence, so finding and retaining top talent is a critical element of our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84455</wp:posOffset>
            </wp:positionV>
            <wp:extent cx="6997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0" w:lineRule="exact"/>
        <w:rPr>
          <w:sz w:val="20"/>
          <w:szCs w:val="20"/>
          <w:color w:val="auto"/>
        </w:rPr>
      </w:pPr>
    </w:p>
    <w:p>
      <w:pPr>
        <w:ind w:left="8860"/>
        <w:spacing w:after="0"/>
        <w:tabs>
          <w:tab w:leader="none" w:pos="10840" w:val="left"/>
          <w:tab w:leader="none" w:pos="110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26</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COMPENSATION DISCUSSION AND ANALYSIS</w:t>
      </w:r>
    </w:p>
    <w:p>
      <w:pPr>
        <w:spacing w:after="0" w:line="279" w:lineRule="exact"/>
        <w:rPr>
          <w:sz w:val="20"/>
          <w:szCs w:val="20"/>
          <w:color w:val="auto"/>
        </w:rPr>
      </w:pPr>
    </w:p>
    <w:p>
      <w:pPr>
        <w:ind w:left="520" w:right="120" w:hanging="208"/>
        <w:spacing w:after="0" w:line="256" w:lineRule="auto"/>
        <w:tabs>
          <w:tab w:leader="none" w:pos="520" w:val="left"/>
        </w:tabs>
        <w:numPr>
          <w:ilvl w:val="0"/>
          <w:numId w:val="77"/>
        </w:numPr>
        <w:rPr>
          <w:rFonts w:ascii="Arial" w:cs="Arial" w:eastAsia="Arial" w:hAnsi="Arial"/>
          <w:sz w:val="16"/>
          <w:szCs w:val="16"/>
          <w:color w:val="665B4F"/>
        </w:rPr>
      </w:pPr>
      <w:r>
        <w:rPr>
          <w:rFonts w:ascii="Arial" w:cs="Arial" w:eastAsia="Arial" w:hAnsi="Arial"/>
          <w:sz w:val="16"/>
          <w:szCs w:val="16"/>
          <w:b w:val="1"/>
          <w:bCs w:val="1"/>
          <w:color w:val="auto"/>
        </w:rPr>
        <w:t>Pay-for-sustainable performance</w:t>
      </w:r>
      <w:r>
        <w:rPr>
          <w:rFonts w:ascii="Arial" w:cs="Arial" w:eastAsia="Arial" w:hAnsi="Arial"/>
          <w:sz w:val="16"/>
          <w:szCs w:val="16"/>
          <w:color w:val="auto"/>
        </w:rPr>
        <w:t>. The majority of our executives’ total compensation is tied to achieving annual and long-term goals that enhance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value of our reputation and brand and drive long-term shareholder value. The Compensation Committee retains discretion to reduce amounts earned and payable when doing so will further these goals. In 2018, the Compensation Committee implemented performance-based stock awards that vest upon achievement of pre-established financial performance goals over each of the next three years that are based upon property-level revenue and Adjusted Property EBITDA.</w:t>
      </w:r>
    </w:p>
    <w:p>
      <w:pPr>
        <w:spacing w:after="0" w:line="85" w:lineRule="exact"/>
        <w:rPr>
          <w:rFonts w:ascii="Arial" w:cs="Arial" w:eastAsia="Arial" w:hAnsi="Arial"/>
          <w:sz w:val="16"/>
          <w:szCs w:val="16"/>
          <w:color w:val="665B4F"/>
        </w:rPr>
      </w:pPr>
    </w:p>
    <w:p>
      <w:pPr>
        <w:ind w:left="520" w:hanging="208"/>
        <w:spacing w:after="0"/>
        <w:tabs>
          <w:tab w:leader="none" w:pos="520" w:val="left"/>
        </w:tabs>
        <w:numPr>
          <w:ilvl w:val="0"/>
          <w:numId w:val="77"/>
        </w:numPr>
        <w:rPr>
          <w:rFonts w:ascii="Arial" w:cs="Arial" w:eastAsia="Arial" w:hAnsi="Arial"/>
          <w:sz w:val="16"/>
          <w:szCs w:val="16"/>
          <w:color w:val="665B4F"/>
        </w:rPr>
      </w:pPr>
      <w:r>
        <w:rPr>
          <w:rFonts w:ascii="Arial" w:cs="Arial" w:eastAsia="Arial" w:hAnsi="Arial"/>
          <w:sz w:val="16"/>
          <w:szCs w:val="16"/>
          <w:b w:val="1"/>
          <w:bCs w:val="1"/>
          <w:color w:val="auto"/>
        </w:rPr>
        <w:t>Shareholder alignment</w:t>
      </w:r>
      <w:r>
        <w:rPr>
          <w:rFonts w:ascii="Arial" w:cs="Arial" w:eastAsia="Arial" w:hAnsi="Arial"/>
          <w:sz w:val="16"/>
          <w:szCs w:val="16"/>
          <w:color w:val="auto"/>
        </w:rPr>
        <w:t>. Our long-term equity incentives align executives’ interests with those of shareholders and stakeholders.</w:t>
      </w:r>
    </w:p>
    <w:p>
      <w:pPr>
        <w:spacing w:after="0" w:line="140" w:lineRule="exact"/>
        <w:rPr>
          <w:rFonts w:ascii="Arial" w:cs="Arial" w:eastAsia="Arial" w:hAnsi="Arial"/>
          <w:sz w:val="16"/>
          <w:szCs w:val="16"/>
          <w:color w:val="665B4F"/>
        </w:rPr>
      </w:pPr>
    </w:p>
    <w:p>
      <w:pPr>
        <w:ind w:left="520" w:right="540" w:hanging="208"/>
        <w:spacing w:after="0" w:line="286" w:lineRule="auto"/>
        <w:tabs>
          <w:tab w:leader="none" w:pos="520" w:val="left"/>
        </w:tabs>
        <w:numPr>
          <w:ilvl w:val="0"/>
          <w:numId w:val="77"/>
        </w:numPr>
        <w:rPr>
          <w:rFonts w:ascii="Arial" w:cs="Arial" w:eastAsia="Arial" w:hAnsi="Arial"/>
          <w:sz w:val="16"/>
          <w:szCs w:val="16"/>
          <w:color w:val="665B4F"/>
        </w:rPr>
      </w:pPr>
      <w:r>
        <w:rPr>
          <w:rFonts w:ascii="Arial" w:cs="Arial" w:eastAsia="Arial" w:hAnsi="Arial"/>
          <w:sz w:val="16"/>
          <w:szCs w:val="16"/>
          <w:b w:val="1"/>
          <w:bCs w:val="1"/>
          <w:color w:val="auto"/>
        </w:rPr>
        <w:t>Focus on compensation totals and parity</w:t>
      </w:r>
      <w:r>
        <w:rPr>
          <w:rFonts w:ascii="Arial" w:cs="Arial" w:eastAsia="Arial" w:hAnsi="Arial"/>
          <w:sz w:val="16"/>
          <w:szCs w:val="16"/>
          <w:color w:val="auto"/>
        </w:rPr>
        <w:t>. We evaluate the total amounts of executives’ compensation for parity purposes and assess them</w:t>
      </w:r>
      <w:r>
        <w:rPr>
          <w:rFonts w:ascii="Arial" w:cs="Arial" w:eastAsia="Arial" w:hAnsi="Arial"/>
          <w:sz w:val="16"/>
          <w:szCs w:val="16"/>
          <w:b w:val="1"/>
          <w:bCs w:val="1"/>
          <w:color w:val="auto"/>
        </w:rPr>
        <w:t xml:space="preserve"> </w:t>
      </w:r>
      <w:r>
        <w:rPr>
          <w:rFonts w:ascii="Arial" w:cs="Arial" w:eastAsia="Arial" w:hAnsi="Arial"/>
          <w:sz w:val="16"/>
          <w:szCs w:val="16"/>
          <w:color w:val="auto"/>
        </w:rPr>
        <w:t>relative to the pay practices of major gaming companies and other competitors for talent.</w:t>
      </w:r>
    </w:p>
    <w:p>
      <w:pPr>
        <w:spacing w:after="0" w:line="61" w:lineRule="exact"/>
        <w:rPr>
          <w:rFonts w:ascii="Arial" w:cs="Arial" w:eastAsia="Arial" w:hAnsi="Arial"/>
          <w:sz w:val="16"/>
          <w:szCs w:val="16"/>
          <w:color w:val="665B4F"/>
        </w:rPr>
      </w:pPr>
    </w:p>
    <w:p>
      <w:pPr>
        <w:ind w:left="520" w:right="380" w:hanging="208"/>
        <w:spacing w:after="0" w:line="286" w:lineRule="auto"/>
        <w:tabs>
          <w:tab w:leader="none" w:pos="520" w:val="left"/>
        </w:tabs>
        <w:numPr>
          <w:ilvl w:val="0"/>
          <w:numId w:val="77"/>
        </w:numPr>
        <w:rPr>
          <w:rFonts w:ascii="Arial" w:cs="Arial" w:eastAsia="Arial" w:hAnsi="Arial"/>
          <w:sz w:val="16"/>
          <w:szCs w:val="16"/>
          <w:color w:val="665B4F"/>
        </w:rPr>
      </w:pPr>
      <w:r>
        <w:rPr>
          <w:rFonts w:ascii="Arial" w:cs="Arial" w:eastAsia="Arial" w:hAnsi="Arial"/>
          <w:sz w:val="16"/>
          <w:szCs w:val="16"/>
          <w:b w:val="1"/>
          <w:bCs w:val="1"/>
          <w:color w:val="auto"/>
        </w:rPr>
        <w:t>Simplicity and clarity</w:t>
      </w:r>
      <w:r>
        <w:rPr>
          <w:rFonts w:ascii="Arial" w:cs="Arial" w:eastAsia="Arial" w:hAnsi="Arial"/>
          <w:sz w:val="16"/>
          <w:szCs w:val="16"/>
          <w:color w:val="auto"/>
        </w:rPr>
        <w:t>. We value pay structures that are simple and clear. We believe pay simplicity promotes transparency, avoids incentivizing</w:t>
      </w:r>
      <w:r>
        <w:rPr>
          <w:rFonts w:ascii="Arial" w:cs="Arial" w:eastAsia="Arial" w:hAnsi="Arial"/>
          <w:sz w:val="16"/>
          <w:szCs w:val="16"/>
          <w:b w:val="1"/>
          <w:bCs w:val="1"/>
          <w:color w:val="auto"/>
        </w:rPr>
        <w:t xml:space="preserve"> </w:t>
      </w:r>
      <w:r>
        <w:rPr>
          <w:rFonts w:ascii="Arial" w:cs="Arial" w:eastAsia="Arial" w:hAnsi="Arial"/>
          <w:sz w:val="16"/>
          <w:szCs w:val="16"/>
          <w:color w:val="auto"/>
        </w:rPr>
        <w:t>focus on pay goals at the expense of ongoing excellence and performance, and promotes teamwork.</w:t>
      </w:r>
    </w:p>
    <w:p>
      <w:pPr>
        <w:spacing w:after="0" w:line="61" w:lineRule="exact"/>
        <w:rPr>
          <w:rFonts w:ascii="Arial" w:cs="Arial" w:eastAsia="Arial" w:hAnsi="Arial"/>
          <w:sz w:val="16"/>
          <w:szCs w:val="16"/>
          <w:color w:val="665B4F"/>
        </w:rPr>
      </w:pPr>
    </w:p>
    <w:p>
      <w:pPr>
        <w:ind w:left="520" w:right="180" w:hanging="208"/>
        <w:spacing w:after="0" w:line="253" w:lineRule="auto"/>
        <w:tabs>
          <w:tab w:leader="none" w:pos="520" w:val="left"/>
        </w:tabs>
        <w:numPr>
          <w:ilvl w:val="0"/>
          <w:numId w:val="77"/>
        </w:numPr>
        <w:rPr>
          <w:rFonts w:ascii="Arial" w:cs="Arial" w:eastAsia="Arial" w:hAnsi="Arial"/>
          <w:sz w:val="16"/>
          <w:szCs w:val="16"/>
          <w:color w:val="665B4F"/>
        </w:rPr>
      </w:pPr>
      <w:r>
        <w:rPr>
          <w:rFonts w:ascii="Arial" w:cs="Arial" w:eastAsia="Arial" w:hAnsi="Arial"/>
          <w:sz w:val="16"/>
          <w:szCs w:val="16"/>
          <w:b w:val="1"/>
          <w:bCs w:val="1"/>
          <w:color w:val="auto"/>
        </w:rPr>
        <w:t>Good compensation governance</w:t>
      </w:r>
      <w:r>
        <w:rPr>
          <w:rFonts w:ascii="Arial" w:cs="Arial" w:eastAsia="Arial" w:hAnsi="Arial"/>
          <w:sz w:val="16"/>
          <w:szCs w:val="16"/>
          <w:color w:val="auto"/>
        </w:rPr>
        <w:t>. We believe in building our compensation programs on a good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compensation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foundation.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is comprised solely of independent directors and it hires our compensation consultant who provides no services to our management. Our past service-based equity awards vest over long periods and are subject to meaningful stock holding requirements. A significant percentage of our annual incentives are equity based and subject to multiple performance metrics—with no minimum guaranteed payments. We do not reprice options or pay dividends on option awards. We provide no supplemental retirement or pension benefits to NEOs. In 2018, the Compensation Committee terminated executives’ right to an excise tax gross-up in connection with any separation payments. Our pay plans are subject to risk assessments and our change-in-control payments to double triggers.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Compensation Committee regularly evaluates the Company’s compensation arrangements to assess whether they support these objectives.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NAMED EXECUTIVE OFFICERS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Compensation Discussion and Analysis focuses on the following executives who were our NEOs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156210</wp:posOffset>
            </wp:positionV>
            <wp:extent cx="6997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40" w:type="dxa"/>
            <w:vAlign w:val="bottom"/>
          </w:tcPr>
          <w:p>
            <w:pPr>
              <w:ind w:left="60"/>
              <w:spacing w:after="0"/>
              <w:rPr>
                <w:sz w:val="20"/>
                <w:szCs w:val="20"/>
                <w:color w:val="auto"/>
              </w:rPr>
            </w:pPr>
            <w:r>
              <w:rPr>
                <w:rFonts w:ascii="Arial" w:cs="Arial" w:eastAsia="Arial" w:hAnsi="Arial"/>
                <w:sz w:val="14"/>
                <w:szCs w:val="14"/>
                <w:b w:val="1"/>
                <w:bCs w:val="1"/>
                <w:color w:val="665B4F"/>
              </w:rPr>
              <w:t>NAME</w:t>
            </w:r>
          </w:p>
        </w:tc>
        <w:tc>
          <w:tcPr>
            <w:tcW w:w="8080" w:type="dxa"/>
            <w:vAlign w:val="bottom"/>
          </w:tcPr>
          <w:p>
            <w:pPr>
              <w:ind w:left="1120"/>
              <w:spacing w:after="0"/>
              <w:rPr>
                <w:sz w:val="20"/>
                <w:szCs w:val="20"/>
                <w:color w:val="auto"/>
              </w:rPr>
            </w:pPr>
            <w:r>
              <w:rPr>
                <w:rFonts w:ascii="Arial" w:cs="Arial" w:eastAsia="Arial" w:hAnsi="Arial"/>
                <w:sz w:val="14"/>
                <w:szCs w:val="14"/>
                <w:b w:val="1"/>
                <w:bCs w:val="1"/>
                <w:color w:val="665B4F"/>
              </w:rPr>
              <w:t>TITLE</w:t>
            </w:r>
          </w:p>
        </w:tc>
      </w:tr>
      <w:tr>
        <w:trPr>
          <w:trHeight w:val="39"/>
        </w:trPr>
        <w:tc>
          <w:tcPr>
            <w:tcW w:w="20" w:type="dxa"/>
            <w:vAlign w:val="bottom"/>
          </w:tcPr>
          <w:p>
            <w:pPr>
              <w:spacing w:after="0"/>
              <w:rPr>
                <w:sz w:val="3"/>
                <w:szCs w:val="3"/>
                <w:color w:val="auto"/>
              </w:rPr>
            </w:pPr>
          </w:p>
        </w:tc>
        <w:tc>
          <w:tcPr>
            <w:tcW w:w="2940" w:type="dxa"/>
            <w:vAlign w:val="bottom"/>
            <w:tcBorders>
              <w:bottom w:val="single" w:sz="8" w:color="D1CDCA"/>
            </w:tcBorders>
          </w:tcPr>
          <w:p>
            <w:pPr>
              <w:spacing w:after="0"/>
              <w:rPr>
                <w:sz w:val="3"/>
                <w:szCs w:val="3"/>
                <w:color w:val="auto"/>
              </w:rPr>
            </w:pPr>
          </w:p>
        </w:tc>
        <w:tc>
          <w:tcPr>
            <w:tcW w:w="8080" w:type="dxa"/>
            <w:vAlign w:val="bottom"/>
            <w:tcBorders>
              <w:bottom w:val="single" w:sz="8" w:color="D1CDCA"/>
            </w:tcBorders>
          </w:tcPr>
          <w:p>
            <w:pPr>
              <w:spacing w:after="0"/>
              <w:rPr>
                <w:sz w:val="3"/>
                <w:szCs w:val="3"/>
                <w:color w:val="auto"/>
              </w:rPr>
            </w:pPr>
          </w:p>
        </w:tc>
      </w:tr>
      <w:tr>
        <w:trPr>
          <w:trHeight w:val="255"/>
        </w:trPr>
        <w:tc>
          <w:tcPr>
            <w:tcW w:w="20" w:type="dxa"/>
            <w:vAlign w:val="bottom"/>
          </w:tcPr>
          <w:p>
            <w:pPr>
              <w:spacing w:after="0"/>
              <w:rPr>
                <w:sz w:val="21"/>
                <w:szCs w:val="21"/>
                <w:color w:val="auto"/>
              </w:rPr>
            </w:pPr>
          </w:p>
        </w:tc>
        <w:tc>
          <w:tcPr>
            <w:tcW w:w="294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Matt Maddox</w:t>
            </w:r>
          </w:p>
        </w:tc>
        <w:tc>
          <w:tcPr>
            <w:tcW w:w="8080" w:type="dxa"/>
            <w:vAlign w:val="bottom"/>
            <w:tcBorders>
              <w:bottom w:val="single" w:sz="8" w:color="F7F7E5"/>
            </w:tcBorders>
            <w:shd w:val="clear" w:color="auto" w:fill="F7F7E5"/>
          </w:tcPr>
          <w:p>
            <w:pPr>
              <w:ind w:left="1120"/>
              <w:spacing w:after="0"/>
              <w:rPr>
                <w:sz w:val="20"/>
                <w:szCs w:val="20"/>
                <w:color w:val="auto"/>
              </w:rPr>
            </w:pPr>
            <w:r>
              <w:rPr>
                <w:rFonts w:ascii="Arial" w:cs="Arial" w:eastAsia="Arial" w:hAnsi="Arial"/>
                <w:sz w:val="14"/>
                <w:szCs w:val="14"/>
                <w:color w:val="auto"/>
              </w:rPr>
              <w:t>Chief Executive Officer (as of February 6, 2018) and President</w:t>
            </w:r>
          </w:p>
        </w:tc>
      </w:tr>
      <w:tr>
        <w:trPr>
          <w:trHeight w:val="211"/>
        </w:trPr>
        <w:tc>
          <w:tcPr>
            <w:tcW w:w="20" w:type="dxa"/>
            <w:vAlign w:val="bottom"/>
          </w:tcPr>
          <w:p>
            <w:pPr>
              <w:spacing w:after="0"/>
              <w:rPr>
                <w:sz w:val="18"/>
                <w:szCs w:val="18"/>
                <w:color w:val="auto"/>
              </w:rPr>
            </w:pPr>
          </w:p>
        </w:tc>
        <w:tc>
          <w:tcPr>
            <w:tcW w:w="294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Kim Sinatra</w:t>
            </w:r>
          </w:p>
        </w:tc>
        <w:tc>
          <w:tcPr>
            <w:tcW w:w="8080" w:type="dxa"/>
            <w:vAlign w:val="bottom"/>
            <w:tcBorders>
              <w:top w:val="single" w:sz="8" w:color="D1CDCA"/>
            </w:tcBorders>
          </w:tcPr>
          <w:p>
            <w:pPr>
              <w:ind w:left="1120"/>
              <w:spacing w:after="0"/>
              <w:rPr>
                <w:sz w:val="20"/>
                <w:szCs w:val="20"/>
                <w:color w:val="auto"/>
              </w:rPr>
            </w:pPr>
            <w:r>
              <w:rPr>
                <w:rFonts w:ascii="Arial" w:cs="Arial" w:eastAsia="Arial" w:hAnsi="Arial"/>
                <w:sz w:val="14"/>
                <w:szCs w:val="14"/>
                <w:color w:val="auto"/>
              </w:rPr>
              <w:t>Executive Vice President, General Counsel and Secretary</w:t>
            </w:r>
          </w:p>
        </w:tc>
      </w:tr>
      <w:tr>
        <w:trPr>
          <w:trHeight w:val="39"/>
        </w:trPr>
        <w:tc>
          <w:tcPr>
            <w:tcW w:w="20" w:type="dxa"/>
            <w:vAlign w:val="bottom"/>
          </w:tcPr>
          <w:p>
            <w:pPr>
              <w:spacing w:after="0"/>
              <w:rPr>
                <w:sz w:val="3"/>
                <w:szCs w:val="3"/>
                <w:color w:val="auto"/>
              </w:rPr>
            </w:pPr>
          </w:p>
        </w:tc>
        <w:tc>
          <w:tcPr>
            <w:tcW w:w="2940" w:type="dxa"/>
            <w:vAlign w:val="bottom"/>
            <w:tcBorders>
              <w:bottom w:val="single" w:sz="8" w:color="D1CDCA"/>
            </w:tcBorders>
          </w:tcPr>
          <w:p>
            <w:pPr>
              <w:spacing w:after="0"/>
              <w:rPr>
                <w:sz w:val="3"/>
                <w:szCs w:val="3"/>
                <w:color w:val="auto"/>
              </w:rPr>
            </w:pPr>
          </w:p>
        </w:tc>
        <w:tc>
          <w:tcPr>
            <w:tcW w:w="8080" w:type="dxa"/>
            <w:vAlign w:val="bottom"/>
            <w:tcBorders>
              <w:bottom w:val="single" w:sz="8" w:color="D1CDCA"/>
            </w:tcBorders>
          </w:tcPr>
          <w:p>
            <w:pPr>
              <w:spacing w:after="0"/>
              <w:rPr>
                <w:sz w:val="3"/>
                <w:szCs w:val="3"/>
                <w:color w:val="auto"/>
              </w:rPr>
            </w:pPr>
          </w:p>
        </w:tc>
      </w:tr>
      <w:tr>
        <w:trPr>
          <w:trHeight w:val="255"/>
        </w:trPr>
        <w:tc>
          <w:tcPr>
            <w:tcW w:w="20" w:type="dxa"/>
            <w:vAlign w:val="bottom"/>
          </w:tcPr>
          <w:p>
            <w:pPr>
              <w:spacing w:after="0"/>
              <w:rPr>
                <w:sz w:val="21"/>
                <w:szCs w:val="21"/>
                <w:color w:val="auto"/>
              </w:rPr>
            </w:pPr>
          </w:p>
        </w:tc>
        <w:tc>
          <w:tcPr>
            <w:tcW w:w="294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Craig Billings</w:t>
            </w:r>
          </w:p>
        </w:tc>
        <w:tc>
          <w:tcPr>
            <w:tcW w:w="8080" w:type="dxa"/>
            <w:vAlign w:val="bottom"/>
            <w:tcBorders>
              <w:bottom w:val="single" w:sz="8" w:color="F7F7E5"/>
            </w:tcBorders>
            <w:shd w:val="clear" w:color="auto" w:fill="F7F7E5"/>
          </w:tcPr>
          <w:p>
            <w:pPr>
              <w:ind w:left="1120"/>
              <w:spacing w:after="0"/>
              <w:rPr>
                <w:sz w:val="20"/>
                <w:szCs w:val="20"/>
                <w:color w:val="auto"/>
              </w:rPr>
            </w:pPr>
            <w:r>
              <w:rPr>
                <w:rFonts w:ascii="Arial" w:cs="Arial" w:eastAsia="Arial" w:hAnsi="Arial"/>
                <w:sz w:val="14"/>
                <w:szCs w:val="14"/>
                <w:color w:val="auto"/>
              </w:rPr>
              <w:t>Chief Financial Officer and Treasurer (as of March 1, 2017)</w:t>
            </w:r>
          </w:p>
        </w:tc>
      </w:tr>
      <w:tr>
        <w:trPr>
          <w:trHeight w:val="211"/>
        </w:trPr>
        <w:tc>
          <w:tcPr>
            <w:tcW w:w="20" w:type="dxa"/>
            <w:vAlign w:val="bottom"/>
          </w:tcPr>
          <w:p>
            <w:pPr>
              <w:spacing w:after="0"/>
              <w:rPr>
                <w:sz w:val="18"/>
                <w:szCs w:val="18"/>
                <w:color w:val="auto"/>
              </w:rPr>
            </w:pPr>
          </w:p>
        </w:tc>
        <w:tc>
          <w:tcPr>
            <w:tcW w:w="294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Stephen A. Wynn</w:t>
            </w:r>
          </w:p>
        </w:tc>
        <w:tc>
          <w:tcPr>
            <w:tcW w:w="8080" w:type="dxa"/>
            <w:vAlign w:val="bottom"/>
            <w:tcBorders>
              <w:top w:val="single" w:sz="8" w:color="D1CDCA"/>
            </w:tcBorders>
          </w:tcPr>
          <w:p>
            <w:pPr>
              <w:ind w:left="1120"/>
              <w:spacing w:after="0"/>
              <w:rPr>
                <w:sz w:val="20"/>
                <w:szCs w:val="20"/>
                <w:color w:val="auto"/>
              </w:rPr>
            </w:pPr>
            <w:r>
              <w:rPr>
                <w:rFonts w:ascii="Arial" w:cs="Arial" w:eastAsia="Arial" w:hAnsi="Arial"/>
                <w:sz w:val="14"/>
                <w:szCs w:val="14"/>
                <w:color w:val="auto"/>
              </w:rPr>
              <w:t>Chairman and Chief Executive Officer (through February 6, 2018)</w:t>
            </w:r>
          </w:p>
        </w:tc>
      </w:tr>
      <w:tr>
        <w:trPr>
          <w:trHeight w:val="39"/>
        </w:trPr>
        <w:tc>
          <w:tcPr>
            <w:tcW w:w="20" w:type="dxa"/>
            <w:vAlign w:val="bottom"/>
          </w:tcPr>
          <w:p>
            <w:pPr>
              <w:spacing w:after="0"/>
              <w:rPr>
                <w:sz w:val="3"/>
                <w:szCs w:val="3"/>
                <w:color w:val="auto"/>
              </w:rPr>
            </w:pPr>
          </w:p>
        </w:tc>
        <w:tc>
          <w:tcPr>
            <w:tcW w:w="2940" w:type="dxa"/>
            <w:vAlign w:val="bottom"/>
            <w:tcBorders>
              <w:bottom w:val="single" w:sz="8" w:color="D1CDCA"/>
            </w:tcBorders>
          </w:tcPr>
          <w:p>
            <w:pPr>
              <w:spacing w:after="0"/>
              <w:rPr>
                <w:sz w:val="3"/>
                <w:szCs w:val="3"/>
                <w:color w:val="auto"/>
              </w:rPr>
            </w:pPr>
          </w:p>
        </w:tc>
        <w:tc>
          <w:tcPr>
            <w:tcW w:w="8080" w:type="dxa"/>
            <w:vAlign w:val="bottom"/>
            <w:tcBorders>
              <w:bottom w:val="single" w:sz="8" w:color="D1CDCA"/>
            </w:tcBorders>
          </w:tcPr>
          <w:p>
            <w:pPr>
              <w:spacing w:after="0"/>
              <w:rPr>
                <w:sz w:val="3"/>
                <w:szCs w:val="3"/>
                <w:color w:val="auto"/>
              </w:rPr>
            </w:pPr>
          </w:p>
        </w:tc>
      </w:tr>
      <w:tr>
        <w:trPr>
          <w:trHeight w:val="230"/>
        </w:trPr>
        <w:tc>
          <w:tcPr>
            <w:tcW w:w="20" w:type="dxa"/>
            <w:vAlign w:val="bottom"/>
          </w:tcPr>
          <w:p>
            <w:pPr>
              <w:spacing w:after="0"/>
              <w:rPr>
                <w:sz w:val="20"/>
                <w:szCs w:val="20"/>
                <w:color w:val="auto"/>
              </w:rPr>
            </w:pPr>
          </w:p>
        </w:tc>
        <w:tc>
          <w:tcPr>
            <w:tcW w:w="294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Stephen Cootey</w:t>
            </w:r>
          </w:p>
        </w:tc>
        <w:tc>
          <w:tcPr>
            <w:tcW w:w="8080" w:type="dxa"/>
            <w:vAlign w:val="bottom"/>
            <w:tcBorders>
              <w:bottom w:val="single" w:sz="8" w:color="F7F7E5"/>
            </w:tcBorders>
            <w:shd w:val="clear" w:color="auto" w:fill="F7F7E5"/>
          </w:tcPr>
          <w:p>
            <w:pPr>
              <w:ind w:left="1120"/>
              <w:spacing w:after="0"/>
              <w:rPr>
                <w:sz w:val="20"/>
                <w:szCs w:val="20"/>
                <w:color w:val="auto"/>
              </w:rPr>
            </w:pPr>
            <w:r>
              <w:rPr>
                <w:rFonts w:ascii="Arial" w:cs="Arial" w:eastAsia="Arial" w:hAnsi="Arial"/>
                <w:sz w:val="14"/>
                <w:szCs w:val="14"/>
                <w:color w:val="auto"/>
              </w:rPr>
              <w:t>Senior Vice President, Chief Financial Officer and Treasurer (through March 1, 2017)</w:t>
            </w: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D1CDCA"/>
          </w:tcPr>
          <w:p>
            <w:pPr>
              <w:spacing w:after="0" w:line="20" w:lineRule="exact"/>
              <w:rPr>
                <w:sz w:val="1"/>
                <w:szCs w:val="1"/>
                <w:color w:val="auto"/>
              </w:rPr>
            </w:pPr>
          </w:p>
        </w:tc>
        <w:tc>
          <w:tcPr>
            <w:tcW w:w="8080" w:type="dxa"/>
            <w:vAlign w:val="bottom"/>
            <w:shd w:val="clear" w:color="auto" w:fill="D1CDCA"/>
          </w:tcPr>
          <w:p>
            <w:pPr>
              <w:spacing w:after="0" w:line="20" w:lineRule="exact"/>
              <w:rPr>
                <w:sz w:val="1"/>
                <w:szCs w:val="1"/>
                <w:color w:val="auto"/>
              </w:rPr>
            </w:pPr>
          </w:p>
        </w:tc>
      </w:tr>
      <w:tr>
        <w:trPr>
          <w:trHeight w:val="443"/>
        </w:trPr>
        <w:tc>
          <w:tcPr>
            <w:tcW w:w="2960" w:type="dxa"/>
            <w:vAlign w:val="bottom"/>
            <w:gridSpan w:val="2"/>
          </w:tcPr>
          <w:p>
            <w:pPr>
              <w:spacing w:after="0"/>
              <w:rPr>
                <w:sz w:val="20"/>
                <w:szCs w:val="20"/>
                <w:color w:val="auto"/>
              </w:rPr>
            </w:pPr>
            <w:r>
              <w:rPr>
                <w:rFonts w:ascii="Arial" w:cs="Arial" w:eastAsia="Arial" w:hAnsi="Arial"/>
                <w:sz w:val="20"/>
                <w:szCs w:val="20"/>
                <w:b w:val="1"/>
                <w:bCs w:val="1"/>
                <w:color w:val="auto"/>
              </w:rPr>
              <w:t>ELEMENTS OF PAY</w:t>
            </w:r>
          </w:p>
        </w:tc>
        <w:tc>
          <w:tcPr>
            <w:tcW w:w="8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143510</wp:posOffset>
            </wp:positionV>
            <wp:extent cx="6997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20" w:type="dxa"/>
            <w:vAlign w:val="bottom"/>
          </w:tcPr>
          <w:p>
            <w:pPr>
              <w:ind w:left="60"/>
              <w:spacing w:after="0"/>
              <w:rPr>
                <w:sz w:val="20"/>
                <w:szCs w:val="20"/>
                <w:color w:val="auto"/>
              </w:rPr>
            </w:pPr>
            <w:r>
              <w:rPr>
                <w:rFonts w:ascii="Arial" w:cs="Arial" w:eastAsia="Arial" w:hAnsi="Arial"/>
                <w:sz w:val="14"/>
                <w:szCs w:val="14"/>
                <w:b w:val="1"/>
                <w:bCs w:val="1"/>
                <w:color w:val="665B4F"/>
              </w:rPr>
              <w:t>ELEMENT</w:t>
            </w:r>
          </w:p>
        </w:tc>
        <w:tc>
          <w:tcPr>
            <w:tcW w:w="7300" w:type="dxa"/>
            <w:vAlign w:val="bottom"/>
          </w:tcPr>
          <w:p>
            <w:pPr>
              <w:ind w:left="340"/>
              <w:spacing w:after="0"/>
              <w:rPr>
                <w:sz w:val="20"/>
                <w:szCs w:val="20"/>
                <w:color w:val="auto"/>
              </w:rPr>
            </w:pPr>
            <w:r>
              <w:rPr>
                <w:rFonts w:ascii="Arial" w:cs="Arial" w:eastAsia="Arial" w:hAnsi="Arial"/>
                <w:sz w:val="14"/>
                <w:szCs w:val="14"/>
                <w:b w:val="1"/>
                <w:bCs w:val="1"/>
                <w:color w:val="665B4F"/>
              </w:rPr>
              <w:t>ROLE AND OBJECTIVES</w:t>
            </w:r>
          </w:p>
        </w:tc>
      </w:tr>
      <w:tr>
        <w:trPr>
          <w:trHeight w:val="39"/>
        </w:trPr>
        <w:tc>
          <w:tcPr>
            <w:tcW w:w="20" w:type="dxa"/>
            <w:vAlign w:val="bottom"/>
          </w:tcPr>
          <w:p>
            <w:pPr>
              <w:spacing w:after="0"/>
              <w:rPr>
                <w:sz w:val="3"/>
                <w:szCs w:val="3"/>
                <w:color w:val="auto"/>
              </w:rPr>
            </w:pPr>
          </w:p>
        </w:tc>
        <w:tc>
          <w:tcPr>
            <w:tcW w:w="3720" w:type="dxa"/>
            <w:vAlign w:val="bottom"/>
            <w:tcBorders>
              <w:bottom w:val="single" w:sz="8" w:color="D1CDCA"/>
            </w:tcBorders>
          </w:tcPr>
          <w:p>
            <w:pPr>
              <w:spacing w:after="0"/>
              <w:rPr>
                <w:sz w:val="3"/>
                <w:szCs w:val="3"/>
                <w:color w:val="auto"/>
              </w:rPr>
            </w:pPr>
          </w:p>
        </w:tc>
        <w:tc>
          <w:tcPr>
            <w:tcW w:w="7300" w:type="dxa"/>
            <w:vAlign w:val="bottom"/>
            <w:tcBorders>
              <w:bottom w:val="single" w:sz="8" w:color="D1CDCA"/>
            </w:tcBorders>
          </w:tcPr>
          <w:p>
            <w:pPr>
              <w:spacing w:after="0"/>
              <w:rPr>
                <w:sz w:val="3"/>
                <w:szCs w:val="3"/>
                <w:color w:val="auto"/>
              </w:rPr>
            </w:pPr>
          </w:p>
        </w:tc>
      </w:tr>
      <w:tr>
        <w:trPr>
          <w:trHeight w:val="201"/>
        </w:trPr>
        <w:tc>
          <w:tcPr>
            <w:tcW w:w="20" w:type="dxa"/>
            <w:vAlign w:val="bottom"/>
          </w:tcPr>
          <w:p>
            <w:pPr>
              <w:spacing w:after="0"/>
              <w:rPr>
                <w:sz w:val="17"/>
                <w:szCs w:val="17"/>
                <w:color w:val="auto"/>
              </w:rPr>
            </w:pPr>
          </w:p>
        </w:tc>
        <w:tc>
          <w:tcPr>
            <w:tcW w:w="3720" w:type="dxa"/>
            <w:vAlign w:val="bottom"/>
            <w:shd w:val="clear" w:color="auto" w:fill="F7F7E5"/>
          </w:tcPr>
          <w:p>
            <w:pPr>
              <w:ind w:left="60"/>
              <w:spacing w:after="0"/>
              <w:rPr>
                <w:sz w:val="20"/>
                <w:szCs w:val="20"/>
                <w:color w:val="auto"/>
              </w:rPr>
            </w:pPr>
            <w:r>
              <w:rPr>
                <w:rFonts w:ascii="Arial" w:cs="Arial" w:eastAsia="Arial" w:hAnsi="Arial"/>
                <w:sz w:val="14"/>
                <w:szCs w:val="14"/>
                <w:color w:val="auto"/>
              </w:rPr>
              <w:t>Base salary</w:t>
            </w:r>
          </w:p>
        </w:tc>
        <w:tc>
          <w:tcPr>
            <w:tcW w:w="7300" w:type="dxa"/>
            <w:vAlign w:val="bottom"/>
            <w:shd w:val="clear" w:color="auto" w:fill="F7F7E5"/>
          </w:tcPr>
          <w:p>
            <w:pPr>
              <w:ind w:left="340"/>
              <w:spacing w:after="0"/>
              <w:rPr>
                <w:sz w:val="20"/>
                <w:szCs w:val="20"/>
                <w:color w:val="auto"/>
              </w:rPr>
            </w:pPr>
            <w:r>
              <w:rPr>
                <w:rFonts w:ascii="Arial" w:cs="Arial" w:eastAsia="Arial" w:hAnsi="Arial"/>
                <w:sz w:val="14"/>
                <w:szCs w:val="14"/>
                <w:color w:val="auto"/>
              </w:rPr>
              <w:t>Provide competitive, fixed, cash compensation to attract and retain top employees and recognize sustained</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F7F7E5"/>
            </w:tcBorders>
            <w:shd w:val="clear" w:color="auto" w:fill="F7F7E5"/>
          </w:tcPr>
          <w:p>
            <w:pPr>
              <w:spacing w:after="0"/>
              <w:rPr>
                <w:sz w:val="18"/>
                <w:szCs w:val="18"/>
                <w:color w:val="auto"/>
              </w:rPr>
            </w:pPr>
          </w:p>
        </w:tc>
        <w:tc>
          <w:tcPr>
            <w:tcW w:w="7300" w:type="dxa"/>
            <w:vAlign w:val="bottom"/>
            <w:tcBorders>
              <w:bottom w:val="single" w:sz="8" w:color="F7F7E5"/>
            </w:tcBorders>
            <w:shd w:val="clear" w:color="auto" w:fill="F7F7E5"/>
          </w:tcPr>
          <w:p>
            <w:pPr>
              <w:ind w:left="340"/>
              <w:spacing w:after="0"/>
              <w:rPr>
                <w:sz w:val="20"/>
                <w:szCs w:val="20"/>
                <w:color w:val="auto"/>
              </w:rPr>
            </w:pPr>
            <w:r>
              <w:rPr>
                <w:rFonts w:ascii="Arial" w:cs="Arial" w:eastAsia="Arial" w:hAnsi="Arial"/>
                <w:sz w:val="14"/>
                <w:szCs w:val="14"/>
                <w:color w:val="auto"/>
              </w:rPr>
              <w:t>performance, job scope and experience.</w:t>
            </w:r>
          </w:p>
        </w:tc>
      </w:tr>
      <w:tr>
        <w:trPr>
          <w:trHeight w:val="201"/>
        </w:trPr>
        <w:tc>
          <w:tcPr>
            <w:tcW w:w="20" w:type="dxa"/>
            <w:vAlign w:val="bottom"/>
          </w:tcPr>
          <w:p>
            <w:pPr>
              <w:spacing w:after="0"/>
              <w:rPr>
                <w:sz w:val="17"/>
                <w:szCs w:val="17"/>
                <w:color w:val="auto"/>
              </w:rPr>
            </w:pPr>
          </w:p>
        </w:tc>
        <w:tc>
          <w:tcPr>
            <w:tcW w:w="372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Annual incentives</w:t>
            </w:r>
          </w:p>
        </w:tc>
        <w:tc>
          <w:tcPr>
            <w:tcW w:w="7300" w:type="dxa"/>
            <w:vAlign w:val="bottom"/>
            <w:tcBorders>
              <w:top w:val="single" w:sz="8" w:color="D1CDCA"/>
            </w:tcBorders>
          </w:tcPr>
          <w:p>
            <w:pPr>
              <w:ind w:left="340"/>
              <w:spacing w:after="0"/>
              <w:rPr>
                <w:sz w:val="20"/>
                <w:szCs w:val="20"/>
                <w:color w:val="auto"/>
              </w:rPr>
            </w:pPr>
            <w:r>
              <w:rPr>
                <w:rFonts w:ascii="Arial" w:cs="Arial" w:eastAsia="Arial" w:hAnsi="Arial"/>
                <w:sz w:val="14"/>
                <w:szCs w:val="14"/>
                <w:color w:val="auto"/>
              </w:rPr>
              <w:t>Retain the executive, enforce accountability and motivate and reward achievement of annual and long-term</w:t>
            </w: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300" w:type="dxa"/>
            <w:vAlign w:val="bottom"/>
          </w:tcPr>
          <w:p>
            <w:pPr>
              <w:ind w:left="340"/>
              <w:spacing w:after="0"/>
              <w:rPr>
                <w:sz w:val="20"/>
                <w:szCs w:val="20"/>
                <w:color w:val="auto"/>
              </w:rPr>
            </w:pPr>
            <w:r>
              <w:rPr>
                <w:rFonts w:ascii="Arial" w:cs="Arial" w:eastAsia="Arial" w:hAnsi="Arial"/>
                <w:sz w:val="14"/>
                <w:szCs w:val="14"/>
                <w:color w:val="auto"/>
              </w:rPr>
              <w:t>goals. Under our 2014 Omnibus Incentive Plan (“Omnibus Plan”), the Committee can select additional</w:t>
            </w: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300" w:type="dxa"/>
            <w:vAlign w:val="bottom"/>
          </w:tcPr>
          <w:p>
            <w:pPr>
              <w:ind w:left="340"/>
              <w:spacing w:after="0"/>
              <w:rPr>
                <w:sz w:val="20"/>
                <w:szCs w:val="20"/>
                <w:color w:val="auto"/>
              </w:rPr>
            </w:pPr>
            <w:r>
              <w:rPr>
                <w:rFonts w:ascii="Arial" w:cs="Arial" w:eastAsia="Arial" w:hAnsi="Arial"/>
                <w:sz w:val="14"/>
                <w:szCs w:val="14"/>
                <w:color w:val="auto"/>
              </w:rPr>
              <w:t>annual and long-term goals in addition to the Adjusted Property EBITDA goal and exercise discretionary</w:t>
            </w: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300" w:type="dxa"/>
            <w:vAlign w:val="bottom"/>
          </w:tcPr>
          <w:p>
            <w:pPr>
              <w:ind w:left="340"/>
              <w:spacing w:after="0"/>
              <w:rPr>
                <w:sz w:val="20"/>
                <w:szCs w:val="20"/>
                <w:color w:val="auto"/>
              </w:rPr>
            </w:pPr>
            <w:r>
              <w:rPr>
                <w:rFonts w:ascii="Arial" w:cs="Arial" w:eastAsia="Arial" w:hAnsi="Arial"/>
                <w:sz w:val="14"/>
                <w:szCs w:val="14"/>
                <w:color w:val="auto"/>
              </w:rPr>
              <w:t>reductions in individual awards. 50% of 2017 annual incentive awards were paid in stock.</w:t>
            </w:r>
          </w:p>
        </w:tc>
      </w:tr>
      <w:tr>
        <w:trPr>
          <w:trHeight w:val="39"/>
        </w:trPr>
        <w:tc>
          <w:tcPr>
            <w:tcW w:w="20" w:type="dxa"/>
            <w:vAlign w:val="bottom"/>
          </w:tcPr>
          <w:p>
            <w:pPr>
              <w:spacing w:after="0"/>
              <w:rPr>
                <w:sz w:val="3"/>
                <w:szCs w:val="3"/>
                <w:color w:val="auto"/>
              </w:rPr>
            </w:pPr>
          </w:p>
        </w:tc>
        <w:tc>
          <w:tcPr>
            <w:tcW w:w="3720" w:type="dxa"/>
            <w:vAlign w:val="bottom"/>
            <w:tcBorders>
              <w:bottom w:val="single" w:sz="8" w:color="D1CDCA"/>
            </w:tcBorders>
          </w:tcPr>
          <w:p>
            <w:pPr>
              <w:spacing w:after="0"/>
              <w:rPr>
                <w:sz w:val="3"/>
                <w:szCs w:val="3"/>
                <w:color w:val="auto"/>
              </w:rPr>
            </w:pPr>
          </w:p>
        </w:tc>
        <w:tc>
          <w:tcPr>
            <w:tcW w:w="7300" w:type="dxa"/>
            <w:vAlign w:val="bottom"/>
            <w:tcBorders>
              <w:bottom w:val="single" w:sz="8" w:color="D1CDCA"/>
            </w:tcBorders>
          </w:tcPr>
          <w:p>
            <w:pPr>
              <w:spacing w:after="0"/>
              <w:rPr>
                <w:sz w:val="3"/>
                <w:szCs w:val="3"/>
                <w:color w:val="auto"/>
              </w:rPr>
            </w:pPr>
          </w:p>
        </w:tc>
      </w:tr>
      <w:tr>
        <w:trPr>
          <w:trHeight w:val="201"/>
        </w:trPr>
        <w:tc>
          <w:tcPr>
            <w:tcW w:w="20" w:type="dxa"/>
            <w:vAlign w:val="bottom"/>
          </w:tcPr>
          <w:p>
            <w:pPr>
              <w:spacing w:after="0"/>
              <w:rPr>
                <w:sz w:val="17"/>
                <w:szCs w:val="17"/>
                <w:color w:val="auto"/>
              </w:rPr>
            </w:pPr>
          </w:p>
        </w:tc>
        <w:tc>
          <w:tcPr>
            <w:tcW w:w="3720" w:type="dxa"/>
            <w:vAlign w:val="bottom"/>
            <w:shd w:val="clear" w:color="auto" w:fill="F7F7E5"/>
          </w:tcPr>
          <w:p>
            <w:pPr>
              <w:ind w:left="60"/>
              <w:spacing w:after="0"/>
              <w:rPr>
                <w:sz w:val="20"/>
                <w:szCs w:val="20"/>
                <w:color w:val="auto"/>
              </w:rPr>
            </w:pPr>
            <w:r>
              <w:rPr>
                <w:rFonts w:ascii="Arial" w:cs="Arial" w:eastAsia="Arial" w:hAnsi="Arial"/>
                <w:sz w:val="14"/>
                <w:szCs w:val="14"/>
                <w:color w:val="auto"/>
              </w:rPr>
              <w:t>Long-term incentive: stock options &amp; restricted stock</w:t>
            </w:r>
          </w:p>
        </w:tc>
        <w:tc>
          <w:tcPr>
            <w:tcW w:w="7300" w:type="dxa"/>
            <w:vAlign w:val="bottom"/>
            <w:shd w:val="clear" w:color="auto" w:fill="F7F7E5"/>
          </w:tcPr>
          <w:p>
            <w:pPr>
              <w:ind w:left="340"/>
              <w:spacing w:after="0"/>
              <w:rPr>
                <w:sz w:val="20"/>
                <w:szCs w:val="20"/>
                <w:color w:val="auto"/>
              </w:rPr>
            </w:pPr>
            <w:r>
              <w:rPr>
                <w:rFonts w:ascii="Arial" w:cs="Arial" w:eastAsia="Arial" w:hAnsi="Arial"/>
                <w:sz w:val="14"/>
                <w:szCs w:val="14"/>
                <w:color w:val="auto"/>
              </w:rPr>
              <w:t>Encourage focus on long-term value creation, promote retention and align executive and shareholder</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F7F7E5"/>
            </w:tcBorders>
            <w:shd w:val="clear" w:color="auto" w:fill="F7F7E5"/>
          </w:tcPr>
          <w:p>
            <w:pPr>
              <w:spacing w:after="0"/>
              <w:rPr>
                <w:sz w:val="18"/>
                <w:szCs w:val="18"/>
                <w:color w:val="auto"/>
              </w:rPr>
            </w:pPr>
          </w:p>
        </w:tc>
        <w:tc>
          <w:tcPr>
            <w:tcW w:w="7300" w:type="dxa"/>
            <w:vAlign w:val="bottom"/>
            <w:tcBorders>
              <w:bottom w:val="single" w:sz="8" w:color="F7F7E5"/>
            </w:tcBorders>
            <w:shd w:val="clear" w:color="auto" w:fill="F7F7E5"/>
          </w:tcPr>
          <w:p>
            <w:pPr>
              <w:ind w:left="340"/>
              <w:spacing w:after="0"/>
              <w:rPr>
                <w:sz w:val="20"/>
                <w:szCs w:val="20"/>
                <w:color w:val="auto"/>
              </w:rPr>
            </w:pPr>
            <w:r>
              <w:rPr>
                <w:rFonts w:ascii="Arial" w:cs="Arial" w:eastAsia="Arial" w:hAnsi="Arial"/>
                <w:sz w:val="14"/>
                <w:szCs w:val="14"/>
                <w:color w:val="auto"/>
              </w:rPr>
              <w:t>interests.</w:t>
            </w:r>
          </w:p>
        </w:tc>
      </w:tr>
      <w:tr>
        <w:trPr>
          <w:trHeight w:val="201"/>
        </w:trPr>
        <w:tc>
          <w:tcPr>
            <w:tcW w:w="20" w:type="dxa"/>
            <w:vAlign w:val="bottom"/>
          </w:tcPr>
          <w:p>
            <w:pPr>
              <w:spacing w:after="0"/>
              <w:rPr>
                <w:sz w:val="17"/>
                <w:szCs w:val="17"/>
                <w:color w:val="auto"/>
              </w:rPr>
            </w:pPr>
          </w:p>
        </w:tc>
        <w:tc>
          <w:tcPr>
            <w:tcW w:w="372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Executive benefits</w:t>
            </w:r>
          </w:p>
        </w:tc>
        <w:tc>
          <w:tcPr>
            <w:tcW w:w="7300" w:type="dxa"/>
            <w:vAlign w:val="bottom"/>
            <w:tcBorders>
              <w:top w:val="single" w:sz="8" w:color="D1CDCA"/>
            </w:tcBorders>
          </w:tcPr>
          <w:p>
            <w:pPr>
              <w:ind w:left="340"/>
              <w:spacing w:after="0"/>
              <w:rPr>
                <w:sz w:val="20"/>
                <w:szCs w:val="20"/>
                <w:color w:val="auto"/>
              </w:rPr>
            </w:pPr>
            <w:r>
              <w:rPr>
                <w:rFonts w:ascii="Arial" w:cs="Arial" w:eastAsia="Arial" w:hAnsi="Arial"/>
                <w:sz w:val="14"/>
                <w:szCs w:val="14"/>
                <w:color w:val="auto"/>
              </w:rPr>
              <w:t>Promote executive and family well-being through health and insurance benefits, complimentary resort</w:t>
            </w: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300" w:type="dxa"/>
            <w:vAlign w:val="bottom"/>
          </w:tcPr>
          <w:p>
            <w:pPr>
              <w:ind w:left="340"/>
              <w:spacing w:after="0"/>
              <w:rPr>
                <w:sz w:val="20"/>
                <w:szCs w:val="20"/>
                <w:color w:val="auto"/>
              </w:rPr>
            </w:pPr>
            <w:r>
              <w:rPr>
                <w:rFonts w:ascii="Arial" w:cs="Arial" w:eastAsia="Arial" w:hAnsi="Arial"/>
                <w:sz w:val="14"/>
                <w:szCs w:val="14"/>
                <w:color w:val="auto"/>
              </w:rPr>
              <w:t>privileges and merchandise discounts.</w:t>
            </w:r>
          </w:p>
        </w:tc>
      </w:tr>
      <w:tr>
        <w:trPr>
          <w:trHeight w:val="39"/>
        </w:trPr>
        <w:tc>
          <w:tcPr>
            <w:tcW w:w="20" w:type="dxa"/>
            <w:vAlign w:val="bottom"/>
          </w:tcPr>
          <w:p>
            <w:pPr>
              <w:spacing w:after="0"/>
              <w:rPr>
                <w:sz w:val="3"/>
                <w:szCs w:val="3"/>
                <w:color w:val="auto"/>
              </w:rPr>
            </w:pPr>
          </w:p>
        </w:tc>
        <w:tc>
          <w:tcPr>
            <w:tcW w:w="3720" w:type="dxa"/>
            <w:vAlign w:val="bottom"/>
            <w:tcBorders>
              <w:bottom w:val="single" w:sz="8" w:color="D1CDCA"/>
            </w:tcBorders>
          </w:tcPr>
          <w:p>
            <w:pPr>
              <w:spacing w:after="0"/>
              <w:rPr>
                <w:sz w:val="3"/>
                <w:szCs w:val="3"/>
                <w:color w:val="auto"/>
              </w:rPr>
            </w:pPr>
          </w:p>
        </w:tc>
        <w:tc>
          <w:tcPr>
            <w:tcW w:w="7300" w:type="dxa"/>
            <w:vAlign w:val="bottom"/>
            <w:tcBorders>
              <w:bottom w:val="single" w:sz="8" w:color="D1CDCA"/>
            </w:tcBorders>
          </w:tcPr>
          <w:p>
            <w:pPr>
              <w:spacing w:after="0"/>
              <w:rPr>
                <w:sz w:val="3"/>
                <w:szCs w:val="3"/>
                <w:color w:val="auto"/>
              </w:rPr>
            </w:pPr>
          </w:p>
        </w:tc>
      </w:tr>
      <w:tr>
        <w:trPr>
          <w:trHeight w:val="169"/>
        </w:trPr>
        <w:tc>
          <w:tcPr>
            <w:tcW w:w="20" w:type="dxa"/>
            <w:vAlign w:val="bottom"/>
          </w:tcPr>
          <w:p>
            <w:pPr>
              <w:spacing w:after="0"/>
              <w:rPr>
                <w:sz w:val="14"/>
                <w:szCs w:val="14"/>
                <w:color w:val="auto"/>
              </w:rPr>
            </w:pPr>
          </w:p>
        </w:tc>
        <w:tc>
          <w:tcPr>
            <w:tcW w:w="3720" w:type="dxa"/>
            <w:vAlign w:val="bottom"/>
            <w:tcBorders>
              <w:bottom w:val="single" w:sz="8" w:color="665B4F"/>
            </w:tcBorders>
          </w:tcPr>
          <w:p>
            <w:pPr>
              <w:spacing w:after="0"/>
              <w:rPr>
                <w:sz w:val="14"/>
                <w:szCs w:val="14"/>
                <w:color w:val="auto"/>
              </w:rPr>
            </w:pPr>
          </w:p>
        </w:tc>
        <w:tc>
          <w:tcPr>
            <w:tcW w:w="7300" w:type="dxa"/>
            <w:vAlign w:val="bottom"/>
            <w:tcBorders>
              <w:bottom w:val="single" w:sz="8" w:color="665B4F"/>
            </w:tcBorders>
          </w:tcPr>
          <w:p>
            <w:pPr>
              <w:spacing w:after="0"/>
              <w:rPr>
                <w:sz w:val="14"/>
                <w:szCs w:val="14"/>
                <w:color w:val="auto"/>
              </w:rPr>
            </w:pPr>
          </w:p>
        </w:tc>
      </w:tr>
      <w:tr>
        <w:trPr>
          <w:trHeight w:val="319"/>
        </w:trPr>
        <w:tc>
          <w:tcPr>
            <w:tcW w:w="3740" w:type="dxa"/>
            <w:vAlign w:val="bottom"/>
            <w:gridSpan w:val="2"/>
          </w:tcPr>
          <w:p>
            <w:pPr>
              <w:jc w:val="right"/>
              <w:ind w:right="3308"/>
              <w:spacing w:after="0"/>
              <w:rPr>
                <w:sz w:val="20"/>
                <w:szCs w:val="20"/>
                <w:color w:val="auto"/>
              </w:rPr>
            </w:pPr>
            <w:r>
              <w:rPr>
                <w:rFonts w:ascii="Arial" w:cs="Arial" w:eastAsia="Arial" w:hAnsi="Arial"/>
                <w:sz w:val="14"/>
                <w:szCs w:val="14"/>
                <w:color w:val="auto"/>
              </w:rPr>
              <w:t>27  |</w:t>
            </w:r>
          </w:p>
        </w:tc>
        <w:tc>
          <w:tcPr>
            <w:tcW w:w="7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-111760</wp:posOffset>
            </wp:positionV>
            <wp:extent cx="608965" cy="274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220"/>
        <w:spacing w:after="0"/>
        <w:rPr>
          <w:sz w:val="20"/>
          <w:szCs w:val="20"/>
          <w:color w:val="auto"/>
        </w:rPr>
      </w:pPr>
      <w:r>
        <w:rPr>
          <w:rFonts w:ascii="Arial" w:cs="Arial" w:eastAsia="Arial" w:hAnsi="Arial"/>
          <w:sz w:val="17"/>
          <w:szCs w:val="17"/>
          <w:b w:val="1"/>
          <w:bCs w:val="1"/>
          <w:color w:val="665B4F"/>
        </w:rPr>
        <w:t>COMPENSATION DISCUSSION AND ANALYSIS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2017 EXECUTIVE COMPENSATION DECISIONS</w:t>
      </w:r>
    </w:p>
    <w:p>
      <w:pPr>
        <w:spacing w:after="0" w:line="124" w:lineRule="exact"/>
        <w:rPr>
          <w:sz w:val="20"/>
          <w:szCs w:val="20"/>
          <w:color w:val="auto"/>
        </w:rPr>
      </w:pPr>
    </w:p>
    <w:p>
      <w:pPr>
        <w:ind w:left="200" w:right="40"/>
        <w:spacing w:after="0" w:line="253" w:lineRule="auto"/>
        <w:rPr>
          <w:sz w:val="20"/>
          <w:szCs w:val="20"/>
          <w:color w:val="auto"/>
        </w:rPr>
      </w:pPr>
      <w:r>
        <w:rPr>
          <w:rFonts w:ascii="Arial" w:cs="Arial" w:eastAsia="Arial" w:hAnsi="Arial"/>
          <w:sz w:val="16"/>
          <w:szCs w:val="16"/>
          <w:color w:val="auto"/>
        </w:rPr>
        <w:t>We do not use a set formula for allocating compensation opportunities among the principal elements of our executive compensation program. Instead, we offer total compensation packages that the Compensation Committee views to be effective for attracting and retaining key leaders while motivating management to maximize long-term Company value for our shareholders.</w:t>
      </w:r>
    </w:p>
    <w:p>
      <w:pPr>
        <w:spacing w:after="0" w:line="181" w:lineRule="exact"/>
        <w:rPr>
          <w:sz w:val="20"/>
          <w:szCs w:val="20"/>
          <w:color w:val="auto"/>
        </w:rPr>
      </w:pPr>
    </w:p>
    <w:p>
      <w:pPr>
        <w:ind w:left="200" w:right="140"/>
        <w:spacing w:after="0" w:line="266" w:lineRule="auto"/>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Negotiated employment agreements establish our NEOs’ initial base salaries. We review and adjust their base salaries periodically to stay</w:t>
      </w:r>
      <w:r>
        <w:rPr>
          <w:rFonts w:ascii="Arial" w:cs="Arial" w:eastAsia="Arial" w:hAnsi="Arial"/>
          <w:sz w:val="16"/>
          <w:szCs w:val="16"/>
          <w:b w:val="1"/>
          <w:bCs w:val="1"/>
          <w:color w:val="auto"/>
        </w:rPr>
        <w:t xml:space="preserve"> </w:t>
      </w:r>
      <w:r>
        <w:rPr>
          <w:rFonts w:ascii="Arial" w:cs="Arial" w:eastAsia="Arial" w:hAnsi="Arial"/>
          <w:sz w:val="16"/>
          <w:szCs w:val="16"/>
          <w:color w:val="auto"/>
        </w:rPr>
        <w:t>competitive, to reflect improvements in performance, capabilities, and experience, and reward expansions of responsibility or other extraordinary circumstances. Base salaries for the NEOs as of December 31, 2017 and 2016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137795</wp:posOffset>
            </wp:positionV>
            <wp:extent cx="6997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8"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880" w:type="dxa"/>
            <w:vAlign w:val="bottom"/>
          </w:tcPr>
          <w:p>
            <w:pPr>
              <w:ind w:left="60"/>
              <w:spacing w:after="0"/>
              <w:rPr>
                <w:sz w:val="20"/>
                <w:szCs w:val="20"/>
                <w:color w:val="auto"/>
              </w:rPr>
            </w:pPr>
            <w:r>
              <w:rPr>
                <w:rFonts w:ascii="Arial" w:cs="Arial" w:eastAsia="Arial" w:hAnsi="Arial"/>
                <w:sz w:val="14"/>
                <w:szCs w:val="14"/>
                <w:b w:val="1"/>
                <w:bCs w:val="1"/>
                <w:color w:val="665B4F"/>
              </w:rPr>
              <w:t>EXECUTIVE</w:t>
            </w:r>
          </w:p>
        </w:tc>
        <w:tc>
          <w:tcPr>
            <w:tcW w:w="4280" w:type="dxa"/>
            <w:vAlign w:val="bottom"/>
          </w:tcPr>
          <w:p>
            <w:pPr>
              <w:jc w:val="right"/>
              <w:ind w:right="168"/>
              <w:spacing w:after="0"/>
              <w:rPr>
                <w:sz w:val="20"/>
                <w:szCs w:val="20"/>
                <w:color w:val="auto"/>
              </w:rPr>
            </w:pPr>
            <w:r>
              <w:rPr>
                <w:rFonts w:ascii="Arial" w:cs="Arial" w:eastAsia="Arial" w:hAnsi="Arial"/>
                <w:sz w:val="14"/>
                <w:szCs w:val="14"/>
                <w:b w:val="1"/>
                <w:bCs w:val="1"/>
                <w:color w:val="665B4F"/>
              </w:rPr>
              <w:t>2017 BASE SALARY</w:t>
            </w:r>
          </w:p>
        </w:tc>
        <w:tc>
          <w:tcPr>
            <w:tcW w:w="1740" w:type="dxa"/>
            <w:vAlign w:val="bottom"/>
          </w:tcPr>
          <w:p>
            <w:pPr>
              <w:jc w:val="right"/>
              <w:ind w:right="88"/>
              <w:spacing w:after="0"/>
              <w:rPr>
                <w:sz w:val="20"/>
                <w:szCs w:val="20"/>
                <w:color w:val="auto"/>
              </w:rPr>
            </w:pPr>
            <w:r>
              <w:rPr>
                <w:rFonts w:ascii="Arial" w:cs="Arial" w:eastAsia="Arial" w:hAnsi="Arial"/>
                <w:sz w:val="14"/>
                <w:szCs w:val="14"/>
                <w:b w:val="1"/>
                <w:bCs w:val="1"/>
                <w:color w:val="665B4F"/>
              </w:rPr>
              <w:t>2016 BASE SALARY</w:t>
            </w: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665B4F"/>
              </w:rPr>
              <w:t>INCREASE</w:t>
            </w:r>
          </w:p>
        </w:tc>
      </w:tr>
      <w:tr>
        <w:trPr>
          <w:trHeight w:val="39"/>
        </w:trPr>
        <w:tc>
          <w:tcPr>
            <w:tcW w:w="3880" w:type="dxa"/>
            <w:vAlign w:val="bottom"/>
            <w:tcBorders>
              <w:bottom w:val="single" w:sz="8" w:color="D1CDCA"/>
            </w:tcBorders>
          </w:tcPr>
          <w:p>
            <w:pPr>
              <w:spacing w:after="0"/>
              <w:rPr>
                <w:sz w:val="3"/>
                <w:szCs w:val="3"/>
                <w:color w:val="auto"/>
              </w:rPr>
            </w:pPr>
          </w:p>
        </w:tc>
        <w:tc>
          <w:tcPr>
            <w:tcW w:w="4280" w:type="dxa"/>
            <w:vAlign w:val="bottom"/>
            <w:tcBorders>
              <w:bottom w:val="single" w:sz="8" w:color="D1CDCA"/>
            </w:tcBorders>
          </w:tcPr>
          <w:p>
            <w:pPr>
              <w:spacing w:after="0"/>
              <w:rPr>
                <w:sz w:val="3"/>
                <w:szCs w:val="3"/>
                <w:color w:val="auto"/>
              </w:rPr>
            </w:pPr>
          </w:p>
        </w:tc>
        <w:tc>
          <w:tcPr>
            <w:tcW w:w="1740" w:type="dxa"/>
            <w:vAlign w:val="bottom"/>
            <w:tcBorders>
              <w:bottom w:val="single" w:sz="8" w:color="D1CDCA"/>
            </w:tcBorders>
          </w:tcPr>
          <w:p>
            <w:pPr>
              <w:spacing w:after="0"/>
              <w:rPr>
                <w:sz w:val="3"/>
                <w:szCs w:val="3"/>
                <w:color w:val="auto"/>
              </w:rPr>
            </w:pPr>
          </w:p>
        </w:tc>
        <w:tc>
          <w:tcPr>
            <w:tcW w:w="1120" w:type="dxa"/>
            <w:vAlign w:val="bottom"/>
            <w:tcBorders>
              <w:bottom w:val="single" w:sz="8" w:color="D1CDCA"/>
            </w:tcBorders>
          </w:tcPr>
          <w:p>
            <w:pPr>
              <w:spacing w:after="0"/>
              <w:rPr>
                <w:sz w:val="3"/>
                <w:szCs w:val="3"/>
                <w:color w:val="auto"/>
              </w:rPr>
            </w:pPr>
          </w:p>
        </w:tc>
      </w:tr>
      <w:tr>
        <w:trPr>
          <w:trHeight w:val="250"/>
        </w:trPr>
        <w:tc>
          <w:tcPr>
            <w:tcW w:w="3880" w:type="dxa"/>
            <w:vAlign w:val="bottom"/>
            <w:tcBorders>
              <w:bottom w:val="single" w:sz="8" w:color="D1CDCA"/>
            </w:tcBorders>
            <w:shd w:val="clear" w:color="auto" w:fill="F7F7E5"/>
          </w:tcPr>
          <w:p>
            <w:pPr>
              <w:ind w:left="60"/>
              <w:spacing w:after="0" w:line="250" w:lineRule="exact"/>
              <w:rPr>
                <w:sz w:val="20"/>
                <w:szCs w:val="20"/>
                <w:color w:val="auto"/>
              </w:rPr>
            </w:pPr>
            <w:r>
              <w:rPr>
                <w:rFonts w:ascii="Arial" w:cs="Arial" w:eastAsia="Arial" w:hAnsi="Arial"/>
                <w:sz w:val="14"/>
                <w:szCs w:val="14"/>
                <w:color w:val="auto"/>
              </w:rPr>
              <w:t>Matt Maddox</w:t>
            </w:r>
            <w:r>
              <w:rPr>
                <w:rFonts w:ascii="Arial" w:cs="Arial" w:eastAsia="Arial" w:hAnsi="Arial"/>
                <w:sz w:val="24"/>
                <w:szCs w:val="24"/>
                <w:color w:val="auto"/>
                <w:vertAlign w:val="superscript"/>
              </w:rPr>
              <w:t>(1)</w:t>
            </w:r>
          </w:p>
        </w:tc>
        <w:tc>
          <w:tcPr>
            <w:tcW w:w="4280" w:type="dxa"/>
            <w:vAlign w:val="bottom"/>
            <w:tcBorders>
              <w:bottom w:val="single" w:sz="8" w:color="D1CDCA"/>
            </w:tcBorders>
            <w:shd w:val="clear" w:color="auto" w:fill="F7F7E5"/>
          </w:tcPr>
          <w:p>
            <w:pPr>
              <w:jc w:val="right"/>
              <w:ind w:right="168"/>
              <w:spacing w:after="0"/>
              <w:rPr>
                <w:sz w:val="20"/>
                <w:szCs w:val="20"/>
                <w:color w:val="auto"/>
              </w:rPr>
            </w:pPr>
            <w:r>
              <w:rPr>
                <w:rFonts w:ascii="Arial" w:cs="Arial" w:eastAsia="Arial" w:hAnsi="Arial"/>
                <w:sz w:val="14"/>
                <w:szCs w:val="14"/>
                <w:color w:val="auto"/>
              </w:rPr>
              <w:t>$1,500,000</w:t>
            </w:r>
          </w:p>
        </w:tc>
        <w:tc>
          <w:tcPr>
            <w:tcW w:w="1740" w:type="dxa"/>
            <w:vAlign w:val="bottom"/>
            <w:tcBorders>
              <w:bottom w:val="single" w:sz="8" w:color="D1CDCA"/>
            </w:tcBorders>
            <w:shd w:val="clear" w:color="auto" w:fill="F7F7E5"/>
          </w:tcPr>
          <w:p>
            <w:pPr>
              <w:jc w:val="right"/>
              <w:ind w:right="88"/>
              <w:spacing w:after="0"/>
              <w:rPr>
                <w:sz w:val="20"/>
                <w:szCs w:val="20"/>
                <w:color w:val="auto"/>
              </w:rPr>
            </w:pPr>
            <w:r>
              <w:rPr>
                <w:rFonts w:ascii="Arial" w:cs="Arial" w:eastAsia="Arial" w:hAnsi="Arial"/>
                <w:sz w:val="14"/>
                <w:szCs w:val="14"/>
                <w:color w:val="auto"/>
              </w:rPr>
              <w:t>$1,500,000</w:t>
            </w:r>
          </w:p>
        </w:tc>
        <w:tc>
          <w:tcPr>
            <w:tcW w:w="1120" w:type="dxa"/>
            <w:vAlign w:val="bottom"/>
            <w:tcBorders>
              <w:bottom w:val="single" w:sz="8" w:color="D1CDCA"/>
            </w:tcBorders>
            <w:shd w:val="clear" w:color="auto" w:fill="F7F7E5"/>
          </w:tcPr>
          <w:p>
            <w:pPr>
              <w:jc w:val="right"/>
              <w:ind w:right="128"/>
              <w:spacing w:after="0"/>
              <w:rPr>
                <w:sz w:val="20"/>
                <w:szCs w:val="20"/>
                <w:color w:val="auto"/>
              </w:rPr>
            </w:pPr>
            <w:r>
              <w:rPr>
                <w:rFonts w:ascii="Arial" w:cs="Arial" w:eastAsia="Arial" w:hAnsi="Arial"/>
                <w:sz w:val="14"/>
                <w:szCs w:val="14"/>
                <w:color w:val="auto"/>
              </w:rPr>
              <w:t>0%</w:t>
            </w:r>
          </w:p>
        </w:tc>
      </w:tr>
      <w:tr>
        <w:trPr>
          <w:trHeight w:val="211"/>
        </w:trPr>
        <w:tc>
          <w:tcPr>
            <w:tcW w:w="3880" w:type="dxa"/>
            <w:vAlign w:val="bottom"/>
          </w:tcPr>
          <w:p>
            <w:pPr>
              <w:ind w:left="60"/>
              <w:spacing w:after="0"/>
              <w:rPr>
                <w:sz w:val="20"/>
                <w:szCs w:val="20"/>
                <w:color w:val="auto"/>
              </w:rPr>
            </w:pPr>
            <w:r>
              <w:rPr>
                <w:rFonts w:ascii="Arial" w:cs="Arial" w:eastAsia="Arial" w:hAnsi="Arial"/>
                <w:sz w:val="14"/>
                <w:szCs w:val="14"/>
                <w:color w:val="auto"/>
              </w:rPr>
              <w:t>Kim Sinatra</w:t>
            </w:r>
          </w:p>
        </w:tc>
        <w:tc>
          <w:tcPr>
            <w:tcW w:w="4280" w:type="dxa"/>
            <w:vAlign w:val="bottom"/>
          </w:tcPr>
          <w:p>
            <w:pPr>
              <w:jc w:val="right"/>
              <w:ind w:right="168"/>
              <w:spacing w:after="0"/>
              <w:rPr>
                <w:sz w:val="20"/>
                <w:szCs w:val="20"/>
                <w:color w:val="auto"/>
              </w:rPr>
            </w:pPr>
            <w:r>
              <w:rPr>
                <w:rFonts w:ascii="Arial" w:cs="Arial" w:eastAsia="Arial" w:hAnsi="Arial"/>
                <w:sz w:val="14"/>
                <w:szCs w:val="14"/>
                <w:color w:val="auto"/>
              </w:rPr>
              <w:t>$1,000,000</w:t>
            </w:r>
          </w:p>
        </w:tc>
        <w:tc>
          <w:tcPr>
            <w:tcW w:w="1740" w:type="dxa"/>
            <w:vAlign w:val="bottom"/>
          </w:tcPr>
          <w:p>
            <w:pPr>
              <w:jc w:val="right"/>
              <w:ind w:right="88"/>
              <w:spacing w:after="0"/>
              <w:rPr>
                <w:sz w:val="20"/>
                <w:szCs w:val="20"/>
                <w:color w:val="auto"/>
              </w:rPr>
            </w:pPr>
            <w:r>
              <w:rPr>
                <w:rFonts w:ascii="Arial" w:cs="Arial" w:eastAsia="Arial" w:hAnsi="Arial"/>
                <w:sz w:val="14"/>
                <w:szCs w:val="14"/>
                <w:color w:val="auto"/>
              </w:rPr>
              <w:t>$1,000,000</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0%</w:t>
            </w:r>
          </w:p>
        </w:tc>
      </w:tr>
      <w:tr>
        <w:trPr>
          <w:trHeight w:val="39"/>
        </w:trPr>
        <w:tc>
          <w:tcPr>
            <w:tcW w:w="3880" w:type="dxa"/>
            <w:vAlign w:val="bottom"/>
            <w:tcBorders>
              <w:bottom w:val="single" w:sz="8" w:color="D1CDCA"/>
            </w:tcBorders>
          </w:tcPr>
          <w:p>
            <w:pPr>
              <w:spacing w:after="0"/>
              <w:rPr>
                <w:sz w:val="3"/>
                <w:szCs w:val="3"/>
                <w:color w:val="auto"/>
              </w:rPr>
            </w:pPr>
          </w:p>
        </w:tc>
        <w:tc>
          <w:tcPr>
            <w:tcW w:w="4280" w:type="dxa"/>
            <w:vAlign w:val="bottom"/>
            <w:tcBorders>
              <w:bottom w:val="single" w:sz="8" w:color="D1CDCA"/>
            </w:tcBorders>
          </w:tcPr>
          <w:p>
            <w:pPr>
              <w:spacing w:after="0"/>
              <w:rPr>
                <w:sz w:val="3"/>
                <w:szCs w:val="3"/>
                <w:color w:val="auto"/>
              </w:rPr>
            </w:pPr>
          </w:p>
        </w:tc>
        <w:tc>
          <w:tcPr>
            <w:tcW w:w="1740" w:type="dxa"/>
            <w:vAlign w:val="bottom"/>
            <w:tcBorders>
              <w:bottom w:val="single" w:sz="8" w:color="D1CDCA"/>
            </w:tcBorders>
          </w:tcPr>
          <w:p>
            <w:pPr>
              <w:spacing w:after="0"/>
              <w:rPr>
                <w:sz w:val="3"/>
                <w:szCs w:val="3"/>
                <w:color w:val="auto"/>
              </w:rPr>
            </w:pPr>
          </w:p>
        </w:tc>
        <w:tc>
          <w:tcPr>
            <w:tcW w:w="1120" w:type="dxa"/>
            <w:vAlign w:val="bottom"/>
            <w:tcBorders>
              <w:bottom w:val="single" w:sz="8" w:color="D1CDCA"/>
            </w:tcBorders>
          </w:tcPr>
          <w:p>
            <w:pPr>
              <w:spacing w:after="0"/>
              <w:rPr>
                <w:sz w:val="3"/>
                <w:szCs w:val="3"/>
                <w:color w:val="auto"/>
              </w:rPr>
            </w:pPr>
          </w:p>
        </w:tc>
      </w:tr>
      <w:tr>
        <w:trPr>
          <w:trHeight w:val="250"/>
        </w:trPr>
        <w:tc>
          <w:tcPr>
            <w:tcW w:w="3880" w:type="dxa"/>
            <w:vAlign w:val="bottom"/>
            <w:tcBorders>
              <w:bottom w:val="single" w:sz="8" w:color="D1CDCA"/>
            </w:tcBorders>
            <w:shd w:val="clear" w:color="auto" w:fill="F7F7E5"/>
          </w:tcPr>
          <w:p>
            <w:pPr>
              <w:ind w:left="60"/>
              <w:spacing w:after="0" w:line="250" w:lineRule="exact"/>
              <w:rPr>
                <w:sz w:val="20"/>
                <w:szCs w:val="20"/>
                <w:color w:val="auto"/>
              </w:rPr>
            </w:pPr>
            <w:r>
              <w:rPr>
                <w:rFonts w:ascii="Arial" w:cs="Arial" w:eastAsia="Arial" w:hAnsi="Arial"/>
                <w:sz w:val="14"/>
                <w:szCs w:val="14"/>
                <w:color w:val="auto"/>
              </w:rPr>
              <w:t>Craig Billings</w:t>
            </w:r>
            <w:r>
              <w:rPr>
                <w:rFonts w:ascii="Arial" w:cs="Arial" w:eastAsia="Arial" w:hAnsi="Arial"/>
                <w:sz w:val="24"/>
                <w:szCs w:val="24"/>
                <w:color w:val="auto"/>
                <w:vertAlign w:val="superscript"/>
              </w:rPr>
              <w:t>(2)</w:t>
            </w:r>
          </w:p>
        </w:tc>
        <w:tc>
          <w:tcPr>
            <w:tcW w:w="4280" w:type="dxa"/>
            <w:vAlign w:val="bottom"/>
            <w:tcBorders>
              <w:bottom w:val="single" w:sz="8" w:color="D1CDCA"/>
            </w:tcBorders>
            <w:shd w:val="clear" w:color="auto" w:fill="F7F7E5"/>
          </w:tcPr>
          <w:p>
            <w:pPr>
              <w:jc w:val="right"/>
              <w:ind w:right="168"/>
              <w:spacing w:after="0"/>
              <w:rPr>
                <w:sz w:val="20"/>
                <w:szCs w:val="20"/>
                <w:color w:val="auto"/>
              </w:rPr>
            </w:pPr>
            <w:r>
              <w:rPr>
                <w:rFonts w:ascii="Arial" w:cs="Arial" w:eastAsia="Arial" w:hAnsi="Arial"/>
                <w:sz w:val="14"/>
                <w:szCs w:val="14"/>
                <w:color w:val="auto"/>
              </w:rPr>
              <w:t>$  750,000</w:t>
            </w:r>
          </w:p>
        </w:tc>
        <w:tc>
          <w:tcPr>
            <w:tcW w:w="1740" w:type="dxa"/>
            <w:vAlign w:val="bottom"/>
            <w:tcBorders>
              <w:bottom w:val="single" w:sz="8" w:color="D1CDCA"/>
            </w:tcBorders>
            <w:shd w:val="clear" w:color="auto" w:fill="F7F7E5"/>
          </w:tcPr>
          <w:p>
            <w:pPr>
              <w:jc w:val="right"/>
              <w:ind w:right="88"/>
              <w:spacing w:after="0"/>
              <w:rPr>
                <w:sz w:val="20"/>
                <w:szCs w:val="20"/>
                <w:color w:val="auto"/>
              </w:rPr>
            </w:pPr>
            <w:r>
              <w:rPr>
                <w:rFonts w:ascii="Arial" w:cs="Arial" w:eastAsia="Arial" w:hAnsi="Arial"/>
                <w:sz w:val="14"/>
                <w:szCs w:val="14"/>
                <w:color w:val="auto"/>
              </w:rPr>
              <w:t>N/A</w:t>
            </w:r>
          </w:p>
        </w:tc>
        <w:tc>
          <w:tcPr>
            <w:tcW w:w="1120" w:type="dxa"/>
            <w:vAlign w:val="bottom"/>
            <w:tcBorders>
              <w:bottom w:val="single" w:sz="8" w:color="D1CDCA"/>
            </w:tcBorders>
            <w:shd w:val="clear" w:color="auto" w:fill="F7F7E5"/>
          </w:tcPr>
          <w:p>
            <w:pPr>
              <w:jc w:val="right"/>
              <w:ind w:right="128"/>
              <w:spacing w:after="0"/>
              <w:rPr>
                <w:sz w:val="20"/>
                <w:szCs w:val="20"/>
                <w:color w:val="auto"/>
              </w:rPr>
            </w:pPr>
            <w:r>
              <w:rPr>
                <w:rFonts w:ascii="Arial" w:cs="Arial" w:eastAsia="Arial" w:hAnsi="Arial"/>
                <w:sz w:val="14"/>
                <w:szCs w:val="14"/>
                <w:color w:val="auto"/>
              </w:rPr>
              <w:t>N/A</w:t>
            </w:r>
          </w:p>
        </w:tc>
      </w:tr>
      <w:tr>
        <w:trPr>
          <w:trHeight w:val="211"/>
        </w:trPr>
        <w:tc>
          <w:tcPr>
            <w:tcW w:w="3880" w:type="dxa"/>
            <w:vAlign w:val="bottom"/>
          </w:tcPr>
          <w:p>
            <w:pPr>
              <w:ind w:left="60"/>
              <w:spacing w:after="0"/>
              <w:rPr>
                <w:sz w:val="20"/>
                <w:szCs w:val="20"/>
                <w:color w:val="auto"/>
              </w:rPr>
            </w:pPr>
            <w:r>
              <w:rPr>
                <w:rFonts w:ascii="Arial" w:cs="Arial" w:eastAsia="Arial" w:hAnsi="Arial"/>
                <w:sz w:val="14"/>
                <w:szCs w:val="14"/>
                <w:color w:val="auto"/>
              </w:rPr>
              <w:t>Stephen A. Wynn</w:t>
            </w:r>
          </w:p>
        </w:tc>
        <w:tc>
          <w:tcPr>
            <w:tcW w:w="4280" w:type="dxa"/>
            <w:vAlign w:val="bottom"/>
          </w:tcPr>
          <w:p>
            <w:pPr>
              <w:jc w:val="right"/>
              <w:ind w:right="168"/>
              <w:spacing w:after="0"/>
              <w:rPr>
                <w:sz w:val="20"/>
                <w:szCs w:val="20"/>
                <w:color w:val="auto"/>
              </w:rPr>
            </w:pPr>
            <w:r>
              <w:rPr>
                <w:rFonts w:ascii="Arial" w:cs="Arial" w:eastAsia="Arial" w:hAnsi="Arial"/>
                <w:sz w:val="14"/>
                <w:szCs w:val="14"/>
                <w:color w:val="auto"/>
              </w:rPr>
              <w:t>$2,500,000</w:t>
            </w:r>
          </w:p>
        </w:tc>
        <w:tc>
          <w:tcPr>
            <w:tcW w:w="1740" w:type="dxa"/>
            <w:vAlign w:val="bottom"/>
          </w:tcPr>
          <w:p>
            <w:pPr>
              <w:jc w:val="right"/>
              <w:ind w:right="88"/>
              <w:spacing w:after="0"/>
              <w:rPr>
                <w:sz w:val="20"/>
                <w:szCs w:val="20"/>
                <w:color w:val="auto"/>
              </w:rPr>
            </w:pPr>
            <w:r>
              <w:rPr>
                <w:rFonts w:ascii="Arial" w:cs="Arial" w:eastAsia="Arial" w:hAnsi="Arial"/>
                <w:sz w:val="14"/>
                <w:szCs w:val="14"/>
                <w:color w:val="auto"/>
              </w:rPr>
              <w:t>$2,500,000</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0%</w:t>
            </w:r>
          </w:p>
        </w:tc>
      </w:tr>
      <w:tr>
        <w:trPr>
          <w:trHeight w:val="39"/>
        </w:trPr>
        <w:tc>
          <w:tcPr>
            <w:tcW w:w="3880" w:type="dxa"/>
            <w:vAlign w:val="bottom"/>
            <w:tcBorders>
              <w:bottom w:val="single" w:sz="8" w:color="D1CDCA"/>
            </w:tcBorders>
          </w:tcPr>
          <w:p>
            <w:pPr>
              <w:spacing w:after="0"/>
              <w:rPr>
                <w:sz w:val="3"/>
                <w:szCs w:val="3"/>
                <w:color w:val="auto"/>
              </w:rPr>
            </w:pPr>
          </w:p>
        </w:tc>
        <w:tc>
          <w:tcPr>
            <w:tcW w:w="4280" w:type="dxa"/>
            <w:vAlign w:val="bottom"/>
            <w:tcBorders>
              <w:bottom w:val="single" w:sz="8" w:color="D1CDCA"/>
            </w:tcBorders>
          </w:tcPr>
          <w:p>
            <w:pPr>
              <w:spacing w:after="0"/>
              <w:rPr>
                <w:sz w:val="3"/>
                <w:szCs w:val="3"/>
                <w:color w:val="auto"/>
              </w:rPr>
            </w:pPr>
          </w:p>
        </w:tc>
        <w:tc>
          <w:tcPr>
            <w:tcW w:w="1740" w:type="dxa"/>
            <w:vAlign w:val="bottom"/>
            <w:tcBorders>
              <w:bottom w:val="single" w:sz="8" w:color="D1CDCA"/>
            </w:tcBorders>
          </w:tcPr>
          <w:p>
            <w:pPr>
              <w:spacing w:after="0"/>
              <w:rPr>
                <w:sz w:val="3"/>
                <w:szCs w:val="3"/>
                <w:color w:val="auto"/>
              </w:rPr>
            </w:pPr>
          </w:p>
        </w:tc>
        <w:tc>
          <w:tcPr>
            <w:tcW w:w="1120" w:type="dxa"/>
            <w:vAlign w:val="bottom"/>
            <w:tcBorders>
              <w:bottom w:val="single" w:sz="8" w:color="D1CDCA"/>
            </w:tcBorders>
          </w:tcPr>
          <w:p>
            <w:pPr>
              <w:spacing w:after="0"/>
              <w:rPr>
                <w:sz w:val="3"/>
                <w:szCs w:val="3"/>
                <w:color w:val="auto"/>
              </w:rPr>
            </w:pPr>
          </w:p>
        </w:tc>
      </w:tr>
      <w:tr>
        <w:trPr>
          <w:trHeight w:val="230"/>
        </w:trPr>
        <w:tc>
          <w:tcPr>
            <w:tcW w:w="38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Stephen Cootey</w:t>
            </w:r>
          </w:p>
        </w:tc>
        <w:tc>
          <w:tcPr>
            <w:tcW w:w="4280" w:type="dxa"/>
            <w:vAlign w:val="bottom"/>
            <w:tcBorders>
              <w:bottom w:val="single" w:sz="8" w:color="F7F7E5"/>
            </w:tcBorders>
            <w:shd w:val="clear" w:color="auto" w:fill="F7F7E5"/>
          </w:tcPr>
          <w:p>
            <w:pPr>
              <w:jc w:val="right"/>
              <w:ind w:right="168"/>
              <w:spacing w:after="0"/>
              <w:rPr>
                <w:sz w:val="20"/>
                <w:szCs w:val="20"/>
                <w:color w:val="auto"/>
              </w:rPr>
            </w:pPr>
            <w:r>
              <w:rPr>
                <w:rFonts w:ascii="Arial" w:cs="Arial" w:eastAsia="Arial" w:hAnsi="Arial"/>
                <w:sz w:val="14"/>
                <w:szCs w:val="14"/>
                <w:color w:val="auto"/>
              </w:rPr>
              <w:t>$  625,000</w:t>
            </w:r>
          </w:p>
        </w:tc>
        <w:tc>
          <w:tcPr>
            <w:tcW w:w="1740" w:type="dxa"/>
            <w:vAlign w:val="bottom"/>
            <w:tcBorders>
              <w:bottom w:val="single" w:sz="8" w:color="F7F7E5"/>
            </w:tcBorders>
            <w:shd w:val="clear" w:color="auto" w:fill="F7F7E5"/>
          </w:tcPr>
          <w:p>
            <w:pPr>
              <w:jc w:val="right"/>
              <w:ind w:right="88"/>
              <w:spacing w:after="0"/>
              <w:rPr>
                <w:sz w:val="20"/>
                <w:szCs w:val="20"/>
                <w:color w:val="auto"/>
              </w:rPr>
            </w:pPr>
            <w:r>
              <w:rPr>
                <w:rFonts w:ascii="Arial" w:cs="Arial" w:eastAsia="Arial" w:hAnsi="Arial"/>
                <w:sz w:val="14"/>
                <w:szCs w:val="14"/>
                <w:color w:val="auto"/>
              </w:rPr>
              <w:t>$  625,000</w:t>
            </w:r>
          </w:p>
        </w:tc>
        <w:tc>
          <w:tcPr>
            <w:tcW w:w="1120" w:type="dxa"/>
            <w:vAlign w:val="bottom"/>
            <w:tcBorders>
              <w:bottom w:val="single" w:sz="8" w:color="F7F7E5"/>
            </w:tcBorders>
            <w:shd w:val="clear" w:color="auto" w:fill="F7F7E5"/>
          </w:tcPr>
          <w:p>
            <w:pPr>
              <w:jc w:val="right"/>
              <w:ind w:right="128"/>
              <w:spacing w:after="0"/>
              <w:rPr>
                <w:sz w:val="20"/>
                <w:szCs w:val="20"/>
                <w:color w:val="auto"/>
              </w:rPr>
            </w:pPr>
            <w:r>
              <w:rPr>
                <w:rFonts w:ascii="Arial" w:cs="Arial" w:eastAsia="Arial" w:hAnsi="Arial"/>
                <w:sz w:val="14"/>
                <w:szCs w:val="14"/>
                <w:color w:val="auto"/>
              </w:rPr>
              <w:t>0%</w:t>
            </w:r>
          </w:p>
        </w:tc>
      </w:tr>
      <w:tr>
        <w:trPr>
          <w:trHeight w:val="20"/>
        </w:trPr>
        <w:tc>
          <w:tcPr>
            <w:tcW w:w="3880" w:type="dxa"/>
            <w:vAlign w:val="bottom"/>
            <w:shd w:val="clear" w:color="auto" w:fill="D1CDCA"/>
          </w:tcPr>
          <w:p>
            <w:pPr>
              <w:spacing w:after="0" w:line="20" w:lineRule="exact"/>
              <w:rPr>
                <w:sz w:val="1"/>
                <w:szCs w:val="1"/>
                <w:color w:val="auto"/>
              </w:rPr>
            </w:pPr>
          </w:p>
        </w:tc>
        <w:tc>
          <w:tcPr>
            <w:tcW w:w="4280" w:type="dxa"/>
            <w:vAlign w:val="bottom"/>
            <w:shd w:val="clear" w:color="auto" w:fill="D1CDCA"/>
          </w:tcPr>
          <w:p>
            <w:pPr>
              <w:spacing w:after="0" w:line="20" w:lineRule="exact"/>
              <w:rPr>
                <w:sz w:val="1"/>
                <w:szCs w:val="1"/>
                <w:color w:val="auto"/>
              </w:rPr>
            </w:pPr>
          </w:p>
        </w:tc>
        <w:tc>
          <w:tcPr>
            <w:tcW w:w="1740" w:type="dxa"/>
            <w:vAlign w:val="bottom"/>
            <w:shd w:val="clear" w:color="auto" w:fill="D1CDCA"/>
          </w:tcPr>
          <w:p>
            <w:pPr>
              <w:spacing w:after="0" w:line="20" w:lineRule="exact"/>
              <w:rPr>
                <w:sz w:val="1"/>
                <w:szCs w:val="1"/>
                <w:color w:val="auto"/>
              </w:rPr>
            </w:pPr>
          </w:p>
        </w:tc>
        <w:tc>
          <w:tcPr>
            <w:tcW w:w="1120" w:type="dxa"/>
            <w:vAlign w:val="bottom"/>
            <w:shd w:val="clear" w:color="auto" w:fill="D1CDCA"/>
          </w:tcPr>
          <w:p>
            <w:pPr>
              <w:spacing w:after="0" w:line="20" w:lineRule="exact"/>
              <w:rPr>
                <w:sz w:val="1"/>
                <w:szCs w:val="1"/>
                <w:color w:val="auto"/>
              </w:rPr>
            </w:pPr>
          </w:p>
        </w:tc>
      </w:tr>
    </w:tbl>
    <w:p>
      <w:pPr>
        <w:spacing w:after="0" w:line="103" w:lineRule="exact"/>
        <w:rPr>
          <w:sz w:val="20"/>
          <w:szCs w:val="20"/>
          <w:color w:val="auto"/>
        </w:rPr>
      </w:pPr>
    </w:p>
    <w:p>
      <w:pPr>
        <w:ind w:left="400" w:hanging="196"/>
        <w:spacing w:after="0"/>
        <w:tabs>
          <w:tab w:leader="none" w:pos="400" w:val="left"/>
        </w:tabs>
        <w:numPr>
          <w:ilvl w:val="0"/>
          <w:numId w:val="78"/>
        </w:numPr>
        <w:rPr>
          <w:rFonts w:ascii="Arial" w:cs="Arial" w:eastAsia="Arial" w:hAnsi="Arial"/>
          <w:sz w:val="12"/>
          <w:szCs w:val="12"/>
          <w:color w:val="auto"/>
        </w:rPr>
      </w:pPr>
      <w:r>
        <w:rPr>
          <w:rFonts w:ascii="Arial" w:cs="Arial" w:eastAsia="Arial" w:hAnsi="Arial"/>
          <w:sz w:val="14"/>
          <w:szCs w:val="14"/>
          <w:color w:val="auto"/>
        </w:rPr>
        <w:t>Mr. Maddox’s base salary was increased to $2,000,000, effective February 27, 2018, in connection with his promotion to Chief Executive Officer.</w:t>
      </w:r>
    </w:p>
    <w:p>
      <w:pPr>
        <w:spacing w:after="0" w:line="55" w:lineRule="exact"/>
        <w:rPr>
          <w:rFonts w:ascii="Arial" w:cs="Arial" w:eastAsia="Arial" w:hAnsi="Arial"/>
          <w:sz w:val="12"/>
          <w:szCs w:val="12"/>
          <w:color w:val="auto"/>
        </w:rPr>
      </w:pPr>
    </w:p>
    <w:p>
      <w:pPr>
        <w:ind w:left="400" w:right="540" w:hanging="196"/>
        <w:spacing w:after="0" w:line="253" w:lineRule="auto"/>
        <w:tabs>
          <w:tab w:leader="none" w:pos="400" w:val="left"/>
        </w:tabs>
        <w:numPr>
          <w:ilvl w:val="0"/>
          <w:numId w:val="78"/>
        </w:numPr>
        <w:rPr>
          <w:rFonts w:ascii="Arial" w:cs="Arial" w:eastAsia="Arial" w:hAnsi="Arial"/>
          <w:sz w:val="12"/>
          <w:szCs w:val="12"/>
          <w:color w:val="auto"/>
        </w:rPr>
      </w:pPr>
      <w:r>
        <w:rPr>
          <w:rFonts w:ascii="Arial" w:cs="Arial" w:eastAsia="Arial" w:hAnsi="Arial"/>
          <w:sz w:val="14"/>
          <w:szCs w:val="14"/>
          <w:color w:val="auto"/>
        </w:rPr>
        <w:t>Mr. Billings joined the Company on March 1, 2017. Mr. Billings’ base salary was increased to $875,000, effective March 1, 2018, in connection with the one-year extension of his employment agreement, and in recognition of his contributions to the performance of the Company.</w:t>
      </w:r>
    </w:p>
    <w:p>
      <w:pPr>
        <w:spacing w:after="0" w:line="174" w:lineRule="exact"/>
        <w:rPr>
          <w:sz w:val="20"/>
          <w:szCs w:val="20"/>
          <w:color w:val="auto"/>
        </w:rPr>
      </w:pPr>
    </w:p>
    <w:p>
      <w:pPr>
        <w:ind w:left="200" w:right="200"/>
        <w:spacing w:after="0" w:line="286" w:lineRule="auto"/>
        <w:rPr>
          <w:sz w:val="20"/>
          <w:szCs w:val="20"/>
          <w:color w:val="auto"/>
        </w:rPr>
      </w:pPr>
      <w:r>
        <w:rPr>
          <w:rFonts w:ascii="Arial" w:cs="Arial" w:eastAsia="Arial" w:hAnsi="Arial"/>
          <w:sz w:val="16"/>
          <w:szCs w:val="16"/>
          <w:b w:val="1"/>
          <w:bCs w:val="1"/>
          <w:color w:val="auto"/>
        </w:rPr>
        <w:t xml:space="preserve">Annual Incentives. </w:t>
      </w:r>
      <w:r>
        <w:rPr>
          <w:rFonts w:ascii="Arial" w:cs="Arial" w:eastAsia="Arial" w:hAnsi="Arial"/>
          <w:sz w:val="16"/>
          <w:szCs w:val="16"/>
          <w:color w:val="auto"/>
        </w:rPr>
        <w:t>For the 2017 annual incentive awards granted under our Omnibus Plan, the Compensation Committee selected three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goals:</w:t>
      </w:r>
    </w:p>
    <w:p>
      <w:pPr>
        <w:spacing w:after="0" w:line="61" w:lineRule="exact"/>
        <w:rPr>
          <w:sz w:val="20"/>
          <w:szCs w:val="20"/>
          <w:color w:val="auto"/>
        </w:rPr>
      </w:pPr>
    </w:p>
    <w:p>
      <w:pPr>
        <w:ind w:left="520" w:hanging="208"/>
        <w:spacing w:after="0"/>
        <w:tabs>
          <w:tab w:leader="none" w:pos="520" w:val="left"/>
        </w:tabs>
        <w:numPr>
          <w:ilvl w:val="0"/>
          <w:numId w:val="79"/>
        </w:numPr>
        <w:rPr>
          <w:rFonts w:ascii="Arial" w:cs="Arial" w:eastAsia="Arial" w:hAnsi="Arial"/>
          <w:sz w:val="16"/>
          <w:szCs w:val="16"/>
          <w:color w:val="665B4F"/>
        </w:rPr>
      </w:pPr>
      <w:r>
        <w:rPr>
          <w:rFonts w:ascii="Arial" w:cs="Arial" w:eastAsia="Arial" w:hAnsi="Arial"/>
          <w:sz w:val="16"/>
          <w:szCs w:val="16"/>
          <w:b w:val="1"/>
          <w:bCs w:val="1"/>
          <w:color w:val="auto"/>
        </w:rPr>
        <w:t>2017 Adjusted Property EBITDA</w:t>
      </w:r>
      <w:r>
        <w:rPr>
          <w:rFonts w:ascii="Arial" w:cs="Arial" w:eastAsia="Arial" w:hAnsi="Arial"/>
          <w:sz w:val="16"/>
          <w:szCs w:val="16"/>
          <w:color w:val="auto"/>
        </w:rPr>
        <w:t>. This is used to measure the operating performance of our segments compared to those of our competitors.</w:t>
      </w:r>
    </w:p>
    <w:p>
      <w:pPr>
        <w:spacing w:after="0" w:line="140" w:lineRule="exact"/>
        <w:rPr>
          <w:rFonts w:ascii="Arial" w:cs="Arial" w:eastAsia="Arial" w:hAnsi="Arial"/>
          <w:sz w:val="16"/>
          <w:szCs w:val="16"/>
          <w:color w:val="665B4F"/>
        </w:rPr>
      </w:pPr>
    </w:p>
    <w:p>
      <w:pPr>
        <w:ind w:left="520" w:right="60" w:hanging="208"/>
        <w:spacing w:after="0" w:line="256" w:lineRule="auto"/>
        <w:tabs>
          <w:tab w:leader="none" w:pos="520" w:val="left"/>
        </w:tabs>
        <w:numPr>
          <w:ilvl w:val="0"/>
          <w:numId w:val="79"/>
        </w:numPr>
        <w:rPr>
          <w:rFonts w:ascii="Arial" w:cs="Arial" w:eastAsia="Arial" w:hAnsi="Arial"/>
          <w:sz w:val="16"/>
          <w:szCs w:val="16"/>
          <w:color w:val="665B4F"/>
        </w:rPr>
      </w:pPr>
      <w:r>
        <w:rPr>
          <w:rFonts w:ascii="Arial" w:cs="Arial" w:eastAsia="Arial" w:hAnsi="Arial"/>
          <w:sz w:val="16"/>
          <w:szCs w:val="16"/>
          <w:b w:val="1"/>
          <w:bCs w:val="1"/>
          <w:color w:val="auto"/>
        </w:rPr>
        <w:t>Forbes Five-Star distinction in hotel, food and beverage or spa categories on both Las Vegas and Macau</w:t>
      </w:r>
      <w:r>
        <w:rPr>
          <w:rFonts w:ascii="Arial" w:cs="Arial" w:eastAsia="Arial" w:hAnsi="Arial"/>
          <w:sz w:val="16"/>
          <w:szCs w:val="16"/>
          <w:color w:val="auto"/>
        </w:rPr>
        <w:t>. Our business depends on repeat</w:t>
      </w:r>
      <w:r>
        <w:rPr>
          <w:rFonts w:ascii="Arial" w:cs="Arial" w:eastAsia="Arial" w:hAnsi="Arial"/>
          <w:sz w:val="16"/>
          <w:szCs w:val="16"/>
          <w:b w:val="1"/>
          <w:bCs w:val="1"/>
          <w:color w:val="auto"/>
        </w:rPr>
        <w:t xml:space="preserve"> </w:t>
      </w:r>
      <w:r>
        <w:rPr>
          <w:rFonts w:ascii="Arial" w:cs="Arial" w:eastAsia="Arial" w:hAnsi="Arial"/>
          <w:sz w:val="16"/>
          <w:szCs w:val="16"/>
          <w:color w:val="auto"/>
        </w:rPr>
        <w:t>visits from guests and requires superior customer experience and service. Achieving and maintaining Forbes-Five Star distinction drives excellence across a broad range of operations at our properties and is essential to drive customer demand, increase brand awareness and build loyalty over the long term. This goal encourages long-term investment in our human capital and retention of talent because we believe human resources and staff training ensure our employees are prepared to provide the luxury service that our guests expect.</w:t>
      </w:r>
    </w:p>
    <w:p>
      <w:pPr>
        <w:spacing w:after="0" w:line="85" w:lineRule="exact"/>
        <w:rPr>
          <w:rFonts w:ascii="Arial" w:cs="Arial" w:eastAsia="Arial" w:hAnsi="Arial"/>
          <w:sz w:val="16"/>
          <w:szCs w:val="16"/>
          <w:color w:val="665B4F"/>
        </w:rPr>
      </w:pPr>
    </w:p>
    <w:p>
      <w:pPr>
        <w:ind w:left="520" w:right="120" w:hanging="208"/>
        <w:spacing w:after="0" w:line="259" w:lineRule="auto"/>
        <w:tabs>
          <w:tab w:leader="none" w:pos="520" w:val="left"/>
        </w:tabs>
        <w:numPr>
          <w:ilvl w:val="0"/>
          <w:numId w:val="79"/>
        </w:numPr>
        <w:rPr>
          <w:rFonts w:ascii="Arial" w:cs="Arial" w:eastAsia="Arial" w:hAnsi="Arial"/>
          <w:sz w:val="16"/>
          <w:szCs w:val="16"/>
          <w:color w:val="665B4F"/>
        </w:rPr>
      </w:pPr>
      <w:r>
        <w:rPr>
          <w:rFonts w:ascii="Arial" w:cs="Arial" w:eastAsia="Arial" w:hAnsi="Arial"/>
          <w:sz w:val="16"/>
          <w:szCs w:val="16"/>
          <w:b w:val="1"/>
          <w:bCs w:val="1"/>
          <w:color w:val="auto"/>
        </w:rPr>
        <w:t xml:space="preserve">Achieving substantial completion of the construction of Wynn Plaza. </w:t>
      </w:r>
      <w:r>
        <w:rPr>
          <w:rFonts w:ascii="Arial" w:cs="Arial" w:eastAsia="Arial" w:hAnsi="Arial"/>
          <w:sz w:val="16"/>
          <w:szCs w:val="16"/>
          <w:color w:val="auto"/>
        </w:rPr>
        <w:t>Wynn Plaza is an opulent new shopping experience currently expected to</w:t>
      </w:r>
      <w:r>
        <w:rPr>
          <w:rFonts w:ascii="Arial" w:cs="Arial" w:eastAsia="Arial" w:hAnsi="Arial"/>
          <w:sz w:val="16"/>
          <w:szCs w:val="16"/>
          <w:b w:val="1"/>
          <w:bCs w:val="1"/>
          <w:color w:val="auto"/>
        </w:rPr>
        <w:t xml:space="preserve"> </w:t>
      </w:r>
      <w:r>
        <w:rPr>
          <w:rFonts w:ascii="Arial" w:cs="Arial" w:eastAsia="Arial" w:hAnsi="Arial"/>
          <w:sz w:val="16"/>
          <w:szCs w:val="16"/>
          <w:color w:val="auto"/>
        </w:rPr>
        <w:t>open in the second half of 2018, and is part of our focus on continuing to refresh our resorts and create unique customer experiences. This performance goal supports the Company’s strategic deployment of capital expenditures aimed at building brand equity and loyalty among premium customers who drive attractive long-term returns for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141605</wp:posOffset>
            </wp:positionV>
            <wp:extent cx="6997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5"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2720" w:type="dxa"/>
            <w:vAlign w:val="bottom"/>
          </w:tcPr>
          <w:p>
            <w:pPr>
              <w:jc w:val="right"/>
              <w:ind w:right="368"/>
              <w:spacing w:after="0"/>
              <w:rPr>
                <w:sz w:val="20"/>
                <w:szCs w:val="20"/>
                <w:color w:val="auto"/>
              </w:rPr>
            </w:pPr>
            <w:r>
              <w:rPr>
                <w:rFonts w:ascii="Arial" w:cs="Arial" w:eastAsia="Arial" w:hAnsi="Arial"/>
                <w:sz w:val="14"/>
                <w:szCs w:val="14"/>
                <w:b w:val="1"/>
                <w:bCs w:val="1"/>
                <w:color w:val="665B4F"/>
              </w:rPr>
              <w:t>MATT MADDOX</w:t>
            </w:r>
          </w:p>
        </w:tc>
        <w:tc>
          <w:tcPr>
            <w:tcW w:w="1960" w:type="dxa"/>
            <w:vAlign w:val="bottom"/>
          </w:tcPr>
          <w:p>
            <w:pPr>
              <w:jc w:val="right"/>
              <w:ind w:right="328"/>
              <w:spacing w:after="0"/>
              <w:rPr>
                <w:sz w:val="20"/>
                <w:szCs w:val="20"/>
                <w:color w:val="auto"/>
              </w:rPr>
            </w:pPr>
            <w:r>
              <w:rPr>
                <w:rFonts w:ascii="Arial" w:cs="Arial" w:eastAsia="Arial" w:hAnsi="Arial"/>
                <w:sz w:val="14"/>
                <w:szCs w:val="14"/>
                <w:b w:val="1"/>
                <w:bCs w:val="1"/>
                <w:color w:val="665B4F"/>
              </w:rPr>
              <w:t>KIM SINATRA</w:t>
            </w: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665B4F"/>
              </w:rPr>
              <w:t>CRAIG BILLINGS</w:t>
            </w:r>
          </w:p>
        </w:tc>
        <w:tc>
          <w:tcPr>
            <w:tcW w:w="1780" w:type="dxa"/>
            <w:vAlign w:val="bottom"/>
          </w:tcPr>
          <w:p>
            <w:pPr>
              <w:ind w:left="280"/>
              <w:spacing w:after="0"/>
              <w:rPr>
                <w:sz w:val="20"/>
                <w:szCs w:val="20"/>
                <w:color w:val="auto"/>
              </w:rPr>
            </w:pPr>
            <w:r>
              <w:rPr>
                <w:rFonts w:ascii="Arial" w:cs="Arial" w:eastAsia="Arial" w:hAnsi="Arial"/>
                <w:sz w:val="14"/>
                <w:szCs w:val="14"/>
                <w:b w:val="1"/>
                <w:bCs w:val="1"/>
                <w:color w:val="665B4F"/>
              </w:rPr>
              <w:t>STEPHEN A. WYNN</w:t>
            </w:r>
          </w:p>
        </w:tc>
      </w:tr>
      <w:tr>
        <w:trPr>
          <w:trHeight w:val="39"/>
        </w:trPr>
        <w:tc>
          <w:tcPr>
            <w:tcW w:w="2680" w:type="dxa"/>
            <w:vAlign w:val="bottom"/>
            <w:tcBorders>
              <w:bottom w:val="single" w:sz="8" w:color="D1CDCA"/>
            </w:tcBorders>
          </w:tcPr>
          <w:p>
            <w:pPr>
              <w:spacing w:after="0"/>
              <w:rPr>
                <w:sz w:val="3"/>
                <w:szCs w:val="3"/>
                <w:color w:val="auto"/>
              </w:rPr>
            </w:pPr>
          </w:p>
        </w:tc>
        <w:tc>
          <w:tcPr>
            <w:tcW w:w="2720" w:type="dxa"/>
            <w:vAlign w:val="bottom"/>
            <w:tcBorders>
              <w:bottom w:val="single" w:sz="8" w:color="D1CDCA"/>
            </w:tcBorders>
          </w:tcPr>
          <w:p>
            <w:pPr>
              <w:spacing w:after="0"/>
              <w:rPr>
                <w:sz w:val="3"/>
                <w:szCs w:val="3"/>
                <w:color w:val="auto"/>
              </w:rPr>
            </w:pPr>
          </w:p>
        </w:tc>
        <w:tc>
          <w:tcPr>
            <w:tcW w:w="1960" w:type="dxa"/>
            <w:vAlign w:val="bottom"/>
            <w:tcBorders>
              <w:bottom w:val="single" w:sz="8" w:color="D1CDCA"/>
            </w:tcBorders>
          </w:tcPr>
          <w:p>
            <w:pPr>
              <w:spacing w:after="0"/>
              <w:rPr>
                <w:sz w:val="3"/>
                <w:szCs w:val="3"/>
                <w:color w:val="auto"/>
              </w:rPr>
            </w:pPr>
          </w:p>
        </w:tc>
        <w:tc>
          <w:tcPr>
            <w:tcW w:w="1880" w:type="dxa"/>
            <w:vAlign w:val="bottom"/>
            <w:tcBorders>
              <w:bottom w:val="single" w:sz="8" w:color="D1CDCA"/>
            </w:tcBorders>
          </w:tcPr>
          <w:p>
            <w:pPr>
              <w:spacing w:after="0"/>
              <w:rPr>
                <w:sz w:val="3"/>
                <w:szCs w:val="3"/>
                <w:color w:val="auto"/>
              </w:rPr>
            </w:pPr>
          </w:p>
        </w:tc>
        <w:tc>
          <w:tcPr>
            <w:tcW w:w="1780" w:type="dxa"/>
            <w:vAlign w:val="bottom"/>
            <w:tcBorders>
              <w:bottom w:val="single" w:sz="8" w:color="D1CDCA"/>
            </w:tcBorders>
          </w:tcPr>
          <w:p>
            <w:pPr>
              <w:spacing w:after="0"/>
              <w:rPr>
                <w:sz w:val="3"/>
                <w:szCs w:val="3"/>
                <w:color w:val="auto"/>
              </w:rPr>
            </w:pPr>
          </w:p>
        </w:tc>
      </w:tr>
      <w:tr>
        <w:trPr>
          <w:trHeight w:val="201"/>
        </w:trPr>
        <w:tc>
          <w:tcPr>
            <w:tcW w:w="2680" w:type="dxa"/>
            <w:vAlign w:val="bottom"/>
            <w:shd w:val="clear" w:color="auto" w:fill="F7F7E5"/>
          </w:tcPr>
          <w:p>
            <w:pPr>
              <w:ind w:left="60"/>
              <w:spacing w:after="0"/>
              <w:rPr>
                <w:sz w:val="20"/>
                <w:szCs w:val="20"/>
                <w:color w:val="auto"/>
              </w:rPr>
            </w:pPr>
            <w:r>
              <w:rPr>
                <w:rFonts w:ascii="Arial" w:cs="Arial" w:eastAsia="Arial" w:hAnsi="Arial"/>
                <w:sz w:val="14"/>
                <w:szCs w:val="14"/>
                <w:color w:val="auto"/>
              </w:rPr>
              <w:t>Goal 1: 2017 Adjusted</w:t>
            </w:r>
          </w:p>
        </w:tc>
        <w:tc>
          <w:tcPr>
            <w:tcW w:w="2720" w:type="dxa"/>
            <w:vAlign w:val="bottom"/>
            <w:shd w:val="clear" w:color="auto" w:fill="F7F7E5"/>
          </w:tcPr>
          <w:p>
            <w:pPr>
              <w:spacing w:after="0"/>
              <w:rPr>
                <w:sz w:val="17"/>
                <w:szCs w:val="17"/>
                <w:color w:val="auto"/>
              </w:rPr>
            </w:pPr>
          </w:p>
        </w:tc>
        <w:tc>
          <w:tcPr>
            <w:tcW w:w="1960" w:type="dxa"/>
            <w:vAlign w:val="bottom"/>
            <w:shd w:val="clear" w:color="auto" w:fill="F7F7E5"/>
          </w:tcPr>
          <w:p>
            <w:pPr>
              <w:spacing w:after="0"/>
              <w:rPr>
                <w:sz w:val="17"/>
                <w:szCs w:val="17"/>
                <w:color w:val="auto"/>
              </w:rPr>
            </w:pPr>
          </w:p>
        </w:tc>
        <w:tc>
          <w:tcPr>
            <w:tcW w:w="1880" w:type="dxa"/>
            <w:vAlign w:val="bottom"/>
            <w:shd w:val="clear" w:color="auto" w:fill="F7F7E5"/>
          </w:tcPr>
          <w:p>
            <w:pPr>
              <w:spacing w:after="0"/>
              <w:rPr>
                <w:sz w:val="17"/>
                <w:szCs w:val="17"/>
                <w:color w:val="auto"/>
              </w:rPr>
            </w:pPr>
          </w:p>
        </w:tc>
        <w:tc>
          <w:tcPr>
            <w:tcW w:w="1780" w:type="dxa"/>
            <w:vAlign w:val="bottom"/>
            <w:shd w:val="clear" w:color="auto" w:fill="F7F7E5"/>
          </w:tcPr>
          <w:p>
            <w:pPr>
              <w:spacing w:after="0"/>
              <w:rPr>
                <w:sz w:val="17"/>
                <w:szCs w:val="17"/>
                <w:color w:val="auto"/>
              </w:rPr>
            </w:pPr>
          </w:p>
        </w:tc>
      </w:tr>
      <w:tr>
        <w:trPr>
          <w:trHeight w:val="172"/>
        </w:trPr>
        <w:tc>
          <w:tcPr>
            <w:tcW w:w="2680" w:type="dxa"/>
            <w:vAlign w:val="bottom"/>
            <w:shd w:val="clear" w:color="auto" w:fill="F7F7E5"/>
          </w:tcPr>
          <w:p>
            <w:pPr>
              <w:ind w:left="60"/>
              <w:spacing w:after="0"/>
              <w:rPr>
                <w:sz w:val="20"/>
                <w:szCs w:val="20"/>
                <w:color w:val="auto"/>
              </w:rPr>
            </w:pPr>
            <w:r>
              <w:rPr>
                <w:rFonts w:ascii="Arial" w:cs="Arial" w:eastAsia="Arial" w:hAnsi="Arial"/>
                <w:sz w:val="14"/>
                <w:szCs w:val="14"/>
                <w:color w:val="auto"/>
              </w:rPr>
              <w:t>Property EBITDA</w:t>
            </w:r>
          </w:p>
        </w:tc>
        <w:tc>
          <w:tcPr>
            <w:tcW w:w="2720" w:type="dxa"/>
            <w:vAlign w:val="bottom"/>
            <w:shd w:val="clear" w:color="auto" w:fill="F7F7E5"/>
          </w:tcPr>
          <w:p>
            <w:pPr>
              <w:spacing w:after="0"/>
              <w:rPr>
                <w:sz w:val="14"/>
                <w:szCs w:val="14"/>
                <w:color w:val="auto"/>
              </w:rPr>
            </w:pPr>
          </w:p>
        </w:tc>
        <w:tc>
          <w:tcPr>
            <w:tcW w:w="1960" w:type="dxa"/>
            <w:vAlign w:val="bottom"/>
            <w:shd w:val="clear" w:color="auto" w:fill="F7F7E5"/>
          </w:tcPr>
          <w:p>
            <w:pPr>
              <w:spacing w:after="0"/>
              <w:rPr>
                <w:sz w:val="14"/>
                <w:szCs w:val="14"/>
                <w:color w:val="auto"/>
              </w:rPr>
            </w:pPr>
          </w:p>
        </w:tc>
        <w:tc>
          <w:tcPr>
            <w:tcW w:w="1880" w:type="dxa"/>
            <w:vAlign w:val="bottom"/>
            <w:shd w:val="clear" w:color="auto" w:fill="F7F7E5"/>
          </w:tcPr>
          <w:p>
            <w:pPr>
              <w:spacing w:after="0"/>
              <w:rPr>
                <w:sz w:val="14"/>
                <w:szCs w:val="14"/>
                <w:color w:val="auto"/>
              </w:rPr>
            </w:pPr>
          </w:p>
        </w:tc>
        <w:tc>
          <w:tcPr>
            <w:tcW w:w="1780" w:type="dxa"/>
            <w:vAlign w:val="bottom"/>
            <w:shd w:val="clear" w:color="auto" w:fill="F7F7E5"/>
          </w:tcPr>
          <w:p>
            <w:pPr>
              <w:spacing w:after="0"/>
              <w:rPr>
                <w:sz w:val="14"/>
                <w:szCs w:val="14"/>
                <w:color w:val="auto"/>
              </w:rPr>
            </w:pPr>
          </w:p>
        </w:tc>
      </w:tr>
      <w:tr>
        <w:trPr>
          <w:trHeight w:val="233"/>
        </w:trPr>
        <w:tc>
          <w:tcPr>
            <w:tcW w:w="2680" w:type="dxa"/>
            <w:vAlign w:val="bottom"/>
            <w:shd w:val="clear" w:color="auto" w:fill="F7F7E5"/>
          </w:tcPr>
          <w:p>
            <w:pPr>
              <w:ind w:left="60"/>
              <w:spacing w:after="0"/>
              <w:rPr>
                <w:sz w:val="20"/>
                <w:szCs w:val="20"/>
                <w:color w:val="auto"/>
              </w:rPr>
            </w:pPr>
            <w:r>
              <w:rPr>
                <w:rFonts w:ascii="Arial" w:cs="Arial" w:eastAsia="Arial" w:hAnsi="Arial"/>
                <w:sz w:val="14"/>
                <w:szCs w:val="14"/>
                <w:color w:val="auto"/>
              </w:rPr>
              <w:t>$1.1—$1.375 billion</w:t>
            </w:r>
          </w:p>
        </w:tc>
        <w:tc>
          <w:tcPr>
            <w:tcW w:w="2720" w:type="dxa"/>
            <w:vAlign w:val="bottom"/>
            <w:shd w:val="clear" w:color="auto" w:fill="F7F7E5"/>
          </w:tcPr>
          <w:p>
            <w:pPr>
              <w:jc w:val="right"/>
              <w:ind w:right="368"/>
              <w:spacing w:after="0"/>
              <w:rPr>
                <w:sz w:val="20"/>
                <w:szCs w:val="20"/>
                <w:color w:val="auto"/>
              </w:rPr>
            </w:pPr>
            <w:r>
              <w:rPr>
                <w:rFonts w:ascii="Arial" w:cs="Arial" w:eastAsia="Arial" w:hAnsi="Arial"/>
                <w:sz w:val="14"/>
                <w:szCs w:val="14"/>
                <w:color w:val="auto"/>
              </w:rPr>
              <w:t>0.6x Base Salary</w:t>
            </w:r>
          </w:p>
        </w:tc>
        <w:tc>
          <w:tcPr>
            <w:tcW w:w="1960" w:type="dxa"/>
            <w:vAlign w:val="bottom"/>
            <w:shd w:val="clear" w:color="auto" w:fill="F7F7E5"/>
          </w:tcPr>
          <w:p>
            <w:pPr>
              <w:jc w:val="right"/>
              <w:ind w:right="328"/>
              <w:spacing w:after="0"/>
              <w:rPr>
                <w:sz w:val="20"/>
                <w:szCs w:val="20"/>
                <w:color w:val="auto"/>
              </w:rPr>
            </w:pPr>
            <w:r>
              <w:rPr>
                <w:rFonts w:ascii="Arial" w:cs="Arial" w:eastAsia="Arial" w:hAnsi="Arial"/>
                <w:sz w:val="14"/>
                <w:szCs w:val="14"/>
                <w:color w:val="auto"/>
              </w:rPr>
              <w:t>0.6x Base Salary</w:t>
            </w:r>
          </w:p>
        </w:tc>
        <w:tc>
          <w:tcPr>
            <w:tcW w:w="1880" w:type="dxa"/>
            <w:vAlign w:val="bottom"/>
            <w:shd w:val="clear" w:color="auto" w:fill="F7F7E5"/>
          </w:tcPr>
          <w:p>
            <w:pPr>
              <w:jc w:val="right"/>
              <w:ind w:right="208"/>
              <w:spacing w:after="0"/>
              <w:rPr>
                <w:sz w:val="20"/>
                <w:szCs w:val="20"/>
                <w:color w:val="auto"/>
              </w:rPr>
            </w:pPr>
            <w:r>
              <w:rPr>
                <w:rFonts w:ascii="Arial" w:cs="Arial" w:eastAsia="Arial" w:hAnsi="Arial"/>
                <w:sz w:val="14"/>
                <w:szCs w:val="14"/>
                <w:color w:val="auto"/>
              </w:rPr>
              <w:t>0.6x Base Salary</w:t>
            </w:r>
          </w:p>
        </w:tc>
        <w:tc>
          <w:tcPr>
            <w:tcW w:w="1780" w:type="dxa"/>
            <w:vAlign w:val="bottom"/>
            <w:shd w:val="clear" w:color="auto" w:fill="F7F7E5"/>
          </w:tcPr>
          <w:p>
            <w:pPr>
              <w:ind w:left="520"/>
              <w:spacing w:after="0"/>
              <w:rPr>
                <w:sz w:val="20"/>
                <w:szCs w:val="20"/>
                <w:color w:val="auto"/>
              </w:rPr>
            </w:pPr>
            <w:r>
              <w:rPr>
                <w:rFonts w:ascii="Arial" w:cs="Arial" w:eastAsia="Arial" w:hAnsi="Arial"/>
                <w:sz w:val="14"/>
                <w:szCs w:val="14"/>
                <w:color w:val="auto"/>
              </w:rPr>
              <w:t>3.0x Base Salary</w:t>
            </w:r>
          </w:p>
        </w:tc>
      </w:tr>
      <w:tr>
        <w:trPr>
          <w:trHeight w:val="162"/>
        </w:trPr>
        <w:tc>
          <w:tcPr>
            <w:tcW w:w="2680" w:type="dxa"/>
            <w:vAlign w:val="bottom"/>
            <w:shd w:val="clear" w:color="auto" w:fill="F7F7E5"/>
          </w:tcPr>
          <w:p>
            <w:pPr>
              <w:ind w:left="60"/>
              <w:spacing w:after="0"/>
              <w:rPr>
                <w:sz w:val="20"/>
                <w:szCs w:val="20"/>
                <w:color w:val="auto"/>
              </w:rPr>
            </w:pPr>
            <w:r>
              <w:rPr>
                <w:rFonts w:ascii="Arial" w:cs="Arial" w:eastAsia="Arial" w:hAnsi="Arial"/>
                <w:sz w:val="14"/>
                <w:szCs w:val="14"/>
                <w:color w:val="auto"/>
              </w:rPr>
              <w:t>$1.375—$1.675 billion</w:t>
            </w:r>
          </w:p>
        </w:tc>
        <w:tc>
          <w:tcPr>
            <w:tcW w:w="2720" w:type="dxa"/>
            <w:vAlign w:val="bottom"/>
            <w:shd w:val="clear" w:color="auto" w:fill="F7F7E5"/>
          </w:tcPr>
          <w:p>
            <w:pPr>
              <w:jc w:val="right"/>
              <w:ind w:right="368"/>
              <w:spacing w:after="0"/>
              <w:rPr>
                <w:sz w:val="20"/>
                <w:szCs w:val="20"/>
                <w:color w:val="auto"/>
              </w:rPr>
            </w:pPr>
            <w:r>
              <w:rPr>
                <w:rFonts w:ascii="Arial" w:cs="Arial" w:eastAsia="Arial" w:hAnsi="Arial"/>
                <w:sz w:val="14"/>
                <w:szCs w:val="14"/>
                <w:color w:val="auto"/>
              </w:rPr>
              <w:t>1.0x Base Salary</w:t>
            </w:r>
          </w:p>
        </w:tc>
        <w:tc>
          <w:tcPr>
            <w:tcW w:w="1960" w:type="dxa"/>
            <w:vAlign w:val="bottom"/>
            <w:shd w:val="clear" w:color="auto" w:fill="F7F7E5"/>
          </w:tcPr>
          <w:p>
            <w:pPr>
              <w:jc w:val="right"/>
              <w:ind w:right="328"/>
              <w:spacing w:after="0"/>
              <w:rPr>
                <w:sz w:val="20"/>
                <w:szCs w:val="20"/>
                <w:color w:val="auto"/>
              </w:rPr>
            </w:pPr>
            <w:r>
              <w:rPr>
                <w:rFonts w:ascii="Arial" w:cs="Arial" w:eastAsia="Arial" w:hAnsi="Arial"/>
                <w:sz w:val="14"/>
                <w:szCs w:val="14"/>
                <w:color w:val="auto"/>
              </w:rPr>
              <w:t>1.0x Base Salary</w:t>
            </w:r>
          </w:p>
        </w:tc>
        <w:tc>
          <w:tcPr>
            <w:tcW w:w="1880" w:type="dxa"/>
            <w:vAlign w:val="bottom"/>
            <w:shd w:val="clear" w:color="auto" w:fill="F7F7E5"/>
          </w:tcPr>
          <w:p>
            <w:pPr>
              <w:jc w:val="right"/>
              <w:ind w:right="208"/>
              <w:spacing w:after="0"/>
              <w:rPr>
                <w:sz w:val="20"/>
                <w:szCs w:val="20"/>
                <w:color w:val="auto"/>
              </w:rPr>
            </w:pPr>
            <w:r>
              <w:rPr>
                <w:rFonts w:ascii="Arial" w:cs="Arial" w:eastAsia="Arial" w:hAnsi="Arial"/>
                <w:sz w:val="14"/>
                <w:szCs w:val="14"/>
                <w:color w:val="auto"/>
              </w:rPr>
              <w:t>1.0x Base Salary</w:t>
            </w:r>
          </w:p>
        </w:tc>
        <w:tc>
          <w:tcPr>
            <w:tcW w:w="1780" w:type="dxa"/>
            <w:vAlign w:val="bottom"/>
            <w:shd w:val="clear" w:color="auto" w:fill="F7F7E5"/>
          </w:tcPr>
          <w:p>
            <w:pPr>
              <w:ind w:left="520"/>
              <w:spacing w:after="0"/>
              <w:rPr>
                <w:sz w:val="20"/>
                <w:szCs w:val="20"/>
                <w:color w:val="auto"/>
              </w:rPr>
            </w:pPr>
            <w:r>
              <w:rPr>
                <w:rFonts w:ascii="Arial" w:cs="Arial" w:eastAsia="Arial" w:hAnsi="Arial"/>
                <w:sz w:val="14"/>
                <w:szCs w:val="14"/>
                <w:color w:val="auto"/>
              </w:rPr>
              <w:t>5.0x Base Salary</w:t>
            </w:r>
          </w:p>
        </w:tc>
      </w:tr>
      <w:tr>
        <w:trPr>
          <w:trHeight w:val="216"/>
        </w:trPr>
        <w:tc>
          <w:tcPr>
            <w:tcW w:w="26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Above $1.675 billion</w:t>
            </w:r>
          </w:p>
        </w:tc>
        <w:tc>
          <w:tcPr>
            <w:tcW w:w="2720" w:type="dxa"/>
            <w:vAlign w:val="bottom"/>
            <w:tcBorders>
              <w:bottom w:val="single" w:sz="8" w:color="F7F7E5"/>
            </w:tcBorders>
            <w:shd w:val="clear" w:color="auto" w:fill="F7F7E5"/>
          </w:tcPr>
          <w:p>
            <w:pPr>
              <w:jc w:val="right"/>
              <w:ind w:right="368"/>
              <w:spacing w:after="0"/>
              <w:rPr>
                <w:sz w:val="20"/>
                <w:szCs w:val="20"/>
                <w:color w:val="auto"/>
              </w:rPr>
            </w:pPr>
            <w:r>
              <w:rPr>
                <w:rFonts w:ascii="Arial" w:cs="Arial" w:eastAsia="Arial" w:hAnsi="Arial"/>
                <w:sz w:val="14"/>
                <w:szCs w:val="14"/>
                <w:color w:val="auto"/>
              </w:rPr>
              <w:t>1.4x Base Salary</w:t>
            </w:r>
          </w:p>
        </w:tc>
        <w:tc>
          <w:tcPr>
            <w:tcW w:w="1960" w:type="dxa"/>
            <w:vAlign w:val="bottom"/>
            <w:tcBorders>
              <w:bottom w:val="single" w:sz="8" w:color="F7F7E5"/>
            </w:tcBorders>
            <w:shd w:val="clear" w:color="auto" w:fill="F7F7E5"/>
          </w:tcPr>
          <w:p>
            <w:pPr>
              <w:jc w:val="right"/>
              <w:ind w:right="328"/>
              <w:spacing w:after="0"/>
              <w:rPr>
                <w:sz w:val="20"/>
                <w:szCs w:val="20"/>
                <w:color w:val="auto"/>
              </w:rPr>
            </w:pPr>
            <w:r>
              <w:rPr>
                <w:rFonts w:ascii="Arial" w:cs="Arial" w:eastAsia="Arial" w:hAnsi="Arial"/>
                <w:sz w:val="14"/>
                <w:szCs w:val="14"/>
                <w:color w:val="auto"/>
              </w:rPr>
              <w:t>1.4x Base Salary</w:t>
            </w:r>
          </w:p>
        </w:tc>
        <w:tc>
          <w:tcPr>
            <w:tcW w:w="1880" w:type="dxa"/>
            <w:vAlign w:val="bottom"/>
            <w:tcBorders>
              <w:bottom w:val="single" w:sz="8" w:color="F7F7E5"/>
            </w:tcBorders>
            <w:shd w:val="clear" w:color="auto" w:fill="F7F7E5"/>
          </w:tcPr>
          <w:p>
            <w:pPr>
              <w:jc w:val="right"/>
              <w:ind w:right="208"/>
              <w:spacing w:after="0"/>
              <w:rPr>
                <w:sz w:val="20"/>
                <w:szCs w:val="20"/>
                <w:color w:val="auto"/>
              </w:rPr>
            </w:pPr>
            <w:r>
              <w:rPr>
                <w:rFonts w:ascii="Arial" w:cs="Arial" w:eastAsia="Arial" w:hAnsi="Arial"/>
                <w:sz w:val="14"/>
                <w:szCs w:val="14"/>
                <w:color w:val="auto"/>
              </w:rPr>
              <w:t>1.4x Base Salary</w:t>
            </w:r>
          </w:p>
        </w:tc>
        <w:tc>
          <w:tcPr>
            <w:tcW w:w="1780" w:type="dxa"/>
            <w:vAlign w:val="bottom"/>
            <w:tcBorders>
              <w:bottom w:val="single" w:sz="8" w:color="F7F7E5"/>
            </w:tcBorders>
            <w:shd w:val="clear" w:color="auto" w:fill="F7F7E5"/>
          </w:tcPr>
          <w:p>
            <w:pPr>
              <w:ind w:left="520"/>
              <w:spacing w:after="0"/>
              <w:rPr>
                <w:sz w:val="20"/>
                <w:szCs w:val="20"/>
                <w:color w:val="auto"/>
              </w:rPr>
            </w:pPr>
            <w:r>
              <w:rPr>
                <w:rFonts w:ascii="Arial" w:cs="Arial" w:eastAsia="Arial" w:hAnsi="Arial"/>
                <w:sz w:val="14"/>
                <w:szCs w:val="14"/>
                <w:color w:val="auto"/>
              </w:rPr>
              <w:t>7.0x Base Salary</w:t>
            </w:r>
          </w:p>
        </w:tc>
      </w:tr>
      <w:tr>
        <w:trPr>
          <w:trHeight w:val="201"/>
        </w:trPr>
        <w:tc>
          <w:tcPr>
            <w:tcW w:w="268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Goal 2: Maintain 5-star</w:t>
            </w:r>
          </w:p>
        </w:tc>
        <w:tc>
          <w:tcPr>
            <w:tcW w:w="2720" w:type="dxa"/>
            <w:vAlign w:val="bottom"/>
            <w:tcBorders>
              <w:top w:val="single" w:sz="8" w:color="D1CDCA"/>
            </w:tcBorders>
          </w:tcPr>
          <w:p>
            <w:pPr>
              <w:spacing w:after="0"/>
              <w:rPr>
                <w:sz w:val="17"/>
                <w:szCs w:val="17"/>
                <w:color w:val="auto"/>
              </w:rPr>
            </w:pPr>
          </w:p>
        </w:tc>
        <w:tc>
          <w:tcPr>
            <w:tcW w:w="1960" w:type="dxa"/>
            <w:vAlign w:val="bottom"/>
            <w:tcBorders>
              <w:top w:val="single" w:sz="8" w:color="D1CDCA"/>
            </w:tcBorders>
          </w:tcPr>
          <w:p>
            <w:pPr>
              <w:spacing w:after="0"/>
              <w:rPr>
                <w:sz w:val="17"/>
                <w:szCs w:val="17"/>
                <w:color w:val="auto"/>
              </w:rPr>
            </w:pPr>
          </w:p>
        </w:tc>
        <w:tc>
          <w:tcPr>
            <w:tcW w:w="1880" w:type="dxa"/>
            <w:vAlign w:val="bottom"/>
            <w:tcBorders>
              <w:top w:val="single" w:sz="8" w:color="D1CDCA"/>
            </w:tcBorders>
          </w:tcPr>
          <w:p>
            <w:pPr>
              <w:spacing w:after="0"/>
              <w:rPr>
                <w:sz w:val="17"/>
                <w:szCs w:val="17"/>
                <w:color w:val="auto"/>
              </w:rPr>
            </w:pPr>
          </w:p>
        </w:tc>
        <w:tc>
          <w:tcPr>
            <w:tcW w:w="1780" w:type="dxa"/>
            <w:vAlign w:val="bottom"/>
            <w:tcBorders>
              <w:top w:val="single" w:sz="8" w:color="D1CDCA"/>
            </w:tcBorders>
          </w:tcPr>
          <w:p>
            <w:pPr>
              <w:spacing w:after="0"/>
              <w:rPr>
                <w:sz w:val="17"/>
                <w:szCs w:val="17"/>
                <w:color w:val="auto"/>
              </w:rPr>
            </w:pPr>
          </w:p>
        </w:tc>
      </w:tr>
      <w:tr>
        <w:trPr>
          <w:trHeight w:val="162"/>
        </w:trPr>
        <w:tc>
          <w:tcPr>
            <w:tcW w:w="2680" w:type="dxa"/>
            <w:vAlign w:val="bottom"/>
          </w:tcPr>
          <w:p>
            <w:pPr>
              <w:ind w:left="60"/>
              <w:spacing w:after="0"/>
              <w:rPr>
                <w:sz w:val="20"/>
                <w:szCs w:val="20"/>
                <w:color w:val="auto"/>
              </w:rPr>
            </w:pPr>
            <w:r>
              <w:rPr>
                <w:rFonts w:ascii="Arial" w:cs="Arial" w:eastAsia="Arial" w:hAnsi="Arial"/>
                <w:sz w:val="14"/>
                <w:szCs w:val="14"/>
                <w:color w:val="auto"/>
              </w:rPr>
              <w:t>status in Hotel, Food &amp;</w:t>
            </w:r>
          </w:p>
        </w:tc>
        <w:tc>
          <w:tcPr>
            <w:tcW w:w="2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2"/>
        </w:trPr>
        <w:tc>
          <w:tcPr>
            <w:tcW w:w="2680" w:type="dxa"/>
            <w:vAlign w:val="bottom"/>
          </w:tcPr>
          <w:p>
            <w:pPr>
              <w:ind w:left="60"/>
              <w:spacing w:after="0"/>
              <w:rPr>
                <w:sz w:val="20"/>
                <w:szCs w:val="20"/>
                <w:color w:val="auto"/>
              </w:rPr>
            </w:pPr>
            <w:r>
              <w:rPr>
                <w:rFonts w:ascii="Arial" w:cs="Arial" w:eastAsia="Arial" w:hAnsi="Arial"/>
                <w:sz w:val="14"/>
                <w:szCs w:val="14"/>
                <w:color w:val="auto"/>
              </w:rPr>
              <w:t>Beverage or Spa in</w:t>
            </w:r>
          </w:p>
        </w:tc>
        <w:tc>
          <w:tcPr>
            <w:tcW w:w="2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2"/>
        </w:trPr>
        <w:tc>
          <w:tcPr>
            <w:tcW w:w="2680" w:type="dxa"/>
            <w:vAlign w:val="bottom"/>
          </w:tcPr>
          <w:p>
            <w:pPr>
              <w:ind w:left="60"/>
              <w:spacing w:after="0"/>
              <w:rPr>
                <w:sz w:val="20"/>
                <w:szCs w:val="20"/>
                <w:color w:val="auto"/>
              </w:rPr>
            </w:pPr>
            <w:r>
              <w:rPr>
                <w:rFonts w:ascii="Arial" w:cs="Arial" w:eastAsia="Arial" w:hAnsi="Arial"/>
                <w:sz w:val="14"/>
                <w:szCs w:val="14"/>
                <w:color w:val="auto"/>
              </w:rPr>
              <w:t>both Las Vegas and</w:t>
            </w:r>
          </w:p>
        </w:tc>
        <w:tc>
          <w:tcPr>
            <w:tcW w:w="2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2"/>
        </w:trPr>
        <w:tc>
          <w:tcPr>
            <w:tcW w:w="2680" w:type="dxa"/>
            <w:vAlign w:val="bottom"/>
          </w:tcPr>
          <w:p>
            <w:pPr>
              <w:ind w:left="60"/>
              <w:spacing w:after="0"/>
              <w:rPr>
                <w:sz w:val="20"/>
                <w:szCs w:val="20"/>
                <w:color w:val="auto"/>
              </w:rPr>
            </w:pPr>
            <w:r>
              <w:rPr>
                <w:rFonts w:ascii="Arial" w:cs="Arial" w:eastAsia="Arial" w:hAnsi="Arial"/>
                <w:sz w:val="14"/>
                <w:szCs w:val="14"/>
                <w:color w:val="auto"/>
              </w:rPr>
              <w:t>Macau</w:t>
            </w:r>
          </w:p>
        </w:tc>
        <w:tc>
          <w:tcPr>
            <w:tcW w:w="2720" w:type="dxa"/>
            <w:vAlign w:val="bottom"/>
          </w:tcPr>
          <w:p>
            <w:pPr>
              <w:jc w:val="right"/>
              <w:ind w:right="368"/>
              <w:spacing w:after="0"/>
              <w:rPr>
                <w:sz w:val="20"/>
                <w:szCs w:val="20"/>
                <w:color w:val="auto"/>
              </w:rPr>
            </w:pPr>
            <w:r>
              <w:rPr>
                <w:rFonts w:ascii="Arial" w:cs="Arial" w:eastAsia="Arial" w:hAnsi="Arial"/>
                <w:sz w:val="14"/>
                <w:szCs w:val="14"/>
                <w:color w:val="auto"/>
              </w:rPr>
              <w:t>0.5x Base Salary</w:t>
            </w:r>
          </w:p>
        </w:tc>
        <w:tc>
          <w:tcPr>
            <w:tcW w:w="1960" w:type="dxa"/>
            <w:vAlign w:val="bottom"/>
          </w:tcPr>
          <w:p>
            <w:pPr>
              <w:jc w:val="right"/>
              <w:ind w:right="328"/>
              <w:spacing w:after="0"/>
              <w:rPr>
                <w:sz w:val="20"/>
                <w:szCs w:val="20"/>
                <w:color w:val="auto"/>
              </w:rPr>
            </w:pPr>
            <w:r>
              <w:rPr>
                <w:rFonts w:ascii="Arial" w:cs="Arial" w:eastAsia="Arial" w:hAnsi="Arial"/>
                <w:sz w:val="14"/>
                <w:szCs w:val="14"/>
                <w:color w:val="auto"/>
              </w:rPr>
              <w:t>0.5x Base Salary</w:t>
            </w:r>
          </w:p>
        </w:tc>
        <w:tc>
          <w:tcPr>
            <w:tcW w:w="1880" w:type="dxa"/>
            <w:vAlign w:val="bottom"/>
          </w:tcPr>
          <w:p>
            <w:pPr>
              <w:jc w:val="right"/>
              <w:ind w:right="208"/>
              <w:spacing w:after="0"/>
              <w:rPr>
                <w:sz w:val="20"/>
                <w:szCs w:val="20"/>
                <w:color w:val="auto"/>
              </w:rPr>
            </w:pPr>
            <w:r>
              <w:rPr>
                <w:rFonts w:ascii="Arial" w:cs="Arial" w:eastAsia="Arial" w:hAnsi="Arial"/>
                <w:sz w:val="14"/>
                <w:szCs w:val="14"/>
                <w:color w:val="auto"/>
              </w:rPr>
              <w:t>0.5x Base Salary</w:t>
            </w:r>
          </w:p>
        </w:tc>
        <w:tc>
          <w:tcPr>
            <w:tcW w:w="1780" w:type="dxa"/>
            <w:vAlign w:val="bottom"/>
          </w:tcPr>
          <w:p>
            <w:pPr>
              <w:ind w:left="520"/>
              <w:spacing w:after="0"/>
              <w:rPr>
                <w:sz w:val="20"/>
                <w:szCs w:val="20"/>
                <w:color w:val="auto"/>
              </w:rPr>
            </w:pPr>
            <w:r>
              <w:rPr>
                <w:rFonts w:ascii="Arial" w:cs="Arial" w:eastAsia="Arial" w:hAnsi="Arial"/>
                <w:sz w:val="14"/>
                <w:szCs w:val="14"/>
                <w:color w:val="auto"/>
              </w:rPr>
              <w:t>2.5x Base Salary</w:t>
            </w:r>
          </w:p>
        </w:tc>
      </w:tr>
      <w:tr>
        <w:trPr>
          <w:trHeight w:val="39"/>
        </w:trPr>
        <w:tc>
          <w:tcPr>
            <w:tcW w:w="2680" w:type="dxa"/>
            <w:vAlign w:val="bottom"/>
            <w:tcBorders>
              <w:bottom w:val="single" w:sz="8" w:color="D1CDCA"/>
            </w:tcBorders>
          </w:tcPr>
          <w:p>
            <w:pPr>
              <w:spacing w:after="0"/>
              <w:rPr>
                <w:sz w:val="3"/>
                <w:szCs w:val="3"/>
                <w:color w:val="auto"/>
              </w:rPr>
            </w:pPr>
          </w:p>
        </w:tc>
        <w:tc>
          <w:tcPr>
            <w:tcW w:w="2720" w:type="dxa"/>
            <w:vAlign w:val="bottom"/>
            <w:tcBorders>
              <w:bottom w:val="single" w:sz="8" w:color="D1CDCA"/>
            </w:tcBorders>
          </w:tcPr>
          <w:p>
            <w:pPr>
              <w:spacing w:after="0"/>
              <w:rPr>
                <w:sz w:val="3"/>
                <w:szCs w:val="3"/>
                <w:color w:val="auto"/>
              </w:rPr>
            </w:pPr>
          </w:p>
        </w:tc>
        <w:tc>
          <w:tcPr>
            <w:tcW w:w="1960" w:type="dxa"/>
            <w:vAlign w:val="bottom"/>
            <w:tcBorders>
              <w:bottom w:val="single" w:sz="8" w:color="D1CDCA"/>
            </w:tcBorders>
          </w:tcPr>
          <w:p>
            <w:pPr>
              <w:spacing w:after="0"/>
              <w:rPr>
                <w:sz w:val="3"/>
                <w:szCs w:val="3"/>
                <w:color w:val="auto"/>
              </w:rPr>
            </w:pPr>
          </w:p>
        </w:tc>
        <w:tc>
          <w:tcPr>
            <w:tcW w:w="1880" w:type="dxa"/>
            <w:vAlign w:val="bottom"/>
            <w:tcBorders>
              <w:bottom w:val="single" w:sz="8" w:color="D1CDCA"/>
            </w:tcBorders>
          </w:tcPr>
          <w:p>
            <w:pPr>
              <w:spacing w:after="0"/>
              <w:rPr>
                <w:sz w:val="3"/>
                <w:szCs w:val="3"/>
                <w:color w:val="auto"/>
              </w:rPr>
            </w:pPr>
          </w:p>
        </w:tc>
        <w:tc>
          <w:tcPr>
            <w:tcW w:w="1780" w:type="dxa"/>
            <w:vAlign w:val="bottom"/>
            <w:tcBorders>
              <w:bottom w:val="single" w:sz="8" w:color="D1CDCA"/>
            </w:tcBorders>
          </w:tcPr>
          <w:p>
            <w:pPr>
              <w:spacing w:after="0"/>
              <w:rPr>
                <w:sz w:val="3"/>
                <w:szCs w:val="3"/>
                <w:color w:val="auto"/>
              </w:rPr>
            </w:pPr>
          </w:p>
        </w:tc>
      </w:tr>
      <w:tr>
        <w:trPr>
          <w:trHeight w:val="201"/>
        </w:trPr>
        <w:tc>
          <w:tcPr>
            <w:tcW w:w="2680" w:type="dxa"/>
            <w:vAlign w:val="bottom"/>
            <w:shd w:val="clear" w:color="auto" w:fill="F7F7E5"/>
          </w:tcPr>
          <w:p>
            <w:pPr>
              <w:ind w:left="60"/>
              <w:spacing w:after="0"/>
              <w:rPr>
                <w:sz w:val="20"/>
                <w:szCs w:val="20"/>
                <w:color w:val="auto"/>
              </w:rPr>
            </w:pPr>
            <w:r>
              <w:rPr>
                <w:rFonts w:ascii="Arial" w:cs="Arial" w:eastAsia="Arial" w:hAnsi="Arial"/>
                <w:sz w:val="14"/>
                <w:szCs w:val="14"/>
                <w:color w:val="auto"/>
              </w:rPr>
              <w:t>Goal 3: Achieve</w:t>
            </w:r>
          </w:p>
        </w:tc>
        <w:tc>
          <w:tcPr>
            <w:tcW w:w="2720" w:type="dxa"/>
            <w:vAlign w:val="bottom"/>
            <w:shd w:val="clear" w:color="auto" w:fill="F7F7E5"/>
          </w:tcPr>
          <w:p>
            <w:pPr>
              <w:spacing w:after="0"/>
              <w:rPr>
                <w:sz w:val="17"/>
                <w:szCs w:val="17"/>
                <w:color w:val="auto"/>
              </w:rPr>
            </w:pPr>
          </w:p>
        </w:tc>
        <w:tc>
          <w:tcPr>
            <w:tcW w:w="1960" w:type="dxa"/>
            <w:vAlign w:val="bottom"/>
            <w:shd w:val="clear" w:color="auto" w:fill="F7F7E5"/>
          </w:tcPr>
          <w:p>
            <w:pPr>
              <w:spacing w:after="0"/>
              <w:rPr>
                <w:sz w:val="17"/>
                <w:szCs w:val="17"/>
                <w:color w:val="auto"/>
              </w:rPr>
            </w:pPr>
          </w:p>
        </w:tc>
        <w:tc>
          <w:tcPr>
            <w:tcW w:w="1880" w:type="dxa"/>
            <w:vAlign w:val="bottom"/>
            <w:shd w:val="clear" w:color="auto" w:fill="F7F7E5"/>
          </w:tcPr>
          <w:p>
            <w:pPr>
              <w:spacing w:after="0"/>
              <w:rPr>
                <w:sz w:val="17"/>
                <w:szCs w:val="17"/>
                <w:color w:val="auto"/>
              </w:rPr>
            </w:pPr>
          </w:p>
        </w:tc>
        <w:tc>
          <w:tcPr>
            <w:tcW w:w="1780" w:type="dxa"/>
            <w:vAlign w:val="bottom"/>
            <w:shd w:val="clear" w:color="auto" w:fill="F7F7E5"/>
          </w:tcPr>
          <w:p>
            <w:pPr>
              <w:spacing w:after="0"/>
              <w:rPr>
                <w:sz w:val="17"/>
                <w:szCs w:val="17"/>
                <w:color w:val="auto"/>
              </w:rPr>
            </w:pPr>
          </w:p>
        </w:tc>
      </w:tr>
      <w:tr>
        <w:trPr>
          <w:trHeight w:val="162"/>
        </w:trPr>
        <w:tc>
          <w:tcPr>
            <w:tcW w:w="2680" w:type="dxa"/>
            <w:vAlign w:val="bottom"/>
            <w:shd w:val="clear" w:color="auto" w:fill="F7F7E5"/>
          </w:tcPr>
          <w:p>
            <w:pPr>
              <w:ind w:left="60"/>
              <w:spacing w:after="0"/>
              <w:rPr>
                <w:sz w:val="20"/>
                <w:szCs w:val="20"/>
                <w:color w:val="auto"/>
              </w:rPr>
            </w:pPr>
            <w:r>
              <w:rPr>
                <w:rFonts w:ascii="Arial" w:cs="Arial" w:eastAsia="Arial" w:hAnsi="Arial"/>
                <w:sz w:val="14"/>
                <w:szCs w:val="14"/>
                <w:color w:val="auto"/>
              </w:rPr>
              <w:t>Substantial Completion</w:t>
            </w:r>
          </w:p>
        </w:tc>
        <w:tc>
          <w:tcPr>
            <w:tcW w:w="2720" w:type="dxa"/>
            <w:vAlign w:val="bottom"/>
            <w:shd w:val="clear" w:color="auto" w:fill="F7F7E5"/>
          </w:tcPr>
          <w:p>
            <w:pPr>
              <w:spacing w:after="0"/>
              <w:rPr>
                <w:sz w:val="14"/>
                <w:szCs w:val="14"/>
                <w:color w:val="auto"/>
              </w:rPr>
            </w:pPr>
          </w:p>
        </w:tc>
        <w:tc>
          <w:tcPr>
            <w:tcW w:w="1960" w:type="dxa"/>
            <w:vAlign w:val="bottom"/>
            <w:shd w:val="clear" w:color="auto" w:fill="F7F7E5"/>
          </w:tcPr>
          <w:p>
            <w:pPr>
              <w:spacing w:after="0"/>
              <w:rPr>
                <w:sz w:val="14"/>
                <w:szCs w:val="14"/>
                <w:color w:val="auto"/>
              </w:rPr>
            </w:pPr>
          </w:p>
        </w:tc>
        <w:tc>
          <w:tcPr>
            <w:tcW w:w="1880" w:type="dxa"/>
            <w:vAlign w:val="bottom"/>
            <w:shd w:val="clear" w:color="auto" w:fill="F7F7E5"/>
          </w:tcPr>
          <w:p>
            <w:pPr>
              <w:spacing w:after="0"/>
              <w:rPr>
                <w:sz w:val="14"/>
                <w:szCs w:val="14"/>
                <w:color w:val="auto"/>
              </w:rPr>
            </w:pPr>
          </w:p>
        </w:tc>
        <w:tc>
          <w:tcPr>
            <w:tcW w:w="1780" w:type="dxa"/>
            <w:vAlign w:val="bottom"/>
            <w:shd w:val="clear" w:color="auto" w:fill="F7F7E5"/>
          </w:tcPr>
          <w:p>
            <w:pPr>
              <w:spacing w:after="0"/>
              <w:rPr>
                <w:sz w:val="14"/>
                <w:szCs w:val="14"/>
                <w:color w:val="auto"/>
              </w:rPr>
            </w:pPr>
          </w:p>
        </w:tc>
      </w:tr>
      <w:tr>
        <w:trPr>
          <w:trHeight w:val="162"/>
        </w:trPr>
        <w:tc>
          <w:tcPr>
            <w:tcW w:w="2680" w:type="dxa"/>
            <w:vAlign w:val="bottom"/>
            <w:shd w:val="clear" w:color="auto" w:fill="F7F7E5"/>
          </w:tcPr>
          <w:p>
            <w:pPr>
              <w:ind w:left="60"/>
              <w:spacing w:after="0"/>
              <w:rPr>
                <w:sz w:val="20"/>
                <w:szCs w:val="20"/>
                <w:color w:val="auto"/>
              </w:rPr>
            </w:pPr>
            <w:r>
              <w:rPr>
                <w:rFonts w:ascii="Arial" w:cs="Arial" w:eastAsia="Arial" w:hAnsi="Arial"/>
                <w:sz w:val="14"/>
                <w:szCs w:val="14"/>
                <w:color w:val="auto"/>
              </w:rPr>
              <w:t>of the Construction of</w:t>
            </w:r>
          </w:p>
        </w:tc>
        <w:tc>
          <w:tcPr>
            <w:tcW w:w="2720" w:type="dxa"/>
            <w:vAlign w:val="bottom"/>
            <w:shd w:val="clear" w:color="auto" w:fill="F7F7E5"/>
          </w:tcPr>
          <w:p>
            <w:pPr>
              <w:spacing w:after="0"/>
              <w:rPr>
                <w:sz w:val="14"/>
                <w:szCs w:val="14"/>
                <w:color w:val="auto"/>
              </w:rPr>
            </w:pPr>
          </w:p>
        </w:tc>
        <w:tc>
          <w:tcPr>
            <w:tcW w:w="1960" w:type="dxa"/>
            <w:vAlign w:val="bottom"/>
            <w:shd w:val="clear" w:color="auto" w:fill="F7F7E5"/>
          </w:tcPr>
          <w:p>
            <w:pPr>
              <w:spacing w:after="0"/>
              <w:rPr>
                <w:sz w:val="14"/>
                <w:szCs w:val="14"/>
                <w:color w:val="auto"/>
              </w:rPr>
            </w:pPr>
          </w:p>
        </w:tc>
        <w:tc>
          <w:tcPr>
            <w:tcW w:w="1880" w:type="dxa"/>
            <w:vAlign w:val="bottom"/>
            <w:shd w:val="clear" w:color="auto" w:fill="F7F7E5"/>
          </w:tcPr>
          <w:p>
            <w:pPr>
              <w:spacing w:after="0"/>
              <w:rPr>
                <w:sz w:val="14"/>
                <w:szCs w:val="14"/>
                <w:color w:val="auto"/>
              </w:rPr>
            </w:pPr>
          </w:p>
        </w:tc>
        <w:tc>
          <w:tcPr>
            <w:tcW w:w="1780" w:type="dxa"/>
            <w:vAlign w:val="bottom"/>
            <w:shd w:val="clear" w:color="auto" w:fill="F7F7E5"/>
          </w:tcPr>
          <w:p>
            <w:pPr>
              <w:spacing w:after="0"/>
              <w:rPr>
                <w:sz w:val="14"/>
                <w:szCs w:val="14"/>
                <w:color w:val="auto"/>
              </w:rPr>
            </w:pPr>
          </w:p>
        </w:tc>
      </w:tr>
      <w:tr>
        <w:trPr>
          <w:trHeight w:val="216"/>
        </w:trPr>
        <w:tc>
          <w:tcPr>
            <w:tcW w:w="26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Wynn Plaza</w:t>
            </w:r>
          </w:p>
        </w:tc>
        <w:tc>
          <w:tcPr>
            <w:tcW w:w="2720" w:type="dxa"/>
            <w:vAlign w:val="bottom"/>
            <w:tcBorders>
              <w:bottom w:val="single" w:sz="8" w:color="F7F7E5"/>
            </w:tcBorders>
            <w:shd w:val="clear" w:color="auto" w:fill="F7F7E5"/>
          </w:tcPr>
          <w:p>
            <w:pPr>
              <w:jc w:val="right"/>
              <w:ind w:right="368"/>
              <w:spacing w:after="0"/>
              <w:rPr>
                <w:sz w:val="20"/>
                <w:szCs w:val="20"/>
                <w:color w:val="auto"/>
              </w:rPr>
            </w:pPr>
            <w:r>
              <w:rPr>
                <w:rFonts w:ascii="Arial" w:cs="Arial" w:eastAsia="Arial" w:hAnsi="Arial"/>
                <w:sz w:val="14"/>
                <w:szCs w:val="14"/>
                <w:color w:val="auto"/>
              </w:rPr>
              <w:t>0.5x Base Salary</w:t>
            </w:r>
          </w:p>
        </w:tc>
        <w:tc>
          <w:tcPr>
            <w:tcW w:w="1960" w:type="dxa"/>
            <w:vAlign w:val="bottom"/>
            <w:tcBorders>
              <w:bottom w:val="single" w:sz="8" w:color="F7F7E5"/>
            </w:tcBorders>
            <w:shd w:val="clear" w:color="auto" w:fill="F7F7E5"/>
          </w:tcPr>
          <w:p>
            <w:pPr>
              <w:jc w:val="right"/>
              <w:ind w:right="328"/>
              <w:spacing w:after="0"/>
              <w:rPr>
                <w:sz w:val="20"/>
                <w:szCs w:val="20"/>
                <w:color w:val="auto"/>
              </w:rPr>
            </w:pPr>
            <w:r>
              <w:rPr>
                <w:rFonts w:ascii="Arial" w:cs="Arial" w:eastAsia="Arial" w:hAnsi="Arial"/>
                <w:sz w:val="14"/>
                <w:szCs w:val="14"/>
                <w:color w:val="auto"/>
              </w:rPr>
              <w:t>0.5x Base Salary</w:t>
            </w:r>
          </w:p>
        </w:tc>
        <w:tc>
          <w:tcPr>
            <w:tcW w:w="1880" w:type="dxa"/>
            <w:vAlign w:val="bottom"/>
            <w:tcBorders>
              <w:bottom w:val="single" w:sz="8" w:color="F7F7E5"/>
            </w:tcBorders>
            <w:shd w:val="clear" w:color="auto" w:fill="F7F7E5"/>
          </w:tcPr>
          <w:p>
            <w:pPr>
              <w:jc w:val="right"/>
              <w:ind w:right="208"/>
              <w:spacing w:after="0"/>
              <w:rPr>
                <w:sz w:val="20"/>
                <w:szCs w:val="20"/>
                <w:color w:val="auto"/>
              </w:rPr>
            </w:pPr>
            <w:r>
              <w:rPr>
                <w:rFonts w:ascii="Arial" w:cs="Arial" w:eastAsia="Arial" w:hAnsi="Arial"/>
                <w:sz w:val="14"/>
                <w:szCs w:val="14"/>
                <w:color w:val="auto"/>
              </w:rPr>
              <w:t>0.5x Base Salary</w:t>
            </w:r>
          </w:p>
        </w:tc>
        <w:tc>
          <w:tcPr>
            <w:tcW w:w="1780" w:type="dxa"/>
            <w:vAlign w:val="bottom"/>
            <w:tcBorders>
              <w:bottom w:val="single" w:sz="8" w:color="F7F7E5"/>
            </w:tcBorders>
            <w:shd w:val="clear" w:color="auto" w:fill="F7F7E5"/>
          </w:tcPr>
          <w:p>
            <w:pPr>
              <w:ind w:left="520"/>
              <w:spacing w:after="0"/>
              <w:rPr>
                <w:sz w:val="20"/>
                <w:szCs w:val="20"/>
                <w:color w:val="auto"/>
              </w:rPr>
            </w:pPr>
            <w:r>
              <w:rPr>
                <w:rFonts w:ascii="Arial" w:cs="Arial" w:eastAsia="Arial" w:hAnsi="Arial"/>
                <w:sz w:val="14"/>
                <w:szCs w:val="14"/>
                <w:color w:val="auto"/>
              </w:rPr>
              <w:t>2.5x Base Salary</w:t>
            </w:r>
          </w:p>
        </w:tc>
      </w:tr>
      <w:tr>
        <w:trPr>
          <w:trHeight w:val="169"/>
        </w:trPr>
        <w:tc>
          <w:tcPr>
            <w:tcW w:w="2680" w:type="dxa"/>
            <w:vAlign w:val="bottom"/>
            <w:tcBorders>
              <w:top w:val="single" w:sz="8" w:color="D1CDCA"/>
              <w:bottom w:val="single" w:sz="8" w:color="665B4F"/>
            </w:tcBorders>
          </w:tcPr>
          <w:p>
            <w:pPr>
              <w:spacing w:after="0"/>
              <w:rPr>
                <w:sz w:val="14"/>
                <w:szCs w:val="14"/>
                <w:color w:val="auto"/>
              </w:rPr>
            </w:pPr>
          </w:p>
        </w:tc>
        <w:tc>
          <w:tcPr>
            <w:tcW w:w="2720" w:type="dxa"/>
            <w:vAlign w:val="bottom"/>
            <w:tcBorders>
              <w:top w:val="single" w:sz="8" w:color="D1CDCA"/>
              <w:bottom w:val="single" w:sz="8" w:color="665B4F"/>
            </w:tcBorders>
          </w:tcPr>
          <w:p>
            <w:pPr>
              <w:spacing w:after="0"/>
              <w:rPr>
                <w:sz w:val="14"/>
                <w:szCs w:val="14"/>
                <w:color w:val="auto"/>
              </w:rPr>
            </w:pPr>
          </w:p>
        </w:tc>
        <w:tc>
          <w:tcPr>
            <w:tcW w:w="1960" w:type="dxa"/>
            <w:vAlign w:val="bottom"/>
            <w:tcBorders>
              <w:top w:val="single" w:sz="8" w:color="D1CDCA"/>
              <w:bottom w:val="single" w:sz="8" w:color="665B4F"/>
            </w:tcBorders>
          </w:tcPr>
          <w:p>
            <w:pPr>
              <w:spacing w:after="0"/>
              <w:rPr>
                <w:sz w:val="14"/>
                <w:szCs w:val="14"/>
                <w:color w:val="auto"/>
              </w:rPr>
            </w:pPr>
          </w:p>
        </w:tc>
        <w:tc>
          <w:tcPr>
            <w:tcW w:w="1880" w:type="dxa"/>
            <w:vAlign w:val="bottom"/>
            <w:tcBorders>
              <w:top w:val="single" w:sz="8" w:color="D1CDCA"/>
              <w:bottom w:val="single" w:sz="8" w:color="665B4F"/>
            </w:tcBorders>
          </w:tcPr>
          <w:p>
            <w:pPr>
              <w:spacing w:after="0"/>
              <w:rPr>
                <w:sz w:val="14"/>
                <w:szCs w:val="14"/>
                <w:color w:val="auto"/>
              </w:rPr>
            </w:pPr>
          </w:p>
        </w:tc>
        <w:tc>
          <w:tcPr>
            <w:tcW w:w="1780" w:type="dxa"/>
            <w:vAlign w:val="bottom"/>
            <w:tcBorders>
              <w:top w:val="single" w:sz="8" w:color="D1CDCA"/>
              <w:bottom w:val="single" w:sz="8" w:color="665B4F"/>
            </w:tcBorders>
          </w:tcPr>
          <w:p>
            <w:pPr>
              <w:spacing w:after="0"/>
              <w:rPr>
                <w:sz w:val="14"/>
                <w:szCs w:val="14"/>
                <w:color w:val="auto"/>
              </w:rPr>
            </w:pPr>
          </w:p>
        </w:tc>
      </w:tr>
    </w:tbl>
    <w:p>
      <w:pPr>
        <w:spacing w:after="0" w:line="243" w:lineRule="exact"/>
        <w:rPr>
          <w:sz w:val="20"/>
          <w:szCs w:val="20"/>
          <w:color w:val="auto"/>
        </w:rPr>
      </w:pPr>
    </w:p>
    <w:p>
      <w:pPr>
        <w:ind w:left="8860"/>
        <w:spacing w:after="0"/>
        <w:tabs>
          <w:tab w:leader="none" w:pos="10840" w:val="left"/>
          <w:tab w:leader="none" w:pos="110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28</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COMPENSATION DISCUSSION AND ANALYSIS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Cootey left the Company on March 1, 2017, and was not eligible for any bonus.</w:t>
      </w:r>
    </w:p>
    <w:p>
      <w:pPr>
        <w:spacing w:after="0" w:line="221"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When setting the Adjusted Property EBITDA goal, the Compensation Committee considered the competitive projects in Cotai, current conditions in Macau and the Company’s operating and growth strategies.</w:t>
      </w:r>
    </w:p>
    <w:p>
      <w:pPr>
        <w:spacing w:after="0" w:line="196" w:lineRule="exact"/>
        <w:rPr>
          <w:sz w:val="20"/>
          <w:szCs w:val="20"/>
          <w:color w:val="auto"/>
        </w:rPr>
      </w:pPr>
    </w:p>
    <w:p>
      <w:pPr>
        <w:ind w:left="200" w:right="100"/>
        <w:spacing w:after="0" w:line="250" w:lineRule="auto"/>
        <w:rPr>
          <w:sz w:val="20"/>
          <w:szCs w:val="20"/>
          <w:color w:val="auto"/>
        </w:rPr>
      </w:pPr>
      <w:r>
        <w:rPr>
          <w:rFonts w:ascii="Arial" w:cs="Arial" w:eastAsia="Arial" w:hAnsi="Arial"/>
          <w:sz w:val="16"/>
          <w:szCs w:val="16"/>
          <w:color w:val="auto"/>
        </w:rPr>
        <w:t>If each of the performance goals was achieved at maximum levels, the NEO participants were eligible to receive the maximum awards set forth in the table below. These awards were subject to (i) the limitations set forth in the Omnibus Plan, including the cash and stock grant limits and requirement of continued employment through the end of the calendar year performance period, and (ii) the Compensation Committee’s right, in its discretion, to reduce actual bonus amounts paid, taking into account other performance considerations, including corporate, property level and individual performance, as well as general macroeconomic conditions.</w:t>
      </w:r>
    </w:p>
    <w:p>
      <w:pPr>
        <w:spacing w:after="0" w:line="203" w:lineRule="exact"/>
        <w:rPr>
          <w:sz w:val="20"/>
          <w:szCs w:val="20"/>
          <w:color w:val="auto"/>
        </w:rPr>
      </w:pPr>
    </w:p>
    <w:p>
      <w:pPr>
        <w:ind w:left="200" w:right="20"/>
        <w:spacing w:after="0" w:line="249" w:lineRule="auto"/>
        <w:rPr>
          <w:sz w:val="20"/>
          <w:szCs w:val="20"/>
          <w:color w:val="auto"/>
        </w:rPr>
      </w:pPr>
      <w:r>
        <w:rPr>
          <w:rFonts w:ascii="Arial" w:cs="Arial" w:eastAsia="Arial" w:hAnsi="Arial"/>
          <w:sz w:val="16"/>
          <w:szCs w:val="16"/>
          <w:color w:val="auto"/>
        </w:rPr>
        <w:t>Actual Adjusted Property EBITDA for 2017 was $1.81 billion, the Company maintained its Forbes Five-Star distinction in both Las Vegas and Macau, and the Company achieved substantial completion of Wynn Plaza with the issuance of the temporary certificate of occupancy in October 2017. Accordingly, all performance metrics for maximum funding were attained, and in December 2017, the Compensation Committee determined the actual award payouts as set forth below. As part of our tax planning in connection with the Tax Cuts and Jobs Act signed into law on December 22, 2017 (the “Tax Reform Act”), we paid 2017 annual incentive awards to the NEOs in December 2017 instead of January 2018, resulting in a net tax savings for the Company of $4.9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267335</wp:posOffset>
            </wp:positionV>
            <wp:extent cx="6997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665B4F"/>
              </w:rPr>
              <w:t>ACTUAL AWARD</w:t>
            </w:r>
          </w:p>
        </w:tc>
      </w:tr>
      <w:tr>
        <w:trPr>
          <w:trHeight w:val="39"/>
        </w:trPr>
        <w:tc>
          <w:tcPr>
            <w:tcW w:w="3920" w:type="dxa"/>
            <w:vAlign w:val="bottom"/>
          </w:tcPr>
          <w:p>
            <w:pPr>
              <w:spacing w:after="0"/>
              <w:rPr>
                <w:sz w:val="3"/>
                <w:szCs w:val="3"/>
                <w:color w:val="auto"/>
              </w:rPr>
            </w:pPr>
          </w:p>
        </w:tc>
        <w:tc>
          <w:tcPr>
            <w:tcW w:w="2900" w:type="dxa"/>
            <w:vAlign w:val="bottom"/>
            <w:gridSpan w:val="2"/>
          </w:tcPr>
          <w:p>
            <w:pPr>
              <w:spacing w:after="0"/>
              <w:rPr>
                <w:sz w:val="3"/>
                <w:szCs w:val="3"/>
                <w:color w:val="auto"/>
              </w:rPr>
            </w:pPr>
          </w:p>
        </w:tc>
        <w:tc>
          <w:tcPr>
            <w:tcW w:w="1000" w:type="dxa"/>
            <w:vAlign w:val="bottom"/>
            <w:gridSpan w:val="2"/>
          </w:tcPr>
          <w:p>
            <w:pPr>
              <w:spacing w:after="0"/>
              <w:rPr>
                <w:sz w:val="3"/>
                <w:szCs w:val="3"/>
                <w:color w:val="auto"/>
              </w:rPr>
            </w:pPr>
          </w:p>
        </w:tc>
        <w:tc>
          <w:tcPr>
            <w:tcW w:w="1060" w:type="dxa"/>
            <w:vAlign w:val="bottom"/>
            <w:gridSpan w:val="2"/>
          </w:tcPr>
          <w:p>
            <w:pPr>
              <w:spacing w:after="0"/>
              <w:rPr>
                <w:sz w:val="3"/>
                <w:szCs w:val="3"/>
                <w:color w:val="auto"/>
              </w:rPr>
            </w:pPr>
          </w:p>
        </w:tc>
        <w:tc>
          <w:tcPr>
            <w:tcW w:w="300" w:type="dxa"/>
            <w:vAlign w:val="bottom"/>
            <w:tcBorders>
              <w:bottom w:val="single" w:sz="8" w:color="D1CDCA"/>
            </w:tcBorders>
          </w:tcPr>
          <w:p>
            <w:pPr>
              <w:spacing w:after="0"/>
              <w:rPr>
                <w:sz w:val="3"/>
                <w:szCs w:val="3"/>
                <w:color w:val="auto"/>
              </w:rPr>
            </w:pPr>
          </w:p>
        </w:tc>
        <w:tc>
          <w:tcPr>
            <w:tcW w:w="800" w:type="dxa"/>
            <w:vAlign w:val="bottom"/>
            <w:tcBorders>
              <w:bottom w:val="single" w:sz="8" w:color="D1CDCA"/>
            </w:tcBorders>
          </w:tcPr>
          <w:p>
            <w:pPr>
              <w:spacing w:after="0"/>
              <w:rPr>
                <w:sz w:val="3"/>
                <w:szCs w:val="3"/>
                <w:color w:val="auto"/>
              </w:rPr>
            </w:pPr>
          </w:p>
        </w:tc>
        <w:tc>
          <w:tcPr>
            <w:tcW w:w="200" w:type="dxa"/>
            <w:vAlign w:val="bottom"/>
            <w:tcBorders>
              <w:bottom w:val="single" w:sz="8" w:color="D1CDCA"/>
            </w:tcBorders>
          </w:tcPr>
          <w:p>
            <w:pPr>
              <w:spacing w:after="0"/>
              <w:rPr>
                <w:sz w:val="3"/>
                <w:szCs w:val="3"/>
                <w:color w:val="auto"/>
              </w:rPr>
            </w:pPr>
          </w:p>
        </w:tc>
        <w:tc>
          <w:tcPr>
            <w:tcW w:w="840" w:type="dxa"/>
            <w:vAlign w:val="bottom"/>
            <w:tcBorders>
              <w:bottom w:val="single" w:sz="8" w:color="D1CDCA"/>
            </w:tcBorders>
          </w:tcPr>
          <w:p>
            <w:pPr>
              <w:spacing w:after="0"/>
              <w:rPr>
                <w:sz w:val="3"/>
                <w:szCs w:val="3"/>
                <w:color w:val="auto"/>
              </w:rPr>
            </w:pPr>
          </w:p>
        </w:tc>
      </w:tr>
      <w:tr>
        <w:trPr>
          <w:trHeight w:val="198"/>
        </w:trPr>
        <w:tc>
          <w:tcPr>
            <w:tcW w:w="3920" w:type="dxa"/>
            <w:vAlign w:val="bottom"/>
          </w:tcPr>
          <w:p>
            <w:pPr>
              <w:ind w:left="60"/>
              <w:spacing w:after="0"/>
              <w:rPr>
                <w:sz w:val="20"/>
                <w:szCs w:val="20"/>
                <w:color w:val="auto"/>
              </w:rPr>
            </w:pPr>
            <w:r>
              <w:rPr>
                <w:rFonts w:ascii="Arial" w:cs="Arial" w:eastAsia="Arial" w:hAnsi="Arial"/>
                <w:sz w:val="14"/>
                <w:szCs w:val="14"/>
                <w:b w:val="1"/>
                <w:bCs w:val="1"/>
                <w:color w:val="665B4F"/>
              </w:rPr>
              <w:t>NAMED EXECUTIVE OFFICER</w:t>
            </w:r>
          </w:p>
        </w:tc>
        <w:tc>
          <w:tcPr>
            <w:tcW w:w="29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665B4F"/>
              </w:rPr>
              <w:t>THRESHOLD</w:t>
            </w:r>
            <w:r>
              <w:rPr>
                <w:rFonts w:ascii="Arial" w:cs="Arial" w:eastAsia="Arial" w:hAnsi="Arial"/>
                <w:sz w:val="12"/>
                <w:szCs w:val="12"/>
                <w:b w:val="1"/>
                <w:bCs w:val="1"/>
                <w:color w:val="665B4F"/>
              </w:rPr>
              <w:t>(1)</w:t>
            </w: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665B4F"/>
              </w:rPr>
              <w:t>TARGET</w:t>
            </w:r>
            <w:r>
              <w:rPr>
                <w:rFonts w:ascii="Arial" w:cs="Arial" w:eastAsia="Arial" w:hAnsi="Arial"/>
                <w:sz w:val="12"/>
                <w:szCs w:val="12"/>
                <w:b w:val="1"/>
                <w:bCs w:val="1"/>
                <w:color w:val="665B4F"/>
              </w:rPr>
              <w:t>(2)</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665B4F"/>
              </w:rPr>
              <w:t>MAXIMUM</w:t>
            </w:r>
            <w:r>
              <w:rPr>
                <w:rFonts w:ascii="Arial" w:cs="Arial" w:eastAsia="Arial" w:hAnsi="Arial"/>
                <w:sz w:val="12"/>
                <w:szCs w:val="12"/>
                <w:b w:val="1"/>
                <w:bCs w:val="1"/>
                <w:color w:val="665B4F"/>
              </w:rPr>
              <w:t>(3)</w:t>
            </w:r>
          </w:p>
        </w:tc>
        <w:tc>
          <w:tcPr>
            <w:tcW w:w="30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665B4F"/>
              </w:rPr>
              <w:t>CASH</w:t>
            </w:r>
          </w:p>
        </w:tc>
        <w:tc>
          <w:tcPr>
            <w:tcW w:w="20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665B4F"/>
              </w:rPr>
              <w:t>EQUITY</w:t>
            </w:r>
            <w:r>
              <w:rPr>
                <w:rFonts w:ascii="Arial" w:cs="Arial" w:eastAsia="Arial" w:hAnsi="Arial"/>
                <w:sz w:val="12"/>
                <w:szCs w:val="12"/>
                <w:b w:val="1"/>
                <w:bCs w:val="1"/>
                <w:color w:val="665B4F"/>
              </w:rPr>
              <w:t>(4)</w:t>
            </w:r>
          </w:p>
        </w:tc>
      </w:tr>
      <w:tr>
        <w:trPr>
          <w:trHeight w:val="39"/>
        </w:trPr>
        <w:tc>
          <w:tcPr>
            <w:tcW w:w="3920" w:type="dxa"/>
            <w:vAlign w:val="bottom"/>
            <w:tcBorders>
              <w:bottom w:val="single" w:sz="8" w:color="D1CDCA"/>
            </w:tcBorders>
          </w:tcPr>
          <w:p>
            <w:pPr>
              <w:spacing w:after="0"/>
              <w:rPr>
                <w:sz w:val="3"/>
                <w:szCs w:val="3"/>
                <w:color w:val="auto"/>
              </w:rPr>
            </w:pPr>
          </w:p>
        </w:tc>
        <w:tc>
          <w:tcPr>
            <w:tcW w:w="2100" w:type="dxa"/>
            <w:vAlign w:val="bottom"/>
            <w:tcBorders>
              <w:bottom w:val="single" w:sz="8" w:color="D1CDCA"/>
            </w:tcBorders>
          </w:tcPr>
          <w:p>
            <w:pPr>
              <w:spacing w:after="0"/>
              <w:rPr>
                <w:sz w:val="3"/>
                <w:szCs w:val="3"/>
                <w:color w:val="auto"/>
              </w:rPr>
            </w:pPr>
          </w:p>
        </w:tc>
        <w:tc>
          <w:tcPr>
            <w:tcW w:w="800" w:type="dxa"/>
            <w:vAlign w:val="bottom"/>
            <w:tcBorders>
              <w:bottom w:val="single" w:sz="8" w:color="D1CDCA"/>
            </w:tcBorders>
          </w:tcPr>
          <w:p>
            <w:pPr>
              <w:spacing w:after="0"/>
              <w:rPr>
                <w:sz w:val="3"/>
                <w:szCs w:val="3"/>
                <w:color w:val="auto"/>
              </w:rPr>
            </w:pPr>
          </w:p>
        </w:tc>
        <w:tc>
          <w:tcPr>
            <w:tcW w:w="240" w:type="dxa"/>
            <w:vAlign w:val="bottom"/>
            <w:tcBorders>
              <w:bottom w:val="single" w:sz="8" w:color="D1CDCA"/>
            </w:tcBorders>
          </w:tcPr>
          <w:p>
            <w:pPr>
              <w:spacing w:after="0"/>
              <w:rPr>
                <w:sz w:val="3"/>
                <w:szCs w:val="3"/>
                <w:color w:val="auto"/>
              </w:rPr>
            </w:pPr>
          </w:p>
        </w:tc>
        <w:tc>
          <w:tcPr>
            <w:tcW w:w="760" w:type="dxa"/>
            <w:vAlign w:val="bottom"/>
            <w:tcBorders>
              <w:bottom w:val="single" w:sz="8" w:color="D1CDCA"/>
            </w:tcBorders>
          </w:tcPr>
          <w:p>
            <w:pPr>
              <w:spacing w:after="0"/>
              <w:rPr>
                <w:sz w:val="3"/>
                <w:szCs w:val="3"/>
                <w:color w:val="auto"/>
              </w:rPr>
            </w:pPr>
          </w:p>
        </w:tc>
        <w:tc>
          <w:tcPr>
            <w:tcW w:w="320" w:type="dxa"/>
            <w:vAlign w:val="bottom"/>
            <w:tcBorders>
              <w:bottom w:val="single" w:sz="8" w:color="D1CDCA"/>
            </w:tcBorders>
          </w:tcPr>
          <w:p>
            <w:pPr>
              <w:spacing w:after="0"/>
              <w:rPr>
                <w:sz w:val="3"/>
                <w:szCs w:val="3"/>
                <w:color w:val="auto"/>
              </w:rPr>
            </w:pPr>
          </w:p>
        </w:tc>
        <w:tc>
          <w:tcPr>
            <w:tcW w:w="740" w:type="dxa"/>
            <w:vAlign w:val="bottom"/>
            <w:tcBorders>
              <w:bottom w:val="single" w:sz="8" w:color="D1CDCA"/>
            </w:tcBorders>
          </w:tcPr>
          <w:p>
            <w:pPr>
              <w:spacing w:after="0"/>
              <w:rPr>
                <w:sz w:val="3"/>
                <w:szCs w:val="3"/>
                <w:color w:val="auto"/>
              </w:rPr>
            </w:pPr>
          </w:p>
        </w:tc>
        <w:tc>
          <w:tcPr>
            <w:tcW w:w="300" w:type="dxa"/>
            <w:vAlign w:val="bottom"/>
            <w:tcBorders>
              <w:bottom w:val="single" w:sz="8" w:color="D1CDCA"/>
            </w:tcBorders>
          </w:tcPr>
          <w:p>
            <w:pPr>
              <w:spacing w:after="0"/>
              <w:rPr>
                <w:sz w:val="3"/>
                <w:szCs w:val="3"/>
                <w:color w:val="auto"/>
              </w:rPr>
            </w:pPr>
          </w:p>
        </w:tc>
        <w:tc>
          <w:tcPr>
            <w:tcW w:w="800" w:type="dxa"/>
            <w:vAlign w:val="bottom"/>
            <w:tcBorders>
              <w:bottom w:val="single" w:sz="8" w:color="D1CDCA"/>
            </w:tcBorders>
          </w:tcPr>
          <w:p>
            <w:pPr>
              <w:spacing w:after="0"/>
              <w:rPr>
                <w:sz w:val="3"/>
                <w:szCs w:val="3"/>
                <w:color w:val="auto"/>
              </w:rPr>
            </w:pPr>
          </w:p>
        </w:tc>
        <w:tc>
          <w:tcPr>
            <w:tcW w:w="200" w:type="dxa"/>
            <w:vAlign w:val="bottom"/>
            <w:tcBorders>
              <w:bottom w:val="single" w:sz="8" w:color="D1CDCA"/>
            </w:tcBorders>
          </w:tcPr>
          <w:p>
            <w:pPr>
              <w:spacing w:after="0"/>
              <w:rPr>
                <w:sz w:val="3"/>
                <w:szCs w:val="3"/>
                <w:color w:val="auto"/>
              </w:rPr>
            </w:pPr>
          </w:p>
        </w:tc>
        <w:tc>
          <w:tcPr>
            <w:tcW w:w="840" w:type="dxa"/>
            <w:vAlign w:val="bottom"/>
            <w:tcBorders>
              <w:bottom w:val="single" w:sz="8" w:color="D1CDCA"/>
            </w:tcBorders>
          </w:tcPr>
          <w:p>
            <w:pPr>
              <w:spacing w:after="0"/>
              <w:rPr>
                <w:sz w:val="3"/>
                <w:szCs w:val="3"/>
                <w:color w:val="auto"/>
              </w:rPr>
            </w:pPr>
          </w:p>
        </w:tc>
      </w:tr>
      <w:tr>
        <w:trPr>
          <w:trHeight w:val="255"/>
        </w:trPr>
        <w:tc>
          <w:tcPr>
            <w:tcW w:w="392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Matt Maddox</w:t>
            </w:r>
          </w:p>
        </w:tc>
        <w:tc>
          <w:tcPr>
            <w:tcW w:w="210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7F7E5"/>
            </w:tcBorders>
            <w:shd w:val="clear" w:color="auto" w:fill="F7F7E5"/>
          </w:tcPr>
          <w:p>
            <w:pPr>
              <w:jc w:val="right"/>
              <w:ind w:right="48"/>
              <w:spacing w:after="0"/>
              <w:rPr>
                <w:sz w:val="20"/>
                <w:szCs w:val="20"/>
                <w:color w:val="auto"/>
              </w:rPr>
            </w:pPr>
            <w:r>
              <w:rPr>
                <w:rFonts w:ascii="Arial" w:cs="Arial" w:eastAsia="Arial" w:hAnsi="Arial"/>
                <w:sz w:val="14"/>
                <w:szCs w:val="14"/>
                <w:color w:val="auto"/>
              </w:rPr>
              <w:t>2,400,000</w:t>
            </w:r>
          </w:p>
        </w:tc>
        <w:tc>
          <w:tcPr>
            <w:tcW w:w="24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F7F7E5"/>
            </w:tcBorders>
            <w:shd w:val="clear" w:color="auto" w:fill="F7F7E5"/>
          </w:tcPr>
          <w:p>
            <w:pPr>
              <w:jc w:val="right"/>
              <w:ind w:right="8"/>
              <w:spacing w:after="0"/>
              <w:rPr>
                <w:sz w:val="20"/>
                <w:szCs w:val="20"/>
                <w:color w:val="auto"/>
              </w:rPr>
            </w:pPr>
            <w:r>
              <w:rPr>
                <w:rFonts w:ascii="Arial" w:cs="Arial" w:eastAsia="Arial" w:hAnsi="Arial"/>
                <w:sz w:val="14"/>
                <w:szCs w:val="14"/>
                <w:color w:val="auto"/>
              </w:rPr>
              <w:t>3,000,000</w:t>
            </w:r>
          </w:p>
        </w:tc>
        <w:tc>
          <w:tcPr>
            <w:tcW w:w="32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3,600,000</w:t>
            </w:r>
          </w:p>
        </w:tc>
        <w:tc>
          <w:tcPr>
            <w:tcW w:w="30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7F7E5"/>
            </w:tcBorders>
            <w:shd w:val="clear" w:color="auto" w:fill="F7F7E5"/>
          </w:tcPr>
          <w:p>
            <w:pPr>
              <w:jc w:val="right"/>
              <w:ind w:right="48"/>
              <w:spacing w:after="0"/>
              <w:rPr>
                <w:sz w:val="20"/>
                <w:szCs w:val="20"/>
                <w:color w:val="auto"/>
              </w:rPr>
            </w:pPr>
            <w:r>
              <w:rPr>
                <w:rFonts w:ascii="Arial" w:cs="Arial" w:eastAsia="Arial" w:hAnsi="Arial"/>
                <w:sz w:val="14"/>
                <w:szCs w:val="14"/>
                <w:color w:val="auto"/>
              </w:rPr>
              <w:t>1,800,000</w:t>
            </w:r>
          </w:p>
        </w:tc>
        <w:tc>
          <w:tcPr>
            <w:tcW w:w="20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F7F7E5"/>
            </w:tcBorders>
            <w:shd w:val="clear" w:color="auto" w:fill="F7F7E5"/>
          </w:tcPr>
          <w:p>
            <w:pPr>
              <w:jc w:val="right"/>
              <w:ind w:right="48"/>
              <w:spacing w:after="0"/>
              <w:rPr>
                <w:sz w:val="20"/>
                <w:szCs w:val="20"/>
                <w:color w:val="auto"/>
              </w:rPr>
            </w:pPr>
            <w:r>
              <w:rPr>
                <w:rFonts w:ascii="Arial" w:cs="Arial" w:eastAsia="Arial" w:hAnsi="Arial"/>
                <w:sz w:val="14"/>
                <w:szCs w:val="14"/>
                <w:color w:val="auto"/>
              </w:rPr>
              <w:t>1,800,000</w:t>
            </w:r>
          </w:p>
        </w:tc>
      </w:tr>
      <w:tr>
        <w:trPr>
          <w:trHeight w:val="211"/>
        </w:trPr>
        <w:tc>
          <w:tcPr>
            <w:tcW w:w="392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Kim Sinatra</w:t>
            </w:r>
          </w:p>
        </w:tc>
        <w:tc>
          <w:tcPr>
            <w:tcW w:w="2100" w:type="dxa"/>
            <w:vAlign w:val="bottom"/>
            <w:tcBorders>
              <w:top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D1CDCA"/>
            </w:tcBorders>
          </w:tcPr>
          <w:p>
            <w:pPr>
              <w:jc w:val="right"/>
              <w:ind w:right="48"/>
              <w:spacing w:after="0"/>
              <w:rPr>
                <w:sz w:val="20"/>
                <w:szCs w:val="20"/>
                <w:color w:val="auto"/>
              </w:rPr>
            </w:pPr>
            <w:r>
              <w:rPr>
                <w:rFonts w:ascii="Arial" w:cs="Arial" w:eastAsia="Arial" w:hAnsi="Arial"/>
                <w:sz w:val="14"/>
                <w:szCs w:val="14"/>
                <w:color w:val="auto"/>
              </w:rPr>
              <w:t>1,600,000</w:t>
            </w:r>
          </w:p>
        </w:tc>
        <w:tc>
          <w:tcPr>
            <w:tcW w:w="240" w:type="dxa"/>
            <w:vAlign w:val="bottom"/>
            <w:tcBorders>
              <w:top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D1CDCA"/>
            </w:tcBorders>
          </w:tcPr>
          <w:p>
            <w:pPr>
              <w:jc w:val="right"/>
              <w:ind w:right="8"/>
              <w:spacing w:after="0"/>
              <w:rPr>
                <w:sz w:val="20"/>
                <w:szCs w:val="20"/>
                <w:color w:val="auto"/>
              </w:rPr>
            </w:pPr>
            <w:r>
              <w:rPr>
                <w:rFonts w:ascii="Arial" w:cs="Arial" w:eastAsia="Arial" w:hAnsi="Arial"/>
                <w:sz w:val="14"/>
                <w:szCs w:val="14"/>
                <w:color w:val="auto"/>
              </w:rPr>
              <w:t>2,000,000</w:t>
            </w:r>
          </w:p>
        </w:tc>
        <w:tc>
          <w:tcPr>
            <w:tcW w:w="320" w:type="dxa"/>
            <w:vAlign w:val="bottom"/>
            <w:tcBorders>
              <w:top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D1CDCA"/>
            </w:tcBorders>
          </w:tcPr>
          <w:p>
            <w:pPr>
              <w:jc w:val="right"/>
              <w:spacing w:after="0"/>
              <w:rPr>
                <w:sz w:val="20"/>
                <w:szCs w:val="20"/>
                <w:color w:val="auto"/>
              </w:rPr>
            </w:pPr>
            <w:r>
              <w:rPr>
                <w:rFonts w:ascii="Arial" w:cs="Arial" w:eastAsia="Arial" w:hAnsi="Arial"/>
                <w:sz w:val="14"/>
                <w:szCs w:val="14"/>
                <w:color w:val="auto"/>
              </w:rPr>
              <w:t>2,400,000</w:t>
            </w:r>
          </w:p>
        </w:tc>
        <w:tc>
          <w:tcPr>
            <w:tcW w:w="300" w:type="dxa"/>
            <w:vAlign w:val="bottom"/>
            <w:tcBorders>
              <w:top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D1CDCA"/>
            </w:tcBorders>
          </w:tcPr>
          <w:p>
            <w:pPr>
              <w:jc w:val="right"/>
              <w:ind w:right="48"/>
              <w:spacing w:after="0"/>
              <w:rPr>
                <w:sz w:val="20"/>
                <w:szCs w:val="20"/>
                <w:color w:val="auto"/>
              </w:rPr>
            </w:pPr>
            <w:r>
              <w:rPr>
                <w:rFonts w:ascii="Arial" w:cs="Arial" w:eastAsia="Arial" w:hAnsi="Arial"/>
                <w:sz w:val="14"/>
                <w:szCs w:val="14"/>
                <w:color w:val="auto"/>
              </w:rPr>
              <w:t>1,200,000</w:t>
            </w:r>
          </w:p>
        </w:tc>
        <w:tc>
          <w:tcPr>
            <w:tcW w:w="200" w:type="dxa"/>
            <w:vAlign w:val="bottom"/>
            <w:tcBorders>
              <w:top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D1CDCA"/>
            </w:tcBorders>
          </w:tcPr>
          <w:p>
            <w:pPr>
              <w:jc w:val="right"/>
              <w:ind w:right="48"/>
              <w:spacing w:after="0"/>
              <w:rPr>
                <w:sz w:val="20"/>
                <w:szCs w:val="20"/>
                <w:color w:val="auto"/>
              </w:rPr>
            </w:pPr>
            <w:r>
              <w:rPr>
                <w:rFonts w:ascii="Arial" w:cs="Arial" w:eastAsia="Arial" w:hAnsi="Arial"/>
                <w:sz w:val="14"/>
                <w:szCs w:val="14"/>
                <w:color w:val="auto"/>
              </w:rPr>
              <w:t>1,200,000</w:t>
            </w:r>
          </w:p>
        </w:tc>
      </w:tr>
      <w:tr>
        <w:trPr>
          <w:trHeight w:val="39"/>
        </w:trPr>
        <w:tc>
          <w:tcPr>
            <w:tcW w:w="3920" w:type="dxa"/>
            <w:vAlign w:val="bottom"/>
            <w:tcBorders>
              <w:bottom w:val="single" w:sz="8" w:color="D1CDCA"/>
            </w:tcBorders>
          </w:tcPr>
          <w:p>
            <w:pPr>
              <w:spacing w:after="0"/>
              <w:rPr>
                <w:sz w:val="3"/>
                <w:szCs w:val="3"/>
                <w:color w:val="auto"/>
              </w:rPr>
            </w:pPr>
          </w:p>
        </w:tc>
        <w:tc>
          <w:tcPr>
            <w:tcW w:w="2100" w:type="dxa"/>
            <w:vAlign w:val="bottom"/>
            <w:tcBorders>
              <w:bottom w:val="single" w:sz="8" w:color="D1CDCA"/>
            </w:tcBorders>
          </w:tcPr>
          <w:p>
            <w:pPr>
              <w:spacing w:after="0"/>
              <w:rPr>
                <w:sz w:val="3"/>
                <w:szCs w:val="3"/>
                <w:color w:val="auto"/>
              </w:rPr>
            </w:pPr>
          </w:p>
        </w:tc>
        <w:tc>
          <w:tcPr>
            <w:tcW w:w="800" w:type="dxa"/>
            <w:vAlign w:val="bottom"/>
            <w:tcBorders>
              <w:bottom w:val="single" w:sz="8" w:color="D1CDCA"/>
            </w:tcBorders>
          </w:tcPr>
          <w:p>
            <w:pPr>
              <w:spacing w:after="0"/>
              <w:rPr>
                <w:sz w:val="3"/>
                <w:szCs w:val="3"/>
                <w:color w:val="auto"/>
              </w:rPr>
            </w:pPr>
          </w:p>
        </w:tc>
        <w:tc>
          <w:tcPr>
            <w:tcW w:w="240" w:type="dxa"/>
            <w:vAlign w:val="bottom"/>
            <w:tcBorders>
              <w:bottom w:val="single" w:sz="8" w:color="D1CDCA"/>
            </w:tcBorders>
          </w:tcPr>
          <w:p>
            <w:pPr>
              <w:spacing w:after="0"/>
              <w:rPr>
                <w:sz w:val="3"/>
                <w:szCs w:val="3"/>
                <w:color w:val="auto"/>
              </w:rPr>
            </w:pPr>
          </w:p>
        </w:tc>
        <w:tc>
          <w:tcPr>
            <w:tcW w:w="760" w:type="dxa"/>
            <w:vAlign w:val="bottom"/>
            <w:tcBorders>
              <w:bottom w:val="single" w:sz="8" w:color="D1CDCA"/>
            </w:tcBorders>
          </w:tcPr>
          <w:p>
            <w:pPr>
              <w:spacing w:after="0"/>
              <w:rPr>
                <w:sz w:val="3"/>
                <w:szCs w:val="3"/>
                <w:color w:val="auto"/>
              </w:rPr>
            </w:pPr>
          </w:p>
        </w:tc>
        <w:tc>
          <w:tcPr>
            <w:tcW w:w="320" w:type="dxa"/>
            <w:vAlign w:val="bottom"/>
            <w:tcBorders>
              <w:bottom w:val="single" w:sz="8" w:color="D1CDCA"/>
            </w:tcBorders>
          </w:tcPr>
          <w:p>
            <w:pPr>
              <w:spacing w:after="0"/>
              <w:rPr>
                <w:sz w:val="3"/>
                <w:szCs w:val="3"/>
                <w:color w:val="auto"/>
              </w:rPr>
            </w:pPr>
          </w:p>
        </w:tc>
        <w:tc>
          <w:tcPr>
            <w:tcW w:w="740" w:type="dxa"/>
            <w:vAlign w:val="bottom"/>
            <w:tcBorders>
              <w:bottom w:val="single" w:sz="8" w:color="D1CDCA"/>
            </w:tcBorders>
          </w:tcPr>
          <w:p>
            <w:pPr>
              <w:spacing w:after="0"/>
              <w:rPr>
                <w:sz w:val="3"/>
                <w:szCs w:val="3"/>
                <w:color w:val="auto"/>
              </w:rPr>
            </w:pPr>
          </w:p>
        </w:tc>
        <w:tc>
          <w:tcPr>
            <w:tcW w:w="300" w:type="dxa"/>
            <w:vAlign w:val="bottom"/>
            <w:tcBorders>
              <w:bottom w:val="single" w:sz="8" w:color="D1CDCA"/>
            </w:tcBorders>
          </w:tcPr>
          <w:p>
            <w:pPr>
              <w:spacing w:after="0"/>
              <w:rPr>
                <w:sz w:val="3"/>
                <w:szCs w:val="3"/>
                <w:color w:val="auto"/>
              </w:rPr>
            </w:pPr>
          </w:p>
        </w:tc>
        <w:tc>
          <w:tcPr>
            <w:tcW w:w="800" w:type="dxa"/>
            <w:vAlign w:val="bottom"/>
            <w:tcBorders>
              <w:bottom w:val="single" w:sz="8" w:color="D1CDCA"/>
            </w:tcBorders>
          </w:tcPr>
          <w:p>
            <w:pPr>
              <w:spacing w:after="0"/>
              <w:rPr>
                <w:sz w:val="3"/>
                <w:szCs w:val="3"/>
                <w:color w:val="auto"/>
              </w:rPr>
            </w:pPr>
          </w:p>
        </w:tc>
        <w:tc>
          <w:tcPr>
            <w:tcW w:w="200" w:type="dxa"/>
            <w:vAlign w:val="bottom"/>
            <w:tcBorders>
              <w:bottom w:val="single" w:sz="8" w:color="D1CDCA"/>
            </w:tcBorders>
          </w:tcPr>
          <w:p>
            <w:pPr>
              <w:spacing w:after="0"/>
              <w:rPr>
                <w:sz w:val="3"/>
                <w:szCs w:val="3"/>
                <w:color w:val="auto"/>
              </w:rPr>
            </w:pPr>
          </w:p>
        </w:tc>
        <w:tc>
          <w:tcPr>
            <w:tcW w:w="840" w:type="dxa"/>
            <w:vAlign w:val="bottom"/>
            <w:tcBorders>
              <w:bottom w:val="single" w:sz="8" w:color="D1CDCA"/>
            </w:tcBorders>
          </w:tcPr>
          <w:p>
            <w:pPr>
              <w:spacing w:after="0"/>
              <w:rPr>
                <w:sz w:val="3"/>
                <w:szCs w:val="3"/>
                <w:color w:val="auto"/>
              </w:rPr>
            </w:pPr>
          </w:p>
        </w:tc>
      </w:tr>
      <w:tr>
        <w:trPr>
          <w:trHeight w:val="255"/>
        </w:trPr>
        <w:tc>
          <w:tcPr>
            <w:tcW w:w="392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Craig Billings</w:t>
            </w:r>
          </w:p>
        </w:tc>
        <w:tc>
          <w:tcPr>
            <w:tcW w:w="210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7F7E5"/>
            </w:tcBorders>
            <w:shd w:val="clear" w:color="auto" w:fill="F7F7E5"/>
          </w:tcPr>
          <w:p>
            <w:pPr>
              <w:jc w:val="right"/>
              <w:ind w:right="48"/>
              <w:spacing w:after="0"/>
              <w:rPr>
                <w:sz w:val="20"/>
                <w:szCs w:val="20"/>
                <w:color w:val="auto"/>
              </w:rPr>
            </w:pPr>
            <w:r>
              <w:rPr>
                <w:rFonts w:ascii="Arial" w:cs="Arial" w:eastAsia="Arial" w:hAnsi="Arial"/>
                <w:sz w:val="14"/>
                <w:szCs w:val="14"/>
                <w:color w:val="auto"/>
              </w:rPr>
              <w:t>1,200,000</w:t>
            </w:r>
          </w:p>
        </w:tc>
        <w:tc>
          <w:tcPr>
            <w:tcW w:w="24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F7F7E5"/>
            </w:tcBorders>
            <w:shd w:val="clear" w:color="auto" w:fill="F7F7E5"/>
          </w:tcPr>
          <w:p>
            <w:pPr>
              <w:jc w:val="right"/>
              <w:ind w:right="8"/>
              <w:spacing w:after="0"/>
              <w:rPr>
                <w:sz w:val="20"/>
                <w:szCs w:val="20"/>
                <w:color w:val="auto"/>
              </w:rPr>
            </w:pPr>
            <w:r>
              <w:rPr>
                <w:rFonts w:ascii="Arial" w:cs="Arial" w:eastAsia="Arial" w:hAnsi="Arial"/>
                <w:sz w:val="14"/>
                <w:szCs w:val="14"/>
                <w:color w:val="auto"/>
              </w:rPr>
              <w:t>1,500,000</w:t>
            </w:r>
          </w:p>
        </w:tc>
        <w:tc>
          <w:tcPr>
            <w:tcW w:w="32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1,800,000</w:t>
            </w:r>
          </w:p>
        </w:tc>
        <w:tc>
          <w:tcPr>
            <w:tcW w:w="30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7F7E5"/>
            </w:tcBorders>
            <w:shd w:val="clear" w:color="auto" w:fill="F7F7E5"/>
          </w:tcPr>
          <w:p>
            <w:pPr>
              <w:jc w:val="right"/>
              <w:ind w:right="28"/>
              <w:spacing w:after="0"/>
              <w:rPr>
                <w:sz w:val="20"/>
                <w:szCs w:val="20"/>
                <w:color w:val="auto"/>
              </w:rPr>
            </w:pPr>
            <w:r>
              <w:rPr>
                <w:rFonts w:ascii="Arial" w:cs="Arial" w:eastAsia="Arial" w:hAnsi="Arial"/>
                <w:sz w:val="14"/>
                <w:szCs w:val="14"/>
                <w:color w:val="auto"/>
              </w:rPr>
              <w:t>900,000</w:t>
            </w:r>
          </w:p>
        </w:tc>
        <w:tc>
          <w:tcPr>
            <w:tcW w:w="20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F7F7E5"/>
            </w:tcBorders>
            <w:shd w:val="clear" w:color="auto" w:fill="F7F7E5"/>
          </w:tcPr>
          <w:p>
            <w:pPr>
              <w:jc w:val="right"/>
              <w:ind w:right="48"/>
              <w:spacing w:after="0"/>
              <w:rPr>
                <w:sz w:val="20"/>
                <w:szCs w:val="20"/>
                <w:color w:val="auto"/>
              </w:rPr>
            </w:pPr>
            <w:r>
              <w:rPr>
                <w:rFonts w:ascii="Arial" w:cs="Arial" w:eastAsia="Arial" w:hAnsi="Arial"/>
                <w:sz w:val="14"/>
                <w:szCs w:val="14"/>
                <w:color w:val="auto"/>
              </w:rPr>
              <w:t>900,000</w:t>
            </w:r>
          </w:p>
        </w:tc>
      </w:tr>
      <w:tr>
        <w:trPr>
          <w:trHeight w:val="211"/>
        </w:trPr>
        <w:tc>
          <w:tcPr>
            <w:tcW w:w="392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Stephen A. Wynn</w:t>
            </w:r>
          </w:p>
        </w:tc>
        <w:tc>
          <w:tcPr>
            <w:tcW w:w="2900" w:type="dxa"/>
            <w:vAlign w:val="bottom"/>
            <w:tcBorders>
              <w:top w:val="single" w:sz="8" w:color="D1CDCA"/>
            </w:tcBorders>
            <w:gridSpan w:val="2"/>
          </w:tcPr>
          <w:p>
            <w:pPr>
              <w:jc w:val="right"/>
              <w:ind w:right="48"/>
              <w:spacing w:after="0"/>
              <w:rPr>
                <w:sz w:val="20"/>
                <w:szCs w:val="20"/>
                <w:color w:val="auto"/>
              </w:rPr>
            </w:pPr>
            <w:r>
              <w:rPr>
                <w:rFonts w:ascii="Arial" w:cs="Arial" w:eastAsia="Arial" w:hAnsi="Arial"/>
                <w:sz w:val="14"/>
                <w:szCs w:val="14"/>
                <w:color w:val="auto"/>
              </w:rPr>
              <w:t>$20,000,000</w:t>
            </w:r>
          </w:p>
        </w:tc>
        <w:tc>
          <w:tcPr>
            <w:tcW w:w="1000" w:type="dxa"/>
            <w:vAlign w:val="bottom"/>
            <w:tcBorders>
              <w:top w:val="single" w:sz="8" w:color="D1CDCA"/>
            </w:tcBorders>
            <w:gridSpan w:val="2"/>
          </w:tcPr>
          <w:p>
            <w:pPr>
              <w:jc w:val="right"/>
              <w:ind w:right="8"/>
              <w:spacing w:after="0"/>
              <w:rPr>
                <w:sz w:val="20"/>
                <w:szCs w:val="20"/>
                <w:color w:val="auto"/>
              </w:rPr>
            </w:pPr>
            <w:r>
              <w:rPr>
                <w:rFonts w:ascii="Arial" w:cs="Arial" w:eastAsia="Arial" w:hAnsi="Arial"/>
                <w:sz w:val="14"/>
                <w:szCs w:val="14"/>
                <w:color w:val="auto"/>
              </w:rPr>
              <w:t>$25,000,000</w:t>
            </w:r>
          </w:p>
        </w:tc>
        <w:tc>
          <w:tcPr>
            <w:tcW w:w="1060" w:type="dxa"/>
            <w:vAlign w:val="bottom"/>
            <w:tcBorders>
              <w:top w:val="single" w:sz="8" w:color="D1CDCA"/>
            </w:tcBorders>
            <w:gridSpan w:val="2"/>
          </w:tcPr>
          <w:p>
            <w:pPr>
              <w:jc w:val="right"/>
              <w:spacing w:after="0"/>
              <w:rPr>
                <w:sz w:val="20"/>
                <w:szCs w:val="20"/>
                <w:color w:val="auto"/>
              </w:rPr>
            </w:pPr>
            <w:r>
              <w:rPr>
                <w:rFonts w:ascii="Arial" w:cs="Arial" w:eastAsia="Arial" w:hAnsi="Arial"/>
                <w:sz w:val="14"/>
                <w:szCs w:val="14"/>
                <w:color w:val="auto"/>
              </w:rPr>
              <w:t>$30,000,000</w:t>
            </w:r>
          </w:p>
        </w:tc>
        <w:tc>
          <w:tcPr>
            <w:tcW w:w="1100" w:type="dxa"/>
            <w:vAlign w:val="bottom"/>
            <w:tcBorders>
              <w:top w:val="single" w:sz="8" w:color="D1CDCA"/>
            </w:tcBorders>
            <w:gridSpan w:val="2"/>
          </w:tcPr>
          <w:p>
            <w:pPr>
              <w:jc w:val="right"/>
              <w:ind w:right="48"/>
              <w:spacing w:after="0"/>
              <w:rPr>
                <w:sz w:val="20"/>
                <w:szCs w:val="20"/>
                <w:color w:val="auto"/>
              </w:rPr>
            </w:pPr>
            <w:r>
              <w:rPr>
                <w:rFonts w:ascii="Arial" w:cs="Arial" w:eastAsia="Arial" w:hAnsi="Arial"/>
                <w:sz w:val="14"/>
                <w:szCs w:val="14"/>
                <w:color w:val="auto"/>
              </w:rPr>
              <w:t>$15,000,000</w:t>
            </w:r>
          </w:p>
        </w:tc>
        <w:tc>
          <w:tcPr>
            <w:tcW w:w="1040" w:type="dxa"/>
            <w:vAlign w:val="bottom"/>
            <w:tcBorders>
              <w:top w:val="single" w:sz="8" w:color="D1CDCA"/>
            </w:tcBorders>
            <w:gridSpan w:val="2"/>
          </w:tcPr>
          <w:p>
            <w:pPr>
              <w:jc w:val="right"/>
              <w:ind w:right="48"/>
              <w:spacing w:after="0"/>
              <w:rPr>
                <w:sz w:val="20"/>
                <w:szCs w:val="20"/>
                <w:color w:val="auto"/>
              </w:rPr>
            </w:pPr>
            <w:r>
              <w:rPr>
                <w:rFonts w:ascii="Arial" w:cs="Arial" w:eastAsia="Arial" w:hAnsi="Arial"/>
                <w:sz w:val="14"/>
                <w:szCs w:val="14"/>
                <w:color w:val="auto"/>
              </w:rPr>
              <w:t>$15,000,000</w:t>
            </w:r>
          </w:p>
        </w:tc>
      </w:tr>
      <w:tr>
        <w:trPr>
          <w:trHeight w:val="39"/>
        </w:trPr>
        <w:tc>
          <w:tcPr>
            <w:tcW w:w="3920" w:type="dxa"/>
            <w:vAlign w:val="bottom"/>
            <w:tcBorders>
              <w:bottom w:val="single" w:sz="8" w:color="D1CDCA"/>
            </w:tcBorders>
          </w:tcPr>
          <w:p>
            <w:pPr>
              <w:spacing w:after="0"/>
              <w:rPr>
                <w:sz w:val="3"/>
                <w:szCs w:val="3"/>
                <w:color w:val="auto"/>
              </w:rPr>
            </w:pPr>
          </w:p>
        </w:tc>
        <w:tc>
          <w:tcPr>
            <w:tcW w:w="2100" w:type="dxa"/>
            <w:vAlign w:val="bottom"/>
            <w:tcBorders>
              <w:bottom w:val="single" w:sz="8" w:color="D1CDCA"/>
            </w:tcBorders>
          </w:tcPr>
          <w:p>
            <w:pPr>
              <w:spacing w:after="0"/>
              <w:rPr>
                <w:sz w:val="3"/>
                <w:szCs w:val="3"/>
                <w:color w:val="auto"/>
              </w:rPr>
            </w:pPr>
          </w:p>
        </w:tc>
        <w:tc>
          <w:tcPr>
            <w:tcW w:w="800" w:type="dxa"/>
            <w:vAlign w:val="bottom"/>
            <w:tcBorders>
              <w:bottom w:val="single" w:sz="8" w:color="D1CDCA"/>
            </w:tcBorders>
          </w:tcPr>
          <w:p>
            <w:pPr>
              <w:spacing w:after="0"/>
              <w:rPr>
                <w:sz w:val="3"/>
                <w:szCs w:val="3"/>
                <w:color w:val="auto"/>
              </w:rPr>
            </w:pPr>
          </w:p>
        </w:tc>
        <w:tc>
          <w:tcPr>
            <w:tcW w:w="240" w:type="dxa"/>
            <w:vAlign w:val="bottom"/>
            <w:tcBorders>
              <w:bottom w:val="single" w:sz="8" w:color="D1CDCA"/>
            </w:tcBorders>
          </w:tcPr>
          <w:p>
            <w:pPr>
              <w:spacing w:after="0"/>
              <w:rPr>
                <w:sz w:val="3"/>
                <w:szCs w:val="3"/>
                <w:color w:val="auto"/>
              </w:rPr>
            </w:pPr>
          </w:p>
        </w:tc>
        <w:tc>
          <w:tcPr>
            <w:tcW w:w="760" w:type="dxa"/>
            <w:vAlign w:val="bottom"/>
            <w:tcBorders>
              <w:bottom w:val="single" w:sz="8" w:color="D1CDCA"/>
            </w:tcBorders>
          </w:tcPr>
          <w:p>
            <w:pPr>
              <w:spacing w:after="0"/>
              <w:rPr>
                <w:sz w:val="3"/>
                <w:szCs w:val="3"/>
                <w:color w:val="auto"/>
              </w:rPr>
            </w:pPr>
          </w:p>
        </w:tc>
        <w:tc>
          <w:tcPr>
            <w:tcW w:w="320" w:type="dxa"/>
            <w:vAlign w:val="bottom"/>
            <w:tcBorders>
              <w:bottom w:val="single" w:sz="8" w:color="D1CDCA"/>
            </w:tcBorders>
          </w:tcPr>
          <w:p>
            <w:pPr>
              <w:spacing w:after="0"/>
              <w:rPr>
                <w:sz w:val="3"/>
                <w:szCs w:val="3"/>
                <w:color w:val="auto"/>
              </w:rPr>
            </w:pPr>
          </w:p>
        </w:tc>
        <w:tc>
          <w:tcPr>
            <w:tcW w:w="740" w:type="dxa"/>
            <w:vAlign w:val="bottom"/>
            <w:tcBorders>
              <w:bottom w:val="single" w:sz="8" w:color="D1CDCA"/>
            </w:tcBorders>
          </w:tcPr>
          <w:p>
            <w:pPr>
              <w:spacing w:after="0"/>
              <w:rPr>
                <w:sz w:val="3"/>
                <w:szCs w:val="3"/>
                <w:color w:val="auto"/>
              </w:rPr>
            </w:pPr>
          </w:p>
        </w:tc>
        <w:tc>
          <w:tcPr>
            <w:tcW w:w="300" w:type="dxa"/>
            <w:vAlign w:val="bottom"/>
            <w:tcBorders>
              <w:bottom w:val="single" w:sz="8" w:color="D1CDCA"/>
            </w:tcBorders>
          </w:tcPr>
          <w:p>
            <w:pPr>
              <w:spacing w:after="0"/>
              <w:rPr>
                <w:sz w:val="3"/>
                <w:szCs w:val="3"/>
                <w:color w:val="auto"/>
              </w:rPr>
            </w:pPr>
          </w:p>
        </w:tc>
        <w:tc>
          <w:tcPr>
            <w:tcW w:w="800" w:type="dxa"/>
            <w:vAlign w:val="bottom"/>
            <w:tcBorders>
              <w:bottom w:val="single" w:sz="8" w:color="D1CDCA"/>
            </w:tcBorders>
          </w:tcPr>
          <w:p>
            <w:pPr>
              <w:spacing w:after="0"/>
              <w:rPr>
                <w:sz w:val="3"/>
                <w:szCs w:val="3"/>
                <w:color w:val="auto"/>
              </w:rPr>
            </w:pPr>
          </w:p>
        </w:tc>
        <w:tc>
          <w:tcPr>
            <w:tcW w:w="200" w:type="dxa"/>
            <w:vAlign w:val="bottom"/>
            <w:tcBorders>
              <w:bottom w:val="single" w:sz="8" w:color="D1CDCA"/>
            </w:tcBorders>
          </w:tcPr>
          <w:p>
            <w:pPr>
              <w:spacing w:after="0"/>
              <w:rPr>
                <w:sz w:val="3"/>
                <w:szCs w:val="3"/>
                <w:color w:val="auto"/>
              </w:rPr>
            </w:pPr>
          </w:p>
        </w:tc>
        <w:tc>
          <w:tcPr>
            <w:tcW w:w="840" w:type="dxa"/>
            <w:vAlign w:val="bottom"/>
            <w:tcBorders>
              <w:bottom w:val="single" w:sz="8" w:color="D1CDCA"/>
            </w:tcBorders>
          </w:tcPr>
          <w:p>
            <w:pPr>
              <w:spacing w:after="0"/>
              <w:rPr>
                <w:sz w:val="3"/>
                <w:szCs w:val="3"/>
                <w:color w:val="auto"/>
              </w:rPr>
            </w:pPr>
          </w:p>
        </w:tc>
      </w:tr>
      <w:tr>
        <w:trPr>
          <w:trHeight w:val="250"/>
        </w:trPr>
        <w:tc>
          <w:tcPr>
            <w:tcW w:w="3920" w:type="dxa"/>
            <w:vAlign w:val="bottom"/>
            <w:tcBorders>
              <w:bottom w:val="single" w:sz="8" w:color="D1CDCA"/>
            </w:tcBorders>
            <w:shd w:val="clear" w:color="auto" w:fill="F7F7E5"/>
          </w:tcPr>
          <w:p>
            <w:pPr>
              <w:ind w:left="60"/>
              <w:spacing w:after="0" w:line="250" w:lineRule="exact"/>
              <w:rPr>
                <w:sz w:val="20"/>
                <w:szCs w:val="20"/>
                <w:color w:val="auto"/>
              </w:rPr>
            </w:pPr>
            <w:r>
              <w:rPr>
                <w:rFonts w:ascii="Arial" w:cs="Arial" w:eastAsia="Arial" w:hAnsi="Arial"/>
                <w:sz w:val="14"/>
                <w:szCs w:val="14"/>
                <w:color w:val="auto"/>
              </w:rPr>
              <w:t>Stephen Cootey</w:t>
            </w:r>
            <w:r>
              <w:rPr>
                <w:rFonts w:ascii="Arial" w:cs="Arial" w:eastAsia="Arial" w:hAnsi="Arial"/>
                <w:sz w:val="24"/>
                <w:szCs w:val="24"/>
                <w:color w:val="auto"/>
                <w:vertAlign w:val="superscript"/>
              </w:rPr>
              <w:t>(5)</w:t>
            </w:r>
          </w:p>
        </w:tc>
        <w:tc>
          <w:tcPr>
            <w:tcW w:w="2100" w:type="dxa"/>
            <w:vAlign w:val="bottom"/>
            <w:tcBorders>
              <w:bottom w:val="single" w:sz="8" w:color="D1CDCA"/>
            </w:tcBorders>
            <w:shd w:val="clear" w:color="auto" w:fill="F7F7E5"/>
          </w:tcPr>
          <w:p>
            <w:pPr>
              <w:spacing w:after="0"/>
              <w:rPr>
                <w:sz w:val="21"/>
                <w:szCs w:val="21"/>
                <w:color w:val="auto"/>
              </w:rPr>
            </w:pPr>
          </w:p>
        </w:tc>
        <w:tc>
          <w:tcPr>
            <w:tcW w:w="800" w:type="dxa"/>
            <w:vAlign w:val="bottom"/>
            <w:tcBorders>
              <w:bottom w:val="single" w:sz="8" w:color="D1CDCA"/>
            </w:tcBorders>
            <w:shd w:val="clear" w:color="auto" w:fill="F7F7E5"/>
          </w:tcPr>
          <w:p>
            <w:pPr>
              <w:jc w:val="right"/>
              <w:ind w:right="48"/>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D1CDCA"/>
            </w:tcBorders>
            <w:shd w:val="clear" w:color="auto" w:fill="F7F7E5"/>
          </w:tcPr>
          <w:p>
            <w:pPr>
              <w:spacing w:after="0"/>
              <w:rPr>
                <w:sz w:val="21"/>
                <w:szCs w:val="21"/>
                <w:color w:val="auto"/>
              </w:rPr>
            </w:pPr>
          </w:p>
        </w:tc>
        <w:tc>
          <w:tcPr>
            <w:tcW w:w="760" w:type="dxa"/>
            <w:vAlign w:val="bottom"/>
            <w:tcBorders>
              <w:bottom w:val="single" w:sz="8" w:color="D1CDCA"/>
            </w:tcBorders>
            <w:shd w:val="clear" w:color="auto" w:fill="F7F7E5"/>
          </w:tcPr>
          <w:p>
            <w:pPr>
              <w:jc w:val="right"/>
              <w:ind w:right="8"/>
              <w:spacing w:after="0"/>
              <w:rPr>
                <w:sz w:val="20"/>
                <w:szCs w:val="20"/>
                <w:color w:val="auto"/>
              </w:rPr>
            </w:pPr>
            <w:r>
              <w:rPr>
                <w:rFonts w:ascii="Arial" w:cs="Arial" w:eastAsia="Arial" w:hAnsi="Arial"/>
                <w:sz w:val="14"/>
                <w:szCs w:val="14"/>
                <w:color w:val="auto"/>
              </w:rPr>
              <w:t>N/A</w:t>
            </w:r>
          </w:p>
        </w:tc>
        <w:tc>
          <w:tcPr>
            <w:tcW w:w="320" w:type="dxa"/>
            <w:vAlign w:val="bottom"/>
            <w:tcBorders>
              <w:bottom w:val="single" w:sz="8" w:color="D1CDCA"/>
            </w:tcBorders>
            <w:shd w:val="clear" w:color="auto" w:fill="F7F7E5"/>
          </w:tcPr>
          <w:p>
            <w:pPr>
              <w:spacing w:after="0"/>
              <w:rPr>
                <w:sz w:val="21"/>
                <w:szCs w:val="21"/>
                <w:color w:val="auto"/>
              </w:rPr>
            </w:pPr>
          </w:p>
        </w:tc>
        <w:tc>
          <w:tcPr>
            <w:tcW w:w="740" w:type="dxa"/>
            <w:vAlign w:val="bottom"/>
            <w:tcBorders>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N/A</w:t>
            </w:r>
          </w:p>
        </w:tc>
        <w:tc>
          <w:tcPr>
            <w:tcW w:w="300" w:type="dxa"/>
            <w:vAlign w:val="bottom"/>
            <w:tcBorders>
              <w:bottom w:val="single" w:sz="8" w:color="D1CDCA"/>
            </w:tcBorders>
            <w:shd w:val="clear" w:color="auto" w:fill="F7F7E5"/>
          </w:tcPr>
          <w:p>
            <w:pPr>
              <w:spacing w:after="0"/>
              <w:rPr>
                <w:sz w:val="21"/>
                <w:szCs w:val="21"/>
                <w:color w:val="auto"/>
              </w:rPr>
            </w:pPr>
          </w:p>
        </w:tc>
        <w:tc>
          <w:tcPr>
            <w:tcW w:w="800" w:type="dxa"/>
            <w:vAlign w:val="bottom"/>
            <w:tcBorders>
              <w:bottom w:val="single" w:sz="8" w:color="D1CDCA"/>
            </w:tcBorders>
            <w:shd w:val="clear" w:color="auto" w:fill="F7F7E5"/>
          </w:tcPr>
          <w:p>
            <w:pPr>
              <w:jc w:val="right"/>
              <w:ind w:right="28"/>
              <w:spacing w:after="0"/>
              <w:rPr>
                <w:sz w:val="20"/>
                <w:szCs w:val="20"/>
                <w:color w:val="auto"/>
              </w:rPr>
            </w:pPr>
            <w:r>
              <w:rPr>
                <w:rFonts w:ascii="Arial" w:cs="Arial" w:eastAsia="Arial" w:hAnsi="Arial"/>
                <w:sz w:val="14"/>
                <w:szCs w:val="14"/>
                <w:color w:val="auto"/>
              </w:rPr>
              <w:t>N/A</w:t>
            </w:r>
          </w:p>
        </w:tc>
        <w:tc>
          <w:tcPr>
            <w:tcW w:w="200" w:type="dxa"/>
            <w:vAlign w:val="bottom"/>
            <w:tcBorders>
              <w:bottom w:val="single" w:sz="8" w:color="D1CDCA"/>
            </w:tcBorders>
            <w:shd w:val="clear" w:color="auto" w:fill="F7F7E5"/>
          </w:tcPr>
          <w:p>
            <w:pPr>
              <w:spacing w:after="0"/>
              <w:rPr>
                <w:sz w:val="21"/>
                <w:szCs w:val="21"/>
                <w:color w:val="auto"/>
              </w:rPr>
            </w:pPr>
          </w:p>
        </w:tc>
        <w:tc>
          <w:tcPr>
            <w:tcW w:w="840" w:type="dxa"/>
            <w:vAlign w:val="bottom"/>
            <w:tcBorders>
              <w:bottom w:val="single" w:sz="8" w:color="D1CDCA"/>
            </w:tcBorders>
            <w:shd w:val="clear" w:color="auto" w:fill="F7F7E5"/>
          </w:tcPr>
          <w:p>
            <w:pPr>
              <w:jc w:val="right"/>
              <w:ind w:right="48"/>
              <w:spacing w:after="0"/>
              <w:rPr>
                <w:sz w:val="20"/>
                <w:szCs w:val="20"/>
                <w:color w:val="auto"/>
              </w:rPr>
            </w:pPr>
            <w:r>
              <w:rPr>
                <w:rFonts w:ascii="Arial" w:cs="Arial" w:eastAsia="Arial" w:hAnsi="Arial"/>
                <w:sz w:val="14"/>
                <w:szCs w:val="14"/>
                <w:color w:val="auto"/>
              </w:rPr>
              <w:t>N/A</w:t>
            </w:r>
          </w:p>
        </w:tc>
      </w:tr>
    </w:tbl>
    <w:p>
      <w:pPr>
        <w:spacing w:after="0" w:line="103" w:lineRule="exact"/>
        <w:rPr>
          <w:sz w:val="20"/>
          <w:szCs w:val="20"/>
          <w:color w:val="auto"/>
        </w:rPr>
      </w:pPr>
    </w:p>
    <w:p>
      <w:pPr>
        <w:ind w:left="360" w:right="80" w:hanging="148"/>
        <w:spacing w:after="0" w:line="247" w:lineRule="auto"/>
        <w:rPr>
          <w:sz w:val="20"/>
          <w:szCs w:val="20"/>
          <w:color w:val="auto"/>
        </w:rPr>
      </w:pPr>
      <w:r>
        <w:rPr>
          <w:rFonts w:ascii="Arial" w:cs="Arial" w:eastAsia="Arial" w:hAnsi="Arial"/>
          <w:sz w:val="11"/>
          <w:szCs w:val="11"/>
          <w:color w:val="auto"/>
        </w:rPr>
        <w:t>(1)</w:t>
      </w:r>
      <w:r>
        <w:rPr>
          <w:rFonts w:ascii="Arial" w:cs="Arial" w:eastAsia="Arial" w:hAnsi="Arial"/>
          <w:sz w:val="13"/>
          <w:szCs w:val="13"/>
          <w:color w:val="auto"/>
        </w:rPr>
        <w:t>Amounts in the Threshold column reflect potential awards for achievement of 2017 Adjusted Property EBITDA between $1.1 billion to $1.375 billion, achievement of goals 2 and 3. No</w:t>
      </w:r>
      <w:r>
        <w:rPr>
          <w:rFonts w:ascii="Arial" w:cs="Arial" w:eastAsia="Arial" w:hAnsi="Arial"/>
          <w:sz w:val="11"/>
          <w:szCs w:val="11"/>
          <w:color w:val="auto"/>
        </w:rPr>
        <w:t xml:space="preserve"> </w:t>
      </w:r>
      <w:r>
        <w:rPr>
          <w:rFonts w:ascii="Arial" w:cs="Arial" w:eastAsia="Arial" w:hAnsi="Arial"/>
          <w:sz w:val="13"/>
          <w:szCs w:val="13"/>
          <w:color w:val="auto"/>
        </w:rPr>
        <w:t xml:space="preserve">awards would have been payable under goal 1 if the 2017 Adjusted Property EBITDA were below $1.1 billion. Adjusted Property EBITDA is net income before interest, income taxes, depreciation and amortization, pre-opening expenses,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w:t>
      </w:r>
      <w:r>
        <w:rPr>
          <w:rFonts w:ascii="Arial" w:cs="Arial" w:eastAsia="Arial" w:hAnsi="Arial"/>
          <w:sz w:val="13"/>
          <w:szCs w:val="13"/>
          <w:i w:val="1"/>
          <w:iCs w:val="1"/>
          <w:color w:val="auto"/>
        </w:rPr>
        <w:t>See pages 127-130 of our Annual Report on Form 10-K for the year ended December 31, 2017 (Item 8,</w:t>
      </w:r>
      <w:r>
        <w:rPr>
          <w:rFonts w:ascii="Arial" w:cs="Arial" w:eastAsia="Arial" w:hAnsi="Arial"/>
          <w:sz w:val="13"/>
          <w:szCs w:val="13"/>
          <w:color w:val="auto"/>
        </w:rPr>
        <w:t xml:space="preserve"> </w:t>
      </w:r>
      <w:r>
        <w:rPr>
          <w:rFonts w:ascii="Arial" w:cs="Arial" w:eastAsia="Arial" w:hAnsi="Arial"/>
          <w:sz w:val="13"/>
          <w:szCs w:val="13"/>
          <w:i w:val="1"/>
          <w:iCs w:val="1"/>
          <w:color w:val="auto"/>
        </w:rPr>
        <w:t>Note 15—“Segment Information” to our Consolidated Financial Statements) for the definition of “Adjusted Property EBITDA,” a reconciliation of Adjusted Property EBITDA to net income attributable to Wynn Resorts, and other information regarding this non-GAAP financial measure.</w:t>
      </w:r>
    </w:p>
    <w:p>
      <w:pPr>
        <w:spacing w:after="0" w:line="30" w:lineRule="exact"/>
        <w:rPr>
          <w:sz w:val="20"/>
          <w:szCs w:val="20"/>
          <w:color w:val="auto"/>
        </w:rPr>
      </w:pPr>
    </w:p>
    <w:p>
      <w:pPr>
        <w:ind w:left="400" w:hanging="196"/>
        <w:spacing w:after="0"/>
        <w:tabs>
          <w:tab w:leader="none" w:pos="400" w:val="left"/>
        </w:tabs>
        <w:numPr>
          <w:ilvl w:val="0"/>
          <w:numId w:val="80"/>
        </w:numPr>
        <w:rPr>
          <w:rFonts w:ascii="Arial" w:cs="Arial" w:eastAsia="Arial" w:hAnsi="Arial"/>
          <w:sz w:val="11"/>
          <w:szCs w:val="11"/>
          <w:color w:val="auto"/>
        </w:rPr>
      </w:pPr>
      <w:r>
        <w:rPr>
          <w:rFonts w:ascii="Arial" w:cs="Arial" w:eastAsia="Arial" w:hAnsi="Arial"/>
          <w:sz w:val="13"/>
          <w:szCs w:val="13"/>
          <w:color w:val="auto"/>
        </w:rPr>
        <w:t>Amounts in the Target column reflect potential awards for achievement of 2017 Adjusted Property EBITDA between $1.375 billion to $1.675 billion and achievement of goals 2 and 3.</w:t>
      </w:r>
    </w:p>
    <w:p>
      <w:pPr>
        <w:spacing w:after="0" w:line="66" w:lineRule="exact"/>
        <w:rPr>
          <w:rFonts w:ascii="Arial" w:cs="Arial" w:eastAsia="Arial" w:hAnsi="Arial"/>
          <w:sz w:val="11"/>
          <w:szCs w:val="11"/>
          <w:color w:val="auto"/>
        </w:rPr>
      </w:pPr>
    </w:p>
    <w:p>
      <w:pPr>
        <w:ind w:left="400" w:hanging="196"/>
        <w:spacing w:after="0"/>
        <w:tabs>
          <w:tab w:leader="none" w:pos="400" w:val="left"/>
        </w:tabs>
        <w:numPr>
          <w:ilvl w:val="0"/>
          <w:numId w:val="80"/>
        </w:numPr>
        <w:rPr>
          <w:rFonts w:ascii="Arial" w:cs="Arial" w:eastAsia="Arial" w:hAnsi="Arial"/>
          <w:sz w:val="12"/>
          <w:szCs w:val="12"/>
          <w:color w:val="auto"/>
        </w:rPr>
      </w:pPr>
      <w:r>
        <w:rPr>
          <w:rFonts w:ascii="Arial" w:cs="Arial" w:eastAsia="Arial" w:hAnsi="Arial"/>
          <w:sz w:val="14"/>
          <w:szCs w:val="14"/>
          <w:color w:val="auto"/>
        </w:rPr>
        <w:t>Amounts in the Maximum column reflect potential awards for achievement of 2017 Adjusted Property EBITDA of over $1.675 billion and achievement of goals 2 and 3.</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(4)</w:t>
      </w:r>
      <w:r>
        <w:rPr>
          <w:rFonts w:ascii="Arial" w:cs="Arial" w:eastAsia="Arial" w:hAnsi="Arial"/>
          <w:sz w:val="14"/>
          <w:szCs w:val="14"/>
          <w:color w:val="auto"/>
        </w:rPr>
        <w:t>The amounts set forth in this column reflect the aggregate grant date fair value of stock awards granted. These stock awards are fully vested.</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(5)</w:t>
      </w:r>
      <w:r>
        <w:rPr>
          <w:rFonts w:ascii="Arial" w:cs="Arial" w:eastAsia="Arial" w:hAnsi="Arial"/>
          <w:sz w:val="14"/>
          <w:szCs w:val="14"/>
          <w:color w:val="auto"/>
        </w:rPr>
        <w:t>Mr. Cootey left the Company on March 1, 2017, and as such was not eligible for any bonus.</w:t>
      </w:r>
    </w:p>
    <w:p>
      <w:pPr>
        <w:spacing w:after="0" w:line="204" w:lineRule="exact"/>
        <w:rPr>
          <w:sz w:val="20"/>
          <w:szCs w:val="20"/>
          <w:color w:val="auto"/>
        </w:rPr>
      </w:pPr>
    </w:p>
    <w:p>
      <w:pPr>
        <w:ind w:left="200" w:right="480"/>
        <w:spacing w:after="0" w:line="286" w:lineRule="auto"/>
        <w:rPr>
          <w:sz w:val="20"/>
          <w:szCs w:val="20"/>
          <w:color w:val="auto"/>
        </w:rPr>
      </w:pPr>
      <w:r>
        <w:rPr>
          <w:rFonts w:ascii="Arial" w:cs="Arial" w:eastAsia="Arial" w:hAnsi="Arial"/>
          <w:sz w:val="16"/>
          <w:szCs w:val="16"/>
          <w:b w:val="1"/>
          <w:bCs w:val="1"/>
          <w:color w:val="auto"/>
        </w:rPr>
        <w:t>Long-term Incentives</w:t>
      </w:r>
      <w:r>
        <w:rPr>
          <w:rFonts w:ascii="Arial" w:cs="Arial" w:eastAsia="Arial" w:hAnsi="Arial"/>
          <w:sz w:val="16"/>
          <w:szCs w:val="16"/>
          <w:color w:val="auto"/>
        </w:rPr>
        <w:t>. The Company has historically made periodic—not annual—equity grants to executives, including our NEOs. Those periodic</w:t>
      </w:r>
      <w:r>
        <w:rPr>
          <w:rFonts w:ascii="Arial" w:cs="Arial" w:eastAsia="Arial" w:hAnsi="Arial"/>
          <w:sz w:val="16"/>
          <w:szCs w:val="16"/>
          <w:b w:val="1"/>
          <w:bCs w:val="1"/>
          <w:color w:val="auto"/>
        </w:rPr>
        <w:t xml:space="preserve"> </w:t>
      </w:r>
      <w:r>
        <w:rPr>
          <w:rFonts w:ascii="Arial" w:cs="Arial" w:eastAsia="Arial" w:hAnsi="Arial"/>
          <w:sz w:val="16"/>
          <w:szCs w:val="16"/>
          <w:color w:val="auto"/>
        </w:rPr>
        <w:t>grants were typically made with long-term vesting dates of up to ten years.</w:t>
      </w:r>
    </w:p>
    <w:p>
      <w:pPr>
        <w:spacing w:after="0" w:line="176" w:lineRule="exact"/>
        <w:rPr>
          <w:sz w:val="20"/>
          <w:szCs w:val="20"/>
          <w:color w:val="auto"/>
        </w:rPr>
      </w:pPr>
    </w:p>
    <w:p>
      <w:pPr>
        <w:ind w:left="200" w:right="100"/>
        <w:spacing w:after="0" w:line="250" w:lineRule="auto"/>
        <w:rPr>
          <w:sz w:val="20"/>
          <w:szCs w:val="20"/>
          <w:color w:val="auto"/>
        </w:rPr>
      </w:pPr>
      <w:r>
        <w:rPr>
          <w:rFonts w:ascii="Arial" w:cs="Arial" w:eastAsia="Arial" w:hAnsi="Arial"/>
          <w:sz w:val="16"/>
          <w:szCs w:val="16"/>
          <w:color w:val="auto"/>
        </w:rPr>
        <w:t>On February 28, 2017 in conjunction with the extension of Mr. Maddox’s and Ms. Sinatra’s contracts the Company awarded 200,000 and 100,000 shares of restricted stock to them respectively. Other than equity issued in payment of annual incentive awards, this was the first long-term equity incentive award to Mr. Maddox since 2013 and the first long-term incentive award to Ms. Sinatra since 2014. The restricted stock awards provided that they would vest in full on November 4, 2021 subject to continued employment. These awards were amended in April 2018 as described below in “Recent Compensation Actions.”</w:t>
      </w:r>
    </w:p>
    <w:p>
      <w:pPr>
        <w:spacing w:after="0" w:line="203" w:lineRule="exact"/>
        <w:rPr>
          <w:sz w:val="20"/>
          <w:szCs w:val="20"/>
          <w:color w:val="auto"/>
        </w:rPr>
      </w:pPr>
    </w:p>
    <w:p>
      <w:pPr>
        <w:ind w:left="200" w:right="40"/>
        <w:spacing w:after="0" w:line="251" w:lineRule="auto"/>
        <w:rPr>
          <w:sz w:val="20"/>
          <w:szCs w:val="20"/>
          <w:color w:val="auto"/>
        </w:rPr>
      </w:pPr>
      <w:r>
        <w:rPr>
          <w:rFonts w:ascii="Arial" w:cs="Arial" w:eastAsia="Arial" w:hAnsi="Arial"/>
          <w:sz w:val="16"/>
          <w:szCs w:val="16"/>
          <w:color w:val="auto"/>
        </w:rPr>
        <w:t>In connection with Mr. Maddox’s promotion as the Company’s Chief Executive Officer, he received a grant of 50,000 shares of restricted stock in April 2018. Except as otherwise described in the section titled “Potential Payments or Upon Termination or Change in Control”, Mr. Maddox’s award vests as follows: 10,000 shares vest on each of March 1, 2019, March 1, 2020 and March 1, 2021, based on the achievement of performance-based criteria set by the Compensation Committee, and 10,000 shares vest on each of March 1, 2022 and March 1, 2023, subject to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101600</wp:posOffset>
            </wp:positionV>
            <wp:extent cx="6997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204470</wp:posOffset>
            </wp:positionV>
            <wp:extent cx="608965" cy="274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07"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29</w:t>
        <w:tab/>
        <w:t>|</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220"/>
        <w:spacing w:after="0"/>
        <w:rPr>
          <w:sz w:val="20"/>
          <w:szCs w:val="20"/>
          <w:color w:val="auto"/>
        </w:rPr>
      </w:pPr>
      <w:r>
        <w:rPr>
          <w:rFonts w:ascii="Arial" w:cs="Arial" w:eastAsia="Arial" w:hAnsi="Arial"/>
          <w:sz w:val="17"/>
          <w:szCs w:val="17"/>
          <w:b w:val="1"/>
          <w:bCs w:val="1"/>
          <w:color w:val="665B4F"/>
        </w:rPr>
        <w:t>COMPENSATION DISCUSSION AND ANALYSIS</w:t>
      </w:r>
    </w:p>
    <w:p>
      <w:pPr>
        <w:spacing w:after="0" w:line="189"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In connection with Mr. Billings’ appointment as the Company’s Chief Financial Officer, he received a grant of 30,000 shares of restricted stock on March 1, 2017. The restricted stock award vests 20% per year, subject to his continued employment, except as otherwise described in more detail under the heading “Potential Payments Upon Termination or Change in Control.” In connection with the extension of Mr. Billings’ employment agreement, he received a grant of 25,000 shares of restricted stock in April 2018. Except as otherwise described in the section titled Potential Payments or Upon Termination or Change in Control, Mr. Billings’ award vests as follows: 5,000 shares vest on each of March 1, 2019, March 1, 2020 and March 1, 2021, based on the achievement of performance-based criteria set by the Compensation Committee, and 5,000 shares vest on each of March 1, 2022 and March 1, 2023, subject to continued employment.</w:t>
      </w:r>
    </w:p>
    <w:p>
      <w:pPr>
        <w:spacing w:after="0" w:line="189" w:lineRule="exact"/>
        <w:rPr>
          <w:sz w:val="20"/>
          <w:szCs w:val="20"/>
          <w:color w:val="auto"/>
        </w:rPr>
      </w:pPr>
    </w:p>
    <w:p>
      <w:pPr>
        <w:ind w:left="200" w:right="100"/>
        <w:spacing w:after="0" w:line="252" w:lineRule="auto"/>
        <w:rPr>
          <w:sz w:val="20"/>
          <w:szCs w:val="20"/>
          <w:color w:val="auto"/>
        </w:rPr>
      </w:pPr>
      <w:r>
        <w:rPr>
          <w:rFonts w:ascii="Arial" w:cs="Arial" w:eastAsia="Arial" w:hAnsi="Arial"/>
          <w:sz w:val="16"/>
          <w:szCs w:val="16"/>
          <w:b w:val="1"/>
          <w:bCs w:val="1"/>
          <w:color w:val="auto"/>
        </w:rPr>
        <w:t xml:space="preserve">Executive Benefits. </w:t>
      </w:r>
      <w:r>
        <w:rPr>
          <w:rFonts w:ascii="Arial" w:cs="Arial" w:eastAsia="Arial" w:hAnsi="Arial"/>
          <w:sz w:val="16"/>
          <w:szCs w:val="16"/>
          <w:color w:val="auto"/>
        </w:rPr>
        <w:t>We provide our NEOs with benefits that we believe are reasonable, competitive and consistent with our overall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program. Our primary executive benefits are certain health insurance coverage, life insurance premiums, discounts and complimentary privileges with respect to the Company’s resorts, which are described in the footnotes to the “Summary Compensation Table.” For 2017, we paid nonresident state income taxes imposed on our executives who were required by us to travel on Company business and perform services in states other than their states of employment. This primarily arose as a result of travel to and work in Massachusetts in connection with our Wynn Boston Harbor resort. Our reimbursement covers the incremental cost of the nonresident taxes and puts the executives in the same economic position as though they had worked in their normal places of business. The Company does not gross-up or pay any state income taxes that the employees incur on account of work in their normal work locations.</w:t>
      </w:r>
    </w:p>
    <w:p>
      <w:pPr>
        <w:spacing w:after="0" w:line="203" w:lineRule="exact"/>
        <w:rPr>
          <w:sz w:val="20"/>
          <w:szCs w:val="20"/>
          <w:color w:val="auto"/>
        </w:rPr>
      </w:pPr>
    </w:p>
    <w:p>
      <w:pPr>
        <w:ind w:left="200" w:right="280"/>
        <w:spacing w:after="0" w:line="250" w:lineRule="auto"/>
        <w:rPr>
          <w:sz w:val="20"/>
          <w:szCs w:val="20"/>
          <w:color w:val="auto"/>
        </w:rPr>
      </w:pPr>
      <w:r>
        <w:rPr>
          <w:rFonts w:ascii="Arial" w:cs="Arial" w:eastAsia="Arial" w:hAnsi="Arial"/>
          <w:sz w:val="16"/>
          <w:szCs w:val="16"/>
          <w:color w:val="auto"/>
        </w:rPr>
        <w:t>Also for 2017, as part of our tax planning in connection with the Tax Reform Act, we paid 2017 annual incentive awards in December 2017 instead of January 2018 because it was tax advantageous for the Company. Because this timing resulted in the grantees being subject to higher taxes than if we had made the payments in the normal course in 2018, we made the NEOs whole for the incremental federal income taxes that they incurred, so that payments received in 2017 would be tax neutral for the grantees. The net tax savings for the Company of this arrangement outweighed the aggregate incremental payments to the NEOs by $4.9 million.</w:t>
      </w:r>
    </w:p>
    <w:p>
      <w:pPr>
        <w:spacing w:after="0" w:line="203"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auto"/>
        </w:rPr>
        <w:t>In addition, prior to his resignation, Mr. Wynn had access to the Company’s aircraft for personal use pursuant to a time sharing agreement described in “Certain Relationships and Related Transactions—Aircraft Arrangements.” Mr. Wynn was required to reimburse the Company for certain expenses for his personal use of Company aircraft, subject to a $250,000 credit per calendar year as approved by the Compensation Committee. For security purposes, the Board required Mr. Wynn to travel on Company aircraft for both personal and business travel, and the Company provided cars and a driver in Las Vegas for his business and personal use. We maintain a comprehensive security program for the Company. As a component of that program, we provided Mr. Wynn with personal security services, which we viewed as a necessary and appropriate business expense. In determining the level and form of protection, we considered both security risks faced by multinational corporations generally and security risks specific to our Company and Mr. Wynn.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RECENT COMPENSATION ACTIONS</w:t>
      </w:r>
    </w:p>
    <w:p>
      <w:pPr>
        <w:spacing w:after="0" w:line="124" w:lineRule="exact"/>
        <w:rPr>
          <w:sz w:val="20"/>
          <w:szCs w:val="20"/>
          <w:color w:val="auto"/>
        </w:rPr>
      </w:pPr>
    </w:p>
    <w:p>
      <w:pPr>
        <w:ind w:left="200" w:right="100"/>
        <w:spacing w:after="0" w:line="260" w:lineRule="auto"/>
        <w:rPr>
          <w:sz w:val="20"/>
          <w:szCs w:val="20"/>
          <w:color w:val="auto"/>
        </w:rPr>
      </w:pPr>
      <w:r>
        <w:rPr>
          <w:rFonts w:ascii="Arial" w:cs="Arial" w:eastAsia="Arial" w:hAnsi="Arial"/>
          <w:sz w:val="16"/>
          <w:szCs w:val="16"/>
          <w:color w:val="auto"/>
        </w:rPr>
        <w:t>In April 2018, the Compensation Committee approved amended agreements with Messrs. Maddox and Billings and with Ms. Sinatra that provided for the following:</w:t>
      </w:r>
    </w:p>
    <w:p>
      <w:pPr>
        <w:spacing w:after="0" w:line="101" w:lineRule="exact"/>
        <w:rPr>
          <w:sz w:val="20"/>
          <w:szCs w:val="20"/>
          <w:color w:val="auto"/>
        </w:rPr>
      </w:pPr>
    </w:p>
    <w:p>
      <w:pPr>
        <w:ind w:left="520" w:right="220" w:hanging="208"/>
        <w:spacing w:after="0" w:line="253" w:lineRule="auto"/>
        <w:tabs>
          <w:tab w:leader="none" w:pos="520" w:val="left"/>
        </w:tabs>
        <w:numPr>
          <w:ilvl w:val="0"/>
          <w:numId w:val="81"/>
        </w:numPr>
        <w:rPr>
          <w:rFonts w:ascii="Arial" w:cs="Arial" w:eastAsia="Arial" w:hAnsi="Arial"/>
          <w:sz w:val="16"/>
          <w:szCs w:val="16"/>
          <w:color w:val="665B4F"/>
        </w:rPr>
      </w:pPr>
      <w:r>
        <w:rPr>
          <w:rFonts w:ascii="Arial" w:cs="Arial" w:eastAsia="Arial" w:hAnsi="Arial"/>
          <w:sz w:val="16"/>
          <w:szCs w:val="16"/>
          <w:color w:val="auto"/>
        </w:rPr>
        <w:t>Mr. Maddox’s amended agreement provides for a base salary of $2,000,000 per year and a target annual bonus equal to 250% of the annual base salary Mr. Maddox receives during the applicable year, extends the termination date of the agreement from December 31, 2019 to February 27, 2021, and provides for separation payments that include at least 18 months’ salary, instead of 12 months’ salary.</w:t>
      </w:r>
    </w:p>
    <w:p>
      <w:pPr>
        <w:spacing w:after="0" w:line="106" w:lineRule="exact"/>
        <w:rPr>
          <w:rFonts w:ascii="Arial" w:cs="Arial" w:eastAsia="Arial" w:hAnsi="Arial"/>
          <w:sz w:val="16"/>
          <w:szCs w:val="16"/>
          <w:color w:val="665B4F"/>
        </w:rPr>
      </w:pPr>
    </w:p>
    <w:p>
      <w:pPr>
        <w:ind w:left="520" w:right="20" w:hanging="208"/>
        <w:spacing w:after="0" w:line="260" w:lineRule="auto"/>
        <w:tabs>
          <w:tab w:leader="none" w:pos="520" w:val="left"/>
        </w:tabs>
        <w:numPr>
          <w:ilvl w:val="0"/>
          <w:numId w:val="81"/>
        </w:numPr>
        <w:rPr>
          <w:rFonts w:ascii="Arial" w:cs="Arial" w:eastAsia="Arial" w:hAnsi="Arial"/>
          <w:sz w:val="16"/>
          <w:szCs w:val="16"/>
          <w:color w:val="665B4F"/>
        </w:rPr>
      </w:pPr>
      <w:r>
        <w:rPr>
          <w:rFonts w:ascii="Arial" w:cs="Arial" w:eastAsia="Arial" w:hAnsi="Arial"/>
          <w:sz w:val="16"/>
          <w:szCs w:val="16"/>
          <w:color w:val="auto"/>
        </w:rPr>
        <w:t>Under the amended agreements, Mr. Maddox and Ms. Sinatra agreed to the cancellation of their right to an excise tax gross-up that previously was payable in connection with any separation payments, resulting in the elimination of all excise tax gross-ups in the Company’s compensation program.</w:t>
      </w:r>
    </w:p>
    <w:p>
      <w:pPr>
        <w:spacing w:after="0" w:line="101" w:lineRule="exact"/>
        <w:rPr>
          <w:rFonts w:ascii="Arial" w:cs="Arial" w:eastAsia="Arial" w:hAnsi="Arial"/>
          <w:sz w:val="16"/>
          <w:szCs w:val="16"/>
          <w:color w:val="665B4F"/>
        </w:rPr>
      </w:pPr>
    </w:p>
    <w:p>
      <w:pPr>
        <w:ind w:left="520" w:hanging="208"/>
        <w:spacing w:after="0"/>
        <w:tabs>
          <w:tab w:leader="none" w:pos="520" w:val="left"/>
        </w:tabs>
        <w:numPr>
          <w:ilvl w:val="0"/>
          <w:numId w:val="81"/>
        </w:numPr>
        <w:rPr>
          <w:rFonts w:ascii="Arial" w:cs="Arial" w:eastAsia="Arial" w:hAnsi="Arial"/>
          <w:sz w:val="16"/>
          <w:szCs w:val="16"/>
          <w:color w:val="665B4F"/>
        </w:rPr>
      </w:pPr>
      <w:r>
        <w:rPr>
          <w:rFonts w:ascii="Arial" w:cs="Arial" w:eastAsia="Arial" w:hAnsi="Arial"/>
          <w:sz w:val="16"/>
          <w:szCs w:val="16"/>
          <w:color w:val="auto"/>
        </w:rPr>
        <w:t>Mr. Billings’ amended agreement provides for an annual base salary of $875,000 and extends the term of his agreement by one year.</w:t>
      </w:r>
    </w:p>
    <w:p>
      <w:pPr>
        <w:spacing w:after="0" w:line="140" w:lineRule="exact"/>
        <w:rPr>
          <w:rFonts w:ascii="Arial" w:cs="Arial" w:eastAsia="Arial" w:hAnsi="Arial"/>
          <w:sz w:val="16"/>
          <w:szCs w:val="16"/>
          <w:color w:val="665B4F"/>
        </w:rPr>
      </w:pPr>
    </w:p>
    <w:p>
      <w:pPr>
        <w:ind w:left="520" w:right="40" w:hanging="208"/>
        <w:spacing w:after="0" w:line="260" w:lineRule="auto"/>
        <w:tabs>
          <w:tab w:leader="none" w:pos="520" w:val="left"/>
        </w:tabs>
        <w:numPr>
          <w:ilvl w:val="0"/>
          <w:numId w:val="81"/>
        </w:numPr>
        <w:rPr>
          <w:rFonts w:ascii="Arial" w:cs="Arial" w:eastAsia="Arial" w:hAnsi="Arial"/>
          <w:sz w:val="16"/>
          <w:szCs w:val="16"/>
          <w:color w:val="665B4F"/>
        </w:rPr>
      </w:pPr>
      <w:r>
        <w:rPr>
          <w:rFonts w:ascii="Arial" w:cs="Arial" w:eastAsia="Arial" w:hAnsi="Arial"/>
          <w:sz w:val="16"/>
          <w:szCs w:val="16"/>
          <w:color w:val="auto"/>
        </w:rPr>
        <w:t>The Company amended the restricted stock awards granted to Mr. Maddox and Ms. Sinatra in 2017, and granted 50,000 shares of restricted stock to Mr. Maddox and 25,000 shares of restricted stock to Mr. Billings. As a result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97155</wp:posOffset>
            </wp:positionV>
            <wp:extent cx="6997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0" w:lineRule="exact"/>
        <w:rPr>
          <w:sz w:val="20"/>
          <w:szCs w:val="20"/>
          <w:color w:val="auto"/>
        </w:rPr>
      </w:pPr>
    </w:p>
    <w:p>
      <w:pPr>
        <w:ind w:left="8860"/>
        <w:spacing w:after="0"/>
        <w:tabs>
          <w:tab w:leader="none" w:pos="10840" w:val="left"/>
          <w:tab w:leader="none" w:pos="110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30</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COMPENSATION DISCUSSION AND ANALYSIS</w:t>
      </w:r>
    </w:p>
    <w:p>
      <w:pPr>
        <w:spacing w:after="0" w:line="178" w:lineRule="exact"/>
        <w:rPr>
          <w:sz w:val="20"/>
          <w:szCs w:val="20"/>
          <w:color w:val="auto"/>
        </w:rPr>
      </w:pPr>
    </w:p>
    <w:p>
      <w:pPr>
        <w:ind w:left="520" w:right="20"/>
        <w:spacing w:after="0" w:line="251" w:lineRule="auto"/>
        <w:rPr>
          <w:sz w:val="20"/>
          <w:szCs w:val="20"/>
          <w:color w:val="auto"/>
        </w:rPr>
      </w:pPr>
      <w:r>
        <w:rPr>
          <w:rFonts w:ascii="Arial" w:cs="Arial" w:eastAsia="Arial" w:hAnsi="Arial"/>
          <w:sz w:val="16"/>
          <w:szCs w:val="16"/>
          <w:color w:val="auto"/>
        </w:rPr>
        <w:t>amendments and new grants, vesting of 60% of each executive’s new and amended restricted stock grants are based on achievement of pre-established property-level revenue and Adjusted Property EBITDA performance goals over each of the next three years, instead of vesting solely on the basis of continued employment. The agreements provide for accelerated or pro-rata vesting upon certain terminations of employment and amend the definition of “change of control” to delete a reference to Mr. Wynn and his affiliates.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HOW WE MAKE PAY DECISIONS</w:t>
      </w:r>
    </w:p>
    <w:p>
      <w:pPr>
        <w:spacing w:after="0" w:line="104" w:lineRule="exact"/>
        <w:rPr>
          <w:sz w:val="20"/>
          <w:szCs w:val="20"/>
          <w:color w:val="auto"/>
        </w:rPr>
      </w:pPr>
    </w:p>
    <w:p>
      <w:pPr>
        <w:ind w:left="200"/>
        <w:spacing w:after="0" w:line="256" w:lineRule="auto"/>
        <w:rPr>
          <w:sz w:val="20"/>
          <w:szCs w:val="20"/>
          <w:color w:val="auto"/>
        </w:rPr>
      </w:pPr>
      <w:r>
        <w:rPr>
          <w:rFonts w:ascii="Arial" w:cs="Arial" w:eastAsia="Arial" w:hAnsi="Arial"/>
          <w:sz w:val="16"/>
          <w:szCs w:val="16"/>
          <w:b w:val="1"/>
          <w:bCs w:val="1"/>
          <w:color w:val="auto"/>
        </w:rPr>
        <w:t xml:space="preserve">Role of the Compensation Committee and Management in Setting Compensation. </w:t>
      </w:r>
      <w:r>
        <w:rPr>
          <w:rFonts w:ascii="Arial" w:cs="Arial" w:eastAsia="Arial" w:hAnsi="Arial"/>
          <w:sz w:val="16"/>
          <w:szCs w:val="16"/>
          <w:color w:val="auto"/>
        </w:rPr>
        <w:t>The Compensation Committee sets all elements of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our NEOs based upon consideration of their contributions to the operating and strategic performance of the Company. The Compensation Committee considers the recommendations of the CEO in establishing compensation for all other NEOs. In addition, the CEO performs annual reviews of our senior executive officers and makes recommendations to the Compensation Committee. The Compensation Committee reviews the recommendations and makes final decisions regarding compensation for our senior executive officers.</w:t>
      </w:r>
    </w:p>
    <w:p>
      <w:pPr>
        <w:spacing w:after="0" w:line="180" w:lineRule="exact"/>
        <w:rPr>
          <w:sz w:val="20"/>
          <w:szCs w:val="20"/>
          <w:color w:val="auto"/>
        </w:rPr>
      </w:pPr>
    </w:p>
    <w:p>
      <w:pPr>
        <w:ind w:left="200" w:right="60"/>
        <w:spacing w:after="0" w:line="253" w:lineRule="auto"/>
        <w:rPr>
          <w:sz w:val="20"/>
          <w:szCs w:val="20"/>
          <w:color w:val="auto"/>
        </w:rPr>
      </w:pPr>
      <w:r>
        <w:rPr>
          <w:rFonts w:ascii="Arial" w:cs="Arial" w:eastAsia="Arial" w:hAnsi="Arial"/>
          <w:sz w:val="16"/>
          <w:szCs w:val="16"/>
          <w:b w:val="1"/>
          <w:bCs w:val="1"/>
          <w:color w:val="auto"/>
        </w:rPr>
        <w:t xml:space="preserve">Role of the Compensation Consultant. </w:t>
      </w:r>
      <w:r>
        <w:rPr>
          <w:rFonts w:ascii="Arial" w:cs="Arial" w:eastAsia="Arial" w:hAnsi="Arial"/>
          <w:sz w:val="16"/>
          <w:szCs w:val="16"/>
          <w:color w:val="auto"/>
        </w:rPr>
        <w:t>The Compensation Committee has the authority to retain compensation consulting firms exclusively to assist it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evaluation of senior executive officer and employee compensation and benefit programs. In 2017, the Compensation Committee retained Pay Governance, a nationally recognized independent compensation consulting firm, to assist in performing its duties. Pay Governance does not provide services to the Company other than the advice on director and executive compensation that it may provide the Compensation Committee when requested. In 2017, Pay Governance provided the Compensation Committee with a peer group review and competitive compensation analysis, in connection with the Compensation Committee’s review of compensation levels of our NEOs. The Compensation Committee retains sole responsibility for engaging its advisors.</w:t>
      </w:r>
    </w:p>
    <w:p>
      <w:pPr>
        <w:spacing w:after="0" w:line="182" w:lineRule="exact"/>
        <w:rPr>
          <w:sz w:val="20"/>
          <w:szCs w:val="20"/>
          <w:color w:val="auto"/>
        </w:rPr>
      </w:pPr>
    </w:p>
    <w:p>
      <w:pPr>
        <w:ind w:left="200" w:right="20"/>
        <w:spacing w:after="0" w:line="266" w:lineRule="auto"/>
        <w:rPr>
          <w:sz w:val="20"/>
          <w:szCs w:val="20"/>
          <w:color w:val="auto"/>
        </w:rPr>
      </w:pPr>
      <w:r>
        <w:rPr>
          <w:rFonts w:ascii="Arial" w:cs="Arial" w:eastAsia="Arial" w:hAnsi="Arial"/>
          <w:sz w:val="16"/>
          <w:szCs w:val="16"/>
          <w:b w:val="1"/>
          <w:bCs w:val="1"/>
          <w:color w:val="auto"/>
        </w:rPr>
        <w:t xml:space="preserve">Independence of the Compensation Consultant. </w:t>
      </w:r>
      <w:r>
        <w:rPr>
          <w:rFonts w:ascii="Arial" w:cs="Arial" w:eastAsia="Arial" w:hAnsi="Arial"/>
          <w:sz w:val="16"/>
          <w:szCs w:val="16"/>
          <w:color w:val="auto"/>
        </w:rPr>
        <w:t>The Compensation Committee has determined that Pay Governance is independent and the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Pay Governance currently do not and during 2017 did not raise any conflict of interests. In reaching these conclusions, the Compensation Committee considered the factors set forth in Rule 10C-1 of the Exchange Act and applicable listing standards.</w:t>
      </w:r>
    </w:p>
    <w:p>
      <w:pPr>
        <w:spacing w:after="0" w:line="172" w:lineRule="exact"/>
        <w:rPr>
          <w:sz w:val="20"/>
          <w:szCs w:val="20"/>
          <w:color w:val="auto"/>
        </w:rPr>
      </w:pPr>
    </w:p>
    <w:p>
      <w:pPr>
        <w:ind w:left="200" w:right="120"/>
        <w:spacing w:after="0" w:line="256" w:lineRule="auto"/>
        <w:rPr>
          <w:sz w:val="20"/>
          <w:szCs w:val="20"/>
          <w:color w:val="auto"/>
        </w:rPr>
      </w:pPr>
      <w:r>
        <w:rPr>
          <w:rFonts w:ascii="Arial" w:cs="Arial" w:eastAsia="Arial" w:hAnsi="Arial"/>
          <w:sz w:val="16"/>
          <w:szCs w:val="16"/>
          <w:b w:val="1"/>
          <w:bCs w:val="1"/>
          <w:color w:val="auto"/>
        </w:rPr>
        <w:t xml:space="preserve">Setting Executive Compensation. </w:t>
      </w:r>
      <w:r>
        <w:rPr>
          <w:rFonts w:ascii="Arial" w:cs="Arial" w:eastAsia="Arial" w:hAnsi="Arial"/>
          <w:sz w:val="16"/>
          <w:szCs w:val="16"/>
          <w:color w:val="auto"/>
        </w:rPr>
        <w:t>Generally, in determining base salary, annual incentive award goals and guidelines for equity awards,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uses the NEOs’ current level of compensation as the starting point. Our compensation decisions consider the scope and complexity of the functions executives oversee; the contribution of those functions to our overall performance; executives’ experience and capabilities; individual performance; and practices of our peers. In addition, wealth accumulation is considered when making equity grants to assure alignment of the interests of our senior executive officers and those of our shareholders.</w:t>
      </w:r>
    </w:p>
    <w:p>
      <w:pPr>
        <w:spacing w:after="0" w:line="200" w:lineRule="exact"/>
        <w:rPr>
          <w:sz w:val="20"/>
          <w:szCs w:val="20"/>
          <w:color w:val="auto"/>
        </w:rPr>
      </w:pPr>
    </w:p>
    <w:p>
      <w:pPr>
        <w:ind w:left="200" w:right="320"/>
        <w:spacing w:after="0" w:line="251" w:lineRule="auto"/>
        <w:rPr>
          <w:sz w:val="20"/>
          <w:szCs w:val="20"/>
          <w:color w:val="auto"/>
        </w:rPr>
      </w:pPr>
      <w:r>
        <w:rPr>
          <w:rFonts w:ascii="Arial" w:cs="Arial" w:eastAsia="Arial" w:hAnsi="Arial"/>
          <w:sz w:val="16"/>
          <w:szCs w:val="16"/>
          <w:color w:val="auto"/>
        </w:rPr>
        <w:t>The Compensation Committee reviews total compensation, along with the value of past equity awards, to assess the general competitiveness of compensation. Annual cash and equity incentive compensation awards and special bonuses are considered on the basis of Company and individual performance. However, increases to base salary and additional equity incentive awards are made only on a periodic basis or in recognition of notable contributions to value creation for Company shareholders.</w:t>
      </w:r>
    </w:p>
    <w:p>
      <w:pPr>
        <w:spacing w:after="0" w:line="183" w:lineRule="exact"/>
        <w:rPr>
          <w:sz w:val="20"/>
          <w:szCs w:val="20"/>
          <w:color w:val="auto"/>
        </w:rPr>
      </w:pPr>
    </w:p>
    <w:p>
      <w:pPr>
        <w:ind w:left="200"/>
        <w:spacing w:after="0" w:line="256" w:lineRule="auto"/>
        <w:rPr>
          <w:sz w:val="20"/>
          <w:szCs w:val="20"/>
          <w:color w:val="auto"/>
        </w:rPr>
      </w:pPr>
      <w:r>
        <w:rPr>
          <w:rFonts w:ascii="Arial" w:cs="Arial" w:eastAsia="Arial" w:hAnsi="Arial"/>
          <w:sz w:val="16"/>
          <w:szCs w:val="16"/>
          <w:b w:val="1"/>
          <w:bCs w:val="1"/>
          <w:color w:val="auto"/>
        </w:rPr>
        <w:t xml:space="preserve">Other Key Considerations. </w:t>
      </w:r>
      <w:r>
        <w:rPr>
          <w:rFonts w:ascii="Arial" w:cs="Arial" w:eastAsia="Arial" w:hAnsi="Arial"/>
          <w:sz w:val="16"/>
          <w:szCs w:val="16"/>
          <w:color w:val="auto"/>
        </w:rPr>
        <w:t>The Compensation Committee is mindful that gaming companies have historically provided total compensation packages</w:t>
      </w:r>
      <w:r>
        <w:rPr>
          <w:rFonts w:ascii="Arial" w:cs="Arial" w:eastAsia="Arial" w:hAnsi="Arial"/>
          <w:sz w:val="16"/>
          <w:szCs w:val="16"/>
          <w:b w:val="1"/>
          <w:bCs w:val="1"/>
          <w:color w:val="auto"/>
        </w:rPr>
        <w:t xml:space="preserve"> </w:t>
      </w:r>
      <w:r>
        <w:rPr>
          <w:rFonts w:ascii="Arial" w:cs="Arial" w:eastAsia="Arial" w:hAnsi="Arial"/>
          <w:sz w:val="16"/>
          <w:szCs w:val="16"/>
          <w:color w:val="auto"/>
        </w:rPr>
        <w:t>that may be higher than many of their non-gaming counterparts due to the unique blend of entrepreneurial and managerial skills required to be successful in gaming, as well as regulatory and other extraordinary demands. In addition, the Company’s global operations have required that NEOs provide extraordinary levels of commitment and financial, development, and operating expertise. In fulfilling the Company’s goal of attracting and retaining high-quality and experienced executives, the Compensation Committee considers these factors in its determination of total compensation for the NEOs.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OTHER ASPECTS OF OUR EXECUTIVE COMPENSATION</w:t>
      </w:r>
    </w:p>
    <w:p>
      <w:pPr>
        <w:spacing w:after="0" w:line="104" w:lineRule="exact"/>
        <w:rPr>
          <w:sz w:val="20"/>
          <w:szCs w:val="20"/>
          <w:color w:val="auto"/>
        </w:rPr>
      </w:pPr>
    </w:p>
    <w:p>
      <w:pPr>
        <w:ind w:left="200" w:right="80"/>
        <w:spacing w:after="0" w:line="259" w:lineRule="auto"/>
        <w:rPr>
          <w:sz w:val="20"/>
          <w:szCs w:val="20"/>
          <w:color w:val="auto"/>
        </w:rPr>
      </w:pPr>
      <w:r>
        <w:rPr>
          <w:rFonts w:ascii="Arial" w:cs="Arial" w:eastAsia="Arial" w:hAnsi="Arial"/>
          <w:sz w:val="16"/>
          <w:szCs w:val="16"/>
          <w:b w:val="1"/>
          <w:bCs w:val="1"/>
          <w:color w:val="auto"/>
        </w:rPr>
        <w:t xml:space="preserve">Peer Group and Market Analysis. </w:t>
      </w:r>
      <w:r>
        <w:rPr>
          <w:rFonts w:ascii="Arial" w:cs="Arial" w:eastAsia="Arial" w:hAnsi="Arial"/>
          <w:sz w:val="16"/>
          <w:szCs w:val="16"/>
          <w:color w:val="auto"/>
        </w:rPr>
        <w:t>The Compensation Committee believes that it is appropriate to offer competitive total compensation packages to</w:t>
      </w:r>
      <w:r>
        <w:rPr>
          <w:rFonts w:ascii="Arial" w:cs="Arial" w:eastAsia="Arial" w:hAnsi="Arial"/>
          <w:sz w:val="16"/>
          <w:szCs w:val="16"/>
          <w:b w:val="1"/>
          <w:bCs w:val="1"/>
          <w:color w:val="auto"/>
        </w:rPr>
        <w:t xml:space="preserve"> </w:t>
      </w:r>
      <w:r>
        <w:rPr>
          <w:rFonts w:ascii="Arial" w:cs="Arial" w:eastAsia="Arial" w:hAnsi="Arial"/>
          <w:sz w:val="16"/>
          <w:szCs w:val="16"/>
          <w:color w:val="auto"/>
        </w:rPr>
        <w:t>senior executive officers in order to attract and retain top executive talent. The compensation peer group allows the Compensation Committee to monitor the compensation practices of our primary competitors for executive talent. The Compensation Committee does not target any specific pay percentile for the Company’s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201930</wp:posOffset>
            </wp:positionV>
            <wp:extent cx="608965" cy="274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03"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31</w:t>
        <w:tab/>
        <w:t>|</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220"/>
        <w:spacing w:after="0"/>
        <w:rPr>
          <w:sz w:val="20"/>
          <w:szCs w:val="20"/>
          <w:color w:val="auto"/>
        </w:rPr>
      </w:pPr>
      <w:r>
        <w:rPr>
          <w:rFonts w:ascii="Arial" w:cs="Arial" w:eastAsia="Arial" w:hAnsi="Arial"/>
          <w:sz w:val="17"/>
          <w:szCs w:val="17"/>
          <w:b w:val="1"/>
          <w:bCs w:val="1"/>
          <w:color w:val="665B4F"/>
        </w:rPr>
        <w:t>COMPENSATION DISCUSSION AND ANALYSIS</w:t>
      </w:r>
    </w:p>
    <w:p>
      <w:pPr>
        <w:spacing w:after="0" w:line="189" w:lineRule="exact"/>
        <w:rPr>
          <w:sz w:val="20"/>
          <w:szCs w:val="20"/>
          <w:color w:val="auto"/>
        </w:rPr>
      </w:pPr>
    </w:p>
    <w:p>
      <w:pPr>
        <w:ind w:left="200" w:right="360"/>
        <w:spacing w:after="0" w:line="260" w:lineRule="auto"/>
        <w:rPr>
          <w:sz w:val="20"/>
          <w:szCs w:val="20"/>
          <w:color w:val="auto"/>
        </w:rPr>
      </w:pPr>
      <w:r>
        <w:rPr>
          <w:rFonts w:ascii="Arial" w:cs="Arial" w:eastAsia="Arial" w:hAnsi="Arial"/>
          <w:sz w:val="16"/>
          <w:szCs w:val="16"/>
          <w:color w:val="auto"/>
        </w:rPr>
        <w:t>executive officers. Instead, the Compensation Committee uses this information as a general overview of market practices and to ensure that it makes informed decisions on senior executive officer pay packages.</w:t>
      </w:r>
    </w:p>
    <w:p>
      <w:pPr>
        <w:spacing w:after="0" w:line="196" w:lineRule="exact"/>
        <w:rPr>
          <w:sz w:val="20"/>
          <w:szCs w:val="20"/>
          <w:color w:val="auto"/>
        </w:rPr>
      </w:pPr>
    </w:p>
    <w:p>
      <w:pPr>
        <w:jc w:val="both"/>
        <w:ind w:left="200" w:right="180"/>
        <w:spacing w:after="0" w:line="253" w:lineRule="auto"/>
        <w:rPr>
          <w:sz w:val="20"/>
          <w:szCs w:val="20"/>
          <w:color w:val="auto"/>
        </w:rPr>
      </w:pPr>
      <w:r>
        <w:rPr>
          <w:rFonts w:ascii="Arial" w:cs="Arial" w:eastAsia="Arial" w:hAnsi="Arial"/>
          <w:sz w:val="16"/>
          <w:szCs w:val="16"/>
          <w:color w:val="auto"/>
        </w:rPr>
        <w:t>In 2017, as part of our regular review of our compensation programs, the Compensation Committee considered peer group data from gaming and other related industries that the Compensation Committee believes reflect the competitive market for executive talent similar to that required by the Company. Our peer group was last updated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144145</wp:posOffset>
            </wp:positionV>
            <wp:extent cx="6997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8"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665B4F"/>
        </w:rPr>
        <w:t>WYNN RESORTS 2017 EXECUTIVE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40640</wp:posOffset>
            </wp:positionV>
            <wp:extent cx="6997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6"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220" w:type="dxa"/>
            <w:vAlign w:val="bottom"/>
          </w:tcPr>
          <w:p>
            <w:pPr>
              <w:ind w:left="60"/>
              <w:spacing w:after="0"/>
              <w:rPr>
                <w:sz w:val="20"/>
                <w:szCs w:val="20"/>
                <w:color w:val="auto"/>
              </w:rPr>
            </w:pPr>
            <w:r>
              <w:rPr>
                <w:rFonts w:ascii="Arial" w:cs="Arial" w:eastAsia="Arial" w:hAnsi="Arial"/>
                <w:sz w:val="14"/>
                <w:szCs w:val="14"/>
                <w:b w:val="1"/>
                <w:bCs w:val="1"/>
                <w:color w:val="665B4F"/>
              </w:rPr>
              <w:t>GAMING &amp; RESORTS</w:t>
            </w:r>
          </w:p>
        </w:tc>
        <w:tc>
          <w:tcPr>
            <w:tcW w:w="3960" w:type="dxa"/>
            <w:vAlign w:val="bottom"/>
          </w:tcPr>
          <w:p>
            <w:pPr>
              <w:ind w:left="920"/>
              <w:spacing w:after="0"/>
              <w:rPr>
                <w:sz w:val="20"/>
                <w:szCs w:val="20"/>
                <w:color w:val="auto"/>
              </w:rPr>
            </w:pPr>
            <w:r>
              <w:rPr>
                <w:rFonts w:ascii="Arial" w:cs="Arial" w:eastAsia="Arial" w:hAnsi="Arial"/>
                <w:sz w:val="14"/>
                <w:szCs w:val="14"/>
                <w:b w:val="1"/>
                <w:bCs w:val="1"/>
                <w:color w:val="665B4F"/>
              </w:rPr>
              <w:t>TRAVEL, HOSPITALITY &amp; RESORTS</w:t>
            </w:r>
          </w:p>
        </w:tc>
        <w:tc>
          <w:tcPr>
            <w:tcW w:w="3840" w:type="dxa"/>
            <w:vAlign w:val="bottom"/>
          </w:tcPr>
          <w:p>
            <w:pPr>
              <w:ind w:left="540"/>
              <w:spacing w:after="0"/>
              <w:rPr>
                <w:sz w:val="20"/>
                <w:szCs w:val="20"/>
                <w:color w:val="auto"/>
              </w:rPr>
            </w:pPr>
            <w:r>
              <w:rPr>
                <w:rFonts w:ascii="Arial" w:cs="Arial" w:eastAsia="Arial" w:hAnsi="Arial"/>
                <w:sz w:val="14"/>
                <w:szCs w:val="14"/>
                <w:b w:val="1"/>
                <w:bCs w:val="1"/>
                <w:color w:val="665B4F"/>
              </w:rPr>
              <w:t>LIFESTYLE PRODUCTS</w:t>
            </w:r>
          </w:p>
        </w:tc>
      </w:tr>
      <w:tr>
        <w:trPr>
          <w:trHeight w:val="39"/>
        </w:trPr>
        <w:tc>
          <w:tcPr>
            <w:tcW w:w="3220" w:type="dxa"/>
            <w:vAlign w:val="bottom"/>
            <w:tcBorders>
              <w:bottom w:val="single" w:sz="8" w:color="D1CDCA"/>
            </w:tcBorders>
          </w:tcPr>
          <w:p>
            <w:pPr>
              <w:spacing w:after="0"/>
              <w:rPr>
                <w:sz w:val="3"/>
                <w:szCs w:val="3"/>
                <w:color w:val="auto"/>
              </w:rPr>
            </w:pPr>
          </w:p>
        </w:tc>
        <w:tc>
          <w:tcPr>
            <w:tcW w:w="3960" w:type="dxa"/>
            <w:vAlign w:val="bottom"/>
            <w:tcBorders>
              <w:bottom w:val="single" w:sz="8" w:color="D1CDCA"/>
            </w:tcBorders>
          </w:tcPr>
          <w:p>
            <w:pPr>
              <w:spacing w:after="0"/>
              <w:rPr>
                <w:sz w:val="3"/>
                <w:szCs w:val="3"/>
                <w:color w:val="auto"/>
              </w:rPr>
            </w:pPr>
          </w:p>
        </w:tc>
        <w:tc>
          <w:tcPr>
            <w:tcW w:w="3840" w:type="dxa"/>
            <w:vAlign w:val="bottom"/>
            <w:tcBorders>
              <w:bottom w:val="single" w:sz="8" w:color="D1CDCA"/>
            </w:tcBorders>
          </w:tcPr>
          <w:p>
            <w:pPr>
              <w:spacing w:after="0"/>
              <w:rPr>
                <w:sz w:val="3"/>
                <w:szCs w:val="3"/>
                <w:color w:val="auto"/>
              </w:rPr>
            </w:pPr>
          </w:p>
        </w:tc>
      </w:tr>
      <w:tr>
        <w:trPr>
          <w:trHeight w:val="255"/>
        </w:trPr>
        <w:tc>
          <w:tcPr>
            <w:tcW w:w="322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Las Vegas Sands Corp.</w:t>
            </w:r>
          </w:p>
        </w:tc>
        <w:tc>
          <w:tcPr>
            <w:tcW w:w="3960" w:type="dxa"/>
            <w:vAlign w:val="bottom"/>
            <w:tcBorders>
              <w:bottom w:val="single" w:sz="8" w:color="F7F7E5"/>
            </w:tcBorders>
            <w:shd w:val="clear" w:color="auto" w:fill="F7F7E5"/>
          </w:tcPr>
          <w:p>
            <w:pPr>
              <w:ind w:left="920"/>
              <w:spacing w:after="0"/>
              <w:rPr>
                <w:sz w:val="20"/>
                <w:szCs w:val="20"/>
                <w:color w:val="auto"/>
              </w:rPr>
            </w:pPr>
            <w:r>
              <w:rPr>
                <w:rFonts w:ascii="Arial" w:cs="Arial" w:eastAsia="Arial" w:hAnsi="Arial"/>
                <w:sz w:val="14"/>
                <w:szCs w:val="14"/>
                <w:color w:val="auto"/>
              </w:rPr>
              <w:t>Royal Caribbean Cruises Ltd.</w:t>
            </w:r>
          </w:p>
        </w:tc>
        <w:tc>
          <w:tcPr>
            <w:tcW w:w="3840" w:type="dxa"/>
            <w:vAlign w:val="bottom"/>
            <w:tcBorders>
              <w:bottom w:val="single" w:sz="8" w:color="F7F7E5"/>
            </w:tcBorders>
            <w:shd w:val="clear" w:color="auto" w:fill="F7F7E5"/>
          </w:tcPr>
          <w:p>
            <w:pPr>
              <w:ind w:left="540"/>
              <w:spacing w:after="0"/>
              <w:rPr>
                <w:sz w:val="20"/>
                <w:szCs w:val="20"/>
                <w:color w:val="auto"/>
              </w:rPr>
            </w:pPr>
            <w:r>
              <w:rPr>
                <w:rFonts w:ascii="Arial" w:cs="Arial" w:eastAsia="Arial" w:hAnsi="Arial"/>
                <w:sz w:val="14"/>
                <w:szCs w:val="14"/>
                <w:color w:val="auto"/>
              </w:rPr>
              <w:t>Ralph Lauren Corporation</w:t>
            </w:r>
          </w:p>
        </w:tc>
      </w:tr>
      <w:tr>
        <w:trPr>
          <w:trHeight w:val="211"/>
        </w:trPr>
        <w:tc>
          <w:tcPr>
            <w:tcW w:w="322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MGM Resorts International</w:t>
            </w:r>
          </w:p>
        </w:tc>
        <w:tc>
          <w:tcPr>
            <w:tcW w:w="3960" w:type="dxa"/>
            <w:vAlign w:val="bottom"/>
            <w:tcBorders>
              <w:top w:val="single" w:sz="8" w:color="D1CDCA"/>
            </w:tcBorders>
          </w:tcPr>
          <w:p>
            <w:pPr>
              <w:ind w:left="920"/>
              <w:spacing w:after="0"/>
              <w:rPr>
                <w:sz w:val="20"/>
                <w:szCs w:val="20"/>
                <w:color w:val="auto"/>
              </w:rPr>
            </w:pPr>
            <w:r>
              <w:rPr>
                <w:rFonts w:ascii="Arial" w:cs="Arial" w:eastAsia="Arial" w:hAnsi="Arial"/>
                <w:sz w:val="14"/>
                <w:szCs w:val="14"/>
                <w:color w:val="auto"/>
              </w:rPr>
              <w:t>Wyndham Worldwide Corporation</w:t>
            </w:r>
          </w:p>
        </w:tc>
        <w:tc>
          <w:tcPr>
            <w:tcW w:w="3840" w:type="dxa"/>
            <w:vAlign w:val="bottom"/>
            <w:tcBorders>
              <w:top w:val="single" w:sz="8" w:color="D1CDCA"/>
            </w:tcBorders>
          </w:tcPr>
          <w:p>
            <w:pPr>
              <w:ind w:left="540"/>
              <w:spacing w:after="0"/>
              <w:rPr>
                <w:sz w:val="20"/>
                <w:szCs w:val="20"/>
                <w:color w:val="auto"/>
              </w:rPr>
            </w:pPr>
            <w:r>
              <w:rPr>
                <w:rFonts w:ascii="Arial" w:cs="Arial" w:eastAsia="Arial" w:hAnsi="Arial"/>
                <w:sz w:val="14"/>
                <w:szCs w:val="14"/>
                <w:color w:val="auto"/>
              </w:rPr>
              <w:t>Tapestry, Inc.</w:t>
            </w:r>
          </w:p>
        </w:tc>
      </w:tr>
      <w:tr>
        <w:trPr>
          <w:trHeight w:val="39"/>
        </w:trPr>
        <w:tc>
          <w:tcPr>
            <w:tcW w:w="3220" w:type="dxa"/>
            <w:vAlign w:val="bottom"/>
            <w:tcBorders>
              <w:bottom w:val="single" w:sz="8" w:color="D1CDCA"/>
            </w:tcBorders>
          </w:tcPr>
          <w:p>
            <w:pPr>
              <w:spacing w:after="0"/>
              <w:rPr>
                <w:sz w:val="3"/>
                <w:szCs w:val="3"/>
                <w:color w:val="auto"/>
              </w:rPr>
            </w:pPr>
          </w:p>
        </w:tc>
        <w:tc>
          <w:tcPr>
            <w:tcW w:w="3960" w:type="dxa"/>
            <w:vAlign w:val="bottom"/>
            <w:tcBorders>
              <w:bottom w:val="single" w:sz="8" w:color="D1CDCA"/>
            </w:tcBorders>
          </w:tcPr>
          <w:p>
            <w:pPr>
              <w:spacing w:after="0"/>
              <w:rPr>
                <w:sz w:val="3"/>
                <w:szCs w:val="3"/>
                <w:color w:val="auto"/>
              </w:rPr>
            </w:pPr>
          </w:p>
        </w:tc>
        <w:tc>
          <w:tcPr>
            <w:tcW w:w="3840" w:type="dxa"/>
            <w:vAlign w:val="bottom"/>
            <w:tcBorders>
              <w:bottom w:val="single" w:sz="8" w:color="D1CDCA"/>
            </w:tcBorders>
          </w:tcPr>
          <w:p>
            <w:pPr>
              <w:spacing w:after="0"/>
              <w:rPr>
                <w:sz w:val="3"/>
                <w:szCs w:val="3"/>
                <w:color w:val="auto"/>
              </w:rPr>
            </w:pPr>
          </w:p>
        </w:tc>
      </w:tr>
      <w:tr>
        <w:trPr>
          <w:trHeight w:val="255"/>
        </w:trPr>
        <w:tc>
          <w:tcPr>
            <w:tcW w:w="322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Caesars Entertainment Corporation</w:t>
            </w:r>
          </w:p>
        </w:tc>
        <w:tc>
          <w:tcPr>
            <w:tcW w:w="3960" w:type="dxa"/>
            <w:vAlign w:val="bottom"/>
            <w:tcBorders>
              <w:bottom w:val="single" w:sz="8" w:color="F7F7E5"/>
            </w:tcBorders>
            <w:shd w:val="clear" w:color="auto" w:fill="F7F7E5"/>
          </w:tcPr>
          <w:p>
            <w:pPr>
              <w:ind w:left="920"/>
              <w:spacing w:after="0"/>
              <w:rPr>
                <w:sz w:val="20"/>
                <w:szCs w:val="20"/>
                <w:color w:val="auto"/>
              </w:rPr>
            </w:pPr>
            <w:r>
              <w:rPr>
                <w:rFonts w:ascii="Arial" w:cs="Arial" w:eastAsia="Arial" w:hAnsi="Arial"/>
                <w:sz w:val="14"/>
                <w:szCs w:val="14"/>
                <w:color w:val="auto"/>
              </w:rPr>
              <w:t>Marriott International, Inc.</w:t>
            </w:r>
          </w:p>
        </w:tc>
        <w:tc>
          <w:tcPr>
            <w:tcW w:w="3840" w:type="dxa"/>
            <w:vAlign w:val="bottom"/>
            <w:tcBorders>
              <w:bottom w:val="single" w:sz="8" w:color="F7F7E5"/>
            </w:tcBorders>
            <w:shd w:val="clear" w:color="auto" w:fill="F7F7E5"/>
          </w:tcPr>
          <w:p>
            <w:pPr>
              <w:ind w:left="540"/>
              <w:spacing w:after="0"/>
              <w:rPr>
                <w:sz w:val="20"/>
                <w:szCs w:val="20"/>
                <w:color w:val="auto"/>
              </w:rPr>
            </w:pPr>
            <w:r>
              <w:rPr>
                <w:rFonts w:ascii="Arial" w:cs="Arial" w:eastAsia="Arial" w:hAnsi="Arial"/>
                <w:sz w:val="14"/>
                <w:szCs w:val="14"/>
                <w:color w:val="auto"/>
              </w:rPr>
              <w:t>Tiffany &amp; Co.</w:t>
            </w:r>
          </w:p>
        </w:tc>
      </w:tr>
      <w:tr>
        <w:trPr>
          <w:trHeight w:val="211"/>
        </w:trPr>
        <w:tc>
          <w:tcPr>
            <w:tcW w:w="322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Penn National Gaming, Inc.</w:t>
            </w:r>
          </w:p>
        </w:tc>
        <w:tc>
          <w:tcPr>
            <w:tcW w:w="3960" w:type="dxa"/>
            <w:vAlign w:val="bottom"/>
            <w:tcBorders>
              <w:top w:val="single" w:sz="8" w:color="D1CDCA"/>
            </w:tcBorders>
          </w:tcPr>
          <w:p>
            <w:pPr>
              <w:ind w:left="920"/>
              <w:spacing w:after="0"/>
              <w:rPr>
                <w:sz w:val="20"/>
                <w:szCs w:val="20"/>
                <w:color w:val="auto"/>
              </w:rPr>
            </w:pPr>
            <w:r>
              <w:rPr>
                <w:rFonts w:ascii="Arial" w:cs="Arial" w:eastAsia="Arial" w:hAnsi="Arial"/>
                <w:sz w:val="14"/>
                <w:szCs w:val="14"/>
                <w:color w:val="auto"/>
              </w:rPr>
              <w:t>Hyatt Hotels Corporation</w:t>
            </w:r>
          </w:p>
        </w:tc>
        <w:tc>
          <w:tcPr>
            <w:tcW w:w="3840" w:type="dxa"/>
            <w:vAlign w:val="bottom"/>
            <w:tcBorders>
              <w:top w:val="single" w:sz="8" w:color="D1CDCA"/>
            </w:tcBorders>
          </w:tcPr>
          <w:p>
            <w:pPr>
              <w:ind w:left="540"/>
              <w:spacing w:after="0"/>
              <w:rPr>
                <w:sz w:val="20"/>
                <w:szCs w:val="20"/>
                <w:color w:val="auto"/>
              </w:rPr>
            </w:pPr>
            <w:r>
              <w:rPr>
                <w:rFonts w:ascii="Arial" w:cs="Arial" w:eastAsia="Arial" w:hAnsi="Arial"/>
                <w:sz w:val="14"/>
                <w:szCs w:val="14"/>
                <w:color w:val="auto"/>
              </w:rPr>
              <w:t>The Estée Lauder Companies Inc.</w:t>
            </w:r>
          </w:p>
        </w:tc>
      </w:tr>
      <w:tr>
        <w:trPr>
          <w:trHeight w:val="39"/>
        </w:trPr>
        <w:tc>
          <w:tcPr>
            <w:tcW w:w="3220" w:type="dxa"/>
            <w:vAlign w:val="bottom"/>
            <w:tcBorders>
              <w:bottom w:val="single" w:sz="8" w:color="D1CDCA"/>
            </w:tcBorders>
          </w:tcPr>
          <w:p>
            <w:pPr>
              <w:spacing w:after="0"/>
              <w:rPr>
                <w:sz w:val="3"/>
                <w:szCs w:val="3"/>
                <w:color w:val="auto"/>
              </w:rPr>
            </w:pPr>
          </w:p>
        </w:tc>
        <w:tc>
          <w:tcPr>
            <w:tcW w:w="3960" w:type="dxa"/>
            <w:vAlign w:val="bottom"/>
            <w:tcBorders>
              <w:bottom w:val="single" w:sz="8" w:color="D1CDCA"/>
            </w:tcBorders>
          </w:tcPr>
          <w:p>
            <w:pPr>
              <w:spacing w:after="0"/>
              <w:rPr>
                <w:sz w:val="3"/>
                <w:szCs w:val="3"/>
                <w:color w:val="auto"/>
              </w:rPr>
            </w:pPr>
          </w:p>
        </w:tc>
        <w:tc>
          <w:tcPr>
            <w:tcW w:w="3840" w:type="dxa"/>
            <w:vAlign w:val="bottom"/>
            <w:tcBorders>
              <w:bottom w:val="single" w:sz="8" w:color="D1CDCA"/>
            </w:tcBorders>
          </w:tcPr>
          <w:p>
            <w:pPr>
              <w:spacing w:after="0"/>
              <w:rPr>
                <w:sz w:val="3"/>
                <w:szCs w:val="3"/>
                <w:color w:val="auto"/>
              </w:rPr>
            </w:pPr>
          </w:p>
        </w:tc>
      </w:tr>
      <w:tr>
        <w:trPr>
          <w:trHeight w:val="255"/>
        </w:trPr>
        <w:tc>
          <w:tcPr>
            <w:tcW w:w="322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Gaming &amp; Leisure Properties, Inc.</w:t>
            </w:r>
          </w:p>
        </w:tc>
        <w:tc>
          <w:tcPr>
            <w:tcW w:w="3960" w:type="dxa"/>
            <w:vAlign w:val="bottom"/>
            <w:tcBorders>
              <w:bottom w:val="single" w:sz="8" w:color="F7F7E5"/>
            </w:tcBorders>
            <w:shd w:val="clear" w:color="auto" w:fill="F7F7E5"/>
          </w:tcPr>
          <w:p>
            <w:pPr>
              <w:ind w:left="920"/>
              <w:spacing w:after="0"/>
              <w:rPr>
                <w:sz w:val="20"/>
                <w:szCs w:val="20"/>
                <w:color w:val="auto"/>
              </w:rPr>
            </w:pPr>
            <w:r>
              <w:rPr>
                <w:rFonts w:ascii="Arial" w:cs="Arial" w:eastAsia="Arial" w:hAnsi="Arial"/>
                <w:sz w:val="14"/>
                <w:szCs w:val="14"/>
                <w:color w:val="auto"/>
              </w:rPr>
              <w:t>Hilton Worldwide Holdings Inc.</w:t>
            </w:r>
          </w:p>
        </w:tc>
        <w:tc>
          <w:tcPr>
            <w:tcW w:w="3840" w:type="dxa"/>
            <w:vAlign w:val="bottom"/>
            <w:tcBorders>
              <w:bottom w:val="single" w:sz="8" w:color="F7F7E5"/>
            </w:tcBorders>
            <w:shd w:val="clear" w:color="auto" w:fill="F7F7E5"/>
          </w:tcPr>
          <w:p>
            <w:pPr>
              <w:spacing w:after="0"/>
              <w:rPr>
                <w:sz w:val="21"/>
                <w:szCs w:val="21"/>
                <w:color w:val="auto"/>
              </w:rPr>
            </w:pPr>
          </w:p>
        </w:tc>
      </w:tr>
      <w:tr>
        <w:trPr>
          <w:trHeight w:val="211"/>
        </w:trPr>
        <w:tc>
          <w:tcPr>
            <w:tcW w:w="3220" w:type="dxa"/>
            <w:vAlign w:val="bottom"/>
            <w:tcBorders>
              <w:top w:val="single" w:sz="8" w:color="D1CDCA"/>
            </w:tcBorders>
          </w:tcPr>
          <w:p>
            <w:pPr>
              <w:spacing w:after="0"/>
              <w:rPr>
                <w:sz w:val="18"/>
                <w:szCs w:val="18"/>
                <w:color w:val="auto"/>
              </w:rPr>
            </w:pPr>
          </w:p>
        </w:tc>
        <w:tc>
          <w:tcPr>
            <w:tcW w:w="3960" w:type="dxa"/>
            <w:vAlign w:val="bottom"/>
            <w:tcBorders>
              <w:top w:val="single" w:sz="8" w:color="D1CDCA"/>
            </w:tcBorders>
          </w:tcPr>
          <w:p>
            <w:pPr>
              <w:ind w:left="920"/>
              <w:spacing w:after="0"/>
              <w:rPr>
                <w:sz w:val="20"/>
                <w:szCs w:val="20"/>
                <w:color w:val="auto"/>
              </w:rPr>
            </w:pPr>
            <w:r>
              <w:rPr>
                <w:rFonts w:ascii="Arial" w:cs="Arial" w:eastAsia="Arial" w:hAnsi="Arial"/>
                <w:sz w:val="14"/>
                <w:szCs w:val="14"/>
                <w:color w:val="auto"/>
              </w:rPr>
              <w:t>Norwegian Cruise Line Holdings Ltd</w:t>
            </w:r>
          </w:p>
        </w:tc>
        <w:tc>
          <w:tcPr>
            <w:tcW w:w="3840" w:type="dxa"/>
            <w:vAlign w:val="bottom"/>
            <w:tcBorders>
              <w:top w:val="single" w:sz="8" w:color="D1CDCA"/>
            </w:tcBorders>
          </w:tcPr>
          <w:p>
            <w:pPr>
              <w:spacing w:after="0"/>
              <w:rPr>
                <w:sz w:val="18"/>
                <w:szCs w:val="18"/>
                <w:color w:val="auto"/>
              </w:rPr>
            </w:pPr>
          </w:p>
        </w:tc>
      </w:tr>
      <w:tr>
        <w:trPr>
          <w:trHeight w:val="80"/>
        </w:trPr>
        <w:tc>
          <w:tcPr>
            <w:tcW w:w="3220" w:type="dxa"/>
            <w:vAlign w:val="bottom"/>
            <w:tcBorders>
              <w:bottom w:val="single" w:sz="8" w:color="D1CDCA"/>
            </w:tcBorders>
          </w:tcPr>
          <w:p>
            <w:pPr>
              <w:spacing w:after="0"/>
              <w:rPr>
                <w:sz w:val="6"/>
                <w:szCs w:val="6"/>
                <w:color w:val="auto"/>
              </w:rPr>
            </w:pPr>
          </w:p>
        </w:tc>
        <w:tc>
          <w:tcPr>
            <w:tcW w:w="3960" w:type="dxa"/>
            <w:vAlign w:val="bottom"/>
            <w:tcBorders>
              <w:bottom w:val="single" w:sz="8" w:color="D1CDCA"/>
            </w:tcBorders>
          </w:tcPr>
          <w:p>
            <w:pPr>
              <w:spacing w:after="0"/>
              <w:rPr>
                <w:sz w:val="6"/>
                <w:szCs w:val="6"/>
                <w:color w:val="auto"/>
              </w:rPr>
            </w:pPr>
          </w:p>
        </w:tc>
        <w:tc>
          <w:tcPr>
            <w:tcW w:w="3840" w:type="dxa"/>
            <w:vAlign w:val="bottom"/>
            <w:tcBorders>
              <w:bottom w:val="single" w:sz="8" w:color="D1CDCA"/>
            </w:tcBorders>
          </w:tcPr>
          <w:p>
            <w:pPr>
              <w:spacing w:after="0"/>
              <w:rPr>
                <w:sz w:val="6"/>
                <w:szCs w:val="6"/>
                <w:color w:val="auto"/>
              </w:rPr>
            </w:pPr>
          </w:p>
        </w:tc>
      </w:tr>
    </w:tbl>
    <w:p>
      <w:pPr>
        <w:spacing w:after="0" w:line="218" w:lineRule="exact"/>
        <w:rPr>
          <w:sz w:val="20"/>
          <w:szCs w:val="20"/>
          <w:color w:val="auto"/>
        </w:rPr>
      </w:pPr>
    </w:p>
    <w:p>
      <w:pPr>
        <w:ind w:left="200" w:right="460"/>
        <w:spacing w:after="0" w:line="260" w:lineRule="auto"/>
        <w:rPr>
          <w:sz w:val="20"/>
          <w:szCs w:val="20"/>
          <w:color w:val="auto"/>
        </w:rPr>
      </w:pPr>
      <w:r>
        <w:rPr>
          <w:rFonts w:ascii="Arial" w:cs="Arial" w:eastAsia="Arial" w:hAnsi="Arial"/>
          <w:sz w:val="16"/>
          <w:szCs w:val="16"/>
          <w:color w:val="auto"/>
        </w:rPr>
        <w:t>The 15 companies in the peer group generally had revenue, market capitalization and total enterprise value (as of December 31, 2017) in a relevant range around those of the Company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140335</wp:posOffset>
            </wp:positionV>
            <wp:extent cx="6997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3380" w:type="dxa"/>
            <w:vAlign w:val="bottom"/>
          </w:tcPr>
          <w:p>
            <w:pPr>
              <w:ind w:left="1000"/>
              <w:spacing w:after="0"/>
              <w:rPr>
                <w:sz w:val="20"/>
                <w:szCs w:val="20"/>
                <w:color w:val="auto"/>
              </w:rPr>
            </w:pPr>
            <w:r>
              <w:rPr>
                <w:rFonts w:ascii="Arial" w:cs="Arial" w:eastAsia="Arial" w:hAnsi="Arial"/>
                <w:sz w:val="14"/>
                <w:szCs w:val="14"/>
                <w:b w:val="1"/>
                <w:bCs w:val="1"/>
                <w:color w:val="665B4F"/>
              </w:rPr>
              <w:t>WYNN RESORTS</w:t>
            </w:r>
          </w:p>
        </w:tc>
        <w:tc>
          <w:tcPr>
            <w:tcW w:w="4480" w:type="dxa"/>
            <w:vAlign w:val="bottom"/>
            <w:gridSpan w:val="2"/>
          </w:tcPr>
          <w:p>
            <w:pPr>
              <w:jc w:val="center"/>
              <w:ind w:right="988"/>
              <w:spacing w:after="0"/>
              <w:rPr>
                <w:sz w:val="20"/>
                <w:szCs w:val="20"/>
                <w:color w:val="auto"/>
              </w:rPr>
            </w:pPr>
            <w:r>
              <w:rPr>
                <w:rFonts w:ascii="Arial" w:cs="Arial" w:eastAsia="Arial" w:hAnsi="Arial"/>
                <w:sz w:val="14"/>
                <w:szCs w:val="14"/>
                <w:b w:val="1"/>
                <w:bCs w:val="1"/>
                <w:color w:val="665B4F"/>
              </w:rPr>
              <w:t>PEER GROUP</w:t>
            </w:r>
          </w:p>
        </w:tc>
      </w:tr>
      <w:tr>
        <w:trPr>
          <w:trHeight w:val="39"/>
        </w:trPr>
        <w:tc>
          <w:tcPr>
            <w:tcW w:w="3160" w:type="dxa"/>
            <w:vAlign w:val="bottom"/>
            <w:tcBorders>
              <w:bottom w:val="single" w:sz="8" w:color="D1CDCA"/>
            </w:tcBorders>
          </w:tcPr>
          <w:p>
            <w:pPr>
              <w:spacing w:after="0"/>
              <w:rPr>
                <w:sz w:val="3"/>
                <w:szCs w:val="3"/>
                <w:color w:val="auto"/>
              </w:rPr>
            </w:pPr>
          </w:p>
        </w:tc>
        <w:tc>
          <w:tcPr>
            <w:tcW w:w="3380" w:type="dxa"/>
            <w:vAlign w:val="bottom"/>
            <w:tcBorders>
              <w:bottom w:val="single" w:sz="8" w:color="D1CDCA"/>
            </w:tcBorders>
          </w:tcPr>
          <w:p>
            <w:pPr>
              <w:spacing w:after="0"/>
              <w:rPr>
                <w:sz w:val="3"/>
                <w:szCs w:val="3"/>
                <w:color w:val="auto"/>
              </w:rPr>
            </w:pPr>
          </w:p>
        </w:tc>
        <w:tc>
          <w:tcPr>
            <w:tcW w:w="2060" w:type="dxa"/>
            <w:vAlign w:val="bottom"/>
            <w:tcBorders>
              <w:bottom w:val="single" w:sz="8" w:color="D1CDCA"/>
            </w:tcBorders>
          </w:tcPr>
          <w:p>
            <w:pPr>
              <w:spacing w:after="0"/>
              <w:rPr>
                <w:sz w:val="3"/>
                <w:szCs w:val="3"/>
                <w:color w:val="auto"/>
              </w:rPr>
            </w:pPr>
          </w:p>
        </w:tc>
        <w:tc>
          <w:tcPr>
            <w:tcW w:w="2420" w:type="dxa"/>
            <w:vAlign w:val="bottom"/>
            <w:tcBorders>
              <w:bottom w:val="single" w:sz="8" w:color="D1CDCA"/>
            </w:tcBorders>
          </w:tcPr>
          <w:p>
            <w:pPr>
              <w:spacing w:after="0"/>
              <w:rPr>
                <w:sz w:val="3"/>
                <w:szCs w:val="3"/>
                <w:color w:val="auto"/>
              </w:rPr>
            </w:pPr>
          </w:p>
        </w:tc>
      </w:tr>
      <w:tr>
        <w:trPr>
          <w:trHeight w:val="210"/>
        </w:trPr>
        <w:tc>
          <w:tcPr>
            <w:tcW w:w="316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Revenue</w:t>
            </w:r>
          </w:p>
        </w:tc>
        <w:tc>
          <w:tcPr>
            <w:tcW w:w="3380" w:type="dxa"/>
            <w:vAlign w:val="bottom"/>
            <w:tcBorders>
              <w:bottom w:val="single" w:sz="8" w:color="D1CDCA"/>
            </w:tcBorders>
            <w:shd w:val="clear" w:color="auto" w:fill="F7F7E5"/>
          </w:tcPr>
          <w:p>
            <w:pPr>
              <w:ind w:left="1340"/>
              <w:spacing w:after="0"/>
              <w:rPr>
                <w:sz w:val="20"/>
                <w:szCs w:val="20"/>
                <w:color w:val="auto"/>
              </w:rPr>
            </w:pPr>
            <w:r>
              <w:rPr>
                <w:rFonts w:ascii="Arial" w:cs="Arial" w:eastAsia="Arial" w:hAnsi="Arial"/>
                <w:sz w:val="14"/>
                <w:szCs w:val="14"/>
                <w:color w:val="auto"/>
              </w:rPr>
              <w:t>$ 6.3 billion</w:t>
            </w:r>
          </w:p>
        </w:tc>
        <w:tc>
          <w:tcPr>
            <w:tcW w:w="2060" w:type="dxa"/>
            <w:vAlign w:val="bottom"/>
            <w:tcBorders>
              <w:bottom w:val="single" w:sz="8" w:color="D1CDCA"/>
            </w:tcBorders>
            <w:shd w:val="clear" w:color="auto" w:fill="F7F7E5"/>
          </w:tcPr>
          <w:p>
            <w:pPr>
              <w:jc w:val="center"/>
              <w:ind w:left="1308"/>
              <w:spacing w:after="0"/>
              <w:rPr>
                <w:sz w:val="20"/>
                <w:szCs w:val="20"/>
                <w:color w:val="auto"/>
              </w:rPr>
            </w:pPr>
            <w:r>
              <w:rPr>
                <w:rFonts w:ascii="Arial" w:cs="Arial" w:eastAsia="Arial" w:hAnsi="Arial"/>
                <w:sz w:val="14"/>
                <w:szCs w:val="14"/>
                <w:color w:val="auto"/>
              </w:rPr>
              <w:t>Range:</w:t>
            </w:r>
          </w:p>
        </w:tc>
        <w:tc>
          <w:tcPr>
            <w:tcW w:w="2420" w:type="dxa"/>
            <w:vAlign w:val="bottom"/>
            <w:tcBorders>
              <w:bottom w:val="single" w:sz="8" w:color="D1CDCA"/>
            </w:tcBorders>
            <w:shd w:val="clear" w:color="auto" w:fill="F7F7E5"/>
          </w:tcPr>
          <w:p>
            <w:pPr>
              <w:ind w:left="100"/>
              <w:spacing w:after="0"/>
              <w:rPr>
                <w:sz w:val="20"/>
                <w:szCs w:val="20"/>
                <w:color w:val="auto"/>
              </w:rPr>
            </w:pPr>
            <w:r>
              <w:rPr>
                <w:rFonts w:ascii="Arial" w:cs="Arial" w:eastAsia="Arial" w:hAnsi="Arial"/>
                <w:sz w:val="14"/>
                <w:szCs w:val="14"/>
                <w:color w:val="auto"/>
              </w:rPr>
              <w:t>$1.0 billion—$22.9 billion</w:t>
            </w:r>
          </w:p>
        </w:tc>
      </w:tr>
      <w:tr>
        <w:trPr>
          <w:trHeight w:val="215"/>
        </w:trPr>
        <w:tc>
          <w:tcPr>
            <w:tcW w:w="3160" w:type="dxa"/>
            <w:vAlign w:val="bottom"/>
            <w:tcBorders>
              <w:bottom w:val="single" w:sz="8" w:color="F7F7E5"/>
            </w:tcBorders>
            <w:shd w:val="clear" w:color="auto" w:fill="F7F7E5"/>
          </w:tcPr>
          <w:p>
            <w:pPr>
              <w:spacing w:after="0"/>
              <w:rPr>
                <w:sz w:val="18"/>
                <w:szCs w:val="18"/>
                <w:color w:val="auto"/>
              </w:rPr>
            </w:pPr>
          </w:p>
        </w:tc>
        <w:tc>
          <w:tcPr>
            <w:tcW w:w="3380" w:type="dxa"/>
            <w:vAlign w:val="bottom"/>
            <w:tcBorders>
              <w:bottom w:val="single" w:sz="8" w:color="F7F7E5"/>
            </w:tcBorders>
            <w:shd w:val="clear" w:color="auto" w:fill="F7F7E5"/>
          </w:tcPr>
          <w:p>
            <w:pPr>
              <w:spacing w:after="0"/>
              <w:rPr>
                <w:sz w:val="18"/>
                <w:szCs w:val="18"/>
                <w:color w:val="auto"/>
              </w:rPr>
            </w:pPr>
          </w:p>
        </w:tc>
        <w:tc>
          <w:tcPr>
            <w:tcW w:w="2060" w:type="dxa"/>
            <w:vAlign w:val="bottom"/>
            <w:tcBorders>
              <w:bottom w:val="single" w:sz="8" w:color="F7F7E5"/>
            </w:tcBorders>
            <w:shd w:val="clear" w:color="auto" w:fill="F7F7E5"/>
          </w:tcPr>
          <w:p>
            <w:pPr>
              <w:jc w:val="center"/>
              <w:ind w:left="1268"/>
              <w:spacing w:after="0"/>
              <w:rPr>
                <w:sz w:val="20"/>
                <w:szCs w:val="20"/>
                <w:color w:val="auto"/>
              </w:rPr>
            </w:pPr>
            <w:r>
              <w:rPr>
                <w:rFonts w:ascii="Arial" w:cs="Arial" w:eastAsia="Arial" w:hAnsi="Arial"/>
                <w:sz w:val="14"/>
                <w:szCs w:val="14"/>
                <w:color w:val="auto"/>
              </w:rPr>
              <w:t>Median:</w:t>
            </w:r>
          </w:p>
        </w:tc>
        <w:tc>
          <w:tcPr>
            <w:tcW w:w="2420" w:type="dxa"/>
            <w:vAlign w:val="bottom"/>
            <w:tcBorders>
              <w:bottom w:val="single" w:sz="8" w:color="F7F7E5"/>
            </w:tcBorders>
            <w:shd w:val="clear" w:color="auto" w:fill="F7F7E5"/>
          </w:tcPr>
          <w:p>
            <w:pPr>
              <w:ind w:left="100"/>
              <w:spacing w:after="0"/>
              <w:rPr>
                <w:sz w:val="20"/>
                <w:szCs w:val="20"/>
                <w:color w:val="auto"/>
              </w:rPr>
            </w:pPr>
            <w:r>
              <w:rPr>
                <w:rFonts w:ascii="Arial" w:cs="Arial" w:eastAsia="Arial" w:hAnsi="Arial"/>
                <w:sz w:val="14"/>
                <w:szCs w:val="14"/>
                <w:color w:val="auto"/>
              </w:rPr>
              <w:t>$5.7 billion</w:t>
            </w:r>
          </w:p>
        </w:tc>
      </w:tr>
      <w:tr>
        <w:trPr>
          <w:trHeight w:val="210"/>
        </w:trPr>
        <w:tc>
          <w:tcPr>
            <w:tcW w:w="3160" w:type="dxa"/>
            <w:vAlign w:val="bottom"/>
            <w:tcBorders>
              <w:top w:val="single" w:sz="8" w:color="D1CDCA"/>
              <w:bottom w:val="single" w:sz="8" w:color="D1CDCA"/>
            </w:tcBorders>
          </w:tcPr>
          <w:p>
            <w:pPr>
              <w:ind w:left="60"/>
              <w:spacing w:after="0"/>
              <w:rPr>
                <w:sz w:val="20"/>
                <w:szCs w:val="20"/>
                <w:color w:val="auto"/>
              </w:rPr>
            </w:pPr>
            <w:r>
              <w:rPr>
                <w:rFonts w:ascii="Arial" w:cs="Arial" w:eastAsia="Arial" w:hAnsi="Arial"/>
                <w:sz w:val="14"/>
                <w:szCs w:val="14"/>
                <w:color w:val="auto"/>
              </w:rPr>
              <w:t>Market Capitalization</w:t>
            </w:r>
          </w:p>
        </w:tc>
        <w:tc>
          <w:tcPr>
            <w:tcW w:w="3380" w:type="dxa"/>
            <w:vAlign w:val="bottom"/>
            <w:tcBorders>
              <w:top w:val="single" w:sz="8" w:color="D1CDCA"/>
              <w:bottom w:val="single" w:sz="8" w:color="D1CDCA"/>
            </w:tcBorders>
          </w:tcPr>
          <w:p>
            <w:pPr>
              <w:ind w:left="1280"/>
              <w:spacing w:after="0"/>
              <w:rPr>
                <w:sz w:val="20"/>
                <w:szCs w:val="20"/>
                <w:color w:val="auto"/>
              </w:rPr>
            </w:pPr>
            <w:r>
              <w:rPr>
                <w:rFonts w:ascii="Arial" w:cs="Arial" w:eastAsia="Arial" w:hAnsi="Arial"/>
                <w:sz w:val="14"/>
                <w:szCs w:val="14"/>
                <w:color w:val="auto"/>
              </w:rPr>
              <w:t>$19.7 billion</w:t>
            </w:r>
          </w:p>
        </w:tc>
        <w:tc>
          <w:tcPr>
            <w:tcW w:w="2060" w:type="dxa"/>
            <w:vAlign w:val="bottom"/>
            <w:tcBorders>
              <w:top w:val="single" w:sz="8" w:color="D1CDCA"/>
              <w:bottom w:val="single" w:sz="8" w:color="D1CDCA"/>
            </w:tcBorders>
          </w:tcPr>
          <w:p>
            <w:pPr>
              <w:jc w:val="center"/>
              <w:ind w:left="1308"/>
              <w:spacing w:after="0"/>
              <w:rPr>
                <w:sz w:val="20"/>
                <w:szCs w:val="20"/>
                <w:color w:val="auto"/>
              </w:rPr>
            </w:pPr>
            <w:r>
              <w:rPr>
                <w:rFonts w:ascii="Arial" w:cs="Arial" w:eastAsia="Arial" w:hAnsi="Arial"/>
                <w:sz w:val="14"/>
                <w:szCs w:val="14"/>
                <w:color w:val="auto"/>
              </w:rPr>
              <w:t>Range:</w:t>
            </w:r>
          </w:p>
        </w:tc>
        <w:tc>
          <w:tcPr>
            <w:tcW w:w="2420" w:type="dxa"/>
            <w:vAlign w:val="bottom"/>
            <w:tcBorders>
              <w:top w:val="single" w:sz="8" w:color="D1CDCA"/>
              <w:bottom w:val="single" w:sz="8" w:color="D1CDCA"/>
            </w:tcBorders>
          </w:tcPr>
          <w:p>
            <w:pPr>
              <w:ind w:left="100"/>
              <w:spacing w:after="0"/>
              <w:rPr>
                <w:sz w:val="20"/>
                <w:szCs w:val="20"/>
                <w:color w:val="auto"/>
              </w:rPr>
            </w:pPr>
            <w:r>
              <w:rPr>
                <w:rFonts w:ascii="Arial" w:cs="Arial" w:eastAsia="Arial" w:hAnsi="Arial"/>
                <w:sz w:val="14"/>
                <w:szCs w:val="14"/>
                <w:color w:val="auto"/>
              </w:rPr>
              <w:t>$2.9 billion—$54.9 billion</w:t>
            </w:r>
          </w:p>
        </w:tc>
      </w:tr>
      <w:tr>
        <w:trPr>
          <w:trHeight w:val="171"/>
        </w:trPr>
        <w:tc>
          <w:tcPr>
            <w:tcW w:w="3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60" w:type="dxa"/>
            <w:vAlign w:val="bottom"/>
          </w:tcPr>
          <w:p>
            <w:pPr>
              <w:jc w:val="center"/>
              <w:ind w:left="1268"/>
              <w:spacing w:after="0"/>
              <w:rPr>
                <w:sz w:val="20"/>
                <w:szCs w:val="20"/>
                <w:color w:val="auto"/>
              </w:rPr>
            </w:pPr>
            <w:r>
              <w:rPr>
                <w:rFonts w:ascii="Arial" w:cs="Arial" w:eastAsia="Arial" w:hAnsi="Arial"/>
                <w:sz w:val="14"/>
                <w:szCs w:val="14"/>
                <w:color w:val="auto"/>
              </w:rPr>
              <w:t>Median:</w:t>
            </w:r>
          </w:p>
        </w:tc>
        <w:tc>
          <w:tcPr>
            <w:tcW w:w="2420" w:type="dxa"/>
            <w:vAlign w:val="bottom"/>
          </w:tcPr>
          <w:p>
            <w:pPr>
              <w:ind w:left="100"/>
              <w:spacing w:after="0"/>
              <w:rPr>
                <w:sz w:val="20"/>
                <w:szCs w:val="20"/>
                <w:color w:val="auto"/>
              </w:rPr>
            </w:pPr>
            <w:r>
              <w:rPr>
                <w:rFonts w:ascii="Arial" w:cs="Arial" w:eastAsia="Arial" w:hAnsi="Arial"/>
                <w:sz w:val="14"/>
                <w:szCs w:val="14"/>
                <w:color w:val="auto"/>
              </w:rPr>
              <w:t>$12.6 billion</w:t>
            </w:r>
          </w:p>
        </w:tc>
      </w:tr>
      <w:tr>
        <w:trPr>
          <w:trHeight w:val="39"/>
        </w:trPr>
        <w:tc>
          <w:tcPr>
            <w:tcW w:w="3160" w:type="dxa"/>
            <w:vAlign w:val="bottom"/>
            <w:tcBorders>
              <w:bottom w:val="single" w:sz="8" w:color="D1CDCA"/>
            </w:tcBorders>
          </w:tcPr>
          <w:p>
            <w:pPr>
              <w:spacing w:after="0"/>
              <w:rPr>
                <w:sz w:val="3"/>
                <w:szCs w:val="3"/>
                <w:color w:val="auto"/>
              </w:rPr>
            </w:pPr>
          </w:p>
        </w:tc>
        <w:tc>
          <w:tcPr>
            <w:tcW w:w="3380" w:type="dxa"/>
            <w:vAlign w:val="bottom"/>
            <w:tcBorders>
              <w:bottom w:val="single" w:sz="8" w:color="D1CDCA"/>
            </w:tcBorders>
          </w:tcPr>
          <w:p>
            <w:pPr>
              <w:spacing w:after="0"/>
              <w:rPr>
                <w:sz w:val="3"/>
                <w:szCs w:val="3"/>
                <w:color w:val="auto"/>
              </w:rPr>
            </w:pPr>
          </w:p>
        </w:tc>
        <w:tc>
          <w:tcPr>
            <w:tcW w:w="2060" w:type="dxa"/>
            <w:vAlign w:val="bottom"/>
            <w:tcBorders>
              <w:bottom w:val="single" w:sz="8" w:color="D1CDCA"/>
            </w:tcBorders>
          </w:tcPr>
          <w:p>
            <w:pPr>
              <w:spacing w:after="0"/>
              <w:rPr>
                <w:sz w:val="3"/>
                <w:szCs w:val="3"/>
                <w:color w:val="auto"/>
              </w:rPr>
            </w:pPr>
          </w:p>
        </w:tc>
        <w:tc>
          <w:tcPr>
            <w:tcW w:w="2420" w:type="dxa"/>
            <w:vAlign w:val="bottom"/>
            <w:tcBorders>
              <w:bottom w:val="single" w:sz="8" w:color="D1CDCA"/>
            </w:tcBorders>
          </w:tcPr>
          <w:p>
            <w:pPr>
              <w:spacing w:after="0"/>
              <w:rPr>
                <w:sz w:val="3"/>
                <w:szCs w:val="3"/>
                <w:color w:val="auto"/>
              </w:rPr>
            </w:pPr>
          </w:p>
        </w:tc>
      </w:tr>
      <w:tr>
        <w:trPr>
          <w:trHeight w:val="210"/>
        </w:trPr>
        <w:tc>
          <w:tcPr>
            <w:tcW w:w="316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Enterprise Value</w:t>
            </w:r>
          </w:p>
        </w:tc>
        <w:tc>
          <w:tcPr>
            <w:tcW w:w="3380" w:type="dxa"/>
            <w:vAlign w:val="bottom"/>
            <w:tcBorders>
              <w:bottom w:val="single" w:sz="8" w:color="D1CDCA"/>
            </w:tcBorders>
            <w:shd w:val="clear" w:color="auto" w:fill="F7F7E5"/>
          </w:tcPr>
          <w:p>
            <w:pPr>
              <w:ind w:left="1280"/>
              <w:spacing w:after="0"/>
              <w:rPr>
                <w:sz w:val="20"/>
                <w:szCs w:val="20"/>
                <w:color w:val="auto"/>
              </w:rPr>
            </w:pPr>
            <w:r>
              <w:rPr>
                <w:rFonts w:ascii="Arial" w:cs="Arial" w:eastAsia="Arial" w:hAnsi="Arial"/>
                <w:sz w:val="14"/>
                <w:szCs w:val="14"/>
                <w:color w:val="auto"/>
              </w:rPr>
              <w:t>$26.5 billion</w:t>
            </w:r>
          </w:p>
        </w:tc>
        <w:tc>
          <w:tcPr>
            <w:tcW w:w="2060" w:type="dxa"/>
            <w:vAlign w:val="bottom"/>
            <w:tcBorders>
              <w:bottom w:val="single" w:sz="8" w:color="D1CDCA"/>
            </w:tcBorders>
            <w:shd w:val="clear" w:color="auto" w:fill="F7F7E5"/>
          </w:tcPr>
          <w:p>
            <w:pPr>
              <w:jc w:val="center"/>
              <w:ind w:left="1308"/>
              <w:spacing w:after="0"/>
              <w:rPr>
                <w:sz w:val="20"/>
                <w:szCs w:val="20"/>
                <w:color w:val="auto"/>
              </w:rPr>
            </w:pPr>
            <w:r>
              <w:rPr>
                <w:rFonts w:ascii="Arial" w:cs="Arial" w:eastAsia="Arial" w:hAnsi="Arial"/>
                <w:sz w:val="14"/>
                <w:szCs w:val="14"/>
                <w:color w:val="auto"/>
              </w:rPr>
              <w:t>Range:</w:t>
            </w:r>
          </w:p>
        </w:tc>
        <w:tc>
          <w:tcPr>
            <w:tcW w:w="2420" w:type="dxa"/>
            <w:vAlign w:val="bottom"/>
            <w:tcBorders>
              <w:bottom w:val="single" w:sz="8" w:color="D1CDCA"/>
            </w:tcBorders>
            <w:shd w:val="clear" w:color="auto" w:fill="F7F7E5"/>
          </w:tcPr>
          <w:p>
            <w:pPr>
              <w:ind w:left="100"/>
              <w:spacing w:after="0"/>
              <w:rPr>
                <w:sz w:val="20"/>
                <w:szCs w:val="20"/>
                <w:color w:val="auto"/>
              </w:rPr>
            </w:pPr>
            <w:r>
              <w:rPr>
                <w:rFonts w:ascii="Arial" w:cs="Arial" w:eastAsia="Arial" w:hAnsi="Arial"/>
                <w:sz w:val="14"/>
                <w:szCs w:val="14"/>
                <w:color w:val="auto"/>
              </w:rPr>
              <w:t>$7.2 billion—$63.3 billion</w:t>
            </w:r>
          </w:p>
        </w:tc>
      </w:tr>
      <w:tr>
        <w:trPr>
          <w:trHeight w:val="190"/>
        </w:trPr>
        <w:tc>
          <w:tcPr>
            <w:tcW w:w="3160" w:type="dxa"/>
            <w:vAlign w:val="bottom"/>
            <w:tcBorders>
              <w:bottom w:val="single" w:sz="8" w:color="F7F7E5"/>
            </w:tcBorders>
            <w:shd w:val="clear" w:color="auto" w:fill="F7F7E5"/>
          </w:tcPr>
          <w:p>
            <w:pPr>
              <w:spacing w:after="0"/>
              <w:rPr>
                <w:sz w:val="16"/>
                <w:szCs w:val="16"/>
                <w:color w:val="auto"/>
              </w:rPr>
            </w:pPr>
          </w:p>
        </w:tc>
        <w:tc>
          <w:tcPr>
            <w:tcW w:w="3380" w:type="dxa"/>
            <w:vAlign w:val="bottom"/>
            <w:tcBorders>
              <w:bottom w:val="single" w:sz="8" w:color="F7F7E5"/>
            </w:tcBorders>
            <w:shd w:val="clear" w:color="auto" w:fill="F7F7E5"/>
          </w:tcPr>
          <w:p>
            <w:pPr>
              <w:spacing w:after="0"/>
              <w:rPr>
                <w:sz w:val="16"/>
                <w:szCs w:val="16"/>
                <w:color w:val="auto"/>
              </w:rPr>
            </w:pPr>
          </w:p>
        </w:tc>
        <w:tc>
          <w:tcPr>
            <w:tcW w:w="2060" w:type="dxa"/>
            <w:vAlign w:val="bottom"/>
            <w:tcBorders>
              <w:bottom w:val="single" w:sz="8" w:color="F7F7E5"/>
            </w:tcBorders>
            <w:shd w:val="clear" w:color="auto" w:fill="F7F7E5"/>
          </w:tcPr>
          <w:p>
            <w:pPr>
              <w:jc w:val="center"/>
              <w:ind w:left="1268"/>
              <w:spacing w:after="0"/>
              <w:rPr>
                <w:sz w:val="20"/>
                <w:szCs w:val="20"/>
                <w:color w:val="auto"/>
              </w:rPr>
            </w:pPr>
            <w:r>
              <w:rPr>
                <w:rFonts w:ascii="Arial" w:cs="Arial" w:eastAsia="Arial" w:hAnsi="Arial"/>
                <w:sz w:val="14"/>
                <w:szCs w:val="14"/>
                <w:color w:val="auto"/>
              </w:rPr>
              <w:t>Median:</w:t>
            </w:r>
          </w:p>
        </w:tc>
        <w:tc>
          <w:tcPr>
            <w:tcW w:w="2420" w:type="dxa"/>
            <w:vAlign w:val="bottom"/>
            <w:tcBorders>
              <w:bottom w:val="single" w:sz="8" w:color="F7F7E5"/>
            </w:tcBorders>
            <w:shd w:val="clear" w:color="auto" w:fill="F7F7E5"/>
          </w:tcPr>
          <w:p>
            <w:pPr>
              <w:ind w:left="100"/>
              <w:spacing w:after="0"/>
              <w:rPr>
                <w:sz w:val="20"/>
                <w:szCs w:val="20"/>
                <w:color w:val="auto"/>
              </w:rPr>
            </w:pPr>
            <w:r>
              <w:rPr>
                <w:rFonts w:ascii="Arial" w:cs="Arial" w:eastAsia="Arial" w:hAnsi="Arial"/>
                <w:sz w:val="14"/>
                <w:szCs w:val="14"/>
                <w:color w:val="auto"/>
              </w:rPr>
              <w:t>$15.5 billion</w:t>
            </w:r>
          </w:p>
        </w:tc>
      </w:tr>
      <w:tr>
        <w:trPr>
          <w:trHeight w:val="20"/>
        </w:trPr>
        <w:tc>
          <w:tcPr>
            <w:tcW w:w="3160" w:type="dxa"/>
            <w:vAlign w:val="bottom"/>
            <w:shd w:val="clear" w:color="auto" w:fill="D1CDCA"/>
          </w:tcPr>
          <w:p>
            <w:pPr>
              <w:spacing w:after="0" w:line="20" w:lineRule="exact"/>
              <w:rPr>
                <w:sz w:val="1"/>
                <w:szCs w:val="1"/>
                <w:color w:val="auto"/>
              </w:rPr>
            </w:pPr>
          </w:p>
        </w:tc>
        <w:tc>
          <w:tcPr>
            <w:tcW w:w="3380" w:type="dxa"/>
            <w:vAlign w:val="bottom"/>
            <w:shd w:val="clear" w:color="auto" w:fill="D1CDCA"/>
          </w:tcPr>
          <w:p>
            <w:pPr>
              <w:spacing w:after="0" w:line="20" w:lineRule="exact"/>
              <w:rPr>
                <w:sz w:val="1"/>
                <w:szCs w:val="1"/>
                <w:color w:val="auto"/>
              </w:rPr>
            </w:pPr>
          </w:p>
        </w:tc>
        <w:tc>
          <w:tcPr>
            <w:tcW w:w="2060" w:type="dxa"/>
            <w:vAlign w:val="bottom"/>
            <w:shd w:val="clear" w:color="auto" w:fill="D1CDCA"/>
          </w:tcPr>
          <w:p>
            <w:pPr>
              <w:spacing w:after="0" w:line="20" w:lineRule="exact"/>
              <w:rPr>
                <w:sz w:val="1"/>
                <w:szCs w:val="1"/>
                <w:color w:val="auto"/>
              </w:rPr>
            </w:pPr>
          </w:p>
        </w:tc>
        <w:tc>
          <w:tcPr>
            <w:tcW w:w="2420" w:type="dxa"/>
            <w:vAlign w:val="bottom"/>
            <w:shd w:val="clear" w:color="auto" w:fill="D1CDCA"/>
          </w:tcPr>
          <w:p>
            <w:pPr>
              <w:spacing w:after="0" w:line="20" w:lineRule="exact"/>
              <w:rPr>
                <w:sz w:val="1"/>
                <w:szCs w:val="1"/>
                <w:color w:val="auto"/>
              </w:rPr>
            </w:pP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Data source: Bloomberg.</w:t>
      </w:r>
    </w:p>
    <w:p>
      <w:pPr>
        <w:spacing w:after="0" w:line="204" w:lineRule="exact"/>
        <w:rPr>
          <w:sz w:val="20"/>
          <w:szCs w:val="20"/>
          <w:color w:val="auto"/>
        </w:rPr>
      </w:pPr>
    </w:p>
    <w:p>
      <w:pPr>
        <w:ind w:left="200" w:right="180"/>
        <w:spacing w:after="0" w:line="250" w:lineRule="auto"/>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We have a longstanding practice of entering into multi-year employment agreements with our senior executive officers and</w:t>
      </w:r>
      <w:r>
        <w:rPr>
          <w:rFonts w:ascii="Arial" w:cs="Arial" w:eastAsia="Arial" w:hAnsi="Arial"/>
          <w:sz w:val="16"/>
          <w:szCs w:val="16"/>
          <w:b w:val="1"/>
          <w:bCs w:val="1"/>
          <w:color w:val="auto"/>
        </w:rPr>
        <w:t xml:space="preserve"> </w:t>
      </w:r>
      <w:r>
        <w:rPr>
          <w:rFonts w:ascii="Arial" w:cs="Arial" w:eastAsia="Arial" w:hAnsi="Arial"/>
          <w:sz w:val="16"/>
          <w:szCs w:val="16"/>
          <w:color w:val="auto"/>
        </w:rPr>
        <w:t>senior management. We believe that employment agreements provide greater assurance of continuity and retention of critical creative and operating talent in a highly competitive industry. Employment agreements for our NEOs are approved by the Compensation Committee in consultation with the Compensation Committee’s independent compensation advisors, as needed. The employment agreements for the NEOs currently employed by the Company specify their base salary and provide that if the executive’s employment (i) terminates without cause at the Company’s election, (ii) is terminated by the executive following the Company’s material breach of the agreement or (iii) is terminated by the executive for good reason after a change in control, the executive will receive a separation payment as described in more detail under the heading “Potential Payments Upon Termination or Change in Control.” The employment agreements and the terms of equity awards also provide that vesting of some or all of an executive’s equity awards will accelerate upon such event. The employment agreements provided for an excise tax gross up but the executives subsequently agreed to cancel their right to such gross-up. We believe that providing for these benefits in such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or Change in Control.”</w:t>
      </w:r>
    </w:p>
    <w:p>
      <w:pPr>
        <w:spacing w:after="0" w:line="185" w:lineRule="exact"/>
        <w:rPr>
          <w:sz w:val="20"/>
          <w:szCs w:val="20"/>
          <w:color w:val="auto"/>
        </w:rPr>
      </w:pPr>
    </w:p>
    <w:p>
      <w:pPr>
        <w:ind w:left="200" w:right="120"/>
        <w:spacing w:after="0" w:line="256" w:lineRule="auto"/>
        <w:rPr>
          <w:sz w:val="20"/>
          <w:szCs w:val="20"/>
          <w:color w:val="auto"/>
        </w:rPr>
      </w:pPr>
      <w:r>
        <w:rPr>
          <w:rFonts w:ascii="Arial" w:cs="Arial" w:eastAsia="Arial" w:hAnsi="Arial"/>
          <w:sz w:val="16"/>
          <w:szCs w:val="16"/>
          <w:b w:val="1"/>
          <w:bCs w:val="1"/>
          <w:color w:val="auto"/>
        </w:rPr>
        <w:t xml:space="preserve">Tax Deductibility of Compensation. </w:t>
      </w:r>
      <w:r>
        <w:rPr>
          <w:rFonts w:ascii="Arial" w:cs="Arial" w:eastAsia="Arial" w:hAnsi="Arial"/>
          <w:sz w:val="16"/>
          <w:szCs w:val="16"/>
          <w:color w:val="auto"/>
        </w:rPr>
        <w:t>At the time our Compensation Committee established compensation arrangements for our NEOs for fiscal 2017,</w:t>
      </w:r>
      <w:r>
        <w:rPr>
          <w:rFonts w:ascii="Arial" w:cs="Arial" w:eastAsia="Arial" w:hAnsi="Arial"/>
          <w:sz w:val="16"/>
          <w:szCs w:val="16"/>
          <w:b w:val="1"/>
          <w:bCs w:val="1"/>
          <w:color w:val="auto"/>
        </w:rPr>
        <w:t xml:space="preserve"> </w:t>
      </w:r>
      <w:r>
        <w:rPr>
          <w:rFonts w:ascii="Arial" w:cs="Arial" w:eastAsia="Arial" w:hAnsi="Arial"/>
          <w:sz w:val="16"/>
          <w:szCs w:val="16"/>
          <w:color w:val="auto"/>
        </w:rPr>
        <w:t>Internal Revenue Code Section 162(m) prevented publicly traded companies from receiving a tax deduction on certain compensation paid to the chief executive officer and three other highest-paid executive officers (other than the chief financial officer) in excess of $1,000,000 in any taxable year, unless the compensation qualified as “performance-based.” The Tax Reform Act, among other things, repealed the exception from Section 162(m)’s deduction limit for “performance-based” compensation for taxable years beginning after December 31, 2017.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5" w:lineRule="exact"/>
        <w:rPr>
          <w:sz w:val="20"/>
          <w:szCs w:val="20"/>
          <w:color w:val="auto"/>
        </w:rPr>
      </w:pPr>
    </w:p>
    <w:p>
      <w:pPr>
        <w:ind w:left="8860"/>
        <w:spacing w:after="0"/>
        <w:tabs>
          <w:tab w:leader="none" w:pos="10840" w:val="left"/>
          <w:tab w:leader="none" w:pos="110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32</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COMPENSATION DISCUSSION AND ANALYSIS</w:t>
      </w:r>
    </w:p>
    <w:p>
      <w:pPr>
        <w:spacing w:after="0" w:line="178" w:lineRule="exact"/>
        <w:rPr>
          <w:sz w:val="20"/>
          <w:szCs w:val="20"/>
          <w:color w:val="auto"/>
        </w:rPr>
      </w:pPr>
    </w:p>
    <w:p>
      <w:pPr>
        <w:ind w:left="200" w:right="60"/>
        <w:spacing w:after="0" w:line="250" w:lineRule="auto"/>
        <w:rPr>
          <w:sz w:val="20"/>
          <w:szCs w:val="20"/>
          <w:color w:val="auto"/>
        </w:rPr>
      </w:pPr>
      <w:r>
        <w:rPr>
          <w:rFonts w:ascii="Arial" w:cs="Arial" w:eastAsia="Arial" w:hAnsi="Arial"/>
          <w:sz w:val="16"/>
          <w:szCs w:val="16"/>
          <w:color w:val="auto"/>
        </w:rPr>
        <w:t>Committee will review the Tax Reform Act and its impact on the Company’s executive compensation program. Prior to the Tax Reform Act, the Company generally sought to design and administer some components of executive compensation to allow for tax deductibility when consistent with the overall objectives of the compensation program. However, the Compensation Committee has always maintained the ability to elect to provide non-deductible compensation when it determines that to be advisable to achieve its compensation objectives of attracting or retaining key executives, or where the Compensation Committee determines that achieving maximum tax deductibility would be disadvantageous to the best interests of the Company.</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COMPENSATION COMMITTEE REPORT</w:t>
      </w:r>
    </w:p>
    <w:p>
      <w:pPr>
        <w:spacing w:after="0" w:line="124"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20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Compensation Committee</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 Edward Virtue, Chairman</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John J. Hagenbuch</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Jay L. Johnson</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113665</wp:posOffset>
            </wp:positionV>
            <wp:extent cx="6997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216535</wp:posOffset>
            </wp:positionV>
            <wp:extent cx="608965" cy="274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26"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33</w:t>
        <w:tab/>
        <w:t>|</w:t>
      </w:r>
    </w:p>
    <w:p>
      <w:pPr>
        <w:sectPr>
          <w:pgSz w:w="11900" w:h="16838" w:orient="portrait"/>
          <w:cols w:equalWidth="0" w:num="1">
            <w:col w:w="11160"/>
          </w:cols>
          <w:pgMar w:left="24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240030</wp:posOffset>
            </wp:positionV>
            <wp:extent cx="6800850" cy="8027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00850" cy="802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Arial" w:cs="Arial" w:eastAsia="Arial" w:hAnsi="Arial"/>
          <w:sz w:val="41"/>
          <w:szCs w:val="41"/>
          <w:b w:val="1"/>
          <w:bCs w:val="1"/>
          <w:color w:val="665B4F"/>
        </w:rPr>
        <w:t>EXECUTIVE COMPENSATION TABLES</w:t>
      </w:r>
    </w:p>
    <w:p>
      <w:pPr>
        <w:spacing w:after="0" w:line="200" w:lineRule="exact"/>
        <w:rPr>
          <w:sz w:val="20"/>
          <w:szCs w:val="20"/>
          <w:color w:val="auto"/>
        </w:rPr>
      </w:pPr>
    </w:p>
    <w:p>
      <w:pPr>
        <w:spacing w:after="0" w:line="254"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SUMMARY COMPENSATION TABLE</w:t>
      </w:r>
    </w:p>
    <w:p>
      <w:pPr>
        <w:spacing w:after="0" w:line="124"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The table below summarizes the total compensation awarded to, earned by, or paid to, each of our NEOs</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for the fiscal years ended December 31, 2017, 2016 and 2015. Please note that $19,230,000 and</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$9,615,000 of the amounts shown under “Stock Awards” for 2017 with respect to Mr. Maddox and Ms.</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Sinatra reflects (as required by applicable rules) the full grant date fair value of long-term restricted stock</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grants. These were the first long-term equity incentive awards granted to Mr. Maddox and Ms. Sinatra</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since 2013 and 2014, respectively. The restricted stock awards provided that they would vest in full in</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approximately five years, on November 4, 2021, subject to continued employment. These awards were</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amended in April 2018 to impose performance-vesting conditions as described in “Recent Compensation</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156210</wp:posOffset>
            </wp:positionV>
            <wp:extent cx="48279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spacing w:after="0" w:line="288" w:lineRule="exact"/>
        <w:rPr>
          <w:sz w:val="20"/>
          <w:szCs w:val="20"/>
          <w:color w:val="auto"/>
        </w:rPr>
      </w:pPr>
    </w:p>
    <w:tbl>
      <w:tblPr>
        <w:tblLayout w:type="fixed"/>
        <w:tblInd w:w="3620" w:type="dxa"/>
        <w:tblCellMar>
          <w:top w:w="0" w:type="dxa"/>
          <w:left w:w="0" w:type="dxa"/>
          <w:bottom w:w="0" w:type="dxa"/>
          <w:right w:w="0" w:type="dxa"/>
        </w:tblCellMar>
      </w:tblPr>
      <w:tr>
        <w:trPr>
          <w:trHeight w:val="149"/>
        </w:trPr>
        <w:tc>
          <w:tcPr>
            <w:tcW w:w="1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665B4F"/>
              </w:rPr>
              <w:t>NON-EQUITY</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35"/>
        </w:trPr>
        <w:tc>
          <w:tcPr>
            <w:tcW w:w="1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jc w:val="right"/>
              <w:ind w:right="17"/>
              <w:spacing w:after="0" w:line="135" w:lineRule="exact"/>
              <w:rPr>
                <w:sz w:val="20"/>
                <w:szCs w:val="20"/>
                <w:color w:val="auto"/>
              </w:rPr>
            </w:pPr>
            <w:r>
              <w:rPr>
                <w:rFonts w:ascii="Arial" w:cs="Arial" w:eastAsia="Arial" w:hAnsi="Arial"/>
                <w:sz w:val="13"/>
                <w:szCs w:val="13"/>
                <w:b w:val="1"/>
                <w:bCs w:val="1"/>
                <w:color w:val="665B4F"/>
              </w:rPr>
              <w:t>INCENTIVE PLAN</w:t>
            </w:r>
          </w:p>
        </w:tc>
        <w:tc>
          <w:tcPr>
            <w:tcW w:w="1180" w:type="dxa"/>
            <w:vAlign w:val="bottom"/>
            <w:gridSpan w:val="2"/>
          </w:tcPr>
          <w:p>
            <w:pPr>
              <w:jc w:val="right"/>
              <w:ind w:right="17"/>
              <w:spacing w:after="0" w:line="135" w:lineRule="exact"/>
              <w:rPr>
                <w:sz w:val="20"/>
                <w:szCs w:val="20"/>
                <w:color w:val="auto"/>
              </w:rPr>
            </w:pPr>
            <w:r>
              <w:rPr>
                <w:rFonts w:ascii="Arial" w:cs="Arial" w:eastAsia="Arial" w:hAnsi="Arial"/>
                <w:sz w:val="13"/>
                <w:szCs w:val="13"/>
                <w:b w:val="1"/>
                <w:bCs w:val="1"/>
                <w:color w:val="665B4F"/>
              </w:rPr>
              <w:t>ALL 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860" w:type="dxa"/>
            <w:vAlign w:val="bottom"/>
          </w:tcPr>
          <w:p>
            <w:pPr>
              <w:ind w:left="80"/>
              <w:spacing w:after="0" w:line="135" w:lineRule="exact"/>
              <w:rPr>
                <w:sz w:val="20"/>
                <w:szCs w:val="20"/>
                <w:color w:val="auto"/>
              </w:rPr>
            </w:pPr>
            <w:r>
              <w:rPr>
                <w:rFonts w:ascii="Arial" w:cs="Arial" w:eastAsia="Arial" w:hAnsi="Arial"/>
                <w:sz w:val="13"/>
                <w:szCs w:val="13"/>
                <w:b w:val="1"/>
                <w:bCs w:val="1"/>
                <w:color w:val="665B4F"/>
              </w:rPr>
              <w:t>NAME AND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665B4F"/>
                <w:w w:val="98"/>
              </w:rPr>
              <w:t>STOCK AWARDS</w:t>
            </w:r>
          </w:p>
        </w:tc>
        <w:tc>
          <w:tcPr>
            <w:tcW w:w="1240" w:type="dxa"/>
            <w:vAlign w:val="bottom"/>
            <w:gridSpan w:val="2"/>
          </w:tcPr>
          <w:p>
            <w:pPr>
              <w:jc w:val="right"/>
              <w:ind w:right="17"/>
              <w:spacing w:after="0" w:line="135" w:lineRule="exact"/>
              <w:rPr>
                <w:sz w:val="20"/>
                <w:szCs w:val="20"/>
                <w:color w:val="auto"/>
              </w:rPr>
            </w:pPr>
            <w:r>
              <w:rPr>
                <w:rFonts w:ascii="Arial" w:cs="Arial" w:eastAsia="Arial" w:hAnsi="Arial"/>
                <w:sz w:val="13"/>
                <w:szCs w:val="13"/>
                <w:b w:val="1"/>
                <w:bCs w:val="1"/>
                <w:color w:val="665B4F"/>
              </w:rPr>
              <w:t>COMPENSATION</w:t>
            </w:r>
          </w:p>
        </w:tc>
        <w:tc>
          <w:tcPr>
            <w:tcW w:w="1180" w:type="dxa"/>
            <w:vAlign w:val="bottom"/>
            <w:gridSpan w:val="2"/>
          </w:tcPr>
          <w:p>
            <w:pPr>
              <w:jc w:val="right"/>
              <w:ind w:right="17"/>
              <w:spacing w:after="0" w:line="135" w:lineRule="exact"/>
              <w:rPr>
                <w:sz w:val="20"/>
                <w:szCs w:val="20"/>
                <w:color w:val="auto"/>
              </w:rPr>
            </w:pPr>
            <w:r>
              <w:rPr>
                <w:rFonts w:ascii="Arial" w:cs="Arial" w:eastAsia="Arial" w:hAnsi="Arial"/>
                <w:sz w:val="13"/>
                <w:szCs w:val="13"/>
                <w:b w:val="1"/>
                <w:bCs w:val="1"/>
                <w:color w:val="665B4F"/>
              </w:rPr>
              <w:t>COMPENSATION</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665B4F"/>
              </w:rPr>
              <w:t>TOTAL</w:t>
            </w:r>
          </w:p>
        </w:tc>
      </w:tr>
      <w:tr>
        <w:trPr>
          <w:trHeight w:val="167"/>
        </w:trPr>
        <w:tc>
          <w:tcPr>
            <w:tcW w:w="1860" w:type="dxa"/>
            <w:vAlign w:val="bottom"/>
            <w:tcBorders>
              <w:bottom w:val="single" w:sz="8" w:color="D1CDCA"/>
            </w:tcBorders>
          </w:tcPr>
          <w:p>
            <w:pPr>
              <w:ind w:left="80"/>
              <w:spacing w:after="0"/>
              <w:rPr>
                <w:sz w:val="20"/>
                <w:szCs w:val="20"/>
                <w:color w:val="auto"/>
              </w:rPr>
            </w:pPr>
            <w:r>
              <w:rPr>
                <w:rFonts w:ascii="Arial" w:cs="Arial" w:eastAsia="Arial" w:hAnsi="Arial"/>
                <w:sz w:val="13"/>
                <w:szCs w:val="13"/>
                <w:b w:val="1"/>
                <w:bCs w:val="1"/>
                <w:color w:val="665B4F"/>
              </w:rPr>
              <w:t>PRINCIPAL POSITION</w:t>
            </w:r>
          </w:p>
        </w:tc>
        <w:tc>
          <w:tcPr>
            <w:tcW w:w="1320" w:type="dxa"/>
            <w:vAlign w:val="bottom"/>
            <w:tcBorders>
              <w:bottom w:val="single" w:sz="8" w:color="D1CDCA"/>
            </w:tcBorders>
            <w:gridSpan w:val="3"/>
          </w:tcPr>
          <w:p>
            <w:pPr>
              <w:jc w:val="center"/>
              <w:spacing w:after="0"/>
              <w:rPr>
                <w:sz w:val="20"/>
                <w:szCs w:val="20"/>
                <w:color w:val="auto"/>
              </w:rPr>
            </w:pPr>
            <w:r>
              <w:rPr>
                <w:rFonts w:ascii="Arial" w:cs="Arial" w:eastAsia="Arial" w:hAnsi="Arial"/>
                <w:sz w:val="13"/>
                <w:szCs w:val="13"/>
                <w:b w:val="1"/>
                <w:bCs w:val="1"/>
                <w:color w:val="665B4F"/>
              </w:rPr>
              <w:t>YEAR  SALARY ($)</w:t>
            </w:r>
          </w:p>
        </w:tc>
        <w:tc>
          <w:tcPr>
            <w:tcW w:w="440" w:type="dxa"/>
            <w:vAlign w:val="bottom"/>
            <w:tcBorders>
              <w:bottom w:val="single" w:sz="8" w:color="D1CDCA"/>
            </w:tcBorders>
          </w:tcPr>
          <w:p>
            <w:pPr>
              <w:spacing w:after="0"/>
              <w:rPr>
                <w:sz w:val="14"/>
                <w:szCs w:val="14"/>
                <w:color w:val="auto"/>
              </w:rPr>
            </w:pPr>
          </w:p>
        </w:tc>
        <w:tc>
          <w:tcPr>
            <w:tcW w:w="700" w:type="dxa"/>
            <w:vAlign w:val="bottom"/>
            <w:tcBorders>
              <w:bottom w:val="single" w:sz="8" w:color="D1CDCA"/>
            </w:tcBorders>
          </w:tcPr>
          <w:p>
            <w:pPr>
              <w:jc w:val="right"/>
              <w:spacing w:after="0"/>
              <w:rPr>
                <w:sz w:val="20"/>
                <w:szCs w:val="20"/>
                <w:color w:val="auto"/>
              </w:rPr>
            </w:pPr>
            <w:r>
              <w:rPr>
                <w:rFonts w:ascii="Arial" w:cs="Arial" w:eastAsia="Arial" w:hAnsi="Arial"/>
                <w:sz w:val="13"/>
                <w:szCs w:val="13"/>
                <w:b w:val="1"/>
                <w:bCs w:val="1"/>
                <w:color w:val="665B4F"/>
              </w:rPr>
              <w:t>($)</w:t>
            </w:r>
            <w:r>
              <w:rPr>
                <w:rFonts w:ascii="Arial" w:cs="Arial" w:eastAsia="Arial" w:hAnsi="Arial"/>
                <w:sz w:val="10"/>
                <w:szCs w:val="10"/>
                <w:b w:val="1"/>
                <w:bCs w:val="1"/>
                <w:color w:val="665B4F"/>
              </w:rPr>
              <w:t>(1)(2)</w:t>
            </w:r>
          </w:p>
        </w:tc>
        <w:tc>
          <w:tcPr>
            <w:tcW w:w="540" w:type="dxa"/>
            <w:vAlign w:val="bottom"/>
            <w:tcBorders>
              <w:bottom w:val="single" w:sz="8" w:color="D1CDCA"/>
            </w:tcBorders>
          </w:tcPr>
          <w:p>
            <w:pPr>
              <w:spacing w:after="0"/>
              <w:rPr>
                <w:sz w:val="14"/>
                <w:szCs w:val="14"/>
                <w:color w:val="auto"/>
              </w:rPr>
            </w:pPr>
          </w:p>
        </w:tc>
        <w:tc>
          <w:tcPr>
            <w:tcW w:w="700" w:type="dxa"/>
            <w:vAlign w:val="bottom"/>
            <w:tcBorders>
              <w:bottom w:val="single" w:sz="8" w:color="D1CDCA"/>
            </w:tcBorders>
          </w:tcPr>
          <w:p>
            <w:pPr>
              <w:jc w:val="right"/>
              <w:ind w:right="17"/>
              <w:spacing w:after="0"/>
              <w:rPr>
                <w:sz w:val="20"/>
                <w:szCs w:val="20"/>
                <w:color w:val="auto"/>
              </w:rPr>
            </w:pPr>
            <w:r>
              <w:rPr>
                <w:rFonts w:ascii="Arial" w:cs="Arial" w:eastAsia="Arial" w:hAnsi="Arial"/>
                <w:sz w:val="13"/>
                <w:szCs w:val="13"/>
                <w:b w:val="1"/>
                <w:bCs w:val="1"/>
                <w:color w:val="665B4F"/>
              </w:rPr>
              <w:t>($)</w:t>
            </w:r>
            <w:r>
              <w:rPr>
                <w:rFonts w:ascii="Arial" w:cs="Arial" w:eastAsia="Arial" w:hAnsi="Arial"/>
                <w:sz w:val="10"/>
                <w:szCs w:val="10"/>
                <w:b w:val="1"/>
                <w:bCs w:val="1"/>
                <w:color w:val="665B4F"/>
              </w:rPr>
              <w:t>(3)</w:t>
            </w:r>
          </w:p>
        </w:tc>
        <w:tc>
          <w:tcPr>
            <w:tcW w:w="540" w:type="dxa"/>
            <w:vAlign w:val="bottom"/>
            <w:tcBorders>
              <w:bottom w:val="single" w:sz="8" w:color="D1CDCA"/>
            </w:tcBorders>
          </w:tcPr>
          <w:p>
            <w:pPr>
              <w:spacing w:after="0"/>
              <w:rPr>
                <w:sz w:val="14"/>
                <w:szCs w:val="14"/>
                <w:color w:val="auto"/>
              </w:rPr>
            </w:pPr>
          </w:p>
        </w:tc>
        <w:tc>
          <w:tcPr>
            <w:tcW w:w="640" w:type="dxa"/>
            <w:vAlign w:val="bottom"/>
            <w:tcBorders>
              <w:bottom w:val="single" w:sz="8" w:color="D1CDCA"/>
            </w:tcBorders>
          </w:tcPr>
          <w:p>
            <w:pPr>
              <w:jc w:val="right"/>
              <w:ind w:right="17"/>
              <w:spacing w:after="0"/>
              <w:rPr>
                <w:sz w:val="20"/>
                <w:szCs w:val="20"/>
                <w:color w:val="auto"/>
              </w:rPr>
            </w:pPr>
            <w:r>
              <w:rPr>
                <w:rFonts w:ascii="Arial" w:cs="Arial" w:eastAsia="Arial" w:hAnsi="Arial"/>
                <w:sz w:val="13"/>
                <w:szCs w:val="13"/>
                <w:b w:val="1"/>
                <w:bCs w:val="1"/>
                <w:color w:val="665B4F"/>
              </w:rPr>
              <w:t>($)</w:t>
            </w:r>
            <w:r>
              <w:rPr>
                <w:rFonts w:ascii="Arial" w:cs="Arial" w:eastAsia="Arial" w:hAnsi="Arial"/>
                <w:sz w:val="10"/>
                <w:szCs w:val="10"/>
                <w:b w:val="1"/>
                <w:bCs w:val="1"/>
                <w:color w:val="665B4F"/>
              </w:rPr>
              <w:t>(4)</w:t>
            </w:r>
          </w:p>
        </w:tc>
        <w:tc>
          <w:tcPr>
            <w:tcW w:w="160" w:type="dxa"/>
            <w:vAlign w:val="bottom"/>
            <w:tcBorders>
              <w:bottom w:val="single" w:sz="8" w:color="D1CDCA"/>
            </w:tcBorders>
          </w:tcPr>
          <w:p>
            <w:pPr>
              <w:spacing w:after="0"/>
              <w:rPr>
                <w:sz w:val="14"/>
                <w:szCs w:val="14"/>
                <w:color w:val="auto"/>
              </w:rPr>
            </w:pPr>
          </w:p>
        </w:tc>
        <w:tc>
          <w:tcPr>
            <w:tcW w:w="700" w:type="dxa"/>
            <w:vAlign w:val="bottom"/>
            <w:tcBorders>
              <w:bottom w:val="single" w:sz="8" w:color="D1CDCA"/>
            </w:tcBorders>
          </w:tcPr>
          <w:p>
            <w:pPr>
              <w:jc w:val="right"/>
              <w:spacing w:after="0"/>
              <w:rPr>
                <w:sz w:val="20"/>
                <w:szCs w:val="20"/>
                <w:color w:val="auto"/>
              </w:rPr>
            </w:pPr>
            <w:r>
              <w:rPr>
                <w:rFonts w:ascii="Arial" w:cs="Arial" w:eastAsia="Arial" w:hAnsi="Arial"/>
                <w:sz w:val="13"/>
                <w:szCs w:val="13"/>
                <w:b w:val="1"/>
                <w:bCs w:val="1"/>
                <w:color w:val="665B4F"/>
              </w:rPr>
              <w:t>($)</w:t>
            </w:r>
          </w:p>
        </w:tc>
      </w:tr>
      <w:tr>
        <w:trPr>
          <w:trHeight w:val="123"/>
        </w:trPr>
        <w:tc>
          <w:tcPr>
            <w:tcW w:w="1860" w:type="dxa"/>
            <w:vAlign w:val="bottom"/>
            <w:tcBorders>
              <w:bottom w:val="single" w:sz="8" w:color="F7F7E5"/>
            </w:tcBorders>
            <w:shd w:val="clear" w:color="auto" w:fill="F7F7E5"/>
          </w:tcPr>
          <w:p>
            <w:pPr>
              <w:ind w:left="80"/>
              <w:spacing w:after="0" w:line="123" w:lineRule="exact"/>
              <w:rPr>
                <w:sz w:val="20"/>
                <w:szCs w:val="20"/>
                <w:color w:val="auto"/>
              </w:rPr>
            </w:pPr>
            <w:r>
              <w:rPr>
                <w:rFonts w:ascii="Arial" w:cs="Arial" w:eastAsia="Arial" w:hAnsi="Arial"/>
                <w:sz w:val="13"/>
                <w:szCs w:val="13"/>
                <w:b w:val="1"/>
                <w:bCs w:val="1"/>
                <w:color w:val="auto"/>
              </w:rPr>
              <w:t>Matt Maddox</w:t>
            </w:r>
            <w:r>
              <w:rPr>
                <w:rFonts w:ascii="Arial" w:cs="Arial" w:eastAsia="Arial" w:hAnsi="Arial"/>
                <w:sz w:val="10"/>
                <w:szCs w:val="10"/>
                <w:color w:val="auto"/>
              </w:rPr>
              <w:t>(5)</w:t>
            </w:r>
          </w:p>
        </w:tc>
        <w:tc>
          <w:tcPr>
            <w:tcW w:w="540" w:type="dxa"/>
            <w:vAlign w:val="bottom"/>
            <w:tcBorders>
              <w:bottom w:val="single" w:sz="8" w:color="D1CDCA"/>
            </w:tcBorders>
            <w:shd w:val="clear" w:color="auto" w:fill="F7F7E5"/>
          </w:tcPr>
          <w:p>
            <w:pPr>
              <w:jc w:val="right"/>
              <w:ind w:right="37"/>
              <w:spacing w:after="0" w:line="123" w:lineRule="exact"/>
              <w:rPr>
                <w:sz w:val="20"/>
                <w:szCs w:val="20"/>
                <w:color w:val="auto"/>
              </w:rPr>
            </w:pPr>
            <w:r>
              <w:rPr>
                <w:rFonts w:ascii="Arial" w:cs="Arial" w:eastAsia="Arial" w:hAnsi="Arial"/>
                <w:sz w:val="13"/>
                <w:szCs w:val="13"/>
                <w:color w:val="auto"/>
              </w:rPr>
              <w:t>2017</w:t>
            </w:r>
          </w:p>
        </w:tc>
        <w:tc>
          <w:tcPr>
            <w:tcW w:w="160" w:type="dxa"/>
            <w:vAlign w:val="bottom"/>
            <w:tcBorders>
              <w:bottom w:val="single" w:sz="8" w:color="D1CDCA"/>
            </w:tcBorders>
            <w:shd w:val="clear" w:color="auto" w:fill="F7F7E5"/>
          </w:tcPr>
          <w:p>
            <w:pPr>
              <w:jc w:val="center"/>
              <w:ind w:left="17"/>
              <w:spacing w:after="0" w:line="123"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w w:val="93"/>
              </w:rPr>
              <w:t>1,500,000</w:t>
            </w:r>
          </w:p>
        </w:tc>
        <w:tc>
          <w:tcPr>
            <w:tcW w:w="44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w w:val="95"/>
              </w:rPr>
              <w:t>21,030,000</w:t>
            </w:r>
          </w:p>
        </w:tc>
        <w:tc>
          <w:tcPr>
            <w:tcW w:w="54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ind w:right="17"/>
              <w:spacing w:after="0" w:line="123" w:lineRule="exact"/>
              <w:rPr>
                <w:sz w:val="20"/>
                <w:szCs w:val="20"/>
                <w:color w:val="auto"/>
              </w:rPr>
            </w:pPr>
            <w:r>
              <w:rPr>
                <w:rFonts w:ascii="Arial" w:cs="Arial" w:eastAsia="Arial" w:hAnsi="Arial"/>
                <w:sz w:val="13"/>
                <w:szCs w:val="13"/>
                <w:color w:val="auto"/>
              </w:rPr>
              <w:t>1,800,000</w:t>
            </w:r>
          </w:p>
        </w:tc>
        <w:tc>
          <w:tcPr>
            <w:tcW w:w="54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D1CDCA"/>
            </w:tcBorders>
            <w:shd w:val="clear" w:color="auto" w:fill="F7F7E5"/>
          </w:tcPr>
          <w:p>
            <w:pPr>
              <w:jc w:val="right"/>
              <w:ind w:right="17"/>
              <w:spacing w:after="0" w:line="123" w:lineRule="exact"/>
              <w:rPr>
                <w:sz w:val="20"/>
                <w:szCs w:val="20"/>
                <w:color w:val="auto"/>
              </w:rPr>
            </w:pPr>
            <w:r>
              <w:rPr>
                <w:rFonts w:ascii="Arial" w:cs="Arial" w:eastAsia="Arial" w:hAnsi="Arial"/>
                <w:sz w:val="13"/>
                <w:szCs w:val="13"/>
                <w:color w:val="auto"/>
              </w:rPr>
              <w:t>486,633</w:t>
            </w:r>
          </w:p>
        </w:tc>
        <w:tc>
          <w:tcPr>
            <w:tcW w:w="16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w w:val="95"/>
              </w:rPr>
              <w:t>24,816,633</w:t>
            </w:r>
          </w:p>
        </w:tc>
      </w:tr>
      <w:tr>
        <w:trPr>
          <w:trHeight w:val="128"/>
        </w:trPr>
        <w:tc>
          <w:tcPr>
            <w:tcW w:w="1860" w:type="dxa"/>
            <w:vAlign w:val="bottom"/>
            <w:tcBorders>
              <w:bottom w:val="single" w:sz="8" w:color="F7F7E5"/>
            </w:tcBorders>
            <w:shd w:val="clear" w:color="auto" w:fill="F7F7E5"/>
          </w:tcPr>
          <w:p>
            <w:pPr>
              <w:ind w:left="80"/>
              <w:spacing w:after="0" w:line="115" w:lineRule="exact"/>
              <w:rPr>
                <w:sz w:val="20"/>
                <w:szCs w:val="20"/>
                <w:color w:val="auto"/>
              </w:rPr>
            </w:pPr>
            <w:r>
              <w:rPr>
                <w:rFonts w:ascii="Arial" w:cs="Arial" w:eastAsia="Arial" w:hAnsi="Arial"/>
                <w:sz w:val="13"/>
                <w:szCs w:val="13"/>
                <w:color w:val="auto"/>
              </w:rPr>
              <w:t>Chief Executive Officer and</w:t>
            </w:r>
          </w:p>
        </w:tc>
        <w:tc>
          <w:tcPr>
            <w:tcW w:w="540" w:type="dxa"/>
            <w:vAlign w:val="bottom"/>
            <w:tcBorders>
              <w:bottom w:val="single" w:sz="8" w:color="D1CDCA"/>
            </w:tcBorders>
            <w:shd w:val="clear" w:color="auto" w:fill="F7F7E5"/>
          </w:tcPr>
          <w:p>
            <w:pPr>
              <w:jc w:val="right"/>
              <w:ind w:right="37"/>
              <w:spacing w:after="0" w:line="115" w:lineRule="exact"/>
              <w:rPr>
                <w:sz w:val="20"/>
                <w:szCs w:val="20"/>
                <w:color w:val="auto"/>
              </w:rPr>
            </w:pPr>
            <w:r>
              <w:rPr>
                <w:rFonts w:ascii="Arial" w:cs="Arial" w:eastAsia="Arial" w:hAnsi="Arial"/>
                <w:sz w:val="13"/>
                <w:szCs w:val="13"/>
                <w:color w:val="auto"/>
              </w:rPr>
              <w:t>2016</w:t>
            </w:r>
          </w:p>
        </w:tc>
        <w:tc>
          <w:tcPr>
            <w:tcW w:w="160" w:type="dxa"/>
            <w:vAlign w:val="bottom"/>
            <w:tcBorders>
              <w:bottom w:val="single" w:sz="8" w:color="D1CDCA"/>
            </w:tcBorders>
            <w:shd w:val="clear" w:color="auto" w:fill="F7F7E5"/>
          </w:tcPr>
          <w:p>
            <w:pPr>
              <w:jc w:val="center"/>
              <w:ind w:left="17"/>
              <w:spacing w:after="0" w:line="11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D1CDCA"/>
            </w:tcBorders>
            <w:shd w:val="clear" w:color="auto" w:fill="F7F7E5"/>
          </w:tcPr>
          <w:p>
            <w:pPr>
              <w:jc w:val="right"/>
              <w:spacing w:after="0" w:line="115" w:lineRule="exact"/>
              <w:rPr>
                <w:sz w:val="20"/>
                <w:szCs w:val="20"/>
                <w:color w:val="auto"/>
              </w:rPr>
            </w:pPr>
            <w:r>
              <w:rPr>
                <w:rFonts w:ascii="Arial" w:cs="Arial" w:eastAsia="Arial" w:hAnsi="Arial"/>
                <w:sz w:val="13"/>
                <w:szCs w:val="13"/>
                <w:color w:val="auto"/>
                <w:w w:val="93"/>
              </w:rPr>
              <w:t>1,500,000</w:t>
            </w:r>
          </w:p>
        </w:tc>
        <w:tc>
          <w:tcPr>
            <w:tcW w:w="440" w:type="dxa"/>
            <w:vAlign w:val="bottom"/>
            <w:tcBorders>
              <w:bottom w:val="single" w:sz="8" w:color="D1CDCA"/>
            </w:tcBorders>
            <w:shd w:val="clear" w:color="auto" w:fill="F7F7E5"/>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spacing w:after="0" w:line="115" w:lineRule="exact"/>
              <w:rPr>
                <w:sz w:val="20"/>
                <w:szCs w:val="20"/>
                <w:color w:val="auto"/>
              </w:rPr>
            </w:pPr>
            <w:r>
              <w:rPr>
                <w:rFonts w:ascii="Arial" w:cs="Arial" w:eastAsia="Arial" w:hAnsi="Arial"/>
                <w:sz w:val="13"/>
                <w:szCs w:val="13"/>
                <w:color w:val="auto"/>
              </w:rPr>
              <w:t>1,500,000</w:t>
            </w:r>
          </w:p>
        </w:tc>
        <w:tc>
          <w:tcPr>
            <w:tcW w:w="540" w:type="dxa"/>
            <w:vAlign w:val="bottom"/>
            <w:tcBorders>
              <w:bottom w:val="single" w:sz="8" w:color="D1CDCA"/>
            </w:tcBorders>
            <w:shd w:val="clear" w:color="auto" w:fill="F7F7E5"/>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ind w:right="17"/>
              <w:spacing w:after="0" w:line="115" w:lineRule="exact"/>
              <w:rPr>
                <w:sz w:val="20"/>
                <w:szCs w:val="20"/>
                <w:color w:val="auto"/>
              </w:rPr>
            </w:pPr>
            <w:r>
              <w:rPr>
                <w:rFonts w:ascii="Arial" w:cs="Arial" w:eastAsia="Arial" w:hAnsi="Arial"/>
                <w:sz w:val="13"/>
                <w:szCs w:val="13"/>
                <w:color w:val="auto"/>
              </w:rPr>
              <w:t>1,500,000</w:t>
            </w:r>
          </w:p>
        </w:tc>
        <w:tc>
          <w:tcPr>
            <w:tcW w:w="540" w:type="dxa"/>
            <w:vAlign w:val="bottom"/>
            <w:tcBorders>
              <w:bottom w:val="single" w:sz="8" w:color="D1CDCA"/>
            </w:tcBorders>
            <w:shd w:val="clear" w:color="auto" w:fill="F7F7E5"/>
          </w:tcPr>
          <w:p>
            <w:pPr>
              <w:jc w:val="right"/>
              <w:spacing w:after="0" w:line="115"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D1CDCA"/>
            </w:tcBorders>
            <w:shd w:val="clear" w:color="auto" w:fill="F7F7E5"/>
          </w:tcPr>
          <w:p>
            <w:pPr>
              <w:jc w:val="right"/>
              <w:ind w:right="17"/>
              <w:spacing w:after="0" w:line="115" w:lineRule="exact"/>
              <w:rPr>
                <w:sz w:val="20"/>
                <w:szCs w:val="20"/>
                <w:color w:val="auto"/>
              </w:rPr>
            </w:pPr>
            <w:r>
              <w:rPr>
                <w:rFonts w:ascii="Arial" w:cs="Arial" w:eastAsia="Arial" w:hAnsi="Arial"/>
                <w:sz w:val="13"/>
                <w:szCs w:val="13"/>
                <w:color w:val="auto"/>
              </w:rPr>
              <w:t>114,703</w:t>
            </w:r>
          </w:p>
        </w:tc>
        <w:tc>
          <w:tcPr>
            <w:tcW w:w="160" w:type="dxa"/>
            <w:vAlign w:val="bottom"/>
            <w:tcBorders>
              <w:bottom w:val="single" w:sz="8" w:color="D1CDCA"/>
            </w:tcBorders>
            <w:shd w:val="clear" w:color="auto" w:fill="F7F7E5"/>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spacing w:after="0" w:line="115" w:lineRule="exact"/>
              <w:rPr>
                <w:sz w:val="20"/>
                <w:szCs w:val="20"/>
                <w:color w:val="auto"/>
              </w:rPr>
            </w:pPr>
            <w:r>
              <w:rPr>
                <w:rFonts w:ascii="Arial" w:cs="Arial" w:eastAsia="Arial" w:hAnsi="Arial"/>
                <w:sz w:val="13"/>
                <w:szCs w:val="13"/>
                <w:color w:val="auto"/>
              </w:rPr>
              <w:t>4,614,703</w:t>
            </w:r>
          </w:p>
        </w:tc>
      </w:tr>
      <w:tr>
        <w:trPr>
          <w:trHeight w:val="135"/>
        </w:trPr>
        <w:tc>
          <w:tcPr>
            <w:tcW w:w="1860" w:type="dxa"/>
            <w:vAlign w:val="bottom"/>
            <w:tcBorders>
              <w:bottom w:val="single" w:sz="8" w:color="D1CDCA"/>
            </w:tcBorders>
            <w:shd w:val="clear" w:color="auto" w:fill="F7F7E5"/>
          </w:tcPr>
          <w:p>
            <w:pPr>
              <w:ind w:left="80"/>
              <w:spacing w:after="0" w:line="119" w:lineRule="exact"/>
              <w:rPr>
                <w:sz w:val="20"/>
                <w:szCs w:val="20"/>
                <w:color w:val="auto"/>
              </w:rPr>
            </w:pPr>
            <w:r>
              <w:rPr>
                <w:rFonts w:ascii="Arial" w:cs="Arial" w:eastAsia="Arial" w:hAnsi="Arial"/>
                <w:sz w:val="13"/>
                <w:szCs w:val="13"/>
                <w:color w:val="auto"/>
              </w:rPr>
              <w:t>President</w:t>
            </w:r>
          </w:p>
        </w:tc>
        <w:tc>
          <w:tcPr>
            <w:tcW w:w="540" w:type="dxa"/>
            <w:vAlign w:val="bottom"/>
            <w:tcBorders>
              <w:bottom w:val="single" w:sz="8" w:color="D1CDCA"/>
            </w:tcBorders>
            <w:shd w:val="clear" w:color="auto" w:fill="F7F7E5"/>
          </w:tcPr>
          <w:p>
            <w:pPr>
              <w:jc w:val="right"/>
              <w:ind w:right="37"/>
              <w:spacing w:after="0" w:line="135" w:lineRule="exact"/>
              <w:rPr>
                <w:sz w:val="20"/>
                <w:szCs w:val="20"/>
                <w:color w:val="auto"/>
              </w:rPr>
            </w:pPr>
            <w:r>
              <w:rPr>
                <w:rFonts w:ascii="Arial" w:cs="Arial" w:eastAsia="Arial" w:hAnsi="Arial"/>
                <w:sz w:val="13"/>
                <w:szCs w:val="13"/>
                <w:color w:val="auto"/>
              </w:rPr>
              <w:t>2015</w:t>
            </w:r>
          </w:p>
        </w:tc>
        <w:tc>
          <w:tcPr>
            <w:tcW w:w="160" w:type="dxa"/>
            <w:vAlign w:val="bottom"/>
            <w:tcBorders>
              <w:bottom w:val="single" w:sz="8" w:color="D1CDCA"/>
            </w:tcBorders>
            <w:shd w:val="clear" w:color="auto" w:fill="F7F7E5"/>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D1CDCA"/>
            </w:tcBorders>
            <w:shd w:val="clear" w:color="auto" w:fill="F7F7E5"/>
          </w:tcPr>
          <w:p>
            <w:pPr>
              <w:jc w:val="right"/>
              <w:spacing w:after="0" w:line="135" w:lineRule="exact"/>
              <w:rPr>
                <w:sz w:val="20"/>
                <w:szCs w:val="20"/>
                <w:color w:val="auto"/>
              </w:rPr>
            </w:pPr>
            <w:r>
              <w:rPr>
                <w:rFonts w:ascii="Arial" w:cs="Arial" w:eastAsia="Arial" w:hAnsi="Arial"/>
                <w:sz w:val="13"/>
                <w:szCs w:val="13"/>
                <w:color w:val="auto"/>
                <w:w w:val="93"/>
              </w:rPr>
              <w:t>1,500,000</w:t>
            </w:r>
          </w:p>
        </w:tc>
        <w:tc>
          <w:tcPr>
            <w:tcW w:w="440" w:type="dxa"/>
            <w:vAlign w:val="bottom"/>
            <w:tcBorders>
              <w:bottom w:val="single" w:sz="8" w:color="D1CDCA"/>
            </w:tcBorders>
            <w:shd w:val="clear" w:color="auto" w:fill="F7F7E5"/>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spacing w:after="0" w:line="135" w:lineRule="exact"/>
              <w:rPr>
                <w:sz w:val="20"/>
                <w:szCs w:val="20"/>
                <w:color w:val="auto"/>
              </w:rPr>
            </w:pPr>
            <w:r>
              <w:rPr>
                <w:rFonts w:ascii="Arial" w:cs="Arial" w:eastAsia="Arial" w:hAnsi="Arial"/>
                <w:sz w:val="13"/>
                <w:szCs w:val="13"/>
                <w:color w:val="auto"/>
              </w:rPr>
              <w:t>1,200,000</w:t>
            </w:r>
          </w:p>
        </w:tc>
        <w:tc>
          <w:tcPr>
            <w:tcW w:w="540" w:type="dxa"/>
            <w:vAlign w:val="bottom"/>
            <w:tcBorders>
              <w:bottom w:val="single" w:sz="8" w:color="D1CDCA"/>
            </w:tcBorders>
            <w:shd w:val="clear" w:color="auto" w:fill="F7F7E5"/>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ind w:right="17"/>
              <w:spacing w:after="0" w:line="135" w:lineRule="exact"/>
              <w:rPr>
                <w:sz w:val="20"/>
                <w:szCs w:val="20"/>
                <w:color w:val="auto"/>
              </w:rPr>
            </w:pPr>
            <w:r>
              <w:rPr>
                <w:rFonts w:ascii="Arial" w:cs="Arial" w:eastAsia="Arial" w:hAnsi="Arial"/>
                <w:sz w:val="13"/>
                <w:szCs w:val="13"/>
                <w:color w:val="auto"/>
              </w:rPr>
              <w:t>1,200,000</w:t>
            </w:r>
          </w:p>
        </w:tc>
        <w:tc>
          <w:tcPr>
            <w:tcW w:w="540" w:type="dxa"/>
            <w:vAlign w:val="bottom"/>
            <w:tcBorders>
              <w:bottom w:val="single" w:sz="8" w:color="D1CDCA"/>
            </w:tcBorders>
            <w:shd w:val="clear" w:color="auto" w:fill="F7F7E5"/>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D1CDCA"/>
            </w:tcBorders>
            <w:shd w:val="clear" w:color="auto" w:fill="F7F7E5"/>
          </w:tcPr>
          <w:p>
            <w:pPr>
              <w:jc w:val="right"/>
              <w:ind w:right="17"/>
              <w:spacing w:after="0" w:line="135" w:lineRule="exact"/>
              <w:rPr>
                <w:sz w:val="20"/>
                <w:szCs w:val="20"/>
                <w:color w:val="auto"/>
              </w:rPr>
            </w:pPr>
            <w:r>
              <w:rPr>
                <w:rFonts w:ascii="Arial" w:cs="Arial" w:eastAsia="Arial" w:hAnsi="Arial"/>
                <w:sz w:val="13"/>
                <w:szCs w:val="13"/>
                <w:color w:val="auto"/>
              </w:rPr>
              <w:t>178,932</w:t>
            </w:r>
          </w:p>
        </w:tc>
        <w:tc>
          <w:tcPr>
            <w:tcW w:w="160" w:type="dxa"/>
            <w:vAlign w:val="bottom"/>
            <w:tcBorders>
              <w:bottom w:val="single" w:sz="8" w:color="D1CDCA"/>
            </w:tcBorders>
            <w:shd w:val="clear" w:color="auto" w:fill="F7F7E5"/>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spacing w:after="0" w:line="135" w:lineRule="exact"/>
              <w:rPr>
                <w:sz w:val="20"/>
                <w:szCs w:val="20"/>
                <w:color w:val="auto"/>
              </w:rPr>
            </w:pPr>
            <w:r>
              <w:rPr>
                <w:rFonts w:ascii="Arial" w:cs="Arial" w:eastAsia="Arial" w:hAnsi="Arial"/>
                <w:sz w:val="13"/>
                <w:szCs w:val="13"/>
                <w:color w:val="auto"/>
              </w:rPr>
              <w:t>4,078,932</w:t>
            </w:r>
          </w:p>
        </w:tc>
      </w:tr>
      <w:tr>
        <w:trPr>
          <w:trHeight w:val="123"/>
        </w:trPr>
        <w:tc>
          <w:tcPr>
            <w:tcW w:w="1860" w:type="dxa"/>
            <w:vAlign w:val="bottom"/>
          </w:tcPr>
          <w:p>
            <w:pPr>
              <w:ind w:left="80"/>
              <w:spacing w:after="0" w:line="123" w:lineRule="exact"/>
              <w:rPr>
                <w:sz w:val="20"/>
                <w:szCs w:val="20"/>
                <w:color w:val="auto"/>
              </w:rPr>
            </w:pPr>
            <w:r>
              <w:rPr>
                <w:rFonts w:ascii="Arial" w:cs="Arial" w:eastAsia="Arial" w:hAnsi="Arial"/>
                <w:sz w:val="13"/>
                <w:szCs w:val="13"/>
                <w:b w:val="1"/>
                <w:bCs w:val="1"/>
                <w:color w:val="auto"/>
              </w:rPr>
              <w:t>Kim Sinatra</w:t>
            </w:r>
          </w:p>
        </w:tc>
        <w:tc>
          <w:tcPr>
            <w:tcW w:w="540" w:type="dxa"/>
            <w:vAlign w:val="bottom"/>
            <w:tcBorders>
              <w:bottom w:val="single" w:sz="8" w:color="D1CDCA"/>
            </w:tcBorders>
          </w:tcPr>
          <w:p>
            <w:pPr>
              <w:jc w:val="right"/>
              <w:ind w:right="37"/>
              <w:spacing w:after="0" w:line="123" w:lineRule="exact"/>
              <w:rPr>
                <w:sz w:val="20"/>
                <w:szCs w:val="20"/>
                <w:color w:val="auto"/>
              </w:rPr>
            </w:pPr>
            <w:r>
              <w:rPr>
                <w:rFonts w:ascii="Arial" w:cs="Arial" w:eastAsia="Arial" w:hAnsi="Arial"/>
                <w:sz w:val="13"/>
                <w:szCs w:val="13"/>
                <w:color w:val="auto"/>
              </w:rPr>
              <w:t>2017</w:t>
            </w:r>
          </w:p>
        </w:tc>
        <w:tc>
          <w:tcPr>
            <w:tcW w:w="160" w:type="dxa"/>
            <w:vAlign w:val="bottom"/>
            <w:tcBorders>
              <w:bottom w:val="single" w:sz="8" w:color="D1CDCA"/>
            </w:tcBorders>
          </w:tcPr>
          <w:p>
            <w:pPr>
              <w:jc w:val="center"/>
              <w:ind w:left="17"/>
              <w:spacing w:after="0" w:line="123"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D1CDCA"/>
            </w:tcBorders>
          </w:tcPr>
          <w:p>
            <w:pPr>
              <w:jc w:val="right"/>
              <w:spacing w:after="0" w:line="123" w:lineRule="exact"/>
              <w:rPr>
                <w:sz w:val="20"/>
                <w:szCs w:val="20"/>
                <w:color w:val="auto"/>
              </w:rPr>
            </w:pPr>
            <w:r>
              <w:rPr>
                <w:rFonts w:ascii="Arial" w:cs="Arial" w:eastAsia="Arial" w:hAnsi="Arial"/>
                <w:sz w:val="13"/>
                <w:szCs w:val="13"/>
                <w:color w:val="auto"/>
                <w:w w:val="93"/>
              </w:rPr>
              <w:t>1,000,000</w:t>
            </w:r>
          </w:p>
        </w:tc>
        <w:tc>
          <w:tcPr>
            <w:tcW w:w="440" w:type="dxa"/>
            <w:vAlign w:val="bottom"/>
            <w:tcBorders>
              <w:bottom w:val="single" w:sz="8" w:color="D1CDCA"/>
            </w:tcBorders>
          </w:tcPr>
          <w:p>
            <w:pPr>
              <w:jc w:val="right"/>
              <w:spacing w:after="0" w:line="12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spacing w:after="0" w:line="123" w:lineRule="exact"/>
              <w:rPr>
                <w:sz w:val="20"/>
                <w:szCs w:val="20"/>
                <w:color w:val="auto"/>
              </w:rPr>
            </w:pPr>
            <w:r>
              <w:rPr>
                <w:rFonts w:ascii="Arial" w:cs="Arial" w:eastAsia="Arial" w:hAnsi="Arial"/>
                <w:sz w:val="13"/>
                <w:szCs w:val="13"/>
                <w:color w:val="auto"/>
                <w:w w:val="95"/>
              </w:rPr>
              <w:t>10,815,000</w:t>
            </w:r>
          </w:p>
        </w:tc>
        <w:tc>
          <w:tcPr>
            <w:tcW w:w="540" w:type="dxa"/>
            <w:vAlign w:val="bottom"/>
            <w:tcBorders>
              <w:bottom w:val="single" w:sz="8" w:color="D1CDCA"/>
            </w:tcBorders>
          </w:tcPr>
          <w:p>
            <w:pPr>
              <w:jc w:val="right"/>
              <w:spacing w:after="0" w:line="12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ind w:right="17"/>
              <w:spacing w:after="0" w:line="123" w:lineRule="exact"/>
              <w:rPr>
                <w:sz w:val="20"/>
                <w:szCs w:val="20"/>
                <w:color w:val="auto"/>
              </w:rPr>
            </w:pPr>
            <w:r>
              <w:rPr>
                <w:rFonts w:ascii="Arial" w:cs="Arial" w:eastAsia="Arial" w:hAnsi="Arial"/>
                <w:sz w:val="13"/>
                <w:szCs w:val="13"/>
                <w:color w:val="auto"/>
              </w:rPr>
              <w:t>1,200,000</w:t>
            </w:r>
          </w:p>
        </w:tc>
        <w:tc>
          <w:tcPr>
            <w:tcW w:w="540" w:type="dxa"/>
            <w:vAlign w:val="bottom"/>
            <w:tcBorders>
              <w:bottom w:val="single" w:sz="8" w:color="D1CDCA"/>
            </w:tcBorders>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D1CDCA"/>
            </w:tcBorders>
          </w:tcPr>
          <w:p>
            <w:pPr>
              <w:jc w:val="right"/>
              <w:ind w:right="17"/>
              <w:spacing w:after="0" w:line="123" w:lineRule="exact"/>
              <w:rPr>
                <w:sz w:val="20"/>
                <w:szCs w:val="20"/>
                <w:color w:val="auto"/>
              </w:rPr>
            </w:pPr>
            <w:r>
              <w:rPr>
                <w:rFonts w:ascii="Arial" w:cs="Arial" w:eastAsia="Arial" w:hAnsi="Arial"/>
                <w:sz w:val="13"/>
                <w:szCs w:val="13"/>
                <w:color w:val="auto"/>
              </w:rPr>
              <w:t>279,043</w:t>
            </w:r>
          </w:p>
        </w:tc>
        <w:tc>
          <w:tcPr>
            <w:tcW w:w="160" w:type="dxa"/>
            <w:vAlign w:val="bottom"/>
            <w:tcBorders>
              <w:bottom w:val="single" w:sz="8" w:color="D1CDCA"/>
            </w:tcBorders>
          </w:tcPr>
          <w:p>
            <w:pPr>
              <w:jc w:val="right"/>
              <w:spacing w:after="0" w:line="12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spacing w:after="0" w:line="123" w:lineRule="exact"/>
              <w:rPr>
                <w:sz w:val="20"/>
                <w:szCs w:val="20"/>
                <w:color w:val="auto"/>
              </w:rPr>
            </w:pPr>
            <w:r>
              <w:rPr>
                <w:rFonts w:ascii="Arial" w:cs="Arial" w:eastAsia="Arial" w:hAnsi="Arial"/>
                <w:sz w:val="13"/>
                <w:szCs w:val="13"/>
                <w:color w:val="auto"/>
                <w:w w:val="95"/>
              </w:rPr>
              <w:t>13,294,043</w:t>
            </w:r>
          </w:p>
        </w:tc>
      </w:tr>
      <w:tr>
        <w:trPr>
          <w:trHeight w:val="128"/>
        </w:trPr>
        <w:tc>
          <w:tcPr>
            <w:tcW w:w="1860" w:type="dxa"/>
            <w:vAlign w:val="bottom"/>
          </w:tcPr>
          <w:p>
            <w:pPr>
              <w:ind w:left="80"/>
              <w:spacing w:after="0" w:line="115" w:lineRule="exact"/>
              <w:rPr>
                <w:sz w:val="20"/>
                <w:szCs w:val="20"/>
                <w:color w:val="auto"/>
              </w:rPr>
            </w:pPr>
            <w:r>
              <w:rPr>
                <w:rFonts w:ascii="Arial" w:cs="Arial" w:eastAsia="Arial" w:hAnsi="Arial"/>
                <w:sz w:val="13"/>
                <w:szCs w:val="13"/>
                <w:color w:val="auto"/>
              </w:rPr>
              <w:t>EVP, General Counsel and</w:t>
            </w:r>
          </w:p>
        </w:tc>
        <w:tc>
          <w:tcPr>
            <w:tcW w:w="540" w:type="dxa"/>
            <w:vAlign w:val="bottom"/>
            <w:tcBorders>
              <w:bottom w:val="single" w:sz="8" w:color="D1CDCA"/>
            </w:tcBorders>
          </w:tcPr>
          <w:p>
            <w:pPr>
              <w:jc w:val="right"/>
              <w:ind w:right="37"/>
              <w:spacing w:after="0" w:line="115" w:lineRule="exact"/>
              <w:rPr>
                <w:sz w:val="20"/>
                <w:szCs w:val="20"/>
                <w:color w:val="auto"/>
              </w:rPr>
            </w:pPr>
            <w:r>
              <w:rPr>
                <w:rFonts w:ascii="Arial" w:cs="Arial" w:eastAsia="Arial" w:hAnsi="Arial"/>
                <w:sz w:val="13"/>
                <w:szCs w:val="13"/>
                <w:color w:val="auto"/>
              </w:rPr>
              <w:t>2016</w:t>
            </w:r>
          </w:p>
        </w:tc>
        <w:tc>
          <w:tcPr>
            <w:tcW w:w="160" w:type="dxa"/>
            <w:vAlign w:val="bottom"/>
            <w:tcBorders>
              <w:bottom w:val="single" w:sz="8" w:color="D1CDCA"/>
            </w:tcBorders>
          </w:tcPr>
          <w:p>
            <w:pPr>
              <w:jc w:val="center"/>
              <w:ind w:left="17"/>
              <w:spacing w:after="0" w:line="11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rPr>
              <w:t>873,654</w:t>
            </w:r>
          </w:p>
        </w:tc>
        <w:tc>
          <w:tcPr>
            <w:tcW w:w="44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rPr>
              <w:t>850,000</w:t>
            </w:r>
          </w:p>
        </w:tc>
        <w:tc>
          <w:tcPr>
            <w:tcW w:w="54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ind w:right="17"/>
              <w:spacing w:after="0" w:line="115" w:lineRule="exact"/>
              <w:rPr>
                <w:sz w:val="20"/>
                <w:szCs w:val="20"/>
                <w:color w:val="auto"/>
              </w:rPr>
            </w:pPr>
            <w:r>
              <w:rPr>
                <w:rFonts w:ascii="Arial" w:cs="Arial" w:eastAsia="Arial" w:hAnsi="Arial"/>
                <w:sz w:val="13"/>
                <w:szCs w:val="13"/>
                <w:color w:val="auto"/>
              </w:rPr>
              <w:t>850,000</w:t>
            </w:r>
          </w:p>
        </w:tc>
        <w:tc>
          <w:tcPr>
            <w:tcW w:w="54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D1CDCA"/>
            </w:tcBorders>
          </w:tcPr>
          <w:p>
            <w:pPr>
              <w:jc w:val="right"/>
              <w:ind w:right="17"/>
              <w:spacing w:after="0" w:line="115" w:lineRule="exact"/>
              <w:rPr>
                <w:sz w:val="20"/>
                <w:szCs w:val="20"/>
                <w:color w:val="auto"/>
              </w:rPr>
            </w:pPr>
            <w:r>
              <w:rPr>
                <w:rFonts w:ascii="Arial" w:cs="Arial" w:eastAsia="Arial" w:hAnsi="Arial"/>
                <w:sz w:val="13"/>
                <w:szCs w:val="13"/>
                <w:color w:val="auto"/>
              </w:rPr>
              <w:t>65,086</w:t>
            </w:r>
          </w:p>
        </w:tc>
        <w:tc>
          <w:tcPr>
            <w:tcW w:w="16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rPr>
              <w:t>2,638,740</w:t>
            </w:r>
          </w:p>
        </w:tc>
      </w:tr>
      <w:tr>
        <w:trPr>
          <w:trHeight w:val="135"/>
        </w:trPr>
        <w:tc>
          <w:tcPr>
            <w:tcW w:w="1860" w:type="dxa"/>
            <w:vAlign w:val="bottom"/>
            <w:tcBorders>
              <w:bottom w:val="single" w:sz="8" w:color="D1CDCA"/>
            </w:tcBorders>
          </w:tcPr>
          <w:p>
            <w:pPr>
              <w:ind w:left="80"/>
              <w:spacing w:after="0" w:line="119" w:lineRule="exact"/>
              <w:rPr>
                <w:sz w:val="20"/>
                <w:szCs w:val="20"/>
                <w:color w:val="auto"/>
              </w:rPr>
            </w:pPr>
            <w:r>
              <w:rPr>
                <w:rFonts w:ascii="Arial" w:cs="Arial" w:eastAsia="Arial" w:hAnsi="Arial"/>
                <w:sz w:val="13"/>
                <w:szCs w:val="13"/>
                <w:color w:val="auto"/>
              </w:rPr>
              <w:t>Secretary</w:t>
            </w:r>
          </w:p>
        </w:tc>
        <w:tc>
          <w:tcPr>
            <w:tcW w:w="540" w:type="dxa"/>
            <w:vAlign w:val="bottom"/>
            <w:tcBorders>
              <w:bottom w:val="single" w:sz="8" w:color="D1CDCA"/>
            </w:tcBorders>
          </w:tcPr>
          <w:p>
            <w:pPr>
              <w:jc w:val="right"/>
              <w:ind w:right="37"/>
              <w:spacing w:after="0" w:line="135" w:lineRule="exact"/>
              <w:rPr>
                <w:sz w:val="20"/>
                <w:szCs w:val="20"/>
                <w:color w:val="auto"/>
              </w:rPr>
            </w:pPr>
            <w:r>
              <w:rPr>
                <w:rFonts w:ascii="Arial" w:cs="Arial" w:eastAsia="Arial" w:hAnsi="Arial"/>
                <w:sz w:val="13"/>
                <w:szCs w:val="13"/>
                <w:color w:val="auto"/>
              </w:rPr>
              <w:t>2015</w:t>
            </w:r>
          </w:p>
        </w:tc>
        <w:tc>
          <w:tcPr>
            <w:tcW w:w="160" w:type="dxa"/>
            <w:vAlign w:val="bottom"/>
            <w:tcBorders>
              <w:bottom w:val="single" w:sz="8" w:color="D1CDCA"/>
            </w:tcBorders>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rPr>
              <w:t>850,000</w:t>
            </w:r>
          </w:p>
        </w:tc>
        <w:tc>
          <w:tcPr>
            <w:tcW w:w="44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rPr>
              <w:t>680,000</w:t>
            </w:r>
          </w:p>
        </w:tc>
        <w:tc>
          <w:tcPr>
            <w:tcW w:w="54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ind w:right="17"/>
              <w:spacing w:after="0" w:line="135" w:lineRule="exact"/>
              <w:rPr>
                <w:sz w:val="20"/>
                <w:szCs w:val="20"/>
                <w:color w:val="auto"/>
              </w:rPr>
            </w:pPr>
            <w:r>
              <w:rPr>
                <w:rFonts w:ascii="Arial" w:cs="Arial" w:eastAsia="Arial" w:hAnsi="Arial"/>
                <w:sz w:val="13"/>
                <w:szCs w:val="13"/>
                <w:color w:val="auto"/>
              </w:rPr>
              <w:t>680,000</w:t>
            </w:r>
          </w:p>
        </w:tc>
        <w:tc>
          <w:tcPr>
            <w:tcW w:w="54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D1CDCA"/>
            </w:tcBorders>
          </w:tcPr>
          <w:p>
            <w:pPr>
              <w:jc w:val="right"/>
              <w:ind w:right="17"/>
              <w:spacing w:after="0" w:line="135" w:lineRule="exact"/>
              <w:rPr>
                <w:sz w:val="20"/>
                <w:szCs w:val="20"/>
                <w:color w:val="auto"/>
              </w:rPr>
            </w:pPr>
            <w:r>
              <w:rPr>
                <w:rFonts w:ascii="Arial" w:cs="Arial" w:eastAsia="Arial" w:hAnsi="Arial"/>
                <w:sz w:val="13"/>
                <w:szCs w:val="13"/>
                <w:color w:val="auto"/>
              </w:rPr>
              <w:t>129,156</w:t>
            </w:r>
          </w:p>
        </w:tc>
        <w:tc>
          <w:tcPr>
            <w:tcW w:w="16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rPr>
              <w:t>2,339,156</w:t>
            </w:r>
          </w:p>
        </w:tc>
      </w:tr>
      <w:tr>
        <w:trPr>
          <w:trHeight w:val="123"/>
        </w:trPr>
        <w:tc>
          <w:tcPr>
            <w:tcW w:w="1860" w:type="dxa"/>
            <w:vAlign w:val="bottom"/>
            <w:tcBorders>
              <w:bottom w:val="single" w:sz="8" w:color="F7F7E5"/>
            </w:tcBorders>
            <w:shd w:val="clear" w:color="auto" w:fill="F7F7E5"/>
          </w:tcPr>
          <w:p>
            <w:pPr>
              <w:ind w:left="80"/>
              <w:spacing w:after="0" w:line="123" w:lineRule="exact"/>
              <w:rPr>
                <w:sz w:val="20"/>
                <w:szCs w:val="20"/>
                <w:color w:val="auto"/>
              </w:rPr>
            </w:pPr>
            <w:r>
              <w:rPr>
                <w:rFonts w:ascii="Arial" w:cs="Arial" w:eastAsia="Arial" w:hAnsi="Arial"/>
                <w:sz w:val="13"/>
                <w:szCs w:val="13"/>
                <w:b w:val="1"/>
                <w:bCs w:val="1"/>
                <w:color w:val="auto"/>
              </w:rPr>
              <w:t>Craig Billings</w:t>
            </w:r>
            <w:r>
              <w:rPr>
                <w:rFonts w:ascii="Arial" w:cs="Arial" w:eastAsia="Arial" w:hAnsi="Arial"/>
                <w:sz w:val="10"/>
                <w:szCs w:val="10"/>
                <w:color w:val="auto"/>
              </w:rPr>
              <w:t>(6)</w:t>
            </w:r>
          </w:p>
        </w:tc>
        <w:tc>
          <w:tcPr>
            <w:tcW w:w="540" w:type="dxa"/>
            <w:vAlign w:val="bottom"/>
            <w:tcBorders>
              <w:bottom w:val="single" w:sz="8" w:color="D1CDCA"/>
            </w:tcBorders>
            <w:shd w:val="clear" w:color="auto" w:fill="F7F7E5"/>
          </w:tcPr>
          <w:p>
            <w:pPr>
              <w:jc w:val="right"/>
              <w:ind w:right="37"/>
              <w:spacing w:after="0" w:line="123" w:lineRule="exact"/>
              <w:rPr>
                <w:sz w:val="20"/>
                <w:szCs w:val="20"/>
                <w:color w:val="auto"/>
              </w:rPr>
            </w:pPr>
            <w:r>
              <w:rPr>
                <w:rFonts w:ascii="Arial" w:cs="Arial" w:eastAsia="Arial" w:hAnsi="Arial"/>
                <w:sz w:val="13"/>
                <w:szCs w:val="13"/>
                <w:color w:val="auto"/>
              </w:rPr>
              <w:t>2017</w:t>
            </w:r>
          </w:p>
        </w:tc>
        <w:tc>
          <w:tcPr>
            <w:tcW w:w="160" w:type="dxa"/>
            <w:vAlign w:val="bottom"/>
            <w:tcBorders>
              <w:bottom w:val="single" w:sz="8" w:color="D1CDCA"/>
            </w:tcBorders>
            <w:shd w:val="clear" w:color="auto" w:fill="F7F7E5"/>
          </w:tcPr>
          <w:p>
            <w:pPr>
              <w:jc w:val="center"/>
              <w:ind w:left="17"/>
              <w:spacing w:after="0" w:line="123"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624,423</w:t>
            </w:r>
          </w:p>
        </w:tc>
        <w:tc>
          <w:tcPr>
            <w:tcW w:w="44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3,981,300</w:t>
            </w:r>
          </w:p>
        </w:tc>
        <w:tc>
          <w:tcPr>
            <w:tcW w:w="54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ind w:right="17"/>
              <w:spacing w:after="0" w:line="123" w:lineRule="exact"/>
              <w:rPr>
                <w:sz w:val="20"/>
                <w:szCs w:val="20"/>
                <w:color w:val="auto"/>
              </w:rPr>
            </w:pPr>
            <w:r>
              <w:rPr>
                <w:rFonts w:ascii="Arial" w:cs="Arial" w:eastAsia="Arial" w:hAnsi="Arial"/>
                <w:sz w:val="13"/>
                <w:szCs w:val="13"/>
                <w:color w:val="auto"/>
              </w:rPr>
              <w:t>900,000</w:t>
            </w:r>
          </w:p>
        </w:tc>
        <w:tc>
          <w:tcPr>
            <w:tcW w:w="54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D1CDCA"/>
            </w:tcBorders>
            <w:shd w:val="clear" w:color="auto" w:fill="F7F7E5"/>
          </w:tcPr>
          <w:p>
            <w:pPr>
              <w:jc w:val="right"/>
              <w:ind w:right="17"/>
              <w:spacing w:after="0" w:line="123" w:lineRule="exact"/>
              <w:rPr>
                <w:sz w:val="20"/>
                <w:szCs w:val="20"/>
                <w:color w:val="auto"/>
              </w:rPr>
            </w:pPr>
            <w:r>
              <w:rPr>
                <w:rFonts w:ascii="Arial" w:cs="Arial" w:eastAsia="Arial" w:hAnsi="Arial"/>
                <w:sz w:val="13"/>
                <w:szCs w:val="13"/>
                <w:color w:val="auto"/>
              </w:rPr>
              <w:t>126,570</w:t>
            </w:r>
          </w:p>
        </w:tc>
        <w:tc>
          <w:tcPr>
            <w:tcW w:w="16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5,632,293</w:t>
            </w:r>
          </w:p>
        </w:tc>
      </w:tr>
      <w:tr>
        <w:trPr>
          <w:trHeight w:val="115"/>
        </w:trPr>
        <w:tc>
          <w:tcPr>
            <w:tcW w:w="1860" w:type="dxa"/>
            <w:vAlign w:val="bottom"/>
            <w:shd w:val="clear" w:color="auto" w:fill="F7F7E5"/>
          </w:tcPr>
          <w:p>
            <w:pPr>
              <w:ind w:left="80"/>
              <w:spacing w:after="0" w:line="115" w:lineRule="exact"/>
              <w:rPr>
                <w:sz w:val="20"/>
                <w:szCs w:val="20"/>
                <w:color w:val="auto"/>
              </w:rPr>
            </w:pPr>
            <w:r>
              <w:rPr>
                <w:rFonts w:ascii="Arial" w:cs="Arial" w:eastAsia="Arial" w:hAnsi="Arial"/>
                <w:sz w:val="13"/>
                <w:szCs w:val="13"/>
                <w:color w:val="auto"/>
              </w:rPr>
              <w:t>Chief Financial Officer and</w:t>
            </w:r>
          </w:p>
        </w:tc>
        <w:tc>
          <w:tcPr>
            <w:tcW w:w="540" w:type="dxa"/>
            <w:vAlign w:val="bottom"/>
            <w:shd w:val="clear" w:color="auto" w:fill="F7F7E5"/>
          </w:tcPr>
          <w:p>
            <w:pPr>
              <w:spacing w:after="0"/>
              <w:rPr>
                <w:sz w:val="10"/>
                <w:szCs w:val="10"/>
                <w:color w:val="auto"/>
              </w:rPr>
            </w:pPr>
          </w:p>
        </w:tc>
        <w:tc>
          <w:tcPr>
            <w:tcW w:w="160" w:type="dxa"/>
            <w:vAlign w:val="bottom"/>
            <w:shd w:val="clear" w:color="auto" w:fill="F7F7E5"/>
          </w:tcPr>
          <w:p>
            <w:pPr>
              <w:spacing w:after="0"/>
              <w:rPr>
                <w:sz w:val="10"/>
                <w:szCs w:val="10"/>
                <w:color w:val="auto"/>
              </w:rPr>
            </w:pPr>
          </w:p>
        </w:tc>
        <w:tc>
          <w:tcPr>
            <w:tcW w:w="620" w:type="dxa"/>
            <w:vAlign w:val="bottom"/>
            <w:shd w:val="clear" w:color="auto" w:fill="F7F7E5"/>
          </w:tcPr>
          <w:p>
            <w:pPr>
              <w:spacing w:after="0"/>
              <w:rPr>
                <w:sz w:val="10"/>
                <w:szCs w:val="10"/>
                <w:color w:val="auto"/>
              </w:rPr>
            </w:pPr>
          </w:p>
        </w:tc>
        <w:tc>
          <w:tcPr>
            <w:tcW w:w="440" w:type="dxa"/>
            <w:vAlign w:val="bottom"/>
            <w:shd w:val="clear" w:color="auto" w:fill="F7F7E5"/>
          </w:tcPr>
          <w:p>
            <w:pPr>
              <w:spacing w:after="0"/>
              <w:rPr>
                <w:sz w:val="10"/>
                <w:szCs w:val="10"/>
                <w:color w:val="auto"/>
              </w:rPr>
            </w:pPr>
          </w:p>
        </w:tc>
        <w:tc>
          <w:tcPr>
            <w:tcW w:w="700" w:type="dxa"/>
            <w:vAlign w:val="bottom"/>
            <w:shd w:val="clear" w:color="auto" w:fill="F7F7E5"/>
          </w:tcPr>
          <w:p>
            <w:pPr>
              <w:spacing w:after="0"/>
              <w:rPr>
                <w:sz w:val="10"/>
                <w:szCs w:val="10"/>
                <w:color w:val="auto"/>
              </w:rPr>
            </w:pPr>
          </w:p>
        </w:tc>
        <w:tc>
          <w:tcPr>
            <w:tcW w:w="540" w:type="dxa"/>
            <w:vAlign w:val="bottom"/>
            <w:shd w:val="clear" w:color="auto" w:fill="F7F7E5"/>
          </w:tcPr>
          <w:p>
            <w:pPr>
              <w:spacing w:after="0"/>
              <w:rPr>
                <w:sz w:val="10"/>
                <w:szCs w:val="10"/>
                <w:color w:val="auto"/>
              </w:rPr>
            </w:pPr>
          </w:p>
        </w:tc>
        <w:tc>
          <w:tcPr>
            <w:tcW w:w="700" w:type="dxa"/>
            <w:vAlign w:val="bottom"/>
            <w:shd w:val="clear" w:color="auto" w:fill="F7F7E5"/>
          </w:tcPr>
          <w:p>
            <w:pPr>
              <w:spacing w:after="0"/>
              <w:rPr>
                <w:sz w:val="10"/>
                <w:szCs w:val="10"/>
                <w:color w:val="auto"/>
              </w:rPr>
            </w:pPr>
          </w:p>
        </w:tc>
        <w:tc>
          <w:tcPr>
            <w:tcW w:w="540" w:type="dxa"/>
            <w:vAlign w:val="bottom"/>
            <w:shd w:val="clear" w:color="auto" w:fill="F7F7E5"/>
          </w:tcPr>
          <w:p>
            <w:pPr>
              <w:spacing w:after="0"/>
              <w:rPr>
                <w:sz w:val="10"/>
                <w:szCs w:val="10"/>
                <w:color w:val="auto"/>
              </w:rPr>
            </w:pPr>
          </w:p>
        </w:tc>
        <w:tc>
          <w:tcPr>
            <w:tcW w:w="640" w:type="dxa"/>
            <w:vAlign w:val="bottom"/>
            <w:shd w:val="clear" w:color="auto" w:fill="F7F7E5"/>
          </w:tcPr>
          <w:p>
            <w:pPr>
              <w:spacing w:after="0"/>
              <w:rPr>
                <w:sz w:val="10"/>
                <w:szCs w:val="10"/>
                <w:color w:val="auto"/>
              </w:rPr>
            </w:pPr>
          </w:p>
        </w:tc>
        <w:tc>
          <w:tcPr>
            <w:tcW w:w="160" w:type="dxa"/>
            <w:vAlign w:val="bottom"/>
            <w:shd w:val="clear" w:color="auto" w:fill="F7F7E5"/>
          </w:tcPr>
          <w:p>
            <w:pPr>
              <w:spacing w:after="0"/>
              <w:rPr>
                <w:sz w:val="10"/>
                <w:szCs w:val="10"/>
                <w:color w:val="auto"/>
              </w:rPr>
            </w:pPr>
          </w:p>
        </w:tc>
        <w:tc>
          <w:tcPr>
            <w:tcW w:w="700" w:type="dxa"/>
            <w:vAlign w:val="bottom"/>
            <w:shd w:val="clear" w:color="auto" w:fill="F7F7E5"/>
          </w:tcPr>
          <w:p>
            <w:pPr>
              <w:spacing w:after="0"/>
              <w:rPr>
                <w:sz w:val="10"/>
                <w:szCs w:val="10"/>
                <w:color w:val="auto"/>
              </w:rPr>
            </w:pPr>
          </w:p>
        </w:tc>
      </w:tr>
      <w:tr>
        <w:trPr>
          <w:trHeight w:val="153"/>
        </w:trPr>
        <w:tc>
          <w:tcPr>
            <w:tcW w:w="1860" w:type="dxa"/>
            <w:vAlign w:val="bottom"/>
            <w:tcBorders>
              <w:bottom w:val="single" w:sz="8" w:color="D1CDCA"/>
            </w:tcBorders>
            <w:shd w:val="clear" w:color="auto" w:fill="F7F7E5"/>
          </w:tcPr>
          <w:p>
            <w:pPr>
              <w:ind w:left="80"/>
              <w:spacing w:after="0"/>
              <w:rPr>
                <w:sz w:val="20"/>
                <w:szCs w:val="20"/>
                <w:color w:val="auto"/>
              </w:rPr>
            </w:pPr>
            <w:r>
              <w:rPr>
                <w:rFonts w:ascii="Arial" w:cs="Arial" w:eastAsia="Arial" w:hAnsi="Arial"/>
                <w:sz w:val="13"/>
                <w:szCs w:val="13"/>
                <w:color w:val="auto"/>
              </w:rPr>
              <w:t>Treasurer</w:t>
            </w:r>
          </w:p>
        </w:tc>
        <w:tc>
          <w:tcPr>
            <w:tcW w:w="540" w:type="dxa"/>
            <w:vAlign w:val="bottom"/>
            <w:tcBorders>
              <w:bottom w:val="single" w:sz="8" w:color="D1CDCA"/>
            </w:tcBorders>
            <w:shd w:val="clear" w:color="auto" w:fill="F7F7E5"/>
          </w:tcPr>
          <w:p>
            <w:pPr>
              <w:spacing w:after="0"/>
              <w:rPr>
                <w:sz w:val="13"/>
                <w:szCs w:val="13"/>
                <w:color w:val="auto"/>
              </w:rPr>
            </w:pPr>
          </w:p>
        </w:tc>
        <w:tc>
          <w:tcPr>
            <w:tcW w:w="160" w:type="dxa"/>
            <w:vAlign w:val="bottom"/>
            <w:tcBorders>
              <w:bottom w:val="single" w:sz="8" w:color="D1CDCA"/>
            </w:tcBorders>
            <w:shd w:val="clear" w:color="auto" w:fill="F7F7E5"/>
          </w:tcPr>
          <w:p>
            <w:pPr>
              <w:spacing w:after="0"/>
              <w:rPr>
                <w:sz w:val="13"/>
                <w:szCs w:val="13"/>
                <w:color w:val="auto"/>
              </w:rPr>
            </w:pPr>
          </w:p>
        </w:tc>
        <w:tc>
          <w:tcPr>
            <w:tcW w:w="620" w:type="dxa"/>
            <w:vAlign w:val="bottom"/>
            <w:tcBorders>
              <w:bottom w:val="single" w:sz="8" w:color="D1CDCA"/>
            </w:tcBorders>
            <w:shd w:val="clear" w:color="auto" w:fill="F7F7E5"/>
          </w:tcPr>
          <w:p>
            <w:pPr>
              <w:spacing w:after="0"/>
              <w:rPr>
                <w:sz w:val="13"/>
                <w:szCs w:val="13"/>
                <w:color w:val="auto"/>
              </w:rPr>
            </w:pPr>
          </w:p>
        </w:tc>
        <w:tc>
          <w:tcPr>
            <w:tcW w:w="440" w:type="dxa"/>
            <w:vAlign w:val="bottom"/>
            <w:tcBorders>
              <w:bottom w:val="single" w:sz="8" w:color="D1CDCA"/>
            </w:tcBorders>
            <w:shd w:val="clear" w:color="auto" w:fill="F7F7E5"/>
          </w:tcPr>
          <w:p>
            <w:pPr>
              <w:spacing w:after="0"/>
              <w:rPr>
                <w:sz w:val="13"/>
                <w:szCs w:val="13"/>
                <w:color w:val="auto"/>
              </w:rPr>
            </w:pPr>
          </w:p>
        </w:tc>
        <w:tc>
          <w:tcPr>
            <w:tcW w:w="700" w:type="dxa"/>
            <w:vAlign w:val="bottom"/>
            <w:tcBorders>
              <w:bottom w:val="single" w:sz="8" w:color="D1CDCA"/>
            </w:tcBorders>
            <w:shd w:val="clear" w:color="auto" w:fill="F7F7E5"/>
          </w:tcPr>
          <w:p>
            <w:pPr>
              <w:spacing w:after="0"/>
              <w:rPr>
                <w:sz w:val="13"/>
                <w:szCs w:val="13"/>
                <w:color w:val="auto"/>
              </w:rPr>
            </w:pPr>
          </w:p>
        </w:tc>
        <w:tc>
          <w:tcPr>
            <w:tcW w:w="540" w:type="dxa"/>
            <w:vAlign w:val="bottom"/>
            <w:tcBorders>
              <w:bottom w:val="single" w:sz="8" w:color="D1CDCA"/>
            </w:tcBorders>
            <w:shd w:val="clear" w:color="auto" w:fill="F7F7E5"/>
          </w:tcPr>
          <w:p>
            <w:pPr>
              <w:spacing w:after="0"/>
              <w:rPr>
                <w:sz w:val="13"/>
                <w:szCs w:val="13"/>
                <w:color w:val="auto"/>
              </w:rPr>
            </w:pPr>
          </w:p>
        </w:tc>
        <w:tc>
          <w:tcPr>
            <w:tcW w:w="700" w:type="dxa"/>
            <w:vAlign w:val="bottom"/>
            <w:tcBorders>
              <w:bottom w:val="single" w:sz="8" w:color="D1CDCA"/>
            </w:tcBorders>
            <w:shd w:val="clear" w:color="auto" w:fill="F7F7E5"/>
          </w:tcPr>
          <w:p>
            <w:pPr>
              <w:spacing w:after="0"/>
              <w:rPr>
                <w:sz w:val="13"/>
                <w:szCs w:val="13"/>
                <w:color w:val="auto"/>
              </w:rPr>
            </w:pPr>
          </w:p>
        </w:tc>
        <w:tc>
          <w:tcPr>
            <w:tcW w:w="540" w:type="dxa"/>
            <w:vAlign w:val="bottom"/>
            <w:tcBorders>
              <w:bottom w:val="single" w:sz="8" w:color="D1CDCA"/>
            </w:tcBorders>
            <w:shd w:val="clear" w:color="auto" w:fill="F7F7E5"/>
          </w:tcPr>
          <w:p>
            <w:pPr>
              <w:spacing w:after="0"/>
              <w:rPr>
                <w:sz w:val="13"/>
                <w:szCs w:val="13"/>
                <w:color w:val="auto"/>
              </w:rPr>
            </w:pPr>
          </w:p>
        </w:tc>
        <w:tc>
          <w:tcPr>
            <w:tcW w:w="640" w:type="dxa"/>
            <w:vAlign w:val="bottom"/>
            <w:tcBorders>
              <w:bottom w:val="single" w:sz="8" w:color="D1CDCA"/>
            </w:tcBorders>
            <w:shd w:val="clear" w:color="auto" w:fill="F7F7E5"/>
          </w:tcPr>
          <w:p>
            <w:pPr>
              <w:spacing w:after="0"/>
              <w:rPr>
                <w:sz w:val="13"/>
                <w:szCs w:val="13"/>
                <w:color w:val="auto"/>
              </w:rPr>
            </w:pPr>
          </w:p>
        </w:tc>
        <w:tc>
          <w:tcPr>
            <w:tcW w:w="160" w:type="dxa"/>
            <w:vAlign w:val="bottom"/>
            <w:tcBorders>
              <w:bottom w:val="single" w:sz="8" w:color="D1CDCA"/>
            </w:tcBorders>
            <w:shd w:val="clear" w:color="auto" w:fill="F7F7E5"/>
          </w:tcPr>
          <w:p>
            <w:pPr>
              <w:spacing w:after="0"/>
              <w:rPr>
                <w:sz w:val="13"/>
                <w:szCs w:val="13"/>
                <w:color w:val="auto"/>
              </w:rPr>
            </w:pPr>
          </w:p>
        </w:tc>
        <w:tc>
          <w:tcPr>
            <w:tcW w:w="700" w:type="dxa"/>
            <w:vAlign w:val="bottom"/>
            <w:tcBorders>
              <w:bottom w:val="single" w:sz="8" w:color="D1CDCA"/>
            </w:tcBorders>
            <w:shd w:val="clear" w:color="auto" w:fill="F7F7E5"/>
          </w:tcPr>
          <w:p>
            <w:pPr>
              <w:spacing w:after="0"/>
              <w:rPr>
                <w:sz w:val="13"/>
                <w:szCs w:val="13"/>
                <w:color w:val="auto"/>
              </w:rPr>
            </w:pPr>
          </w:p>
        </w:tc>
      </w:tr>
      <w:tr>
        <w:trPr>
          <w:trHeight w:val="124"/>
        </w:trPr>
        <w:tc>
          <w:tcPr>
            <w:tcW w:w="1860" w:type="dxa"/>
            <w:vAlign w:val="bottom"/>
          </w:tcPr>
          <w:p>
            <w:pPr>
              <w:ind w:left="80"/>
              <w:spacing w:after="0" w:line="124" w:lineRule="exact"/>
              <w:rPr>
                <w:sz w:val="20"/>
                <w:szCs w:val="20"/>
                <w:color w:val="auto"/>
              </w:rPr>
            </w:pPr>
            <w:r>
              <w:rPr>
                <w:rFonts w:ascii="Arial" w:cs="Arial" w:eastAsia="Arial" w:hAnsi="Arial"/>
                <w:sz w:val="13"/>
                <w:szCs w:val="13"/>
                <w:b w:val="1"/>
                <w:bCs w:val="1"/>
                <w:color w:val="auto"/>
              </w:rPr>
              <w:t>Stephen A. Wynn</w:t>
            </w:r>
            <w:r>
              <w:rPr>
                <w:rFonts w:ascii="Arial" w:cs="Arial" w:eastAsia="Arial" w:hAnsi="Arial"/>
                <w:sz w:val="10"/>
                <w:szCs w:val="10"/>
                <w:color w:val="auto"/>
              </w:rPr>
              <w:t>(7)</w:t>
            </w:r>
          </w:p>
        </w:tc>
        <w:tc>
          <w:tcPr>
            <w:tcW w:w="540" w:type="dxa"/>
            <w:vAlign w:val="bottom"/>
            <w:tcBorders>
              <w:bottom w:val="single" w:sz="8" w:color="D1CDCA"/>
            </w:tcBorders>
          </w:tcPr>
          <w:p>
            <w:pPr>
              <w:jc w:val="right"/>
              <w:ind w:right="37"/>
              <w:spacing w:after="0" w:line="124" w:lineRule="exact"/>
              <w:rPr>
                <w:sz w:val="20"/>
                <w:szCs w:val="20"/>
                <w:color w:val="auto"/>
              </w:rPr>
            </w:pPr>
            <w:r>
              <w:rPr>
                <w:rFonts w:ascii="Arial" w:cs="Arial" w:eastAsia="Arial" w:hAnsi="Arial"/>
                <w:sz w:val="13"/>
                <w:szCs w:val="13"/>
                <w:color w:val="auto"/>
              </w:rPr>
              <w:t>2017</w:t>
            </w:r>
          </w:p>
        </w:tc>
        <w:tc>
          <w:tcPr>
            <w:tcW w:w="160" w:type="dxa"/>
            <w:vAlign w:val="bottom"/>
            <w:tcBorders>
              <w:bottom w:val="single" w:sz="8" w:color="D1CDCA"/>
            </w:tcBorders>
          </w:tcPr>
          <w:p>
            <w:pPr>
              <w:jc w:val="center"/>
              <w:ind w:left="17"/>
              <w:spacing w:after="0" w:line="124"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D1CDCA"/>
            </w:tcBorders>
          </w:tcPr>
          <w:p>
            <w:pPr>
              <w:jc w:val="right"/>
              <w:spacing w:after="0" w:line="124" w:lineRule="exact"/>
              <w:rPr>
                <w:sz w:val="20"/>
                <w:szCs w:val="20"/>
                <w:color w:val="auto"/>
              </w:rPr>
            </w:pPr>
            <w:r>
              <w:rPr>
                <w:rFonts w:ascii="Arial" w:cs="Arial" w:eastAsia="Arial" w:hAnsi="Arial"/>
                <w:sz w:val="13"/>
                <w:szCs w:val="13"/>
                <w:color w:val="auto"/>
                <w:w w:val="93"/>
              </w:rPr>
              <w:t>2,500,000</w:t>
            </w:r>
          </w:p>
        </w:tc>
        <w:tc>
          <w:tcPr>
            <w:tcW w:w="440" w:type="dxa"/>
            <w:vAlign w:val="bottom"/>
            <w:tcBorders>
              <w:bottom w:val="single" w:sz="8" w:color="D1CDCA"/>
            </w:tcBorders>
          </w:tcPr>
          <w:p>
            <w:pPr>
              <w:jc w:val="right"/>
              <w:spacing w:after="0" w:line="124"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spacing w:after="0" w:line="124" w:lineRule="exact"/>
              <w:rPr>
                <w:sz w:val="20"/>
                <w:szCs w:val="20"/>
                <w:color w:val="auto"/>
              </w:rPr>
            </w:pPr>
            <w:r>
              <w:rPr>
                <w:rFonts w:ascii="Arial" w:cs="Arial" w:eastAsia="Arial" w:hAnsi="Arial"/>
                <w:sz w:val="13"/>
                <w:szCs w:val="13"/>
                <w:color w:val="auto"/>
                <w:w w:val="95"/>
              </w:rPr>
              <w:t>15,000,000</w:t>
            </w:r>
          </w:p>
        </w:tc>
        <w:tc>
          <w:tcPr>
            <w:tcW w:w="540" w:type="dxa"/>
            <w:vAlign w:val="bottom"/>
            <w:tcBorders>
              <w:bottom w:val="single" w:sz="8" w:color="D1CDCA"/>
            </w:tcBorders>
          </w:tcPr>
          <w:p>
            <w:pPr>
              <w:jc w:val="right"/>
              <w:spacing w:after="0" w:line="124"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ind w:right="17"/>
              <w:spacing w:after="0" w:line="124" w:lineRule="exact"/>
              <w:rPr>
                <w:sz w:val="20"/>
                <w:szCs w:val="20"/>
                <w:color w:val="auto"/>
              </w:rPr>
            </w:pPr>
            <w:r>
              <w:rPr>
                <w:rFonts w:ascii="Arial" w:cs="Arial" w:eastAsia="Arial" w:hAnsi="Arial"/>
                <w:sz w:val="13"/>
                <w:szCs w:val="13"/>
                <w:color w:val="auto"/>
                <w:w w:val="92"/>
              </w:rPr>
              <w:t>15,000,000</w:t>
            </w:r>
          </w:p>
        </w:tc>
        <w:tc>
          <w:tcPr>
            <w:tcW w:w="540" w:type="dxa"/>
            <w:vAlign w:val="bottom"/>
            <w:tcBorders>
              <w:bottom w:val="single" w:sz="8" w:color="D1CDCA"/>
            </w:tcBorders>
          </w:tcPr>
          <w:p>
            <w:pPr>
              <w:jc w:val="right"/>
              <w:spacing w:after="0" w:line="124"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D1CDCA"/>
            </w:tcBorders>
          </w:tcPr>
          <w:p>
            <w:pPr>
              <w:jc w:val="right"/>
              <w:ind w:right="17"/>
              <w:spacing w:after="0" w:line="124" w:lineRule="exact"/>
              <w:rPr>
                <w:sz w:val="20"/>
                <w:szCs w:val="20"/>
                <w:color w:val="auto"/>
              </w:rPr>
            </w:pPr>
            <w:r>
              <w:rPr>
                <w:rFonts w:ascii="Arial" w:cs="Arial" w:eastAsia="Arial" w:hAnsi="Arial"/>
                <w:sz w:val="13"/>
                <w:szCs w:val="13"/>
                <w:color w:val="auto"/>
                <w:w w:val="93"/>
              </w:rPr>
              <w:t>2,022,695</w:t>
            </w:r>
          </w:p>
        </w:tc>
        <w:tc>
          <w:tcPr>
            <w:tcW w:w="160" w:type="dxa"/>
            <w:vAlign w:val="bottom"/>
            <w:tcBorders>
              <w:bottom w:val="single" w:sz="8" w:color="D1CDCA"/>
            </w:tcBorders>
          </w:tcPr>
          <w:p>
            <w:pPr>
              <w:jc w:val="right"/>
              <w:spacing w:after="0" w:line="124"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spacing w:after="0" w:line="124" w:lineRule="exact"/>
              <w:rPr>
                <w:sz w:val="20"/>
                <w:szCs w:val="20"/>
                <w:color w:val="auto"/>
              </w:rPr>
            </w:pPr>
            <w:r>
              <w:rPr>
                <w:rFonts w:ascii="Arial" w:cs="Arial" w:eastAsia="Arial" w:hAnsi="Arial"/>
                <w:sz w:val="13"/>
                <w:szCs w:val="13"/>
                <w:color w:val="auto"/>
                <w:w w:val="95"/>
              </w:rPr>
              <w:t>34,522,695</w:t>
            </w:r>
          </w:p>
        </w:tc>
      </w:tr>
      <w:tr>
        <w:trPr>
          <w:trHeight w:val="128"/>
        </w:trPr>
        <w:tc>
          <w:tcPr>
            <w:tcW w:w="1860" w:type="dxa"/>
            <w:vAlign w:val="bottom"/>
          </w:tcPr>
          <w:p>
            <w:pPr>
              <w:ind w:left="80"/>
              <w:spacing w:after="0" w:line="115" w:lineRule="exact"/>
              <w:rPr>
                <w:sz w:val="20"/>
                <w:szCs w:val="20"/>
                <w:color w:val="auto"/>
              </w:rPr>
            </w:pPr>
            <w:r>
              <w:rPr>
                <w:rFonts w:ascii="Arial" w:cs="Arial" w:eastAsia="Arial" w:hAnsi="Arial"/>
                <w:sz w:val="13"/>
                <w:szCs w:val="13"/>
                <w:color w:val="auto"/>
              </w:rPr>
              <w:t>Former Chairman and</w:t>
            </w:r>
          </w:p>
        </w:tc>
        <w:tc>
          <w:tcPr>
            <w:tcW w:w="540" w:type="dxa"/>
            <w:vAlign w:val="bottom"/>
            <w:tcBorders>
              <w:bottom w:val="single" w:sz="8" w:color="D1CDCA"/>
            </w:tcBorders>
          </w:tcPr>
          <w:p>
            <w:pPr>
              <w:jc w:val="right"/>
              <w:ind w:right="37"/>
              <w:spacing w:after="0" w:line="115" w:lineRule="exact"/>
              <w:rPr>
                <w:sz w:val="20"/>
                <w:szCs w:val="20"/>
                <w:color w:val="auto"/>
              </w:rPr>
            </w:pPr>
            <w:r>
              <w:rPr>
                <w:rFonts w:ascii="Arial" w:cs="Arial" w:eastAsia="Arial" w:hAnsi="Arial"/>
                <w:sz w:val="13"/>
                <w:szCs w:val="13"/>
                <w:color w:val="auto"/>
              </w:rPr>
              <w:t>2016</w:t>
            </w:r>
          </w:p>
        </w:tc>
        <w:tc>
          <w:tcPr>
            <w:tcW w:w="160" w:type="dxa"/>
            <w:vAlign w:val="bottom"/>
            <w:tcBorders>
              <w:bottom w:val="single" w:sz="8" w:color="D1CDCA"/>
            </w:tcBorders>
          </w:tcPr>
          <w:p>
            <w:pPr>
              <w:jc w:val="center"/>
              <w:ind w:left="17"/>
              <w:spacing w:after="0" w:line="11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w w:val="93"/>
              </w:rPr>
              <w:t>2,500,000</w:t>
            </w:r>
          </w:p>
        </w:tc>
        <w:tc>
          <w:tcPr>
            <w:tcW w:w="44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w w:val="95"/>
              </w:rPr>
              <w:t>12,500,000</w:t>
            </w:r>
          </w:p>
        </w:tc>
        <w:tc>
          <w:tcPr>
            <w:tcW w:w="54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ind w:right="17"/>
              <w:spacing w:after="0" w:line="115" w:lineRule="exact"/>
              <w:rPr>
                <w:sz w:val="20"/>
                <w:szCs w:val="20"/>
                <w:color w:val="auto"/>
              </w:rPr>
            </w:pPr>
            <w:r>
              <w:rPr>
                <w:rFonts w:ascii="Arial" w:cs="Arial" w:eastAsia="Arial" w:hAnsi="Arial"/>
                <w:sz w:val="13"/>
                <w:szCs w:val="13"/>
                <w:color w:val="auto"/>
                <w:w w:val="92"/>
              </w:rPr>
              <w:t>12,500,000</w:t>
            </w:r>
          </w:p>
        </w:tc>
        <w:tc>
          <w:tcPr>
            <w:tcW w:w="54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D1CDCA"/>
            </w:tcBorders>
          </w:tcPr>
          <w:p>
            <w:pPr>
              <w:jc w:val="right"/>
              <w:ind w:right="17"/>
              <w:spacing w:after="0" w:line="115" w:lineRule="exact"/>
              <w:rPr>
                <w:sz w:val="20"/>
                <w:szCs w:val="20"/>
                <w:color w:val="auto"/>
              </w:rPr>
            </w:pPr>
            <w:r>
              <w:rPr>
                <w:rFonts w:ascii="Arial" w:cs="Arial" w:eastAsia="Arial" w:hAnsi="Arial"/>
                <w:sz w:val="13"/>
                <w:szCs w:val="13"/>
                <w:color w:val="auto"/>
              </w:rPr>
              <w:t>656,985</w:t>
            </w:r>
          </w:p>
        </w:tc>
        <w:tc>
          <w:tcPr>
            <w:tcW w:w="16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spacing w:after="0" w:line="115" w:lineRule="exact"/>
              <w:rPr>
                <w:sz w:val="20"/>
                <w:szCs w:val="20"/>
                <w:color w:val="auto"/>
              </w:rPr>
            </w:pPr>
            <w:r>
              <w:rPr>
                <w:rFonts w:ascii="Arial" w:cs="Arial" w:eastAsia="Arial" w:hAnsi="Arial"/>
                <w:sz w:val="13"/>
                <w:szCs w:val="13"/>
                <w:color w:val="auto"/>
                <w:w w:val="95"/>
              </w:rPr>
              <w:t>28,156,985</w:t>
            </w:r>
          </w:p>
        </w:tc>
      </w:tr>
      <w:tr>
        <w:trPr>
          <w:trHeight w:val="135"/>
        </w:trPr>
        <w:tc>
          <w:tcPr>
            <w:tcW w:w="1860" w:type="dxa"/>
            <w:vAlign w:val="bottom"/>
            <w:tcBorders>
              <w:bottom w:val="single" w:sz="8" w:color="D1CDCA"/>
            </w:tcBorders>
          </w:tcPr>
          <w:p>
            <w:pPr>
              <w:ind w:left="80"/>
              <w:spacing w:after="0" w:line="119" w:lineRule="exact"/>
              <w:rPr>
                <w:sz w:val="20"/>
                <w:szCs w:val="20"/>
                <w:color w:val="auto"/>
              </w:rPr>
            </w:pPr>
            <w:r>
              <w:rPr>
                <w:rFonts w:ascii="Arial" w:cs="Arial" w:eastAsia="Arial" w:hAnsi="Arial"/>
                <w:sz w:val="13"/>
                <w:szCs w:val="13"/>
                <w:color w:val="auto"/>
              </w:rPr>
              <w:t>Chief Executive Officer</w:t>
            </w:r>
          </w:p>
        </w:tc>
        <w:tc>
          <w:tcPr>
            <w:tcW w:w="540" w:type="dxa"/>
            <w:vAlign w:val="bottom"/>
            <w:tcBorders>
              <w:bottom w:val="single" w:sz="8" w:color="D1CDCA"/>
            </w:tcBorders>
          </w:tcPr>
          <w:p>
            <w:pPr>
              <w:jc w:val="right"/>
              <w:ind w:right="37"/>
              <w:spacing w:after="0" w:line="135" w:lineRule="exact"/>
              <w:rPr>
                <w:sz w:val="20"/>
                <w:szCs w:val="20"/>
                <w:color w:val="auto"/>
              </w:rPr>
            </w:pPr>
            <w:r>
              <w:rPr>
                <w:rFonts w:ascii="Arial" w:cs="Arial" w:eastAsia="Arial" w:hAnsi="Arial"/>
                <w:sz w:val="13"/>
                <w:szCs w:val="13"/>
                <w:color w:val="auto"/>
              </w:rPr>
              <w:t>2015</w:t>
            </w:r>
          </w:p>
        </w:tc>
        <w:tc>
          <w:tcPr>
            <w:tcW w:w="160" w:type="dxa"/>
            <w:vAlign w:val="bottom"/>
            <w:tcBorders>
              <w:bottom w:val="single" w:sz="8" w:color="D1CDCA"/>
            </w:tcBorders>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w w:val="93"/>
              </w:rPr>
              <w:t>2,500,000</w:t>
            </w:r>
          </w:p>
        </w:tc>
        <w:tc>
          <w:tcPr>
            <w:tcW w:w="44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rPr>
              <w:t>8,750,000</w:t>
            </w:r>
          </w:p>
        </w:tc>
        <w:tc>
          <w:tcPr>
            <w:tcW w:w="54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ind w:right="17"/>
              <w:spacing w:after="0" w:line="135" w:lineRule="exact"/>
              <w:rPr>
                <w:sz w:val="20"/>
                <w:szCs w:val="20"/>
                <w:color w:val="auto"/>
              </w:rPr>
            </w:pPr>
            <w:r>
              <w:rPr>
                <w:rFonts w:ascii="Arial" w:cs="Arial" w:eastAsia="Arial" w:hAnsi="Arial"/>
                <w:sz w:val="13"/>
                <w:szCs w:val="13"/>
                <w:color w:val="auto"/>
              </w:rPr>
              <w:t>8,750,000</w:t>
            </w:r>
          </w:p>
        </w:tc>
        <w:tc>
          <w:tcPr>
            <w:tcW w:w="54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D1CDCA"/>
            </w:tcBorders>
          </w:tcPr>
          <w:p>
            <w:pPr>
              <w:jc w:val="right"/>
              <w:ind w:right="17"/>
              <w:spacing w:after="0" w:line="135" w:lineRule="exact"/>
              <w:rPr>
                <w:sz w:val="20"/>
                <w:szCs w:val="20"/>
                <w:color w:val="auto"/>
              </w:rPr>
            </w:pPr>
            <w:r>
              <w:rPr>
                <w:rFonts w:ascii="Arial" w:cs="Arial" w:eastAsia="Arial" w:hAnsi="Arial"/>
                <w:sz w:val="13"/>
                <w:szCs w:val="13"/>
                <w:color w:val="auto"/>
              </w:rPr>
              <w:t>680,391</w:t>
            </w:r>
          </w:p>
        </w:tc>
        <w:tc>
          <w:tcPr>
            <w:tcW w:w="16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tcPr>
          <w:p>
            <w:pPr>
              <w:jc w:val="right"/>
              <w:spacing w:after="0" w:line="135" w:lineRule="exact"/>
              <w:rPr>
                <w:sz w:val="20"/>
                <w:szCs w:val="20"/>
                <w:color w:val="auto"/>
              </w:rPr>
            </w:pPr>
            <w:r>
              <w:rPr>
                <w:rFonts w:ascii="Arial" w:cs="Arial" w:eastAsia="Arial" w:hAnsi="Arial"/>
                <w:sz w:val="13"/>
                <w:szCs w:val="13"/>
                <w:color w:val="auto"/>
                <w:w w:val="95"/>
              </w:rPr>
              <w:t>20,680,391</w:t>
            </w:r>
          </w:p>
        </w:tc>
      </w:tr>
      <w:tr>
        <w:trPr>
          <w:trHeight w:val="123"/>
        </w:trPr>
        <w:tc>
          <w:tcPr>
            <w:tcW w:w="1860" w:type="dxa"/>
            <w:vAlign w:val="bottom"/>
            <w:tcBorders>
              <w:bottom w:val="single" w:sz="8" w:color="F7F7E5"/>
            </w:tcBorders>
            <w:shd w:val="clear" w:color="auto" w:fill="F7F7E5"/>
          </w:tcPr>
          <w:p>
            <w:pPr>
              <w:ind w:left="80"/>
              <w:spacing w:after="0" w:line="123" w:lineRule="exact"/>
              <w:rPr>
                <w:sz w:val="20"/>
                <w:szCs w:val="20"/>
                <w:color w:val="auto"/>
              </w:rPr>
            </w:pPr>
            <w:r>
              <w:rPr>
                <w:rFonts w:ascii="Arial" w:cs="Arial" w:eastAsia="Arial" w:hAnsi="Arial"/>
                <w:sz w:val="13"/>
                <w:szCs w:val="13"/>
                <w:b w:val="1"/>
                <w:bCs w:val="1"/>
                <w:color w:val="auto"/>
              </w:rPr>
              <w:t>Stephen Cootey</w:t>
            </w:r>
            <w:r>
              <w:rPr>
                <w:rFonts w:ascii="Arial" w:cs="Arial" w:eastAsia="Arial" w:hAnsi="Arial"/>
                <w:sz w:val="10"/>
                <w:szCs w:val="10"/>
                <w:color w:val="auto"/>
              </w:rPr>
              <w:t>(8</w:t>
            </w:r>
            <w:r>
              <w:rPr>
                <w:rFonts w:ascii="Arial" w:cs="Arial" w:eastAsia="Arial" w:hAnsi="Arial"/>
                <w:sz w:val="8"/>
                <w:szCs w:val="8"/>
                <w:b w:val="1"/>
                <w:bCs w:val="1"/>
                <w:color w:val="auto"/>
              </w:rPr>
              <w:t>)</w:t>
            </w:r>
          </w:p>
        </w:tc>
        <w:tc>
          <w:tcPr>
            <w:tcW w:w="540" w:type="dxa"/>
            <w:vAlign w:val="bottom"/>
            <w:tcBorders>
              <w:bottom w:val="single" w:sz="8" w:color="D1CDCA"/>
            </w:tcBorders>
            <w:shd w:val="clear" w:color="auto" w:fill="F7F7E5"/>
          </w:tcPr>
          <w:p>
            <w:pPr>
              <w:jc w:val="right"/>
              <w:ind w:right="37"/>
              <w:spacing w:after="0" w:line="123" w:lineRule="exact"/>
              <w:rPr>
                <w:sz w:val="20"/>
                <w:szCs w:val="20"/>
                <w:color w:val="auto"/>
              </w:rPr>
            </w:pPr>
            <w:r>
              <w:rPr>
                <w:rFonts w:ascii="Arial" w:cs="Arial" w:eastAsia="Arial" w:hAnsi="Arial"/>
                <w:sz w:val="13"/>
                <w:szCs w:val="13"/>
                <w:color w:val="auto"/>
              </w:rPr>
              <w:t>2017</w:t>
            </w:r>
          </w:p>
        </w:tc>
        <w:tc>
          <w:tcPr>
            <w:tcW w:w="160" w:type="dxa"/>
            <w:vAlign w:val="bottom"/>
            <w:tcBorders>
              <w:bottom w:val="single" w:sz="8" w:color="D1CDCA"/>
            </w:tcBorders>
            <w:shd w:val="clear" w:color="auto" w:fill="F7F7E5"/>
          </w:tcPr>
          <w:p>
            <w:pPr>
              <w:jc w:val="center"/>
              <w:ind w:left="17"/>
              <w:spacing w:after="0" w:line="123"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175,481</w:t>
            </w:r>
          </w:p>
        </w:tc>
        <w:tc>
          <w:tcPr>
            <w:tcW w:w="440" w:type="dxa"/>
            <w:vAlign w:val="bottom"/>
            <w:tcBorders>
              <w:bottom w:val="single" w:sz="8" w:color="D1CDCA"/>
            </w:tcBorders>
            <w:shd w:val="clear" w:color="auto" w:fill="F7F7E5"/>
          </w:tcPr>
          <w:p>
            <w:pPr>
              <w:spacing w:after="0"/>
              <w:rPr>
                <w:sz w:val="10"/>
                <w:szCs w:val="10"/>
                <w:color w:val="auto"/>
              </w:rPr>
            </w:pPr>
          </w:p>
        </w:tc>
        <w:tc>
          <w:tcPr>
            <w:tcW w:w="70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D1CDCA"/>
            </w:tcBorders>
            <w:shd w:val="clear" w:color="auto" w:fill="F7F7E5"/>
          </w:tcPr>
          <w:p>
            <w:pPr>
              <w:spacing w:after="0"/>
              <w:rPr>
                <w:sz w:val="10"/>
                <w:szCs w:val="10"/>
                <w:color w:val="auto"/>
              </w:rPr>
            </w:pPr>
          </w:p>
        </w:tc>
        <w:tc>
          <w:tcPr>
            <w:tcW w:w="700" w:type="dxa"/>
            <w:vAlign w:val="bottom"/>
            <w:tcBorders>
              <w:bottom w:val="single" w:sz="8" w:color="D1CDCA"/>
            </w:tcBorders>
            <w:shd w:val="clear" w:color="auto" w:fill="F7F7E5"/>
          </w:tcPr>
          <w:p>
            <w:pPr>
              <w:jc w:val="right"/>
              <w:ind w:right="17"/>
              <w:spacing w:after="0" w:line="123"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D1CDCA"/>
            </w:tcBorders>
            <w:shd w:val="clear" w:color="auto" w:fill="F7F7E5"/>
          </w:tcPr>
          <w:p>
            <w:pPr>
              <w:spacing w:after="0"/>
              <w:rPr>
                <w:sz w:val="10"/>
                <w:szCs w:val="10"/>
                <w:color w:val="auto"/>
              </w:rPr>
            </w:pPr>
          </w:p>
        </w:tc>
        <w:tc>
          <w:tcPr>
            <w:tcW w:w="640" w:type="dxa"/>
            <w:vAlign w:val="bottom"/>
            <w:tcBorders>
              <w:bottom w:val="single" w:sz="8" w:color="D1CDCA"/>
            </w:tcBorders>
            <w:shd w:val="clear" w:color="auto" w:fill="F7F7E5"/>
          </w:tcPr>
          <w:p>
            <w:pPr>
              <w:jc w:val="right"/>
              <w:ind w:right="17"/>
              <w:spacing w:after="0" w:line="123"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spacing w:after="0" w:line="123" w:lineRule="exact"/>
              <w:rPr>
                <w:sz w:val="20"/>
                <w:szCs w:val="20"/>
                <w:color w:val="auto"/>
              </w:rPr>
            </w:pPr>
            <w:r>
              <w:rPr>
                <w:rFonts w:ascii="Arial" w:cs="Arial" w:eastAsia="Arial" w:hAnsi="Arial"/>
                <w:sz w:val="13"/>
                <w:szCs w:val="13"/>
                <w:color w:val="auto"/>
              </w:rPr>
              <w:t>175,481</w:t>
            </w:r>
          </w:p>
        </w:tc>
      </w:tr>
      <w:tr>
        <w:trPr>
          <w:trHeight w:val="128"/>
        </w:trPr>
        <w:tc>
          <w:tcPr>
            <w:tcW w:w="1860" w:type="dxa"/>
            <w:vAlign w:val="bottom"/>
            <w:tcBorders>
              <w:bottom w:val="single" w:sz="8" w:color="F7F7E5"/>
            </w:tcBorders>
            <w:shd w:val="clear" w:color="auto" w:fill="F7F7E5"/>
          </w:tcPr>
          <w:p>
            <w:pPr>
              <w:ind w:left="80"/>
              <w:spacing w:after="0" w:line="115" w:lineRule="exact"/>
              <w:rPr>
                <w:sz w:val="20"/>
                <w:szCs w:val="20"/>
                <w:color w:val="auto"/>
              </w:rPr>
            </w:pPr>
            <w:r>
              <w:rPr>
                <w:rFonts w:ascii="Arial" w:cs="Arial" w:eastAsia="Arial" w:hAnsi="Arial"/>
                <w:sz w:val="13"/>
                <w:szCs w:val="13"/>
                <w:color w:val="auto"/>
              </w:rPr>
              <w:t>Former SVP, Chief</w:t>
            </w:r>
          </w:p>
        </w:tc>
        <w:tc>
          <w:tcPr>
            <w:tcW w:w="540" w:type="dxa"/>
            <w:vAlign w:val="bottom"/>
            <w:tcBorders>
              <w:bottom w:val="single" w:sz="8" w:color="D1CDCA"/>
            </w:tcBorders>
            <w:shd w:val="clear" w:color="auto" w:fill="F7F7E5"/>
          </w:tcPr>
          <w:p>
            <w:pPr>
              <w:jc w:val="right"/>
              <w:ind w:right="37"/>
              <w:spacing w:after="0" w:line="115" w:lineRule="exact"/>
              <w:rPr>
                <w:sz w:val="20"/>
                <w:szCs w:val="20"/>
                <w:color w:val="auto"/>
              </w:rPr>
            </w:pPr>
            <w:r>
              <w:rPr>
                <w:rFonts w:ascii="Arial" w:cs="Arial" w:eastAsia="Arial" w:hAnsi="Arial"/>
                <w:sz w:val="13"/>
                <w:szCs w:val="13"/>
                <w:color w:val="auto"/>
              </w:rPr>
              <w:t>2016</w:t>
            </w:r>
          </w:p>
        </w:tc>
        <w:tc>
          <w:tcPr>
            <w:tcW w:w="160" w:type="dxa"/>
            <w:vAlign w:val="bottom"/>
            <w:tcBorders>
              <w:bottom w:val="single" w:sz="8" w:color="D1CDCA"/>
            </w:tcBorders>
            <w:shd w:val="clear" w:color="auto" w:fill="F7F7E5"/>
          </w:tcPr>
          <w:p>
            <w:pPr>
              <w:jc w:val="center"/>
              <w:ind w:left="17"/>
              <w:spacing w:after="0" w:line="11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D1CDCA"/>
            </w:tcBorders>
            <w:shd w:val="clear" w:color="auto" w:fill="F7F7E5"/>
          </w:tcPr>
          <w:p>
            <w:pPr>
              <w:jc w:val="right"/>
              <w:spacing w:after="0" w:line="115" w:lineRule="exact"/>
              <w:rPr>
                <w:sz w:val="20"/>
                <w:szCs w:val="20"/>
                <w:color w:val="auto"/>
              </w:rPr>
            </w:pPr>
            <w:r>
              <w:rPr>
                <w:rFonts w:ascii="Arial" w:cs="Arial" w:eastAsia="Arial" w:hAnsi="Arial"/>
                <w:sz w:val="13"/>
                <w:szCs w:val="13"/>
                <w:color w:val="auto"/>
              </w:rPr>
              <w:t>625,000</w:t>
            </w:r>
          </w:p>
        </w:tc>
        <w:tc>
          <w:tcPr>
            <w:tcW w:w="440" w:type="dxa"/>
            <w:vAlign w:val="bottom"/>
            <w:tcBorders>
              <w:bottom w:val="single" w:sz="8" w:color="D1CDCA"/>
            </w:tcBorders>
            <w:shd w:val="clear" w:color="auto" w:fill="F7F7E5"/>
          </w:tcPr>
          <w:p>
            <w:pPr>
              <w:spacing w:after="0"/>
              <w:rPr>
                <w:sz w:val="11"/>
                <w:szCs w:val="11"/>
                <w:color w:val="auto"/>
              </w:rPr>
            </w:pPr>
          </w:p>
        </w:tc>
        <w:tc>
          <w:tcPr>
            <w:tcW w:w="700" w:type="dxa"/>
            <w:vAlign w:val="bottom"/>
            <w:tcBorders>
              <w:bottom w:val="single" w:sz="8" w:color="D1CDCA"/>
            </w:tcBorders>
            <w:shd w:val="clear" w:color="auto" w:fill="F7F7E5"/>
          </w:tcPr>
          <w:p>
            <w:pPr>
              <w:jc w:val="right"/>
              <w:spacing w:after="0" w:line="115"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D1CDCA"/>
            </w:tcBorders>
            <w:shd w:val="clear" w:color="auto" w:fill="F7F7E5"/>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ind w:right="17"/>
              <w:spacing w:after="0" w:line="115" w:lineRule="exact"/>
              <w:rPr>
                <w:sz w:val="20"/>
                <w:szCs w:val="20"/>
                <w:color w:val="auto"/>
              </w:rPr>
            </w:pPr>
            <w:r>
              <w:rPr>
                <w:rFonts w:ascii="Arial" w:cs="Arial" w:eastAsia="Arial" w:hAnsi="Arial"/>
                <w:sz w:val="13"/>
                <w:szCs w:val="13"/>
                <w:color w:val="auto"/>
              </w:rPr>
              <w:t>625,000</w:t>
            </w:r>
          </w:p>
        </w:tc>
        <w:tc>
          <w:tcPr>
            <w:tcW w:w="540" w:type="dxa"/>
            <w:vAlign w:val="bottom"/>
            <w:tcBorders>
              <w:bottom w:val="single" w:sz="8" w:color="D1CDCA"/>
            </w:tcBorders>
            <w:shd w:val="clear" w:color="auto" w:fill="F7F7E5"/>
          </w:tcPr>
          <w:p>
            <w:pPr>
              <w:jc w:val="right"/>
              <w:spacing w:after="0" w:line="115"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D1CDCA"/>
            </w:tcBorders>
            <w:shd w:val="clear" w:color="auto" w:fill="F7F7E5"/>
          </w:tcPr>
          <w:p>
            <w:pPr>
              <w:jc w:val="right"/>
              <w:ind w:right="17"/>
              <w:spacing w:after="0" w:line="115" w:lineRule="exact"/>
              <w:rPr>
                <w:sz w:val="20"/>
                <w:szCs w:val="20"/>
                <w:color w:val="auto"/>
              </w:rPr>
            </w:pPr>
            <w:r>
              <w:rPr>
                <w:rFonts w:ascii="Arial" w:cs="Arial" w:eastAsia="Arial" w:hAnsi="Arial"/>
                <w:sz w:val="13"/>
                <w:szCs w:val="13"/>
                <w:color w:val="auto"/>
              </w:rPr>
              <w:t>49,115</w:t>
            </w:r>
          </w:p>
        </w:tc>
        <w:tc>
          <w:tcPr>
            <w:tcW w:w="160" w:type="dxa"/>
            <w:vAlign w:val="bottom"/>
            <w:tcBorders>
              <w:bottom w:val="single" w:sz="8" w:color="D1CDCA"/>
            </w:tcBorders>
            <w:shd w:val="clear" w:color="auto" w:fill="F7F7E5"/>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spacing w:after="0" w:line="115" w:lineRule="exact"/>
              <w:rPr>
                <w:sz w:val="20"/>
                <w:szCs w:val="20"/>
                <w:color w:val="auto"/>
              </w:rPr>
            </w:pPr>
            <w:r>
              <w:rPr>
                <w:rFonts w:ascii="Arial" w:cs="Arial" w:eastAsia="Arial" w:hAnsi="Arial"/>
                <w:sz w:val="13"/>
                <w:szCs w:val="13"/>
                <w:color w:val="auto"/>
              </w:rPr>
              <w:t>1,299,115</w:t>
            </w:r>
          </w:p>
        </w:tc>
      </w:tr>
      <w:tr>
        <w:trPr>
          <w:trHeight w:val="135"/>
        </w:trPr>
        <w:tc>
          <w:tcPr>
            <w:tcW w:w="1860" w:type="dxa"/>
            <w:vAlign w:val="bottom"/>
            <w:tcBorders>
              <w:bottom w:val="single" w:sz="8" w:color="D1CDCA"/>
            </w:tcBorders>
            <w:shd w:val="clear" w:color="auto" w:fill="F7F7E5"/>
          </w:tcPr>
          <w:p>
            <w:pPr>
              <w:ind w:left="80"/>
              <w:spacing w:after="0" w:line="119" w:lineRule="exact"/>
              <w:rPr>
                <w:sz w:val="20"/>
                <w:szCs w:val="20"/>
                <w:color w:val="auto"/>
              </w:rPr>
            </w:pPr>
            <w:r>
              <w:rPr>
                <w:rFonts w:ascii="Arial" w:cs="Arial" w:eastAsia="Arial" w:hAnsi="Arial"/>
                <w:sz w:val="13"/>
                <w:szCs w:val="13"/>
                <w:color w:val="auto"/>
                <w:w w:val="98"/>
              </w:rPr>
              <w:t>Financial Officer and Treasurer</w:t>
            </w:r>
          </w:p>
        </w:tc>
        <w:tc>
          <w:tcPr>
            <w:tcW w:w="540" w:type="dxa"/>
            <w:vAlign w:val="bottom"/>
            <w:tcBorders>
              <w:bottom w:val="single" w:sz="8" w:color="D1CDCA"/>
            </w:tcBorders>
            <w:shd w:val="clear" w:color="auto" w:fill="F7F7E5"/>
          </w:tcPr>
          <w:p>
            <w:pPr>
              <w:jc w:val="right"/>
              <w:ind w:right="37"/>
              <w:spacing w:after="0" w:line="135" w:lineRule="exact"/>
              <w:rPr>
                <w:sz w:val="20"/>
                <w:szCs w:val="20"/>
                <w:color w:val="auto"/>
              </w:rPr>
            </w:pPr>
            <w:r>
              <w:rPr>
                <w:rFonts w:ascii="Arial" w:cs="Arial" w:eastAsia="Arial" w:hAnsi="Arial"/>
                <w:sz w:val="13"/>
                <w:szCs w:val="13"/>
                <w:color w:val="auto"/>
              </w:rPr>
              <w:t>2015</w:t>
            </w:r>
          </w:p>
        </w:tc>
        <w:tc>
          <w:tcPr>
            <w:tcW w:w="160" w:type="dxa"/>
            <w:vAlign w:val="bottom"/>
            <w:tcBorders>
              <w:bottom w:val="single" w:sz="8" w:color="D1CDCA"/>
            </w:tcBorders>
            <w:shd w:val="clear" w:color="auto" w:fill="F7F7E5"/>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D1CDCA"/>
            </w:tcBorders>
            <w:shd w:val="clear" w:color="auto" w:fill="F7F7E5"/>
          </w:tcPr>
          <w:p>
            <w:pPr>
              <w:jc w:val="right"/>
              <w:spacing w:after="0" w:line="135" w:lineRule="exact"/>
              <w:rPr>
                <w:sz w:val="20"/>
                <w:szCs w:val="20"/>
                <w:color w:val="auto"/>
              </w:rPr>
            </w:pPr>
            <w:r>
              <w:rPr>
                <w:rFonts w:ascii="Arial" w:cs="Arial" w:eastAsia="Arial" w:hAnsi="Arial"/>
                <w:sz w:val="13"/>
                <w:szCs w:val="13"/>
                <w:color w:val="auto"/>
              </w:rPr>
              <w:t>625,000</w:t>
            </w:r>
          </w:p>
        </w:tc>
        <w:tc>
          <w:tcPr>
            <w:tcW w:w="440" w:type="dxa"/>
            <w:vAlign w:val="bottom"/>
            <w:tcBorders>
              <w:bottom w:val="single" w:sz="8" w:color="D1CDCA"/>
            </w:tcBorders>
            <w:shd w:val="clear" w:color="auto" w:fill="F7F7E5"/>
          </w:tcPr>
          <w:p>
            <w:pPr>
              <w:spacing w:after="0"/>
              <w:rPr>
                <w:sz w:val="11"/>
                <w:szCs w:val="11"/>
                <w:color w:val="auto"/>
              </w:rPr>
            </w:pPr>
          </w:p>
        </w:tc>
        <w:tc>
          <w:tcPr>
            <w:tcW w:w="700" w:type="dxa"/>
            <w:vAlign w:val="bottom"/>
            <w:tcBorders>
              <w:bottom w:val="single" w:sz="8" w:color="D1CDCA"/>
            </w:tcBorders>
            <w:shd w:val="clear" w:color="auto" w:fill="F7F7E5"/>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D1CDCA"/>
            </w:tcBorders>
            <w:shd w:val="clear" w:color="auto" w:fill="F7F7E5"/>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ind w:right="17"/>
              <w:spacing w:after="0" w:line="135" w:lineRule="exact"/>
              <w:rPr>
                <w:sz w:val="20"/>
                <w:szCs w:val="20"/>
                <w:color w:val="auto"/>
              </w:rPr>
            </w:pPr>
            <w:r>
              <w:rPr>
                <w:rFonts w:ascii="Arial" w:cs="Arial" w:eastAsia="Arial" w:hAnsi="Arial"/>
                <w:sz w:val="13"/>
                <w:szCs w:val="13"/>
                <w:color w:val="auto"/>
              </w:rPr>
              <w:t>500,000</w:t>
            </w:r>
          </w:p>
        </w:tc>
        <w:tc>
          <w:tcPr>
            <w:tcW w:w="540" w:type="dxa"/>
            <w:vAlign w:val="bottom"/>
            <w:tcBorders>
              <w:bottom w:val="single" w:sz="8" w:color="D1CDCA"/>
            </w:tcBorders>
            <w:shd w:val="clear" w:color="auto" w:fill="F7F7E5"/>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D1CDCA"/>
            </w:tcBorders>
            <w:shd w:val="clear" w:color="auto" w:fill="F7F7E5"/>
          </w:tcPr>
          <w:p>
            <w:pPr>
              <w:jc w:val="right"/>
              <w:ind w:right="17"/>
              <w:spacing w:after="0" w:line="135" w:lineRule="exact"/>
              <w:rPr>
                <w:sz w:val="20"/>
                <w:szCs w:val="20"/>
                <w:color w:val="auto"/>
              </w:rPr>
            </w:pPr>
            <w:r>
              <w:rPr>
                <w:rFonts w:ascii="Arial" w:cs="Arial" w:eastAsia="Arial" w:hAnsi="Arial"/>
                <w:sz w:val="13"/>
                <w:szCs w:val="13"/>
                <w:color w:val="auto"/>
              </w:rPr>
              <w:t>61,406</w:t>
            </w:r>
          </w:p>
        </w:tc>
        <w:tc>
          <w:tcPr>
            <w:tcW w:w="160" w:type="dxa"/>
            <w:vAlign w:val="bottom"/>
            <w:tcBorders>
              <w:bottom w:val="single" w:sz="8" w:color="D1CDCA"/>
            </w:tcBorders>
            <w:shd w:val="clear" w:color="auto" w:fill="F7F7E5"/>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D1CDCA"/>
            </w:tcBorders>
            <w:shd w:val="clear" w:color="auto" w:fill="F7F7E5"/>
          </w:tcPr>
          <w:p>
            <w:pPr>
              <w:jc w:val="right"/>
              <w:spacing w:after="0" w:line="135" w:lineRule="exact"/>
              <w:rPr>
                <w:sz w:val="20"/>
                <w:szCs w:val="20"/>
                <w:color w:val="auto"/>
              </w:rPr>
            </w:pPr>
            <w:r>
              <w:rPr>
                <w:rFonts w:ascii="Arial" w:cs="Arial" w:eastAsia="Arial" w:hAnsi="Arial"/>
                <w:sz w:val="13"/>
                <w:szCs w:val="13"/>
                <w:color w:val="auto"/>
              </w:rPr>
              <w:t>1,186,406</w:t>
            </w:r>
          </w:p>
        </w:tc>
      </w:tr>
    </w:tbl>
    <w:p>
      <w:pPr>
        <w:spacing w:after="0" w:line="103" w:lineRule="exact"/>
        <w:rPr>
          <w:sz w:val="20"/>
          <w:szCs w:val="20"/>
          <w:color w:val="auto"/>
        </w:rPr>
      </w:pPr>
    </w:p>
    <w:p>
      <w:pPr>
        <w:ind w:left="3760" w:right="20" w:hanging="148"/>
        <w:spacing w:after="0" w:line="243" w:lineRule="auto"/>
        <w:rPr>
          <w:sz w:val="20"/>
          <w:szCs w:val="20"/>
          <w:color w:val="auto"/>
        </w:rPr>
      </w:pPr>
      <w:r>
        <w:rPr>
          <w:rFonts w:ascii="Arial" w:cs="Arial" w:eastAsia="Arial" w:hAnsi="Arial"/>
          <w:sz w:val="11"/>
          <w:szCs w:val="11"/>
          <w:color w:val="auto"/>
        </w:rPr>
        <w:t>(1)</w:t>
      </w:r>
      <w:r>
        <w:rPr>
          <w:rFonts w:ascii="Arial" w:cs="Arial" w:eastAsia="Arial" w:hAnsi="Arial"/>
          <w:sz w:val="13"/>
          <w:szCs w:val="13"/>
          <w:color w:val="auto"/>
        </w:rPr>
        <w:t>Stock awards granted as a component of the 2017, 2016 and 2015 annual incentive awards are reported in this column as 2017,</w:t>
      </w:r>
      <w:r>
        <w:rPr>
          <w:rFonts w:ascii="Arial" w:cs="Arial" w:eastAsia="Arial" w:hAnsi="Arial"/>
          <w:sz w:val="11"/>
          <w:szCs w:val="11"/>
          <w:color w:val="auto"/>
        </w:rPr>
        <w:t xml:space="preserve"> </w:t>
      </w:r>
      <w:r>
        <w:rPr>
          <w:rFonts w:ascii="Arial" w:cs="Arial" w:eastAsia="Arial" w:hAnsi="Arial"/>
          <w:sz w:val="13"/>
          <w:szCs w:val="13"/>
          <w:color w:val="auto"/>
        </w:rPr>
        <w:t>2016 and 2015 compensation, respectively, to reflect the applicable service period for such awards; however, stock grants for 2016 and 2015 were approved by the Compensation Committee in January of the following calendar year. Stock grants for 2017 were approved by the Compensation Committee in December 2017. See annual incentive award payouts as described in “Compensation Discussion and Analysis—Elements of Executive Compensation—Annual Incentives” for a description of the 2017 annual incentive awards. The amounts reported in 2017 for Mr. Maddox, Ms. Sinatra and Mr. Billings, reflect a portion from restricted stock grants which are not related to the annual incentive awards and were reported in the year of grant. Grants of 200,000 and 100,000 shares of restricted stock to Mr. Maddox and Ms. Sinatra, respectively, were made in connection with the renewal of their employment agreements for three years, provided that they would vest in full on November 4, 2021. The grant of 30,000 shares of restricted stock to Mr. Billings was made in connection with his three year employment agreement, and such grant vests over a five year period.</w:t>
      </w:r>
    </w:p>
    <w:p>
      <w:pPr>
        <w:spacing w:after="0" w:line="37" w:lineRule="exact"/>
        <w:rPr>
          <w:sz w:val="20"/>
          <w:szCs w:val="20"/>
          <w:color w:val="auto"/>
        </w:rPr>
      </w:pPr>
    </w:p>
    <w:p>
      <w:pPr>
        <w:ind w:left="3760" w:right="260" w:hanging="148"/>
        <w:spacing w:after="0" w:line="234" w:lineRule="auto"/>
        <w:rPr>
          <w:sz w:val="20"/>
          <w:szCs w:val="20"/>
          <w:color w:val="auto"/>
        </w:rPr>
      </w:pPr>
      <w:r>
        <w:rPr>
          <w:rFonts w:ascii="Arial" w:cs="Arial" w:eastAsia="Arial" w:hAnsi="Arial"/>
          <w:sz w:val="12"/>
          <w:szCs w:val="12"/>
          <w:color w:val="auto"/>
        </w:rPr>
        <w:t>(2)</w:t>
      </w:r>
      <w:r>
        <w:rPr>
          <w:rFonts w:ascii="Arial" w:cs="Arial" w:eastAsia="Arial" w:hAnsi="Arial"/>
          <w:sz w:val="14"/>
          <w:szCs w:val="14"/>
          <w:color w:val="auto"/>
        </w:rPr>
        <w:t>The amounts set forth in this column reflect the aggregate grant date fair value of stock awards computed in accordance with</w:t>
      </w:r>
      <w:r>
        <w:rPr>
          <w:rFonts w:ascii="Arial" w:cs="Arial" w:eastAsia="Arial" w:hAnsi="Arial"/>
          <w:sz w:val="12"/>
          <w:szCs w:val="12"/>
          <w:color w:val="auto"/>
        </w:rPr>
        <w:t xml:space="preserve"> </w:t>
      </w:r>
      <w:r>
        <w:rPr>
          <w:rFonts w:ascii="Arial" w:cs="Arial" w:eastAsia="Arial" w:hAnsi="Arial"/>
          <w:sz w:val="14"/>
          <w:szCs w:val="14"/>
          <w:color w:val="auto"/>
        </w:rPr>
        <w:t>accounting standards for stock based compensation. See our Annual Report on Form 10-K for the year ended December 31, 2017, Item 8, Note 12—“Stock-Based Compensation” to our Consolidated Financial Statements for assumptions used in computing fair value.</w:t>
      </w:r>
    </w:p>
    <w:p>
      <w:pPr>
        <w:spacing w:after="0" w:line="34" w:lineRule="exact"/>
        <w:rPr>
          <w:sz w:val="20"/>
          <w:szCs w:val="20"/>
          <w:color w:val="auto"/>
        </w:rPr>
      </w:pPr>
    </w:p>
    <w:p>
      <w:pPr>
        <w:ind w:left="3760" w:right="240" w:hanging="148"/>
        <w:spacing w:after="0" w:line="238" w:lineRule="auto"/>
        <w:rPr>
          <w:sz w:val="20"/>
          <w:szCs w:val="20"/>
          <w:color w:val="auto"/>
        </w:rPr>
      </w:pPr>
      <w:r>
        <w:rPr>
          <w:rFonts w:ascii="Arial" w:cs="Arial" w:eastAsia="Arial" w:hAnsi="Arial"/>
          <w:sz w:val="12"/>
          <w:szCs w:val="12"/>
          <w:color w:val="auto"/>
        </w:rPr>
        <w:t>(3)</w:t>
      </w:r>
      <w:r>
        <w:rPr>
          <w:rFonts w:ascii="Arial" w:cs="Arial" w:eastAsia="Arial" w:hAnsi="Arial"/>
          <w:sz w:val="14"/>
          <w:szCs w:val="14"/>
          <w:color w:val="auto"/>
        </w:rPr>
        <w:t>As described above under “Compensation Discussion and Analysis—Elements of Executive Compensation—Annual</w:t>
      </w:r>
      <w:r>
        <w:rPr>
          <w:rFonts w:ascii="Arial" w:cs="Arial" w:eastAsia="Arial" w:hAnsi="Arial"/>
          <w:sz w:val="12"/>
          <w:szCs w:val="12"/>
          <w:color w:val="auto"/>
        </w:rPr>
        <w:t xml:space="preserve"> </w:t>
      </w:r>
      <w:r>
        <w:rPr>
          <w:rFonts w:ascii="Arial" w:cs="Arial" w:eastAsia="Arial" w:hAnsi="Arial"/>
          <w:sz w:val="14"/>
          <w:szCs w:val="14"/>
          <w:color w:val="auto"/>
        </w:rPr>
        <w:t>Incentives,” in December 2017, the Compensation Committee exercised its discretion to pay 50% of the actual earned annual incentive for all then current NEOs in stock.</w:t>
      </w:r>
    </w:p>
    <w:p>
      <w:pPr>
        <w:spacing w:after="0" w:line="34" w:lineRule="exact"/>
        <w:rPr>
          <w:sz w:val="20"/>
          <w:szCs w:val="20"/>
          <w:color w:val="auto"/>
        </w:rPr>
      </w:pPr>
    </w:p>
    <w:p>
      <w:pPr>
        <w:ind w:left="3760" w:right="240" w:hanging="148"/>
        <w:spacing w:after="0" w:line="253" w:lineRule="auto"/>
        <w:rPr>
          <w:sz w:val="20"/>
          <w:szCs w:val="20"/>
          <w:color w:val="auto"/>
        </w:rPr>
      </w:pPr>
      <w:r>
        <w:rPr>
          <w:rFonts w:ascii="Arial" w:cs="Arial" w:eastAsia="Arial" w:hAnsi="Arial"/>
          <w:sz w:val="12"/>
          <w:szCs w:val="12"/>
          <w:color w:val="auto"/>
        </w:rPr>
        <w:t>(4)</w:t>
      </w:r>
      <w:r>
        <w:rPr>
          <w:rFonts w:ascii="Arial" w:cs="Arial" w:eastAsia="Arial" w:hAnsi="Arial"/>
          <w:sz w:val="14"/>
          <w:szCs w:val="14"/>
          <w:color w:val="auto"/>
        </w:rPr>
        <w:t>For executives other than Mr. Wynn and Mr. Cootey, “All Other Compensation” for 2017 includes cash dividends accrued on</w:t>
      </w:r>
      <w:r>
        <w:rPr>
          <w:rFonts w:ascii="Arial" w:cs="Arial" w:eastAsia="Arial" w:hAnsi="Arial"/>
          <w:sz w:val="12"/>
          <w:szCs w:val="12"/>
          <w:color w:val="auto"/>
        </w:rPr>
        <w:t xml:space="preserve"> </w:t>
      </w:r>
      <w:r>
        <w:rPr>
          <w:rFonts w:ascii="Arial" w:cs="Arial" w:eastAsia="Arial" w:hAnsi="Arial"/>
          <w:sz w:val="14"/>
          <w:szCs w:val="14"/>
          <w:color w:val="auto"/>
        </w:rPr>
        <w:t>unvested stock, which is paid if and when the stock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1297305</wp:posOffset>
            </wp:positionV>
            <wp:extent cx="48196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60"/>
        <w:spacing w:after="0"/>
        <w:tabs>
          <w:tab w:leader="none" w:pos="10840" w:val="left"/>
          <w:tab w:leader="none" w:pos="110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34</w:t>
      </w:r>
    </w:p>
    <w:p>
      <w:pPr>
        <w:sectPr>
          <w:pgSz w:w="11900" w:h="16838" w:orient="portrait"/>
          <w:cols w:equalWidth="0" w:num="1">
            <w:col w:w="11220"/>
          </w:cols>
          <w:pgMar w:left="240" w:top="459" w:right="4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320"/>
        <w:spacing w:after="0" w:line="234" w:lineRule="auto"/>
        <w:rPr>
          <w:sz w:val="20"/>
          <w:szCs w:val="20"/>
          <w:color w:val="auto"/>
        </w:rPr>
      </w:pPr>
      <w:r>
        <w:rPr>
          <w:rFonts w:ascii="Arial" w:cs="Arial" w:eastAsia="Arial" w:hAnsi="Arial"/>
          <w:sz w:val="14"/>
          <w:szCs w:val="14"/>
          <w:color w:val="auto"/>
        </w:rPr>
        <w:t>Furthermore, because of the Tax Reform Act, which was signed into law on December 22, 2017, the annual incentive awards were paid in December 2017 instead of January 2018 because it was tax advantageous for the Company. If payments were made in 2018, the grantees would have been subject to a lower tax bracket. As such, the Company paid the incremental federal income taxes (“Incremental FIT”) incurred by the NEOs so that payments received in 2017 would be tax neutral for the grantees. The net tax savings for the Company of this arrangement outweighed the aggregate Incremental FITs by $4.9 million.</w:t>
      </w:r>
    </w:p>
    <w:p>
      <w:pPr>
        <w:spacing w:after="0" w:line="34" w:lineRule="exact"/>
        <w:rPr>
          <w:sz w:val="20"/>
          <w:szCs w:val="20"/>
          <w:color w:val="auto"/>
        </w:rPr>
      </w:pPr>
    </w:p>
    <w:p>
      <w:pPr>
        <w:jc w:val="both"/>
        <w:ind w:left="320" w:right="100"/>
        <w:spacing w:after="0" w:line="289" w:lineRule="auto"/>
        <w:rPr>
          <w:sz w:val="20"/>
          <w:szCs w:val="20"/>
          <w:color w:val="auto"/>
        </w:rPr>
      </w:pPr>
      <w:r>
        <w:rPr>
          <w:rFonts w:ascii="Arial" w:cs="Arial" w:eastAsia="Arial" w:hAnsi="Arial"/>
          <w:sz w:val="12"/>
          <w:szCs w:val="12"/>
          <w:color w:val="auto"/>
        </w:rPr>
        <w:t>In addition, for 2017, the Company paid nonresident state income taxes imposed on employees who are required by us to travel on Company business and perform services in states (i.e., Massachusetts) other than their states of employment. The reimbursement covers the incremental cost of these nonresident taxes and puts the employees in the same economic position as though they had worked in their normal places of business. The Company does not gross-up or pay any state income taxes that the employees incur in their normal work locations.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amounts for 2017 are included in “All Other Compensation” for Mr. Maddox:</w:t>
      </w:r>
    </w:p>
    <w:p>
      <w:pPr>
        <w:spacing w:after="0" w:line="42" w:lineRule="exact"/>
        <w:rPr>
          <w:sz w:val="20"/>
          <w:szCs w:val="20"/>
          <w:color w:val="auto"/>
        </w:rPr>
      </w:pPr>
    </w:p>
    <w:p>
      <w:pPr>
        <w:ind w:left="700" w:hanging="166"/>
        <w:spacing w:after="0"/>
        <w:tabs>
          <w:tab w:leader="none" w:pos="7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personal use of Company aircraft of $3,454 (Mr. Maddox receives no tax gross ups relating to the value of aircraft usage that is imputed to him as compensation);</w:t>
      </w:r>
    </w:p>
    <w:p>
      <w:pPr>
        <w:spacing w:after="0" w:line="41" w:lineRule="exact"/>
        <w:rPr>
          <w:rFonts w:ascii="Arial" w:cs="Arial" w:eastAsia="Arial" w:hAnsi="Arial"/>
          <w:sz w:val="14"/>
          <w:szCs w:val="14"/>
          <w:color w:val="auto"/>
        </w:rPr>
      </w:pPr>
    </w:p>
    <w:p>
      <w:pPr>
        <w:ind w:left="740" w:hanging="206"/>
        <w:spacing w:after="0"/>
        <w:tabs>
          <w:tab w:leader="none" w:pos="7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insurance premiums and benefits including executive life and medical insurance of $8,940;</w:t>
      </w:r>
    </w:p>
    <w:p>
      <w:pPr>
        <w:spacing w:after="0" w:line="41" w:lineRule="exact"/>
        <w:rPr>
          <w:rFonts w:ascii="Arial" w:cs="Arial" w:eastAsia="Arial" w:hAnsi="Arial"/>
          <w:sz w:val="14"/>
          <w:szCs w:val="14"/>
          <w:color w:val="auto"/>
        </w:rPr>
      </w:pPr>
    </w:p>
    <w:p>
      <w:pPr>
        <w:ind w:left="780" w:hanging="246"/>
        <w:spacing w:after="0"/>
        <w:tabs>
          <w:tab w:leader="none" w:pos="7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reimbursement of taxes related to work performed in Massachusetts of $2,079;</w:t>
      </w:r>
    </w:p>
    <w:p>
      <w:pPr>
        <w:spacing w:after="0" w:line="41" w:lineRule="exact"/>
        <w:rPr>
          <w:rFonts w:ascii="Arial" w:cs="Arial" w:eastAsia="Arial" w:hAnsi="Arial"/>
          <w:sz w:val="14"/>
          <w:szCs w:val="14"/>
          <w:color w:val="auto"/>
        </w:rPr>
      </w:pPr>
    </w:p>
    <w:p>
      <w:pPr>
        <w:ind w:left="780" w:hanging="246"/>
        <w:spacing w:after="0"/>
        <w:tabs>
          <w:tab w:leader="none" w:pos="7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Incremental FIT of $161,240;</w:t>
      </w:r>
    </w:p>
    <w:p>
      <w:pPr>
        <w:spacing w:after="0" w:line="41" w:lineRule="exact"/>
        <w:rPr>
          <w:rFonts w:ascii="Arial" w:cs="Arial" w:eastAsia="Arial" w:hAnsi="Arial"/>
          <w:sz w:val="14"/>
          <w:szCs w:val="14"/>
          <w:color w:val="auto"/>
        </w:rPr>
      </w:pPr>
    </w:p>
    <w:p>
      <w:pPr>
        <w:ind w:left="740" w:hanging="206"/>
        <w:spacing w:after="0"/>
        <w:tabs>
          <w:tab w:leader="none" w:pos="7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matching contributions made under the Company’s §401(k) Plan, which is generally available to our eligible employees, of $8,100;</w:t>
      </w:r>
    </w:p>
    <w:p>
      <w:pPr>
        <w:spacing w:after="0" w:line="41" w:lineRule="exact"/>
        <w:rPr>
          <w:rFonts w:ascii="Arial" w:cs="Arial" w:eastAsia="Arial" w:hAnsi="Arial"/>
          <w:sz w:val="14"/>
          <w:szCs w:val="14"/>
          <w:color w:val="auto"/>
        </w:rPr>
      </w:pPr>
    </w:p>
    <w:p>
      <w:pPr>
        <w:ind w:left="780" w:hanging="246"/>
        <w:spacing w:after="0"/>
        <w:tabs>
          <w:tab w:leader="none" w:pos="7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merchandise discounts of $2,820; and</w:t>
      </w:r>
    </w:p>
    <w:p>
      <w:pPr>
        <w:spacing w:after="0" w:line="41" w:lineRule="exact"/>
        <w:rPr>
          <w:rFonts w:ascii="Arial" w:cs="Arial" w:eastAsia="Arial" w:hAnsi="Arial"/>
          <w:sz w:val="14"/>
          <w:szCs w:val="14"/>
          <w:color w:val="auto"/>
        </w:rPr>
      </w:pPr>
    </w:p>
    <w:p>
      <w:pPr>
        <w:ind w:left="820" w:hanging="286"/>
        <w:spacing w:after="0"/>
        <w:tabs>
          <w:tab w:leader="none" w:pos="8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accrued cash dividends on unvested restricted stock of $300,000.</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amounts for 2017 are included in “All Other Compensation” for Ms. Sinatra:</w:t>
      </w:r>
    </w:p>
    <w:p>
      <w:pPr>
        <w:spacing w:after="0" w:line="42" w:lineRule="exact"/>
        <w:rPr>
          <w:sz w:val="20"/>
          <w:szCs w:val="20"/>
          <w:color w:val="auto"/>
        </w:rPr>
      </w:pPr>
    </w:p>
    <w:p>
      <w:pPr>
        <w:ind w:left="700" w:hanging="166"/>
        <w:spacing w:after="0"/>
        <w:tabs>
          <w:tab w:leader="none" w:pos="7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insurance premiums and benefits including executive life and medical insurance of $6,640;</w:t>
      </w:r>
    </w:p>
    <w:p>
      <w:pPr>
        <w:spacing w:after="0" w:line="41" w:lineRule="exact"/>
        <w:rPr>
          <w:rFonts w:ascii="Arial" w:cs="Arial" w:eastAsia="Arial" w:hAnsi="Arial"/>
          <w:sz w:val="14"/>
          <w:szCs w:val="14"/>
          <w:color w:val="auto"/>
        </w:rPr>
      </w:pPr>
    </w:p>
    <w:p>
      <w:pPr>
        <w:ind w:left="740" w:hanging="206"/>
        <w:spacing w:after="0"/>
        <w:tabs>
          <w:tab w:leader="none" w:pos="7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reimbursement of taxes related to work performed in Massachusetts of $6,634;</w:t>
      </w:r>
    </w:p>
    <w:p>
      <w:pPr>
        <w:spacing w:after="0" w:line="41" w:lineRule="exact"/>
        <w:rPr>
          <w:rFonts w:ascii="Arial" w:cs="Arial" w:eastAsia="Arial" w:hAnsi="Arial"/>
          <w:sz w:val="14"/>
          <w:szCs w:val="14"/>
          <w:color w:val="auto"/>
        </w:rPr>
      </w:pPr>
    </w:p>
    <w:p>
      <w:pPr>
        <w:ind w:left="780" w:hanging="246"/>
        <w:spacing w:after="0"/>
        <w:tabs>
          <w:tab w:leader="none" w:pos="7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Incremental FIT of $107,494;</w:t>
      </w:r>
    </w:p>
    <w:p>
      <w:pPr>
        <w:spacing w:after="0" w:line="41" w:lineRule="exact"/>
        <w:rPr>
          <w:rFonts w:ascii="Arial" w:cs="Arial" w:eastAsia="Arial" w:hAnsi="Arial"/>
          <w:sz w:val="14"/>
          <w:szCs w:val="14"/>
          <w:color w:val="auto"/>
        </w:rPr>
      </w:pPr>
    </w:p>
    <w:p>
      <w:pPr>
        <w:ind w:left="780" w:hanging="246"/>
        <w:spacing w:after="0"/>
        <w:tabs>
          <w:tab w:leader="none" w:pos="7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matching contributions made under the Company’s §401(k) Plan, which is generally available to our eligible employees, of $8,100;</w:t>
      </w:r>
    </w:p>
    <w:p>
      <w:pPr>
        <w:spacing w:after="0" w:line="41" w:lineRule="exact"/>
        <w:rPr>
          <w:rFonts w:ascii="Arial" w:cs="Arial" w:eastAsia="Arial" w:hAnsi="Arial"/>
          <w:sz w:val="14"/>
          <w:szCs w:val="14"/>
          <w:color w:val="auto"/>
        </w:rPr>
      </w:pPr>
    </w:p>
    <w:p>
      <w:pPr>
        <w:ind w:left="740" w:hanging="206"/>
        <w:spacing w:after="0"/>
        <w:tabs>
          <w:tab w:leader="none" w:pos="7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merchandise discounts of $175; and</w:t>
      </w:r>
    </w:p>
    <w:p>
      <w:pPr>
        <w:spacing w:after="0" w:line="41" w:lineRule="exact"/>
        <w:rPr>
          <w:rFonts w:ascii="Arial" w:cs="Arial" w:eastAsia="Arial" w:hAnsi="Arial"/>
          <w:sz w:val="14"/>
          <w:szCs w:val="14"/>
          <w:color w:val="auto"/>
        </w:rPr>
      </w:pPr>
    </w:p>
    <w:p>
      <w:pPr>
        <w:ind w:left="780" w:hanging="246"/>
        <w:spacing w:after="0"/>
        <w:tabs>
          <w:tab w:leader="none" w:pos="7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accrued cash dividends on unvested restricted stock of $150,000.</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amounts for 2017 are included in “All Other Compensation” for Mr. Billings:</w:t>
      </w:r>
    </w:p>
    <w:p>
      <w:pPr>
        <w:spacing w:after="0" w:line="42" w:lineRule="exact"/>
        <w:rPr>
          <w:sz w:val="20"/>
          <w:szCs w:val="20"/>
          <w:color w:val="auto"/>
        </w:rPr>
      </w:pPr>
    </w:p>
    <w:p>
      <w:pPr>
        <w:ind w:left="700" w:hanging="166"/>
        <w:spacing w:after="0"/>
        <w:tabs>
          <w:tab w:leader="none" w:pos="7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insurance premiums and benefits including executive life and medical insurance of $665;</w:t>
      </w:r>
    </w:p>
    <w:p>
      <w:pPr>
        <w:spacing w:after="0" w:line="41" w:lineRule="exact"/>
        <w:rPr>
          <w:rFonts w:ascii="Arial" w:cs="Arial" w:eastAsia="Arial" w:hAnsi="Arial"/>
          <w:sz w:val="14"/>
          <w:szCs w:val="14"/>
          <w:color w:val="auto"/>
        </w:rPr>
      </w:pPr>
    </w:p>
    <w:p>
      <w:pPr>
        <w:ind w:left="740" w:hanging="206"/>
        <w:spacing w:after="0"/>
        <w:tabs>
          <w:tab w:leader="none" w:pos="7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reimbursement of taxes related to work performed in Massachusetts of $285;</w:t>
      </w:r>
    </w:p>
    <w:p>
      <w:pPr>
        <w:spacing w:after="0" w:line="41" w:lineRule="exact"/>
        <w:rPr>
          <w:rFonts w:ascii="Arial" w:cs="Arial" w:eastAsia="Arial" w:hAnsi="Arial"/>
          <w:sz w:val="14"/>
          <w:szCs w:val="14"/>
          <w:color w:val="auto"/>
        </w:rPr>
      </w:pPr>
    </w:p>
    <w:p>
      <w:pPr>
        <w:ind w:left="780" w:hanging="246"/>
        <w:spacing w:after="0"/>
        <w:tabs>
          <w:tab w:leader="none" w:pos="7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Incremental FIT of $80,620; and</w:t>
      </w:r>
    </w:p>
    <w:p>
      <w:pPr>
        <w:spacing w:after="0" w:line="41" w:lineRule="exact"/>
        <w:rPr>
          <w:rFonts w:ascii="Arial" w:cs="Arial" w:eastAsia="Arial" w:hAnsi="Arial"/>
          <w:sz w:val="14"/>
          <w:szCs w:val="14"/>
          <w:color w:val="auto"/>
        </w:rPr>
      </w:pPr>
    </w:p>
    <w:p>
      <w:pPr>
        <w:ind w:left="780" w:hanging="246"/>
        <w:spacing w:after="0"/>
        <w:tabs>
          <w:tab w:leader="none" w:pos="7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accrued cash dividends on unvested restricted stock of $45,000.</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amounts for 2017 are included in “All Other Compensation” for Mr. Wynn:</w:t>
      </w:r>
    </w:p>
    <w:p>
      <w:pPr>
        <w:spacing w:after="0" w:line="42" w:lineRule="exact"/>
        <w:rPr>
          <w:sz w:val="20"/>
          <w:szCs w:val="20"/>
          <w:color w:val="auto"/>
        </w:rPr>
      </w:pPr>
    </w:p>
    <w:p>
      <w:pPr>
        <w:ind w:left="700" w:hanging="166"/>
        <w:spacing w:after="0"/>
        <w:tabs>
          <w:tab w:leader="none" w:pos="7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personal use of Company aircraft of $250,000 (Mr. Wynn receives no tax gross ups relating to the value of aircraft usage that is imputed to him as compensation);</w:t>
      </w:r>
    </w:p>
    <w:p>
      <w:pPr>
        <w:spacing w:after="0" w:line="41" w:lineRule="exact"/>
        <w:rPr>
          <w:rFonts w:ascii="Arial" w:cs="Arial" w:eastAsia="Arial" w:hAnsi="Arial"/>
          <w:sz w:val="14"/>
          <w:szCs w:val="14"/>
          <w:color w:val="auto"/>
        </w:rPr>
      </w:pPr>
    </w:p>
    <w:p>
      <w:pPr>
        <w:ind w:left="740" w:hanging="206"/>
        <w:spacing w:after="0"/>
        <w:tabs>
          <w:tab w:leader="none" w:pos="7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Company’s incremental cost of $213,758 to provide personal security to Mr. Wynn;</w:t>
      </w:r>
    </w:p>
    <w:p>
      <w:pPr>
        <w:spacing w:after="0" w:line="41" w:lineRule="exact"/>
        <w:rPr>
          <w:rFonts w:ascii="Arial" w:cs="Arial" w:eastAsia="Arial" w:hAnsi="Arial"/>
          <w:sz w:val="14"/>
          <w:szCs w:val="14"/>
          <w:color w:val="auto"/>
        </w:rPr>
      </w:pPr>
    </w:p>
    <w:p>
      <w:pPr>
        <w:ind w:left="780" w:hanging="246"/>
        <w:spacing w:after="0"/>
        <w:tabs>
          <w:tab w:leader="none" w:pos="7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insurance premiums and benefits including executive life and medical insurance of $65,203;</w:t>
      </w:r>
    </w:p>
    <w:p>
      <w:pPr>
        <w:spacing w:after="0" w:line="41" w:lineRule="exact"/>
        <w:rPr>
          <w:rFonts w:ascii="Arial" w:cs="Arial" w:eastAsia="Arial" w:hAnsi="Arial"/>
          <w:sz w:val="14"/>
          <w:szCs w:val="14"/>
          <w:color w:val="auto"/>
        </w:rPr>
      </w:pPr>
    </w:p>
    <w:p>
      <w:pPr>
        <w:ind w:left="780" w:hanging="246"/>
        <w:spacing w:after="0"/>
        <w:tabs>
          <w:tab w:leader="none" w:pos="7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allocated compensation and benefits for the personal use of a driver whom we employed for Mr. Wynn and the personal use of vehicles of $109,671;</w:t>
      </w:r>
    </w:p>
    <w:p>
      <w:pPr>
        <w:spacing w:after="0" w:line="41" w:lineRule="exact"/>
        <w:rPr>
          <w:rFonts w:ascii="Arial" w:cs="Arial" w:eastAsia="Arial" w:hAnsi="Arial"/>
          <w:sz w:val="14"/>
          <w:szCs w:val="14"/>
          <w:color w:val="auto"/>
        </w:rPr>
      </w:pPr>
    </w:p>
    <w:p>
      <w:pPr>
        <w:ind w:left="740" w:hanging="206"/>
        <w:spacing w:after="0"/>
        <w:tabs>
          <w:tab w:leader="none" w:pos="7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merchandise discounts of $39,103;</w:t>
      </w:r>
    </w:p>
    <w:p>
      <w:pPr>
        <w:spacing w:after="0" w:line="41" w:lineRule="exact"/>
        <w:rPr>
          <w:rFonts w:ascii="Arial" w:cs="Arial" w:eastAsia="Arial" w:hAnsi="Arial"/>
          <w:sz w:val="14"/>
          <w:szCs w:val="14"/>
          <w:color w:val="auto"/>
        </w:rPr>
      </w:pPr>
    </w:p>
    <w:p>
      <w:pPr>
        <w:ind w:left="780" w:hanging="246"/>
        <w:spacing w:after="0"/>
        <w:tabs>
          <w:tab w:leader="none" w:pos="7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Incremental FIT of $1,343,669; and</w:t>
      </w:r>
    </w:p>
    <w:p>
      <w:pPr>
        <w:spacing w:after="0" w:line="41" w:lineRule="exact"/>
        <w:rPr>
          <w:rFonts w:ascii="Arial" w:cs="Arial" w:eastAsia="Arial" w:hAnsi="Arial"/>
          <w:sz w:val="14"/>
          <w:szCs w:val="14"/>
          <w:color w:val="auto"/>
        </w:rPr>
      </w:pPr>
    </w:p>
    <w:p>
      <w:pPr>
        <w:ind w:left="820" w:hanging="286"/>
        <w:spacing w:after="0"/>
        <w:tabs>
          <w:tab w:leader="none" w:pos="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reimbursement of taxes related to work performed in Massachusetts of $1,291.</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(5)</w:t>
      </w:r>
      <w:r>
        <w:rPr>
          <w:rFonts w:ascii="Arial" w:cs="Arial" w:eastAsia="Arial" w:hAnsi="Arial"/>
          <w:sz w:val="14"/>
          <w:szCs w:val="14"/>
          <w:color w:val="auto"/>
        </w:rPr>
        <w:t>Mr. Wynn resigned as Chairman of the Board and Chief Executive Officer effective February 6, 2018.</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(6)</w:t>
      </w:r>
      <w:r>
        <w:rPr>
          <w:rFonts w:ascii="Arial" w:cs="Arial" w:eastAsia="Arial" w:hAnsi="Arial"/>
          <w:sz w:val="14"/>
          <w:szCs w:val="14"/>
          <w:color w:val="auto"/>
        </w:rPr>
        <w:t>Mr. Maddox was appointed to serve as Chief Executive Officer effective February 6, 2018.</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(7)</w:t>
      </w:r>
      <w:r>
        <w:rPr>
          <w:rFonts w:ascii="Arial" w:cs="Arial" w:eastAsia="Arial" w:hAnsi="Arial"/>
          <w:sz w:val="14"/>
          <w:szCs w:val="14"/>
          <w:color w:val="auto"/>
        </w:rPr>
        <w:t>Mr. Billings joined the Company as Chief Financial Officer on March 1, 2017.</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(8)</w:t>
      </w:r>
      <w:r>
        <w:rPr>
          <w:rFonts w:ascii="Arial" w:cs="Arial" w:eastAsia="Arial" w:hAnsi="Arial"/>
          <w:sz w:val="14"/>
          <w:szCs w:val="14"/>
          <w:color w:val="auto"/>
        </w:rPr>
        <w:t>Mr. Cootey left the Company on March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wp:posOffset>
            </wp:positionV>
            <wp:extent cx="6997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218440</wp:posOffset>
            </wp:positionV>
            <wp:extent cx="608965" cy="274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29"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35</w:t>
        <w:tab/>
        <w:t>|</w:t>
      </w:r>
    </w:p>
    <w:p>
      <w:pPr>
        <w:sectPr>
          <w:pgSz w:w="11900" w:h="16838" w:orient="portrait"/>
          <w:cols w:equalWidth="0" w:num="1">
            <w:col w:w="11120"/>
          </w:cols>
          <w:pgMar w:left="240" w:top="459"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665B4F"/>
        </w:rPr>
        <w:t>EXECUTIVE COMPENSATION TABLES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DISCUSSION OF SUMMARY COMPENSATION TABLE</w:t>
      </w:r>
    </w:p>
    <w:p>
      <w:pPr>
        <w:spacing w:after="0" w:line="124" w:lineRule="exact"/>
        <w:rPr>
          <w:sz w:val="20"/>
          <w:szCs w:val="20"/>
          <w:color w:val="auto"/>
        </w:rPr>
      </w:pPr>
    </w:p>
    <w:p>
      <w:pPr>
        <w:ind w:left="200" w:right="140"/>
        <w:spacing w:after="0" w:line="260" w:lineRule="auto"/>
        <w:rPr>
          <w:sz w:val="20"/>
          <w:szCs w:val="20"/>
          <w:color w:val="auto"/>
        </w:rPr>
      </w:pPr>
      <w:r>
        <w:rPr>
          <w:rFonts w:ascii="Arial" w:cs="Arial" w:eastAsia="Arial" w:hAnsi="Arial"/>
          <w:sz w:val="16"/>
          <w:szCs w:val="16"/>
          <w:color w:val="auto"/>
        </w:rPr>
        <w:t>In 2017, each of the NEOs received a base salary in accordance with the terms of his or her employment agreement, as approved by the Compensation Committee. Key terms of the agreements, as in effect on December 31,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140335</wp:posOffset>
            </wp:positionV>
            <wp:extent cx="6997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4180" w:type="dxa"/>
            <w:vAlign w:val="bottom"/>
          </w:tcPr>
          <w:p>
            <w:pPr>
              <w:jc w:val="right"/>
              <w:ind w:right="470"/>
              <w:spacing w:after="0"/>
              <w:rPr>
                <w:sz w:val="20"/>
                <w:szCs w:val="20"/>
                <w:color w:val="auto"/>
              </w:rPr>
            </w:pPr>
            <w:r>
              <w:rPr>
                <w:rFonts w:ascii="Arial" w:cs="Arial" w:eastAsia="Arial" w:hAnsi="Arial"/>
                <w:sz w:val="14"/>
                <w:szCs w:val="14"/>
                <w:b w:val="1"/>
                <w:bCs w:val="1"/>
                <w:color w:val="665B4F"/>
              </w:rPr>
              <w:t>CONTRACT</w:t>
            </w:r>
          </w:p>
        </w:tc>
        <w:tc>
          <w:tcPr>
            <w:tcW w:w="1940" w:type="dxa"/>
            <w:vAlign w:val="bottom"/>
          </w:tcPr>
          <w:p>
            <w:pPr>
              <w:spacing w:after="0"/>
              <w:rPr>
                <w:sz w:val="14"/>
                <w:szCs w:val="14"/>
                <w:color w:val="auto"/>
              </w:rPr>
            </w:pPr>
          </w:p>
        </w:tc>
      </w:tr>
      <w:tr>
        <w:trPr>
          <w:trHeight w:val="185"/>
        </w:trPr>
        <w:tc>
          <w:tcPr>
            <w:tcW w:w="4900" w:type="dxa"/>
            <w:vAlign w:val="bottom"/>
            <w:tcBorders>
              <w:bottom w:val="single" w:sz="8" w:color="D1CDCA"/>
            </w:tcBorders>
          </w:tcPr>
          <w:p>
            <w:pPr>
              <w:ind w:left="60"/>
              <w:spacing w:after="0"/>
              <w:rPr>
                <w:sz w:val="20"/>
                <w:szCs w:val="20"/>
                <w:color w:val="auto"/>
              </w:rPr>
            </w:pPr>
            <w:r>
              <w:rPr>
                <w:rFonts w:ascii="Arial" w:cs="Arial" w:eastAsia="Arial" w:hAnsi="Arial"/>
                <w:sz w:val="14"/>
                <w:szCs w:val="14"/>
                <w:b w:val="1"/>
                <w:bCs w:val="1"/>
                <w:color w:val="665B4F"/>
              </w:rPr>
              <w:t>NAMED EXECUTIVE OFFICER</w:t>
            </w:r>
          </w:p>
        </w:tc>
        <w:tc>
          <w:tcPr>
            <w:tcW w:w="4180" w:type="dxa"/>
            <w:vAlign w:val="bottom"/>
            <w:tcBorders>
              <w:bottom w:val="single" w:sz="8" w:color="D1CDCA"/>
            </w:tcBorders>
          </w:tcPr>
          <w:p>
            <w:pPr>
              <w:jc w:val="right"/>
              <w:ind w:right="470"/>
              <w:spacing w:after="0"/>
              <w:rPr>
                <w:sz w:val="20"/>
                <w:szCs w:val="20"/>
                <w:color w:val="auto"/>
              </w:rPr>
            </w:pPr>
            <w:r>
              <w:rPr>
                <w:rFonts w:ascii="Arial" w:cs="Arial" w:eastAsia="Arial" w:hAnsi="Arial"/>
                <w:sz w:val="14"/>
                <w:szCs w:val="14"/>
                <w:b w:val="1"/>
                <w:bCs w:val="1"/>
                <w:color w:val="665B4F"/>
              </w:rPr>
              <w:t>EXPIRATION</w:t>
            </w:r>
          </w:p>
        </w:tc>
        <w:tc>
          <w:tcPr>
            <w:tcW w:w="1940" w:type="dxa"/>
            <w:vAlign w:val="bottom"/>
            <w:tcBorders>
              <w:bottom w:val="single" w:sz="8" w:color="D1CDCA"/>
            </w:tcBorders>
          </w:tcPr>
          <w:p>
            <w:pPr>
              <w:jc w:val="right"/>
              <w:ind w:right="468"/>
              <w:spacing w:after="0"/>
              <w:rPr>
                <w:sz w:val="20"/>
                <w:szCs w:val="20"/>
                <w:color w:val="auto"/>
              </w:rPr>
            </w:pPr>
            <w:r>
              <w:rPr>
                <w:rFonts w:ascii="Arial" w:cs="Arial" w:eastAsia="Arial" w:hAnsi="Arial"/>
                <w:sz w:val="14"/>
                <w:szCs w:val="14"/>
                <w:b w:val="1"/>
                <w:bCs w:val="1"/>
                <w:color w:val="665B4F"/>
              </w:rPr>
              <w:t>BASE SALARY</w:t>
            </w:r>
          </w:p>
        </w:tc>
      </w:tr>
      <w:tr>
        <w:trPr>
          <w:trHeight w:val="250"/>
        </w:trPr>
        <w:tc>
          <w:tcPr>
            <w:tcW w:w="4900" w:type="dxa"/>
            <w:vAlign w:val="bottom"/>
            <w:tcBorders>
              <w:bottom w:val="single" w:sz="8" w:color="D1CDCA"/>
            </w:tcBorders>
            <w:shd w:val="clear" w:color="auto" w:fill="F7F7E5"/>
          </w:tcPr>
          <w:p>
            <w:pPr>
              <w:ind w:left="60"/>
              <w:spacing w:after="0" w:line="250" w:lineRule="exact"/>
              <w:rPr>
                <w:sz w:val="20"/>
                <w:szCs w:val="20"/>
                <w:color w:val="auto"/>
              </w:rPr>
            </w:pPr>
            <w:r>
              <w:rPr>
                <w:rFonts w:ascii="Arial" w:cs="Arial" w:eastAsia="Arial" w:hAnsi="Arial"/>
                <w:sz w:val="14"/>
                <w:szCs w:val="14"/>
                <w:color w:val="auto"/>
              </w:rPr>
              <w:t>Matt Maddox</w:t>
            </w:r>
            <w:r>
              <w:rPr>
                <w:rFonts w:ascii="Arial" w:cs="Arial" w:eastAsia="Arial" w:hAnsi="Arial"/>
                <w:sz w:val="24"/>
                <w:szCs w:val="24"/>
                <w:color w:val="auto"/>
                <w:vertAlign w:val="superscript"/>
              </w:rPr>
              <w:t>(1)</w:t>
            </w:r>
          </w:p>
        </w:tc>
        <w:tc>
          <w:tcPr>
            <w:tcW w:w="4180" w:type="dxa"/>
            <w:vAlign w:val="bottom"/>
            <w:tcBorders>
              <w:bottom w:val="single" w:sz="8" w:color="D1CDCA"/>
            </w:tcBorders>
            <w:shd w:val="clear" w:color="auto" w:fill="F7F7E5"/>
          </w:tcPr>
          <w:p>
            <w:pPr>
              <w:jc w:val="right"/>
              <w:ind w:right="470"/>
              <w:spacing w:after="0"/>
              <w:rPr>
                <w:sz w:val="20"/>
                <w:szCs w:val="20"/>
                <w:color w:val="auto"/>
              </w:rPr>
            </w:pPr>
            <w:r>
              <w:rPr>
                <w:rFonts w:ascii="Arial" w:cs="Arial" w:eastAsia="Arial" w:hAnsi="Arial"/>
                <w:sz w:val="14"/>
                <w:szCs w:val="14"/>
                <w:color w:val="auto"/>
              </w:rPr>
              <w:t>12/31/19</w:t>
            </w:r>
          </w:p>
        </w:tc>
        <w:tc>
          <w:tcPr>
            <w:tcW w:w="1940" w:type="dxa"/>
            <w:vAlign w:val="bottom"/>
            <w:tcBorders>
              <w:bottom w:val="single" w:sz="8" w:color="D1CDCA"/>
            </w:tcBorders>
            <w:shd w:val="clear" w:color="auto" w:fill="F7F7E5"/>
          </w:tcPr>
          <w:p>
            <w:pPr>
              <w:jc w:val="right"/>
              <w:ind w:right="468"/>
              <w:spacing w:after="0"/>
              <w:rPr>
                <w:sz w:val="20"/>
                <w:szCs w:val="20"/>
                <w:color w:val="auto"/>
              </w:rPr>
            </w:pPr>
            <w:r>
              <w:rPr>
                <w:rFonts w:ascii="Arial" w:cs="Arial" w:eastAsia="Arial" w:hAnsi="Arial"/>
                <w:sz w:val="14"/>
                <w:szCs w:val="14"/>
                <w:color w:val="auto"/>
              </w:rPr>
              <w:t>$1,500,000</w:t>
            </w:r>
          </w:p>
        </w:tc>
      </w:tr>
      <w:tr>
        <w:trPr>
          <w:trHeight w:val="211"/>
        </w:trPr>
        <w:tc>
          <w:tcPr>
            <w:tcW w:w="4900" w:type="dxa"/>
            <w:vAlign w:val="bottom"/>
          </w:tcPr>
          <w:p>
            <w:pPr>
              <w:ind w:left="60"/>
              <w:spacing w:after="0"/>
              <w:rPr>
                <w:sz w:val="20"/>
                <w:szCs w:val="20"/>
                <w:color w:val="auto"/>
              </w:rPr>
            </w:pPr>
            <w:r>
              <w:rPr>
                <w:rFonts w:ascii="Arial" w:cs="Arial" w:eastAsia="Arial" w:hAnsi="Arial"/>
                <w:sz w:val="14"/>
                <w:szCs w:val="14"/>
                <w:color w:val="auto"/>
              </w:rPr>
              <w:t>Kim Sinatra</w:t>
            </w:r>
          </w:p>
        </w:tc>
        <w:tc>
          <w:tcPr>
            <w:tcW w:w="4180" w:type="dxa"/>
            <w:vAlign w:val="bottom"/>
          </w:tcPr>
          <w:p>
            <w:pPr>
              <w:jc w:val="right"/>
              <w:ind w:right="470"/>
              <w:spacing w:after="0"/>
              <w:rPr>
                <w:sz w:val="20"/>
                <w:szCs w:val="20"/>
                <w:color w:val="auto"/>
              </w:rPr>
            </w:pPr>
            <w:r>
              <w:rPr>
                <w:rFonts w:ascii="Arial" w:cs="Arial" w:eastAsia="Arial" w:hAnsi="Arial"/>
                <w:sz w:val="14"/>
                <w:szCs w:val="14"/>
                <w:color w:val="auto"/>
              </w:rPr>
              <w:t>2/17/20</w:t>
            </w:r>
          </w:p>
        </w:tc>
        <w:tc>
          <w:tcPr>
            <w:tcW w:w="1940" w:type="dxa"/>
            <w:vAlign w:val="bottom"/>
          </w:tcPr>
          <w:p>
            <w:pPr>
              <w:jc w:val="right"/>
              <w:ind w:right="468"/>
              <w:spacing w:after="0"/>
              <w:rPr>
                <w:sz w:val="20"/>
                <w:szCs w:val="20"/>
                <w:color w:val="auto"/>
              </w:rPr>
            </w:pPr>
            <w:r>
              <w:rPr>
                <w:rFonts w:ascii="Arial" w:cs="Arial" w:eastAsia="Arial" w:hAnsi="Arial"/>
                <w:sz w:val="14"/>
                <w:szCs w:val="14"/>
                <w:color w:val="auto"/>
              </w:rPr>
              <w:t>$1,000,000</w:t>
            </w:r>
          </w:p>
        </w:tc>
      </w:tr>
      <w:tr>
        <w:trPr>
          <w:trHeight w:val="39"/>
        </w:trPr>
        <w:tc>
          <w:tcPr>
            <w:tcW w:w="4900" w:type="dxa"/>
            <w:vAlign w:val="bottom"/>
            <w:tcBorders>
              <w:bottom w:val="single" w:sz="8" w:color="D1CDCA"/>
            </w:tcBorders>
          </w:tcPr>
          <w:p>
            <w:pPr>
              <w:spacing w:after="0"/>
              <w:rPr>
                <w:sz w:val="3"/>
                <w:szCs w:val="3"/>
                <w:color w:val="auto"/>
              </w:rPr>
            </w:pPr>
          </w:p>
        </w:tc>
        <w:tc>
          <w:tcPr>
            <w:tcW w:w="4180" w:type="dxa"/>
            <w:vAlign w:val="bottom"/>
            <w:tcBorders>
              <w:bottom w:val="single" w:sz="8" w:color="D1CDCA"/>
            </w:tcBorders>
          </w:tcPr>
          <w:p>
            <w:pPr>
              <w:spacing w:after="0"/>
              <w:rPr>
                <w:sz w:val="3"/>
                <w:szCs w:val="3"/>
                <w:color w:val="auto"/>
              </w:rPr>
            </w:pPr>
          </w:p>
        </w:tc>
        <w:tc>
          <w:tcPr>
            <w:tcW w:w="1940" w:type="dxa"/>
            <w:vAlign w:val="bottom"/>
            <w:tcBorders>
              <w:bottom w:val="single" w:sz="8" w:color="D1CDCA"/>
            </w:tcBorders>
          </w:tcPr>
          <w:p>
            <w:pPr>
              <w:spacing w:after="0"/>
              <w:rPr>
                <w:sz w:val="3"/>
                <w:szCs w:val="3"/>
                <w:color w:val="auto"/>
              </w:rPr>
            </w:pPr>
          </w:p>
        </w:tc>
      </w:tr>
      <w:tr>
        <w:trPr>
          <w:trHeight w:val="250"/>
        </w:trPr>
        <w:tc>
          <w:tcPr>
            <w:tcW w:w="4900" w:type="dxa"/>
            <w:vAlign w:val="bottom"/>
            <w:tcBorders>
              <w:bottom w:val="single" w:sz="8" w:color="D1CDCA"/>
            </w:tcBorders>
            <w:shd w:val="clear" w:color="auto" w:fill="F7F7E5"/>
          </w:tcPr>
          <w:p>
            <w:pPr>
              <w:ind w:left="60"/>
              <w:spacing w:after="0" w:line="250" w:lineRule="exact"/>
              <w:rPr>
                <w:sz w:val="20"/>
                <w:szCs w:val="20"/>
                <w:color w:val="auto"/>
              </w:rPr>
            </w:pPr>
            <w:r>
              <w:rPr>
                <w:rFonts w:ascii="Arial" w:cs="Arial" w:eastAsia="Arial" w:hAnsi="Arial"/>
                <w:sz w:val="14"/>
                <w:szCs w:val="14"/>
                <w:color w:val="auto"/>
              </w:rPr>
              <w:t>Craig Billings</w:t>
            </w:r>
            <w:r>
              <w:rPr>
                <w:rFonts w:ascii="Arial" w:cs="Arial" w:eastAsia="Arial" w:hAnsi="Arial"/>
                <w:sz w:val="24"/>
                <w:szCs w:val="24"/>
                <w:color w:val="auto"/>
                <w:vertAlign w:val="superscript"/>
              </w:rPr>
              <w:t>(2)</w:t>
            </w:r>
          </w:p>
        </w:tc>
        <w:tc>
          <w:tcPr>
            <w:tcW w:w="4180" w:type="dxa"/>
            <w:vAlign w:val="bottom"/>
            <w:tcBorders>
              <w:bottom w:val="single" w:sz="8" w:color="D1CDCA"/>
            </w:tcBorders>
            <w:shd w:val="clear" w:color="auto" w:fill="F7F7E5"/>
          </w:tcPr>
          <w:p>
            <w:pPr>
              <w:jc w:val="right"/>
              <w:ind w:right="470"/>
              <w:spacing w:after="0"/>
              <w:rPr>
                <w:sz w:val="20"/>
                <w:szCs w:val="20"/>
                <w:color w:val="auto"/>
              </w:rPr>
            </w:pPr>
            <w:r>
              <w:rPr>
                <w:rFonts w:ascii="Arial" w:cs="Arial" w:eastAsia="Arial" w:hAnsi="Arial"/>
                <w:sz w:val="14"/>
                <w:szCs w:val="14"/>
                <w:color w:val="auto"/>
              </w:rPr>
              <w:t>3/1/20</w:t>
            </w:r>
          </w:p>
        </w:tc>
        <w:tc>
          <w:tcPr>
            <w:tcW w:w="1940" w:type="dxa"/>
            <w:vAlign w:val="bottom"/>
            <w:tcBorders>
              <w:bottom w:val="single" w:sz="8" w:color="D1CDCA"/>
            </w:tcBorders>
            <w:shd w:val="clear" w:color="auto" w:fill="F7F7E5"/>
          </w:tcPr>
          <w:p>
            <w:pPr>
              <w:jc w:val="right"/>
              <w:ind w:right="468"/>
              <w:spacing w:after="0"/>
              <w:rPr>
                <w:sz w:val="20"/>
                <w:szCs w:val="20"/>
                <w:color w:val="auto"/>
              </w:rPr>
            </w:pPr>
            <w:r>
              <w:rPr>
                <w:rFonts w:ascii="Arial" w:cs="Arial" w:eastAsia="Arial" w:hAnsi="Arial"/>
                <w:sz w:val="14"/>
                <w:szCs w:val="14"/>
                <w:color w:val="auto"/>
              </w:rPr>
              <w:t>$  750,000</w:t>
            </w:r>
          </w:p>
        </w:tc>
      </w:tr>
      <w:tr>
        <w:trPr>
          <w:trHeight w:val="250"/>
        </w:trPr>
        <w:tc>
          <w:tcPr>
            <w:tcW w:w="490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Stephen A. Wynn</w:t>
            </w:r>
          </w:p>
        </w:tc>
        <w:tc>
          <w:tcPr>
            <w:tcW w:w="4180" w:type="dxa"/>
            <w:vAlign w:val="bottom"/>
            <w:tcBorders>
              <w:bottom w:val="single" w:sz="8" w:color="D1CDCA"/>
            </w:tcBorders>
          </w:tcPr>
          <w:p>
            <w:pPr>
              <w:jc w:val="right"/>
              <w:ind w:right="330"/>
              <w:spacing w:after="0" w:line="250" w:lineRule="exact"/>
              <w:rPr>
                <w:sz w:val="20"/>
                <w:szCs w:val="20"/>
                <w:color w:val="auto"/>
              </w:rPr>
            </w:pPr>
            <w:r>
              <w:rPr>
                <w:rFonts w:ascii="Arial" w:cs="Arial" w:eastAsia="Arial" w:hAnsi="Arial"/>
                <w:sz w:val="14"/>
                <w:szCs w:val="14"/>
                <w:color w:val="auto"/>
              </w:rPr>
              <w:t>10/24/22</w:t>
            </w:r>
            <w:r>
              <w:rPr>
                <w:rFonts w:ascii="Arial" w:cs="Arial" w:eastAsia="Arial" w:hAnsi="Arial"/>
                <w:sz w:val="24"/>
                <w:szCs w:val="24"/>
                <w:color w:val="auto"/>
                <w:vertAlign w:val="superscript"/>
              </w:rPr>
              <w:t>(3)</w:t>
            </w:r>
          </w:p>
        </w:tc>
        <w:tc>
          <w:tcPr>
            <w:tcW w:w="1940" w:type="dxa"/>
            <w:vAlign w:val="bottom"/>
            <w:tcBorders>
              <w:bottom w:val="single" w:sz="8" w:color="D1CDCA"/>
            </w:tcBorders>
          </w:tcPr>
          <w:p>
            <w:pPr>
              <w:jc w:val="right"/>
              <w:ind w:right="468"/>
              <w:spacing w:after="0"/>
              <w:rPr>
                <w:sz w:val="20"/>
                <w:szCs w:val="20"/>
                <w:color w:val="auto"/>
              </w:rPr>
            </w:pPr>
            <w:r>
              <w:rPr>
                <w:rFonts w:ascii="Arial" w:cs="Arial" w:eastAsia="Arial" w:hAnsi="Arial"/>
                <w:sz w:val="14"/>
                <w:szCs w:val="14"/>
                <w:color w:val="auto"/>
              </w:rPr>
              <w:t>$2,500,000</w:t>
            </w:r>
          </w:p>
        </w:tc>
      </w:tr>
      <w:tr>
        <w:trPr>
          <w:trHeight w:val="250"/>
        </w:trPr>
        <w:tc>
          <w:tcPr>
            <w:tcW w:w="490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Stephen Cootey</w:t>
            </w:r>
          </w:p>
        </w:tc>
        <w:tc>
          <w:tcPr>
            <w:tcW w:w="4180" w:type="dxa"/>
            <w:vAlign w:val="bottom"/>
            <w:tcBorders>
              <w:bottom w:val="single" w:sz="8" w:color="D1CDCA"/>
            </w:tcBorders>
            <w:shd w:val="clear" w:color="auto" w:fill="F7F7E5"/>
          </w:tcPr>
          <w:p>
            <w:pPr>
              <w:jc w:val="right"/>
              <w:ind w:right="330"/>
              <w:spacing w:after="0" w:line="250" w:lineRule="exact"/>
              <w:rPr>
                <w:sz w:val="20"/>
                <w:szCs w:val="20"/>
                <w:color w:val="auto"/>
              </w:rPr>
            </w:pPr>
            <w:r>
              <w:rPr>
                <w:rFonts w:ascii="Arial" w:cs="Arial" w:eastAsia="Arial" w:hAnsi="Arial"/>
                <w:sz w:val="28"/>
                <w:szCs w:val="28"/>
                <w:color w:val="auto"/>
                <w:vertAlign w:val="subscript"/>
              </w:rPr>
              <w:t>N/A</w:t>
            </w:r>
            <w:r>
              <w:rPr>
                <w:rFonts w:ascii="Arial" w:cs="Arial" w:eastAsia="Arial" w:hAnsi="Arial"/>
                <w:sz w:val="12"/>
                <w:szCs w:val="12"/>
                <w:color w:val="auto"/>
              </w:rPr>
              <w:t>(4)</w:t>
            </w:r>
          </w:p>
        </w:tc>
        <w:tc>
          <w:tcPr>
            <w:tcW w:w="1940" w:type="dxa"/>
            <w:vAlign w:val="bottom"/>
            <w:tcBorders>
              <w:bottom w:val="single" w:sz="8" w:color="D1CDCA"/>
            </w:tcBorders>
            <w:shd w:val="clear" w:color="auto" w:fill="F7F7E5"/>
          </w:tcPr>
          <w:p>
            <w:pPr>
              <w:jc w:val="right"/>
              <w:ind w:right="468"/>
              <w:spacing w:after="0"/>
              <w:rPr>
                <w:sz w:val="20"/>
                <w:szCs w:val="20"/>
                <w:color w:val="auto"/>
              </w:rPr>
            </w:pPr>
            <w:r>
              <w:rPr>
                <w:rFonts w:ascii="Arial" w:cs="Arial" w:eastAsia="Arial" w:hAnsi="Arial"/>
                <w:sz w:val="14"/>
                <w:szCs w:val="14"/>
                <w:color w:val="auto"/>
              </w:rPr>
              <w:t>N/A</w:t>
            </w: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1"/>
          <w:szCs w:val="11"/>
          <w:color w:val="auto"/>
        </w:rPr>
        <w:t>(1)</w:t>
      </w:r>
      <w:r>
        <w:rPr>
          <w:rFonts w:ascii="Arial" w:cs="Arial" w:eastAsia="Arial" w:hAnsi="Arial"/>
          <w:sz w:val="13"/>
          <w:szCs w:val="13"/>
          <w:color w:val="auto"/>
        </w:rPr>
        <w:t>The Company amended and restated Mr. Maddox’s employment agreement, effective as of February 27, 2018, which extended the term of his employment agreement through February 27,</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2021 and increased his base salary to $2,000,000.</w:t>
      </w:r>
    </w:p>
    <w:p>
      <w:pPr>
        <w:spacing w:after="0" w:line="43" w:lineRule="exact"/>
        <w:rPr>
          <w:sz w:val="20"/>
          <w:szCs w:val="20"/>
          <w:color w:val="auto"/>
        </w:rPr>
      </w:pPr>
    </w:p>
    <w:p>
      <w:pPr>
        <w:ind w:left="360" w:right="160" w:hanging="148"/>
        <w:spacing w:after="0" w:line="253" w:lineRule="auto"/>
        <w:rPr>
          <w:sz w:val="20"/>
          <w:szCs w:val="20"/>
          <w:color w:val="auto"/>
        </w:rPr>
      </w:pPr>
      <w:r>
        <w:rPr>
          <w:rFonts w:ascii="Arial" w:cs="Arial" w:eastAsia="Arial" w:hAnsi="Arial"/>
          <w:sz w:val="12"/>
          <w:szCs w:val="12"/>
          <w:color w:val="auto"/>
        </w:rPr>
        <w:t>(2)</w:t>
      </w:r>
      <w:r>
        <w:rPr>
          <w:rFonts w:ascii="Arial" w:cs="Arial" w:eastAsia="Arial" w:hAnsi="Arial"/>
          <w:sz w:val="14"/>
          <w:szCs w:val="14"/>
          <w:color w:val="auto"/>
        </w:rPr>
        <w:t>The Company amended Mr. Billings’ employment agreement, effective as of March 1, 2018, which extended the term of his employment agreement through March 1, 2021 and increased</w:t>
      </w:r>
      <w:r>
        <w:rPr>
          <w:rFonts w:ascii="Arial" w:cs="Arial" w:eastAsia="Arial" w:hAnsi="Arial"/>
          <w:sz w:val="12"/>
          <w:szCs w:val="12"/>
          <w:color w:val="auto"/>
        </w:rPr>
        <w:t xml:space="preserve"> </w:t>
      </w:r>
      <w:r>
        <w:rPr>
          <w:rFonts w:ascii="Arial" w:cs="Arial" w:eastAsia="Arial" w:hAnsi="Arial"/>
          <w:sz w:val="14"/>
          <w:szCs w:val="14"/>
          <w:color w:val="auto"/>
        </w:rPr>
        <w:t>his base salary to $875,000.</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(3)</w:t>
      </w:r>
      <w:r>
        <w:rPr>
          <w:rFonts w:ascii="Arial" w:cs="Arial" w:eastAsia="Arial" w:hAnsi="Arial"/>
          <w:sz w:val="14"/>
          <w:szCs w:val="14"/>
          <w:color w:val="auto"/>
        </w:rPr>
        <w:t>Mr. Wynn resigned on February 6, 2018.</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(4)</w:t>
      </w:r>
      <w:r>
        <w:rPr>
          <w:rFonts w:ascii="Arial" w:cs="Arial" w:eastAsia="Arial" w:hAnsi="Arial"/>
          <w:sz w:val="14"/>
          <w:szCs w:val="14"/>
          <w:color w:val="auto"/>
        </w:rPr>
        <w:t>Mr. Cootey left the Company on March 1, 2017.</w:t>
      </w:r>
    </w:p>
    <w:p>
      <w:pPr>
        <w:spacing w:after="0" w:line="224"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auto"/>
        </w:rPr>
        <w:t>Each of the employment agreements provide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2017 GRANTS OF PLAN-BASED AWARDS TABLE</w:t>
      </w:r>
    </w:p>
    <w:p>
      <w:pPr>
        <w:spacing w:after="0" w:line="124" w:lineRule="exact"/>
        <w:rPr>
          <w:sz w:val="20"/>
          <w:szCs w:val="20"/>
          <w:color w:val="auto"/>
        </w:rPr>
      </w:pPr>
    </w:p>
    <w:p>
      <w:pPr>
        <w:ind w:left="200" w:right="200"/>
        <w:spacing w:after="0" w:line="253" w:lineRule="auto"/>
        <w:rPr>
          <w:sz w:val="20"/>
          <w:szCs w:val="20"/>
          <w:color w:val="auto"/>
        </w:rPr>
      </w:pPr>
      <w:r>
        <w:rPr>
          <w:rFonts w:ascii="Arial" w:cs="Arial" w:eastAsia="Arial" w:hAnsi="Arial"/>
          <w:sz w:val="16"/>
          <w:szCs w:val="16"/>
          <w:color w:val="auto"/>
        </w:rPr>
        <w:t>The Omnibus Plan rewards management for creation of superior return to shareholders, measured by the operating performance of our resorts. The amounts shown in the table below reflect potential payments when the performance criteria under this plan were established in the first quarter of 2017. Actual payouts are reflected in the “Stock Awards” and “Non-Equity Incentive Plan” columns of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144145</wp:posOffset>
            </wp:positionV>
            <wp:extent cx="6997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jc w:val="right"/>
              <w:ind w:right="168"/>
              <w:spacing w:after="0"/>
              <w:rPr>
                <w:sz w:val="20"/>
                <w:szCs w:val="20"/>
                <w:color w:val="auto"/>
              </w:rPr>
            </w:pPr>
            <w:r>
              <w:rPr>
                <w:rFonts w:ascii="Arial" w:cs="Arial" w:eastAsia="Arial" w:hAnsi="Arial"/>
                <w:sz w:val="14"/>
                <w:szCs w:val="14"/>
                <w:b w:val="1"/>
                <w:bCs w:val="1"/>
                <w:color w:val="665B4F"/>
              </w:rPr>
              <w:t>ALL OTHER STOCK</w:t>
            </w:r>
          </w:p>
        </w:tc>
        <w:tc>
          <w:tcPr>
            <w:tcW w:w="154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665B4F"/>
              </w:rPr>
              <w:t>GRANT DATE FAIR</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665B4F"/>
              </w:rPr>
              <w:t>AWARDS:</w:t>
            </w: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5"/>
            <w:vMerge w:val="restart"/>
          </w:tcPr>
          <w:p>
            <w:pPr>
              <w:jc w:val="right"/>
              <w:ind w:right="48"/>
              <w:spacing w:after="0"/>
              <w:rPr>
                <w:sz w:val="20"/>
                <w:szCs w:val="20"/>
                <w:color w:val="auto"/>
              </w:rPr>
            </w:pPr>
            <w:r>
              <w:rPr>
                <w:rFonts w:ascii="Arial" w:cs="Arial" w:eastAsia="Arial" w:hAnsi="Arial"/>
                <w:sz w:val="14"/>
                <w:szCs w:val="14"/>
                <w:b w:val="1"/>
                <w:bCs w:val="1"/>
                <w:color w:val="665B4F"/>
              </w:rPr>
              <w:t>ESTIMATED FUTURE PAYOUTS</w:t>
            </w:r>
          </w:p>
        </w:tc>
        <w:tc>
          <w:tcPr>
            <w:tcW w:w="17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665B4F"/>
              </w:rPr>
              <w:t>NUMBER OF</w:t>
            </w:r>
          </w:p>
        </w:tc>
        <w:tc>
          <w:tcPr>
            <w:tcW w:w="15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665B4F"/>
              </w:rPr>
              <w:t>VALUE OF STOCK</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5"/>
            <w:vMerge w:val="continue"/>
          </w:tcPr>
          <w:p>
            <w:pPr>
              <w:spacing w:after="0"/>
              <w:rPr>
                <w:sz w:val="12"/>
                <w:szCs w:val="12"/>
                <w:color w:val="auto"/>
              </w:rPr>
            </w:pPr>
          </w:p>
        </w:tc>
        <w:tc>
          <w:tcPr>
            <w:tcW w:w="17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665B4F"/>
              </w:rPr>
              <w:t>SHARES OF</w:t>
            </w:r>
          </w:p>
        </w:tc>
        <w:tc>
          <w:tcPr>
            <w:tcW w:w="15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665B4F"/>
              </w:rPr>
              <w:t>AND OPTION</w:t>
            </w: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880" w:type="dxa"/>
            <w:vAlign w:val="bottom"/>
          </w:tcPr>
          <w:p>
            <w:pPr>
              <w:jc w:val="right"/>
              <w:ind w:right="28"/>
              <w:spacing w:after="0" w:line="158" w:lineRule="exact"/>
              <w:rPr>
                <w:sz w:val="20"/>
                <w:szCs w:val="20"/>
                <w:color w:val="auto"/>
              </w:rPr>
            </w:pPr>
            <w:r>
              <w:rPr>
                <w:rFonts w:ascii="Arial" w:cs="Arial" w:eastAsia="Arial" w:hAnsi="Arial"/>
                <w:sz w:val="14"/>
                <w:szCs w:val="14"/>
                <w:b w:val="1"/>
                <w:bCs w:val="1"/>
                <w:color w:val="665B4F"/>
              </w:rPr>
              <w:t>GRANT</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3"/>
          </w:tcPr>
          <w:p>
            <w:pPr>
              <w:jc w:val="right"/>
              <w:ind w:right="48"/>
              <w:spacing w:after="0" w:line="158" w:lineRule="exact"/>
              <w:rPr>
                <w:sz w:val="20"/>
                <w:szCs w:val="20"/>
                <w:color w:val="auto"/>
              </w:rPr>
            </w:pPr>
            <w:r>
              <w:rPr>
                <w:rFonts w:ascii="Arial" w:cs="Arial" w:eastAsia="Arial" w:hAnsi="Arial"/>
                <w:sz w:val="14"/>
                <w:szCs w:val="14"/>
                <w:b w:val="1"/>
                <w:bCs w:val="1"/>
                <w:color w:val="665B4F"/>
              </w:rPr>
              <w:t>UNDER NON-EQUITY</w:t>
            </w:r>
          </w:p>
        </w:tc>
        <w:tc>
          <w:tcPr>
            <w:tcW w:w="17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665B4F"/>
              </w:rPr>
              <w:t>STOCK OR UNITS</w:t>
            </w:r>
          </w:p>
        </w:tc>
        <w:tc>
          <w:tcPr>
            <w:tcW w:w="740" w:type="dxa"/>
            <w:vAlign w:val="bottom"/>
          </w:tcPr>
          <w:p>
            <w:pPr>
              <w:spacing w:after="0"/>
              <w:rPr>
                <w:sz w:val="13"/>
                <w:szCs w:val="13"/>
                <w:color w:val="auto"/>
              </w:rPr>
            </w:pPr>
          </w:p>
        </w:tc>
        <w:tc>
          <w:tcPr>
            <w:tcW w:w="800" w:type="dxa"/>
            <w:vAlign w:val="bottom"/>
          </w:tcPr>
          <w:p>
            <w:pPr>
              <w:jc w:val="right"/>
              <w:ind w:right="48"/>
              <w:spacing w:after="0" w:line="158" w:lineRule="exact"/>
              <w:rPr>
                <w:sz w:val="20"/>
                <w:szCs w:val="20"/>
                <w:color w:val="auto"/>
              </w:rPr>
            </w:pPr>
            <w:r>
              <w:rPr>
                <w:rFonts w:ascii="Arial" w:cs="Arial" w:eastAsia="Arial" w:hAnsi="Arial"/>
                <w:sz w:val="14"/>
                <w:szCs w:val="14"/>
                <w:b w:val="1"/>
                <w:bCs w:val="1"/>
                <w:color w:val="665B4F"/>
              </w:rPr>
              <w:t>AWARDS</w:t>
            </w: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880" w:type="dxa"/>
            <w:vAlign w:val="bottom"/>
            <w:tcBorders>
              <w:bottom w:val="single" w:sz="8" w:color="D1CDCA"/>
            </w:tcBorders>
          </w:tcPr>
          <w:p>
            <w:pPr>
              <w:jc w:val="right"/>
              <w:ind w:right="28"/>
              <w:spacing w:after="0"/>
              <w:rPr>
                <w:sz w:val="20"/>
                <w:szCs w:val="20"/>
                <w:color w:val="auto"/>
              </w:rPr>
            </w:pPr>
            <w:r>
              <w:rPr>
                <w:rFonts w:ascii="Arial" w:cs="Arial" w:eastAsia="Arial" w:hAnsi="Arial"/>
                <w:sz w:val="14"/>
                <w:szCs w:val="14"/>
                <w:b w:val="1"/>
                <w:bCs w:val="1"/>
                <w:color w:val="665B4F"/>
              </w:rPr>
              <w:t>DATE</w:t>
            </w:r>
          </w:p>
        </w:tc>
        <w:tc>
          <w:tcPr>
            <w:tcW w:w="240" w:type="dxa"/>
            <w:vAlign w:val="bottom"/>
            <w:tcBorders>
              <w:bottom w:val="single" w:sz="8" w:color="D1CDCA"/>
            </w:tcBorders>
          </w:tcPr>
          <w:p>
            <w:pPr>
              <w:spacing w:after="0"/>
              <w:rPr>
                <w:sz w:val="15"/>
                <w:szCs w:val="15"/>
                <w:color w:val="auto"/>
              </w:rPr>
            </w:pPr>
          </w:p>
        </w:tc>
        <w:tc>
          <w:tcPr>
            <w:tcW w:w="2940" w:type="dxa"/>
            <w:vAlign w:val="bottom"/>
            <w:tcBorders>
              <w:bottom w:val="single" w:sz="8" w:color="D1CDCA"/>
            </w:tcBorders>
            <w:gridSpan w:val="5"/>
          </w:tcPr>
          <w:p>
            <w:pPr>
              <w:jc w:val="right"/>
              <w:ind w:right="48"/>
              <w:spacing w:after="0"/>
              <w:rPr>
                <w:sz w:val="20"/>
                <w:szCs w:val="20"/>
                <w:color w:val="auto"/>
              </w:rPr>
            </w:pPr>
            <w:r>
              <w:rPr>
                <w:rFonts w:ascii="Arial" w:cs="Arial" w:eastAsia="Arial" w:hAnsi="Arial"/>
                <w:sz w:val="14"/>
                <w:szCs w:val="14"/>
                <w:b w:val="1"/>
                <w:bCs w:val="1"/>
                <w:color w:val="665B4F"/>
              </w:rPr>
              <w:t>INCENTIVE PLAN AWARDS ($)</w:t>
            </w:r>
            <w:r>
              <w:rPr>
                <w:rFonts w:ascii="Arial" w:cs="Arial" w:eastAsia="Arial" w:hAnsi="Arial"/>
                <w:sz w:val="12"/>
                <w:szCs w:val="12"/>
                <w:b w:val="1"/>
                <w:bCs w:val="1"/>
                <w:color w:val="665B4F"/>
              </w:rPr>
              <w:t>(1)</w:t>
            </w:r>
          </w:p>
        </w:tc>
        <w:tc>
          <w:tcPr>
            <w:tcW w:w="1740" w:type="dxa"/>
            <w:vAlign w:val="bottom"/>
            <w:tcBorders>
              <w:bottom w:val="single" w:sz="8" w:color="D1CDCA"/>
            </w:tcBorders>
          </w:tcPr>
          <w:p>
            <w:pPr>
              <w:jc w:val="right"/>
              <w:ind w:right="168"/>
              <w:spacing w:after="0"/>
              <w:rPr>
                <w:sz w:val="20"/>
                <w:szCs w:val="20"/>
                <w:color w:val="auto"/>
              </w:rPr>
            </w:pPr>
            <w:r>
              <w:rPr>
                <w:rFonts w:ascii="Arial" w:cs="Arial" w:eastAsia="Arial" w:hAnsi="Arial"/>
                <w:sz w:val="14"/>
                <w:szCs w:val="14"/>
                <w:b w:val="1"/>
                <w:bCs w:val="1"/>
                <w:color w:val="665B4F"/>
              </w:rPr>
              <w:t>(#)</w:t>
            </w:r>
          </w:p>
        </w:tc>
        <w:tc>
          <w:tcPr>
            <w:tcW w:w="740" w:type="dxa"/>
            <w:vAlign w:val="bottom"/>
            <w:tcBorders>
              <w:bottom w:val="single" w:sz="8" w:color="D1CDCA"/>
            </w:tcBorders>
          </w:tcPr>
          <w:p>
            <w:pPr>
              <w:spacing w:after="0"/>
              <w:rPr>
                <w:sz w:val="15"/>
                <w:szCs w:val="15"/>
                <w:color w:val="auto"/>
              </w:rPr>
            </w:pPr>
          </w:p>
        </w:tc>
        <w:tc>
          <w:tcPr>
            <w:tcW w:w="800" w:type="dxa"/>
            <w:vAlign w:val="bottom"/>
            <w:tcBorders>
              <w:bottom w:val="single" w:sz="8" w:color="D1CDCA"/>
            </w:tcBorders>
          </w:tcPr>
          <w:p>
            <w:pPr>
              <w:jc w:val="right"/>
              <w:ind w:right="48"/>
              <w:spacing w:after="0"/>
              <w:rPr>
                <w:sz w:val="20"/>
                <w:szCs w:val="20"/>
                <w:color w:val="auto"/>
              </w:rPr>
            </w:pPr>
            <w:r>
              <w:rPr>
                <w:rFonts w:ascii="Arial" w:cs="Arial" w:eastAsia="Arial" w:hAnsi="Arial"/>
                <w:sz w:val="14"/>
                <w:szCs w:val="14"/>
                <w:b w:val="1"/>
                <w:bCs w:val="1"/>
                <w:color w:val="665B4F"/>
              </w:rPr>
              <w:t>($)</w:t>
            </w:r>
            <w:r>
              <w:rPr>
                <w:rFonts w:ascii="Arial" w:cs="Arial" w:eastAsia="Arial" w:hAnsi="Arial"/>
                <w:sz w:val="12"/>
                <w:szCs w:val="12"/>
                <w:b w:val="1"/>
                <w:bCs w:val="1"/>
                <w:color w:val="665B4F"/>
              </w:rPr>
              <w:t>(2)</w:t>
            </w: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2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665B4F"/>
              </w:rPr>
              <w:t>THRESHOLD</w:t>
            </w:r>
          </w:p>
        </w:tc>
        <w:tc>
          <w:tcPr>
            <w:tcW w:w="200" w:type="dxa"/>
            <w:vAlign w:val="bottom"/>
          </w:tcPr>
          <w:p>
            <w:pPr>
              <w:spacing w:after="0"/>
              <w:rPr>
                <w:sz w:val="10"/>
                <w:szCs w:val="10"/>
                <w:color w:val="auto"/>
              </w:rPr>
            </w:pPr>
          </w:p>
        </w:tc>
        <w:tc>
          <w:tcPr>
            <w:tcW w:w="82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665B4F"/>
              </w:rPr>
              <w:t>TARGET</w:t>
            </w:r>
          </w:p>
        </w:tc>
        <w:tc>
          <w:tcPr>
            <w:tcW w:w="1040" w:type="dxa"/>
            <w:vAlign w:val="bottom"/>
            <w:gridSpan w:val="2"/>
          </w:tcPr>
          <w:p>
            <w:pPr>
              <w:jc w:val="right"/>
              <w:ind w:right="48"/>
              <w:spacing w:after="0" w:line="119" w:lineRule="exact"/>
              <w:rPr>
                <w:sz w:val="20"/>
                <w:szCs w:val="20"/>
                <w:color w:val="auto"/>
              </w:rPr>
            </w:pPr>
            <w:r>
              <w:rPr>
                <w:rFonts w:ascii="Arial" w:cs="Arial" w:eastAsia="Arial" w:hAnsi="Arial"/>
                <w:sz w:val="13"/>
                <w:szCs w:val="13"/>
                <w:b w:val="1"/>
                <w:bCs w:val="1"/>
                <w:color w:val="665B4F"/>
              </w:rPr>
              <w:t>MAXIMUM</w:t>
            </w:r>
          </w:p>
        </w:tc>
        <w:tc>
          <w:tcPr>
            <w:tcW w:w="1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680" w:type="dxa"/>
            <w:vAlign w:val="bottom"/>
            <w:tcBorders>
              <w:bottom w:val="single" w:sz="8" w:color="D1CDCA"/>
            </w:tcBorders>
          </w:tcPr>
          <w:p>
            <w:pPr>
              <w:ind w:left="60"/>
              <w:spacing w:after="0"/>
              <w:rPr>
                <w:sz w:val="20"/>
                <w:szCs w:val="20"/>
                <w:color w:val="auto"/>
              </w:rPr>
            </w:pPr>
            <w:r>
              <w:rPr>
                <w:rFonts w:ascii="Arial" w:cs="Arial" w:eastAsia="Arial" w:hAnsi="Arial"/>
                <w:sz w:val="14"/>
                <w:szCs w:val="14"/>
                <w:b w:val="1"/>
                <w:bCs w:val="1"/>
                <w:color w:val="665B4F"/>
              </w:rPr>
              <w:t>NAMED EXECUTIVE OFFICER</w:t>
            </w:r>
          </w:p>
        </w:tc>
        <w:tc>
          <w:tcPr>
            <w:tcW w:w="880" w:type="dxa"/>
            <w:vAlign w:val="bottom"/>
            <w:tcBorders>
              <w:bottom w:val="single" w:sz="8" w:color="D1CDCA"/>
            </w:tcBorders>
          </w:tcPr>
          <w:p>
            <w:pPr>
              <w:spacing w:after="0"/>
              <w:rPr>
                <w:sz w:val="16"/>
                <w:szCs w:val="16"/>
                <w:color w:val="auto"/>
              </w:rPr>
            </w:pPr>
          </w:p>
        </w:tc>
        <w:tc>
          <w:tcPr>
            <w:tcW w:w="240" w:type="dxa"/>
            <w:vAlign w:val="bottom"/>
            <w:tcBorders>
              <w:bottom w:val="single" w:sz="8" w:color="D1CDCA"/>
            </w:tcBorders>
          </w:tcPr>
          <w:p>
            <w:pPr>
              <w:spacing w:after="0"/>
              <w:rPr>
                <w:sz w:val="16"/>
                <w:szCs w:val="16"/>
                <w:color w:val="auto"/>
              </w:rPr>
            </w:pPr>
          </w:p>
        </w:tc>
        <w:tc>
          <w:tcPr>
            <w:tcW w:w="880" w:type="dxa"/>
            <w:vAlign w:val="bottom"/>
            <w:tcBorders>
              <w:bottom w:val="single" w:sz="8" w:color="D1CDCA"/>
            </w:tcBorders>
          </w:tcPr>
          <w:p>
            <w:pPr>
              <w:jc w:val="right"/>
              <w:ind w:right="28"/>
              <w:spacing w:after="0"/>
              <w:rPr>
                <w:sz w:val="20"/>
                <w:szCs w:val="20"/>
                <w:color w:val="auto"/>
              </w:rPr>
            </w:pPr>
            <w:r>
              <w:rPr>
                <w:rFonts w:ascii="Arial" w:cs="Arial" w:eastAsia="Arial" w:hAnsi="Arial"/>
                <w:sz w:val="14"/>
                <w:szCs w:val="14"/>
                <w:b w:val="1"/>
                <w:bCs w:val="1"/>
                <w:color w:val="665B4F"/>
              </w:rPr>
              <w:t>($)</w:t>
            </w:r>
            <w:r>
              <w:rPr>
                <w:rFonts w:ascii="Arial" w:cs="Arial" w:eastAsia="Arial" w:hAnsi="Arial"/>
                <w:sz w:val="12"/>
                <w:szCs w:val="12"/>
                <w:b w:val="1"/>
                <w:bCs w:val="1"/>
                <w:color w:val="665B4F"/>
              </w:rPr>
              <w:t>(3)</w:t>
            </w:r>
          </w:p>
        </w:tc>
        <w:tc>
          <w:tcPr>
            <w:tcW w:w="200" w:type="dxa"/>
            <w:vAlign w:val="bottom"/>
            <w:tcBorders>
              <w:bottom w:val="single" w:sz="8" w:color="D1CDCA"/>
            </w:tcBorders>
          </w:tcPr>
          <w:p>
            <w:pPr>
              <w:spacing w:after="0"/>
              <w:rPr>
                <w:sz w:val="16"/>
                <w:szCs w:val="16"/>
                <w:color w:val="auto"/>
              </w:rPr>
            </w:pPr>
          </w:p>
        </w:tc>
        <w:tc>
          <w:tcPr>
            <w:tcW w:w="820" w:type="dxa"/>
            <w:vAlign w:val="bottom"/>
            <w:tcBorders>
              <w:bottom w:val="single" w:sz="8" w:color="D1CDCA"/>
            </w:tcBorders>
          </w:tcPr>
          <w:p>
            <w:pPr>
              <w:jc w:val="right"/>
              <w:ind w:right="28"/>
              <w:spacing w:after="0"/>
              <w:rPr>
                <w:sz w:val="20"/>
                <w:szCs w:val="20"/>
                <w:color w:val="auto"/>
              </w:rPr>
            </w:pPr>
            <w:r>
              <w:rPr>
                <w:rFonts w:ascii="Arial" w:cs="Arial" w:eastAsia="Arial" w:hAnsi="Arial"/>
                <w:sz w:val="14"/>
                <w:szCs w:val="14"/>
                <w:b w:val="1"/>
                <w:bCs w:val="1"/>
                <w:color w:val="665B4F"/>
              </w:rPr>
              <w:t>($)</w:t>
            </w:r>
            <w:r>
              <w:rPr>
                <w:rFonts w:ascii="Arial" w:cs="Arial" w:eastAsia="Arial" w:hAnsi="Arial"/>
                <w:sz w:val="12"/>
                <w:szCs w:val="12"/>
                <w:b w:val="1"/>
                <w:bCs w:val="1"/>
                <w:color w:val="665B4F"/>
              </w:rPr>
              <w:t>(4)</w:t>
            </w:r>
          </w:p>
        </w:tc>
        <w:tc>
          <w:tcPr>
            <w:tcW w:w="240" w:type="dxa"/>
            <w:vAlign w:val="bottom"/>
            <w:tcBorders>
              <w:bottom w:val="single" w:sz="8" w:color="D1CDCA"/>
            </w:tcBorders>
          </w:tcPr>
          <w:p>
            <w:pPr>
              <w:spacing w:after="0"/>
              <w:rPr>
                <w:sz w:val="16"/>
                <w:szCs w:val="16"/>
                <w:color w:val="auto"/>
              </w:rPr>
            </w:pPr>
          </w:p>
        </w:tc>
        <w:tc>
          <w:tcPr>
            <w:tcW w:w="800" w:type="dxa"/>
            <w:vAlign w:val="bottom"/>
            <w:tcBorders>
              <w:bottom w:val="single" w:sz="8" w:color="D1CDCA"/>
            </w:tcBorders>
          </w:tcPr>
          <w:p>
            <w:pPr>
              <w:jc w:val="right"/>
              <w:ind w:right="48"/>
              <w:spacing w:after="0"/>
              <w:rPr>
                <w:sz w:val="20"/>
                <w:szCs w:val="20"/>
                <w:color w:val="auto"/>
              </w:rPr>
            </w:pPr>
            <w:r>
              <w:rPr>
                <w:rFonts w:ascii="Arial" w:cs="Arial" w:eastAsia="Arial" w:hAnsi="Arial"/>
                <w:sz w:val="14"/>
                <w:szCs w:val="14"/>
                <w:b w:val="1"/>
                <w:bCs w:val="1"/>
                <w:color w:val="665B4F"/>
              </w:rPr>
              <w:t>($)</w:t>
            </w:r>
            <w:r>
              <w:rPr>
                <w:rFonts w:ascii="Arial" w:cs="Arial" w:eastAsia="Arial" w:hAnsi="Arial"/>
                <w:sz w:val="12"/>
                <w:szCs w:val="12"/>
                <w:b w:val="1"/>
                <w:bCs w:val="1"/>
                <w:color w:val="665B4F"/>
              </w:rPr>
              <w:t>(5)</w:t>
            </w:r>
          </w:p>
        </w:tc>
        <w:tc>
          <w:tcPr>
            <w:tcW w:w="1740" w:type="dxa"/>
            <w:vAlign w:val="bottom"/>
            <w:tcBorders>
              <w:bottom w:val="single" w:sz="8" w:color="D1CDCA"/>
            </w:tcBorders>
          </w:tcPr>
          <w:p>
            <w:pPr>
              <w:spacing w:after="0"/>
              <w:rPr>
                <w:sz w:val="16"/>
                <w:szCs w:val="16"/>
                <w:color w:val="auto"/>
              </w:rPr>
            </w:pPr>
          </w:p>
        </w:tc>
        <w:tc>
          <w:tcPr>
            <w:tcW w:w="740" w:type="dxa"/>
            <w:vAlign w:val="bottom"/>
            <w:tcBorders>
              <w:bottom w:val="single" w:sz="8" w:color="D1CDCA"/>
            </w:tcBorders>
          </w:tcPr>
          <w:p>
            <w:pPr>
              <w:spacing w:after="0"/>
              <w:rPr>
                <w:sz w:val="16"/>
                <w:szCs w:val="16"/>
                <w:color w:val="auto"/>
              </w:rPr>
            </w:pPr>
          </w:p>
        </w:tc>
        <w:tc>
          <w:tcPr>
            <w:tcW w:w="800" w:type="dxa"/>
            <w:vAlign w:val="bottom"/>
            <w:tcBorders>
              <w:bottom w:val="single" w:sz="8" w:color="D1CDCA"/>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6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Matt Maddox</w:t>
            </w:r>
          </w:p>
        </w:tc>
        <w:tc>
          <w:tcPr>
            <w:tcW w:w="880" w:type="dxa"/>
            <w:vAlign w:val="bottom"/>
            <w:tcBorders>
              <w:bottom w:val="single" w:sz="8" w:color="F7F7E5"/>
            </w:tcBorders>
            <w:shd w:val="clear" w:color="auto" w:fill="F7F7E5"/>
          </w:tcPr>
          <w:p>
            <w:pPr>
              <w:jc w:val="right"/>
              <w:ind w:right="28"/>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F7F7E5"/>
            </w:tcBorders>
            <w:shd w:val="clear" w:color="auto" w:fill="F7F7E5"/>
          </w:tcPr>
          <w:p>
            <w:pPr>
              <w:ind w:left="10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7F7E5"/>
            </w:tcBorders>
            <w:shd w:val="clear" w:color="auto" w:fill="F7F7E5"/>
          </w:tcPr>
          <w:p>
            <w:pPr>
              <w:jc w:val="right"/>
              <w:ind w:right="28"/>
              <w:spacing w:after="0"/>
              <w:rPr>
                <w:sz w:val="20"/>
                <w:szCs w:val="20"/>
                <w:color w:val="auto"/>
              </w:rPr>
            </w:pPr>
            <w:r>
              <w:rPr>
                <w:rFonts w:ascii="Arial" w:cs="Arial" w:eastAsia="Arial" w:hAnsi="Arial"/>
                <w:sz w:val="14"/>
                <w:szCs w:val="14"/>
                <w:color w:val="auto"/>
              </w:rPr>
              <w:t>2,400,000</w:t>
            </w:r>
          </w:p>
        </w:tc>
        <w:tc>
          <w:tcPr>
            <w:tcW w:w="20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F7F7E5"/>
            </w:tcBorders>
            <w:shd w:val="clear" w:color="auto" w:fill="F7F7E5"/>
          </w:tcPr>
          <w:p>
            <w:pPr>
              <w:jc w:val="right"/>
              <w:ind w:right="28"/>
              <w:spacing w:after="0"/>
              <w:rPr>
                <w:sz w:val="20"/>
                <w:szCs w:val="20"/>
                <w:color w:val="auto"/>
              </w:rPr>
            </w:pPr>
            <w:r>
              <w:rPr>
                <w:rFonts w:ascii="Arial" w:cs="Arial" w:eastAsia="Arial" w:hAnsi="Arial"/>
                <w:sz w:val="14"/>
                <w:szCs w:val="14"/>
                <w:color w:val="auto"/>
              </w:rPr>
              <w:t>3,000,000</w:t>
            </w:r>
          </w:p>
        </w:tc>
        <w:tc>
          <w:tcPr>
            <w:tcW w:w="24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7F7E5"/>
            </w:tcBorders>
            <w:shd w:val="clear" w:color="auto" w:fill="F7F7E5"/>
          </w:tcPr>
          <w:p>
            <w:pPr>
              <w:jc w:val="right"/>
              <w:ind w:right="48"/>
              <w:spacing w:after="0"/>
              <w:rPr>
                <w:sz w:val="20"/>
                <w:szCs w:val="20"/>
                <w:color w:val="auto"/>
              </w:rPr>
            </w:pPr>
            <w:r>
              <w:rPr>
                <w:rFonts w:ascii="Arial" w:cs="Arial" w:eastAsia="Arial" w:hAnsi="Arial"/>
                <w:sz w:val="14"/>
                <w:szCs w:val="14"/>
                <w:color w:val="auto"/>
              </w:rPr>
              <w:t>3,600,000</w:t>
            </w:r>
          </w:p>
        </w:tc>
        <w:tc>
          <w:tcPr>
            <w:tcW w:w="1740" w:type="dxa"/>
            <w:vAlign w:val="bottom"/>
            <w:tcBorders>
              <w:bottom w:val="single" w:sz="8" w:color="F7F7E5"/>
            </w:tcBorders>
            <w:shd w:val="clear" w:color="auto" w:fill="F7F7E5"/>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7F7E5"/>
            </w:tcBorders>
            <w:shd w:val="clear" w:color="auto" w:fill="F7F7E5"/>
          </w:tcPr>
          <w:p>
            <w:pPr>
              <w:spacing w:after="0"/>
              <w:rPr>
                <w:sz w:val="21"/>
                <w:szCs w:val="21"/>
                <w:color w:val="auto"/>
              </w:rPr>
            </w:pPr>
          </w:p>
        </w:tc>
        <w:tc>
          <w:tcPr>
            <w:tcW w:w="800" w:type="dxa"/>
            <w:vAlign w:val="bottom"/>
            <w:tcBorders>
              <w:bottom w:val="single" w:sz="8" w:color="F7F7E5"/>
            </w:tcBorders>
            <w:shd w:val="clear" w:color="auto" w:fill="F7F7E5"/>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680" w:type="dxa"/>
            <w:vAlign w:val="bottom"/>
            <w:tcBorders>
              <w:top w:val="single" w:sz="8" w:color="F7F7E5"/>
              <w:bottom w:val="single" w:sz="8" w:color="D1CDCA"/>
            </w:tcBorders>
            <w:shd w:val="clear" w:color="auto" w:fill="F7F7E5"/>
          </w:tcPr>
          <w:p>
            <w:pPr>
              <w:spacing w:after="0"/>
              <w:rPr>
                <w:sz w:val="21"/>
                <w:szCs w:val="21"/>
                <w:color w:val="auto"/>
              </w:rPr>
            </w:pPr>
          </w:p>
        </w:tc>
        <w:tc>
          <w:tcPr>
            <w:tcW w:w="880" w:type="dxa"/>
            <w:vAlign w:val="bottom"/>
            <w:tcBorders>
              <w:top w:val="single" w:sz="8" w:color="D1CDCA"/>
              <w:bottom w:val="single" w:sz="8" w:color="D1CDCA"/>
            </w:tcBorders>
            <w:shd w:val="clear" w:color="auto" w:fill="F7F7E5"/>
          </w:tcPr>
          <w:p>
            <w:pPr>
              <w:jc w:val="right"/>
              <w:ind w:right="28"/>
              <w:spacing w:after="0"/>
              <w:rPr>
                <w:sz w:val="20"/>
                <w:szCs w:val="20"/>
                <w:color w:val="auto"/>
              </w:rPr>
            </w:pPr>
            <w:r>
              <w:rPr>
                <w:rFonts w:ascii="Arial" w:cs="Arial" w:eastAsia="Arial" w:hAnsi="Arial"/>
                <w:sz w:val="14"/>
                <w:szCs w:val="14"/>
                <w:color w:val="auto"/>
              </w:rPr>
              <w:t>2/28/2017</w:t>
            </w:r>
          </w:p>
        </w:tc>
        <w:tc>
          <w:tcPr>
            <w:tcW w:w="240" w:type="dxa"/>
            <w:vAlign w:val="bottom"/>
            <w:tcBorders>
              <w:top w:val="single" w:sz="8" w:color="D1CDCA"/>
              <w:bottom w:val="single" w:sz="8" w:color="D1CDCA"/>
            </w:tcBorders>
            <w:shd w:val="clear" w:color="auto" w:fill="F7F7E5"/>
          </w:tcPr>
          <w:p>
            <w:pPr>
              <w:spacing w:after="0"/>
              <w:rPr>
                <w:sz w:val="21"/>
                <w:szCs w:val="21"/>
                <w:color w:val="auto"/>
              </w:rPr>
            </w:pPr>
          </w:p>
        </w:tc>
        <w:tc>
          <w:tcPr>
            <w:tcW w:w="880" w:type="dxa"/>
            <w:vAlign w:val="bottom"/>
            <w:tcBorders>
              <w:top w:val="single" w:sz="8" w:color="D1CDCA"/>
              <w:bottom w:val="single" w:sz="8" w:color="D1CDCA"/>
            </w:tcBorders>
            <w:shd w:val="clear" w:color="auto" w:fill="F7F7E5"/>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D1CDCA"/>
              <w:bottom w:val="single" w:sz="8" w:color="D1CDCA"/>
            </w:tcBorders>
            <w:shd w:val="clear" w:color="auto" w:fill="F7F7E5"/>
          </w:tcPr>
          <w:p>
            <w:pPr>
              <w:spacing w:after="0"/>
              <w:rPr>
                <w:sz w:val="21"/>
                <w:szCs w:val="21"/>
                <w:color w:val="auto"/>
              </w:rPr>
            </w:pPr>
          </w:p>
        </w:tc>
        <w:tc>
          <w:tcPr>
            <w:tcW w:w="820" w:type="dxa"/>
            <w:vAlign w:val="bottom"/>
            <w:tcBorders>
              <w:top w:val="single" w:sz="8" w:color="D1CDCA"/>
              <w:bottom w:val="single" w:sz="8" w:color="D1CDCA"/>
            </w:tcBorders>
            <w:shd w:val="clear" w:color="auto" w:fill="F7F7E5"/>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D1CDCA"/>
              <w:bottom w:val="single" w:sz="8" w:color="D1CDCA"/>
            </w:tcBorders>
            <w:shd w:val="clear" w:color="auto" w:fill="F7F7E5"/>
          </w:tcPr>
          <w:p>
            <w:pPr>
              <w:spacing w:after="0"/>
              <w:rPr>
                <w:sz w:val="21"/>
                <w:szCs w:val="21"/>
                <w:color w:val="auto"/>
              </w:rPr>
            </w:pPr>
          </w:p>
        </w:tc>
        <w:tc>
          <w:tcPr>
            <w:tcW w:w="800" w:type="dxa"/>
            <w:vAlign w:val="bottom"/>
            <w:tcBorders>
              <w:top w:val="single" w:sz="8" w:color="D1CDCA"/>
              <w:bottom w:val="single" w:sz="8" w:color="D1CDCA"/>
            </w:tcBorders>
            <w:shd w:val="clear" w:color="auto" w:fill="F7F7E5"/>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D1CDCA"/>
              <w:bottom w:val="single" w:sz="8" w:color="D1CDCA"/>
            </w:tcBorders>
            <w:shd w:val="clear" w:color="auto" w:fill="F7F7E5"/>
          </w:tcPr>
          <w:p>
            <w:pPr>
              <w:jc w:val="right"/>
              <w:ind w:right="28"/>
              <w:spacing w:after="0" w:line="250" w:lineRule="exact"/>
              <w:rPr>
                <w:sz w:val="20"/>
                <w:szCs w:val="20"/>
                <w:color w:val="auto"/>
              </w:rPr>
            </w:pPr>
            <w:r>
              <w:rPr>
                <w:rFonts w:ascii="Arial" w:cs="Arial" w:eastAsia="Arial" w:hAnsi="Arial"/>
                <w:sz w:val="14"/>
                <w:szCs w:val="14"/>
                <w:color w:val="auto"/>
              </w:rPr>
              <w:t>200,000</w:t>
            </w:r>
            <w:r>
              <w:rPr>
                <w:rFonts w:ascii="Arial" w:cs="Arial" w:eastAsia="Arial" w:hAnsi="Arial"/>
                <w:sz w:val="24"/>
                <w:szCs w:val="24"/>
                <w:color w:val="auto"/>
                <w:vertAlign w:val="superscript"/>
              </w:rPr>
              <w:t>(6)</w:t>
            </w:r>
          </w:p>
        </w:tc>
        <w:tc>
          <w:tcPr>
            <w:tcW w:w="1540" w:type="dxa"/>
            <w:vAlign w:val="bottom"/>
            <w:tcBorders>
              <w:top w:val="single" w:sz="8" w:color="D1CDCA"/>
              <w:bottom w:val="single" w:sz="8" w:color="D1CDCA"/>
            </w:tcBorders>
            <w:gridSpan w:val="2"/>
            <w:shd w:val="clear" w:color="auto" w:fill="F7F7E5"/>
          </w:tcPr>
          <w:p>
            <w:pPr>
              <w:jc w:val="right"/>
              <w:ind w:right="48"/>
              <w:spacing w:after="0"/>
              <w:rPr>
                <w:sz w:val="20"/>
                <w:szCs w:val="20"/>
                <w:color w:val="auto"/>
              </w:rPr>
            </w:pPr>
            <w:r>
              <w:rPr>
                <w:rFonts w:ascii="Arial" w:cs="Arial" w:eastAsia="Arial" w:hAnsi="Arial"/>
                <w:sz w:val="14"/>
                <w:szCs w:val="14"/>
                <w:color w:val="auto"/>
              </w:rPr>
              <w:t>$19,230,000</w:t>
            </w:r>
          </w:p>
        </w:tc>
        <w:tc>
          <w:tcPr>
            <w:tcW w:w="0" w:type="dxa"/>
            <w:vAlign w:val="bottom"/>
          </w:tcPr>
          <w:p>
            <w:pPr>
              <w:spacing w:after="0"/>
              <w:rPr>
                <w:sz w:val="1"/>
                <w:szCs w:val="1"/>
                <w:color w:val="auto"/>
              </w:rPr>
            </w:pPr>
          </w:p>
        </w:tc>
      </w:tr>
      <w:tr>
        <w:trPr>
          <w:trHeight w:val="211"/>
        </w:trPr>
        <w:tc>
          <w:tcPr>
            <w:tcW w:w="3680" w:type="dxa"/>
            <w:vAlign w:val="bottom"/>
          </w:tcPr>
          <w:p>
            <w:pPr>
              <w:ind w:left="60"/>
              <w:spacing w:after="0"/>
              <w:rPr>
                <w:sz w:val="20"/>
                <w:szCs w:val="20"/>
                <w:color w:val="auto"/>
              </w:rPr>
            </w:pPr>
            <w:r>
              <w:rPr>
                <w:rFonts w:ascii="Arial" w:cs="Arial" w:eastAsia="Arial" w:hAnsi="Arial"/>
                <w:sz w:val="14"/>
                <w:szCs w:val="14"/>
                <w:color w:val="auto"/>
              </w:rPr>
              <w:t>Kim Sinatra</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N/A</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1,600,000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2,000,000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2,400,000</w:t>
            </w:r>
          </w:p>
        </w:tc>
        <w:tc>
          <w:tcPr>
            <w:tcW w:w="17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3680" w:type="dxa"/>
            <w:vAlign w:val="bottom"/>
          </w:tcPr>
          <w:p>
            <w:pPr>
              <w:spacing w:after="0"/>
              <w:rPr>
                <w:sz w:val="3"/>
                <w:szCs w:val="3"/>
                <w:color w:val="auto"/>
              </w:rPr>
            </w:pPr>
          </w:p>
        </w:tc>
        <w:tc>
          <w:tcPr>
            <w:tcW w:w="880" w:type="dxa"/>
            <w:vAlign w:val="bottom"/>
            <w:tcBorders>
              <w:bottom w:val="single" w:sz="8" w:color="D1CDCA"/>
            </w:tcBorders>
          </w:tcPr>
          <w:p>
            <w:pPr>
              <w:spacing w:after="0"/>
              <w:rPr>
                <w:sz w:val="3"/>
                <w:szCs w:val="3"/>
                <w:color w:val="auto"/>
              </w:rPr>
            </w:pPr>
          </w:p>
        </w:tc>
        <w:tc>
          <w:tcPr>
            <w:tcW w:w="240" w:type="dxa"/>
            <w:vAlign w:val="bottom"/>
            <w:tcBorders>
              <w:bottom w:val="single" w:sz="8" w:color="D1CDCA"/>
            </w:tcBorders>
          </w:tcPr>
          <w:p>
            <w:pPr>
              <w:spacing w:after="0"/>
              <w:rPr>
                <w:sz w:val="3"/>
                <w:szCs w:val="3"/>
                <w:color w:val="auto"/>
              </w:rPr>
            </w:pPr>
          </w:p>
        </w:tc>
        <w:tc>
          <w:tcPr>
            <w:tcW w:w="880" w:type="dxa"/>
            <w:vAlign w:val="bottom"/>
            <w:tcBorders>
              <w:bottom w:val="single" w:sz="8" w:color="D1CDCA"/>
            </w:tcBorders>
          </w:tcPr>
          <w:p>
            <w:pPr>
              <w:spacing w:after="0"/>
              <w:rPr>
                <w:sz w:val="3"/>
                <w:szCs w:val="3"/>
                <w:color w:val="auto"/>
              </w:rPr>
            </w:pPr>
          </w:p>
        </w:tc>
        <w:tc>
          <w:tcPr>
            <w:tcW w:w="200" w:type="dxa"/>
            <w:vAlign w:val="bottom"/>
            <w:tcBorders>
              <w:bottom w:val="single" w:sz="8" w:color="D1CDCA"/>
            </w:tcBorders>
          </w:tcPr>
          <w:p>
            <w:pPr>
              <w:spacing w:after="0"/>
              <w:rPr>
                <w:sz w:val="3"/>
                <w:szCs w:val="3"/>
                <w:color w:val="auto"/>
              </w:rPr>
            </w:pPr>
          </w:p>
        </w:tc>
        <w:tc>
          <w:tcPr>
            <w:tcW w:w="820" w:type="dxa"/>
            <w:vAlign w:val="bottom"/>
            <w:tcBorders>
              <w:bottom w:val="single" w:sz="8" w:color="D1CDCA"/>
            </w:tcBorders>
          </w:tcPr>
          <w:p>
            <w:pPr>
              <w:spacing w:after="0"/>
              <w:rPr>
                <w:sz w:val="3"/>
                <w:szCs w:val="3"/>
                <w:color w:val="auto"/>
              </w:rPr>
            </w:pPr>
          </w:p>
        </w:tc>
        <w:tc>
          <w:tcPr>
            <w:tcW w:w="240" w:type="dxa"/>
            <w:vAlign w:val="bottom"/>
            <w:tcBorders>
              <w:bottom w:val="single" w:sz="8" w:color="D1CDCA"/>
            </w:tcBorders>
          </w:tcPr>
          <w:p>
            <w:pPr>
              <w:spacing w:after="0"/>
              <w:rPr>
                <w:sz w:val="3"/>
                <w:szCs w:val="3"/>
                <w:color w:val="auto"/>
              </w:rPr>
            </w:pPr>
          </w:p>
        </w:tc>
        <w:tc>
          <w:tcPr>
            <w:tcW w:w="800" w:type="dxa"/>
            <w:vAlign w:val="bottom"/>
            <w:tcBorders>
              <w:bottom w:val="single" w:sz="8" w:color="D1CDCA"/>
            </w:tcBorders>
          </w:tcPr>
          <w:p>
            <w:pPr>
              <w:spacing w:after="0"/>
              <w:rPr>
                <w:sz w:val="3"/>
                <w:szCs w:val="3"/>
                <w:color w:val="auto"/>
              </w:rPr>
            </w:pPr>
          </w:p>
        </w:tc>
        <w:tc>
          <w:tcPr>
            <w:tcW w:w="1740" w:type="dxa"/>
            <w:vAlign w:val="bottom"/>
            <w:tcBorders>
              <w:bottom w:val="single" w:sz="8" w:color="D1CDCA"/>
            </w:tcBorders>
          </w:tcPr>
          <w:p>
            <w:pPr>
              <w:spacing w:after="0"/>
              <w:rPr>
                <w:sz w:val="3"/>
                <w:szCs w:val="3"/>
                <w:color w:val="auto"/>
              </w:rPr>
            </w:pPr>
          </w:p>
        </w:tc>
        <w:tc>
          <w:tcPr>
            <w:tcW w:w="740" w:type="dxa"/>
            <w:vAlign w:val="bottom"/>
            <w:tcBorders>
              <w:bottom w:val="single" w:sz="8" w:color="D1CDCA"/>
            </w:tcBorders>
          </w:tcPr>
          <w:p>
            <w:pPr>
              <w:spacing w:after="0"/>
              <w:rPr>
                <w:sz w:val="3"/>
                <w:szCs w:val="3"/>
                <w:color w:val="auto"/>
              </w:rPr>
            </w:pPr>
          </w:p>
        </w:tc>
        <w:tc>
          <w:tcPr>
            <w:tcW w:w="800" w:type="dxa"/>
            <w:vAlign w:val="bottom"/>
            <w:tcBorders>
              <w:bottom w:val="single" w:sz="8" w:color="D1CDCA"/>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D1CDCA"/>
            </w:tcBorders>
          </w:tcPr>
          <w:p>
            <w:pPr>
              <w:spacing w:after="0"/>
              <w:rPr>
                <w:sz w:val="21"/>
                <w:szCs w:val="21"/>
                <w:color w:val="auto"/>
              </w:rPr>
            </w:pPr>
          </w:p>
        </w:tc>
        <w:tc>
          <w:tcPr>
            <w:tcW w:w="880" w:type="dxa"/>
            <w:vAlign w:val="bottom"/>
            <w:tcBorders>
              <w:bottom w:val="single" w:sz="8" w:color="D1CDCA"/>
            </w:tcBorders>
          </w:tcPr>
          <w:p>
            <w:pPr>
              <w:jc w:val="right"/>
              <w:ind w:right="28"/>
              <w:spacing w:after="0"/>
              <w:rPr>
                <w:sz w:val="20"/>
                <w:szCs w:val="20"/>
                <w:color w:val="auto"/>
              </w:rPr>
            </w:pPr>
            <w:r>
              <w:rPr>
                <w:rFonts w:ascii="Arial" w:cs="Arial" w:eastAsia="Arial" w:hAnsi="Arial"/>
                <w:sz w:val="14"/>
                <w:szCs w:val="14"/>
                <w:color w:val="auto"/>
              </w:rPr>
              <w:t>2/28/2017</w:t>
            </w:r>
          </w:p>
        </w:tc>
        <w:tc>
          <w:tcPr>
            <w:tcW w:w="240" w:type="dxa"/>
            <w:vAlign w:val="bottom"/>
            <w:tcBorders>
              <w:bottom w:val="single" w:sz="8" w:color="D1CDCA"/>
            </w:tcBorders>
          </w:tcPr>
          <w:p>
            <w:pPr>
              <w:spacing w:after="0"/>
              <w:rPr>
                <w:sz w:val="21"/>
                <w:szCs w:val="21"/>
                <w:color w:val="auto"/>
              </w:rPr>
            </w:pPr>
          </w:p>
        </w:tc>
        <w:tc>
          <w:tcPr>
            <w:tcW w:w="880" w:type="dxa"/>
            <w:vAlign w:val="bottom"/>
            <w:tcBorders>
              <w:bottom w:val="single" w:sz="8" w:color="D1CDCA"/>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1CDCA"/>
            </w:tcBorders>
          </w:tcPr>
          <w:p>
            <w:pPr>
              <w:spacing w:after="0"/>
              <w:rPr>
                <w:sz w:val="21"/>
                <w:szCs w:val="21"/>
                <w:color w:val="auto"/>
              </w:rPr>
            </w:pPr>
          </w:p>
        </w:tc>
        <w:tc>
          <w:tcPr>
            <w:tcW w:w="820" w:type="dxa"/>
            <w:vAlign w:val="bottom"/>
            <w:tcBorders>
              <w:bottom w:val="single" w:sz="8" w:color="D1CDCA"/>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1CDCA"/>
            </w:tcBorders>
          </w:tcPr>
          <w:p>
            <w:pPr>
              <w:spacing w:after="0"/>
              <w:rPr>
                <w:sz w:val="21"/>
                <w:szCs w:val="21"/>
                <w:color w:val="auto"/>
              </w:rPr>
            </w:pPr>
          </w:p>
        </w:tc>
        <w:tc>
          <w:tcPr>
            <w:tcW w:w="800" w:type="dxa"/>
            <w:vAlign w:val="bottom"/>
            <w:tcBorders>
              <w:bottom w:val="single" w:sz="8" w:color="D1CDCA"/>
            </w:tcBorders>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D1CDCA"/>
            </w:tcBorders>
          </w:tcPr>
          <w:p>
            <w:pPr>
              <w:jc w:val="right"/>
              <w:ind w:right="28"/>
              <w:spacing w:after="0" w:line="250" w:lineRule="exact"/>
              <w:rPr>
                <w:sz w:val="20"/>
                <w:szCs w:val="20"/>
                <w:color w:val="auto"/>
              </w:rPr>
            </w:pPr>
            <w:r>
              <w:rPr>
                <w:rFonts w:ascii="Arial" w:cs="Arial" w:eastAsia="Arial" w:hAnsi="Arial"/>
                <w:sz w:val="14"/>
                <w:szCs w:val="14"/>
                <w:color w:val="auto"/>
              </w:rPr>
              <w:t>100,000</w:t>
            </w:r>
            <w:r>
              <w:rPr>
                <w:rFonts w:ascii="Arial" w:cs="Arial" w:eastAsia="Arial" w:hAnsi="Arial"/>
                <w:sz w:val="24"/>
                <w:szCs w:val="24"/>
                <w:color w:val="auto"/>
                <w:vertAlign w:val="superscript"/>
              </w:rPr>
              <w:t>(6)</w:t>
            </w:r>
          </w:p>
        </w:tc>
        <w:tc>
          <w:tcPr>
            <w:tcW w:w="740" w:type="dxa"/>
            <w:vAlign w:val="bottom"/>
            <w:tcBorders>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1CDCA"/>
            </w:tcBorders>
          </w:tcPr>
          <w:p>
            <w:pPr>
              <w:jc w:val="right"/>
              <w:ind w:right="48"/>
              <w:spacing w:after="0"/>
              <w:rPr>
                <w:sz w:val="20"/>
                <w:szCs w:val="20"/>
                <w:color w:val="auto"/>
              </w:rPr>
            </w:pPr>
            <w:r>
              <w:rPr>
                <w:rFonts w:ascii="Arial" w:cs="Arial" w:eastAsia="Arial" w:hAnsi="Arial"/>
                <w:sz w:val="14"/>
                <w:szCs w:val="14"/>
                <w:color w:val="auto"/>
              </w:rPr>
              <w:t>9,615,000</w:t>
            </w:r>
          </w:p>
        </w:tc>
        <w:tc>
          <w:tcPr>
            <w:tcW w:w="0" w:type="dxa"/>
            <w:vAlign w:val="bottom"/>
          </w:tcPr>
          <w:p>
            <w:pPr>
              <w:spacing w:after="0"/>
              <w:rPr>
                <w:sz w:val="1"/>
                <w:szCs w:val="1"/>
                <w:color w:val="auto"/>
              </w:rPr>
            </w:pPr>
          </w:p>
        </w:tc>
      </w:tr>
      <w:tr>
        <w:trPr>
          <w:trHeight w:val="255"/>
        </w:trPr>
        <w:tc>
          <w:tcPr>
            <w:tcW w:w="36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Craig Billings</w:t>
            </w:r>
          </w:p>
        </w:tc>
        <w:tc>
          <w:tcPr>
            <w:tcW w:w="880" w:type="dxa"/>
            <w:vAlign w:val="bottom"/>
            <w:tcBorders>
              <w:bottom w:val="single" w:sz="8" w:color="F7F7E5"/>
            </w:tcBorders>
            <w:shd w:val="clear" w:color="auto" w:fill="F7F7E5"/>
          </w:tcPr>
          <w:p>
            <w:pPr>
              <w:jc w:val="right"/>
              <w:ind w:right="28"/>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F7F7E5"/>
            </w:tcBorders>
            <w:shd w:val="clear" w:color="auto" w:fill="F7F7E5"/>
          </w:tcPr>
          <w:p>
            <w:pPr>
              <w:ind w:left="10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7F7E5"/>
            </w:tcBorders>
            <w:shd w:val="clear" w:color="auto" w:fill="F7F7E5"/>
          </w:tcPr>
          <w:p>
            <w:pPr>
              <w:jc w:val="right"/>
              <w:ind w:right="28"/>
              <w:spacing w:after="0"/>
              <w:rPr>
                <w:sz w:val="20"/>
                <w:szCs w:val="20"/>
                <w:color w:val="auto"/>
              </w:rPr>
            </w:pPr>
            <w:r>
              <w:rPr>
                <w:rFonts w:ascii="Arial" w:cs="Arial" w:eastAsia="Arial" w:hAnsi="Arial"/>
                <w:sz w:val="14"/>
                <w:szCs w:val="14"/>
                <w:color w:val="auto"/>
              </w:rPr>
              <w:t>1,200,000</w:t>
            </w:r>
          </w:p>
        </w:tc>
        <w:tc>
          <w:tcPr>
            <w:tcW w:w="20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F7F7E5"/>
            </w:tcBorders>
            <w:shd w:val="clear" w:color="auto" w:fill="F7F7E5"/>
          </w:tcPr>
          <w:p>
            <w:pPr>
              <w:jc w:val="right"/>
              <w:ind w:right="28"/>
              <w:spacing w:after="0"/>
              <w:rPr>
                <w:sz w:val="20"/>
                <w:szCs w:val="20"/>
                <w:color w:val="auto"/>
              </w:rPr>
            </w:pPr>
            <w:r>
              <w:rPr>
                <w:rFonts w:ascii="Arial" w:cs="Arial" w:eastAsia="Arial" w:hAnsi="Arial"/>
                <w:sz w:val="14"/>
                <w:szCs w:val="14"/>
                <w:color w:val="auto"/>
              </w:rPr>
              <w:t>1,500,000</w:t>
            </w:r>
          </w:p>
        </w:tc>
        <w:tc>
          <w:tcPr>
            <w:tcW w:w="240" w:type="dxa"/>
            <w:vAlign w:val="bottom"/>
            <w:tcBorders>
              <w:bottom w:val="single" w:sz="8" w:color="F7F7E5"/>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7F7E5"/>
            </w:tcBorders>
            <w:shd w:val="clear" w:color="auto" w:fill="F7F7E5"/>
          </w:tcPr>
          <w:p>
            <w:pPr>
              <w:jc w:val="right"/>
              <w:ind w:right="48"/>
              <w:spacing w:after="0"/>
              <w:rPr>
                <w:sz w:val="20"/>
                <w:szCs w:val="20"/>
                <w:color w:val="auto"/>
              </w:rPr>
            </w:pPr>
            <w:r>
              <w:rPr>
                <w:rFonts w:ascii="Arial" w:cs="Arial" w:eastAsia="Arial" w:hAnsi="Arial"/>
                <w:sz w:val="14"/>
                <w:szCs w:val="14"/>
                <w:color w:val="auto"/>
              </w:rPr>
              <w:t>1,800,000</w:t>
            </w:r>
          </w:p>
        </w:tc>
        <w:tc>
          <w:tcPr>
            <w:tcW w:w="1740" w:type="dxa"/>
            <w:vAlign w:val="bottom"/>
            <w:tcBorders>
              <w:bottom w:val="single" w:sz="8" w:color="F7F7E5"/>
            </w:tcBorders>
            <w:shd w:val="clear" w:color="auto" w:fill="F7F7E5"/>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7F7E5"/>
            </w:tcBorders>
            <w:shd w:val="clear" w:color="auto" w:fill="F7F7E5"/>
          </w:tcPr>
          <w:p>
            <w:pPr>
              <w:spacing w:after="0"/>
              <w:rPr>
                <w:sz w:val="21"/>
                <w:szCs w:val="21"/>
                <w:color w:val="auto"/>
              </w:rPr>
            </w:pPr>
          </w:p>
        </w:tc>
        <w:tc>
          <w:tcPr>
            <w:tcW w:w="800" w:type="dxa"/>
            <w:vAlign w:val="bottom"/>
            <w:tcBorders>
              <w:bottom w:val="single" w:sz="8" w:color="F7F7E5"/>
            </w:tcBorders>
            <w:shd w:val="clear" w:color="auto" w:fill="F7F7E5"/>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680" w:type="dxa"/>
            <w:vAlign w:val="bottom"/>
            <w:tcBorders>
              <w:top w:val="single" w:sz="8" w:color="F7F7E5"/>
              <w:bottom w:val="single" w:sz="8" w:color="D1CDCA"/>
            </w:tcBorders>
            <w:shd w:val="clear" w:color="auto" w:fill="F7F7E5"/>
          </w:tcPr>
          <w:p>
            <w:pPr>
              <w:spacing w:after="0"/>
              <w:rPr>
                <w:sz w:val="21"/>
                <w:szCs w:val="21"/>
                <w:color w:val="auto"/>
              </w:rPr>
            </w:pPr>
          </w:p>
        </w:tc>
        <w:tc>
          <w:tcPr>
            <w:tcW w:w="880" w:type="dxa"/>
            <w:vAlign w:val="bottom"/>
            <w:tcBorders>
              <w:top w:val="single" w:sz="8" w:color="D1CDCA"/>
              <w:bottom w:val="single" w:sz="8" w:color="D1CDCA"/>
            </w:tcBorders>
            <w:shd w:val="clear" w:color="auto" w:fill="F7F7E5"/>
          </w:tcPr>
          <w:p>
            <w:pPr>
              <w:jc w:val="right"/>
              <w:ind w:right="28"/>
              <w:spacing w:after="0"/>
              <w:rPr>
                <w:sz w:val="20"/>
                <w:szCs w:val="20"/>
                <w:color w:val="auto"/>
              </w:rPr>
            </w:pPr>
            <w:r>
              <w:rPr>
                <w:rFonts w:ascii="Arial" w:cs="Arial" w:eastAsia="Arial" w:hAnsi="Arial"/>
                <w:sz w:val="14"/>
                <w:szCs w:val="14"/>
                <w:color w:val="auto"/>
              </w:rPr>
              <w:t>3/1/2017</w:t>
            </w:r>
          </w:p>
        </w:tc>
        <w:tc>
          <w:tcPr>
            <w:tcW w:w="240" w:type="dxa"/>
            <w:vAlign w:val="bottom"/>
            <w:tcBorders>
              <w:top w:val="single" w:sz="8" w:color="D1CDCA"/>
              <w:bottom w:val="single" w:sz="8" w:color="D1CDCA"/>
            </w:tcBorders>
            <w:shd w:val="clear" w:color="auto" w:fill="F7F7E5"/>
          </w:tcPr>
          <w:p>
            <w:pPr>
              <w:spacing w:after="0"/>
              <w:rPr>
                <w:sz w:val="21"/>
                <w:szCs w:val="21"/>
                <w:color w:val="auto"/>
              </w:rPr>
            </w:pPr>
          </w:p>
        </w:tc>
        <w:tc>
          <w:tcPr>
            <w:tcW w:w="880" w:type="dxa"/>
            <w:vAlign w:val="bottom"/>
            <w:tcBorders>
              <w:top w:val="single" w:sz="8" w:color="D1CDCA"/>
              <w:bottom w:val="single" w:sz="8" w:color="D1CDCA"/>
            </w:tcBorders>
            <w:shd w:val="clear" w:color="auto" w:fill="F7F7E5"/>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D1CDCA"/>
              <w:bottom w:val="single" w:sz="8" w:color="D1CDCA"/>
            </w:tcBorders>
            <w:shd w:val="clear" w:color="auto" w:fill="F7F7E5"/>
          </w:tcPr>
          <w:p>
            <w:pPr>
              <w:spacing w:after="0"/>
              <w:rPr>
                <w:sz w:val="21"/>
                <w:szCs w:val="21"/>
                <w:color w:val="auto"/>
              </w:rPr>
            </w:pPr>
          </w:p>
        </w:tc>
        <w:tc>
          <w:tcPr>
            <w:tcW w:w="820" w:type="dxa"/>
            <w:vAlign w:val="bottom"/>
            <w:tcBorders>
              <w:top w:val="single" w:sz="8" w:color="D1CDCA"/>
              <w:bottom w:val="single" w:sz="8" w:color="D1CDCA"/>
            </w:tcBorders>
            <w:shd w:val="clear" w:color="auto" w:fill="F7F7E5"/>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D1CDCA"/>
              <w:bottom w:val="single" w:sz="8" w:color="D1CDCA"/>
            </w:tcBorders>
            <w:shd w:val="clear" w:color="auto" w:fill="F7F7E5"/>
          </w:tcPr>
          <w:p>
            <w:pPr>
              <w:spacing w:after="0"/>
              <w:rPr>
                <w:sz w:val="21"/>
                <w:szCs w:val="21"/>
                <w:color w:val="auto"/>
              </w:rPr>
            </w:pPr>
          </w:p>
        </w:tc>
        <w:tc>
          <w:tcPr>
            <w:tcW w:w="800" w:type="dxa"/>
            <w:vAlign w:val="bottom"/>
            <w:tcBorders>
              <w:top w:val="single" w:sz="8" w:color="D1CDCA"/>
              <w:bottom w:val="single" w:sz="8" w:color="D1CDCA"/>
            </w:tcBorders>
            <w:shd w:val="clear" w:color="auto" w:fill="F7F7E5"/>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D1CDCA"/>
              <w:bottom w:val="single" w:sz="8" w:color="D1CDCA"/>
            </w:tcBorders>
            <w:shd w:val="clear" w:color="auto" w:fill="F7F7E5"/>
          </w:tcPr>
          <w:p>
            <w:pPr>
              <w:jc w:val="right"/>
              <w:ind w:right="28"/>
              <w:spacing w:after="0" w:line="250" w:lineRule="exact"/>
              <w:rPr>
                <w:sz w:val="20"/>
                <w:szCs w:val="20"/>
                <w:color w:val="auto"/>
              </w:rPr>
            </w:pPr>
            <w:r>
              <w:rPr>
                <w:rFonts w:ascii="Arial" w:cs="Arial" w:eastAsia="Arial" w:hAnsi="Arial"/>
                <w:sz w:val="14"/>
                <w:szCs w:val="14"/>
                <w:color w:val="auto"/>
              </w:rPr>
              <w:t>30,000</w:t>
            </w:r>
            <w:r>
              <w:rPr>
                <w:rFonts w:ascii="Arial" w:cs="Arial" w:eastAsia="Arial" w:hAnsi="Arial"/>
                <w:sz w:val="24"/>
                <w:szCs w:val="24"/>
                <w:color w:val="auto"/>
                <w:vertAlign w:val="superscript"/>
              </w:rPr>
              <w:t>(7)</w:t>
            </w:r>
          </w:p>
        </w:tc>
        <w:tc>
          <w:tcPr>
            <w:tcW w:w="740" w:type="dxa"/>
            <w:vAlign w:val="bottom"/>
            <w:tcBorders>
              <w:top w:val="single" w:sz="8" w:color="D1CDCA"/>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D1CDCA"/>
              <w:bottom w:val="single" w:sz="8" w:color="D1CDCA"/>
            </w:tcBorders>
            <w:shd w:val="clear" w:color="auto" w:fill="F7F7E5"/>
          </w:tcPr>
          <w:p>
            <w:pPr>
              <w:jc w:val="right"/>
              <w:ind w:right="48"/>
              <w:spacing w:after="0"/>
              <w:rPr>
                <w:sz w:val="20"/>
                <w:szCs w:val="20"/>
                <w:color w:val="auto"/>
              </w:rPr>
            </w:pPr>
            <w:r>
              <w:rPr>
                <w:rFonts w:ascii="Arial" w:cs="Arial" w:eastAsia="Arial" w:hAnsi="Arial"/>
                <w:sz w:val="14"/>
                <w:szCs w:val="14"/>
                <w:color w:val="auto"/>
              </w:rPr>
              <w:t>3,081,300</w:t>
            </w:r>
          </w:p>
        </w:tc>
        <w:tc>
          <w:tcPr>
            <w:tcW w:w="0" w:type="dxa"/>
            <w:vAlign w:val="bottom"/>
          </w:tcPr>
          <w:p>
            <w:pPr>
              <w:spacing w:after="0"/>
              <w:rPr>
                <w:sz w:val="1"/>
                <w:szCs w:val="1"/>
                <w:color w:val="auto"/>
              </w:rPr>
            </w:pPr>
          </w:p>
        </w:tc>
      </w:tr>
      <w:tr>
        <w:trPr>
          <w:trHeight w:val="211"/>
        </w:trPr>
        <w:tc>
          <w:tcPr>
            <w:tcW w:w="3680" w:type="dxa"/>
            <w:vAlign w:val="bottom"/>
          </w:tcPr>
          <w:p>
            <w:pPr>
              <w:ind w:left="60"/>
              <w:spacing w:after="0"/>
              <w:rPr>
                <w:sz w:val="20"/>
                <w:szCs w:val="20"/>
                <w:color w:val="auto"/>
              </w:rPr>
            </w:pPr>
            <w:r>
              <w:rPr>
                <w:rFonts w:ascii="Arial" w:cs="Arial" w:eastAsia="Arial" w:hAnsi="Arial"/>
                <w:sz w:val="14"/>
                <w:szCs w:val="14"/>
                <w:color w:val="auto"/>
              </w:rPr>
              <w:t>Stephen A. Wynn</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N/A</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20,000,000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w w:val="99"/>
              </w:rPr>
              <w:t>25,000,000</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$ 30,000,000</w:t>
            </w:r>
          </w:p>
        </w:tc>
        <w:tc>
          <w:tcPr>
            <w:tcW w:w="17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3680" w:type="dxa"/>
            <w:vAlign w:val="bottom"/>
            <w:tcBorders>
              <w:bottom w:val="single" w:sz="8" w:color="D1CDCA"/>
            </w:tcBorders>
          </w:tcPr>
          <w:p>
            <w:pPr>
              <w:spacing w:after="0"/>
              <w:rPr>
                <w:sz w:val="3"/>
                <w:szCs w:val="3"/>
                <w:color w:val="auto"/>
              </w:rPr>
            </w:pPr>
          </w:p>
        </w:tc>
        <w:tc>
          <w:tcPr>
            <w:tcW w:w="880" w:type="dxa"/>
            <w:vAlign w:val="bottom"/>
            <w:tcBorders>
              <w:bottom w:val="single" w:sz="8" w:color="D1CDCA"/>
            </w:tcBorders>
          </w:tcPr>
          <w:p>
            <w:pPr>
              <w:spacing w:after="0"/>
              <w:rPr>
                <w:sz w:val="3"/>
                <w:szCs w:val="3"/>
                <w:color w:val="auto"/>
              </w:rPr>
            </w:pPr>
          </w:p>
        </w:tc>
        <w:tc>
          <w:tcPr>
            <w:tcW w:w="240" w:type="dxa"/>
            <w:vAlign w:val="bottom"/>
            <w:tcBorders>
              <w:bottom w:val="single" w:sz="8" w:color="D1CDCA"/>
            </w:tcBorders>
          </w:tcPr>
          <w:p>
            <w:pPr>
              <w:spacing w:after="0"/>
              <w:rPr>
                <w:sz w:val="3"/>
                <w:szCs w:val="3"/>
                <w:color w:val="auto"/>
              </w:rPr>
            </w:pPr>
          </w:p>
        </w:tc>
        <w:tc>
          <w:tcPr>
            <w:tcW w:w="880" w:type="dxa"/>
            <w:vAlign w:val="bottom"/>
            <w:tcBorders>
              <w:bottom w:val="single" w:sz="8" w:color="D1CDCA"/>
            </w:tcBorders>
          </w:tcPr>
          <w:p>
            <w:pPr>
              <w:spacing w:after="0"/>
              <w:rPr>
                <w:sz w:val="3"/>
                <w:szCs w:val="3"/>
                <w:color w:val="auto"/>
              </w:rPr>
            </w:pPr>
          </w:p>
        </w:tc>
        <w:tc>
          <w:tcPr>
            <w:tcW w:w="200" w:type="dxa"/>
            <w:vAlign w:val="bottom"/>
            <w:tcBorders>
              <w:bottom w:val="single" w:sz="8" w:color="D1CDCA"/>
            </w:tcBorders>
          </w:tcPr>
          <w:p>
            <w:pPr>
              <w:spacing w:after="0"/>
              <w:rPr>
                <w:sz w:val="3"/>
                <w:szCs w:val="3"/>
                <w:color w:val="auto"/>
              </w:rPr>
            </w:pPr>
          </w:p>
        </w:tc>
        <w:tc>
          <w:tcPr>
            <w:tcW w:w="820" w:type="dxa"/>
            <w:vAlign w:val="bottom"/>
            <w:tcBorders>
              <w:bottom w:val="single" w:sz="8" w:color="D1CDCA"/>
            </w:tcBorders>
          </w:tcPr>
          <w:p>
            <w:pPr>
              <w:spacing w:after="0"/>
              <w:rPr>
                <w:sz w:val="3"/>
                <w:szCs w:val="3"/>
                <w:color w:val="auto"/>
              </w:rPr>
            </w:pPr>
          </w:p>
        </w:tc>
        <w:tc>
          <w:tcPr>
            <w:tcW w:w="240" w:type="dxa"/>
            <w:vAlign w:val="bottom"/>
            <w:tcBorders>
              <w:bottom w:val="single" w:sz="8" w:color="D1CDCA"/>
            </w:tcBorders>
          </w:tcPr>
          <w:p>
            <w:pPr>
              <w:spacing w:after="0"/>
              <w:rPr>
                <w:sz w:val="3"/>
                <w:szCs w:val="3"/>
                <w:color w:val="auto"/>
              </w:rPr>
            </w:pPr>
          </w:p>
        </w:tc>
        <w:tc>
          <w:tcPr>
            <w:tcW w:w="800" w:type="dxa"/>
            <w:vAlign w:val="bottom"/>
            <w:tcBorders>
              <w:bottom w:val="single" w:sz="8" w:color="D1CDCA"/>
            </w:tcBorders>
          </w:tcPr>
          <w:p>
            <w:pPr>
              <w:spacing w:after="0"/>
              <w:rPr>
                <w:sz w:val="3"/>
                <w:szCs w:val="3"/>
                <w:color w:val="auto"/>
              </w:rPr>
            </w:pPr>
          </w:p>
        </w:tc>
        <w:tc>
          <w:tcPr>
            <w:tcW w:w="1740" w:type="dxa"/>
            <w:vAlign w:val="bottom"/>
            <w:tcBorders>
              <w:bottom w:val="single" w:sz="8" w:color="D1CDCA"/>
            </w:tcBorders>
          </w:tcPr>
          <w:p>
            <w:pPr>
              <w:spacing w:after="0"/>
              <w:rPr>
                <w:sz w:val="3"/>
                <w:szCs w:val="3"/>
                <w:color w:val="auto"/>
              </w:rPr>
            </w:pPr>
          </w:p>
        </w:tc>
        <w:tc>
          <w:tcPr>
            <w:tcW w:w="740" w:type="dxa"/>
            <w:vAlign w:val="bottom"/>
            <w:tcBorders>
              <w:bottom w:val="single" w:sz="8" w:color="D1CDCA"/>
            </w:tcBorders>
          </w:tcPr>
          <w:p>
            <w:pPr>
              <w:spacing w:after="0"/>
              <w:rPr>
                <w:sz w:val="3"/>
                <w:szCs w:val="3"/>
                <w:color w:val="auto"/>
              </w:rPr>
            </w:pPr>
          </w:p>
        </w:tc>
        <w:tc>
          <w:tcPr>
            <w:tcW w:w="800" w:type="dxa"/>
            <w:vAlign w:val="bottom"/>
            <w:tcBorders>
              <w:bottom w:val="single" w:sz="8" w:color="D1CDCA"/>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Stephen Cootey</w:t>
            </w:r>
          </w:p>
        </w:tc>
        <w:tc>
          <w:tcPr>
            <w:tcW w:w="880" w:type="dxa"/>
            <w:vAlign w:val="bottom"/>
            <w:tcBorders>
              <w:bottom w:val="single" w:sz="8" w:color="F7F7E5"/>
            </w:tcBorders>
            <w:shd w:val="clear" w:color="auto" w:fill="F7F7E5"/>
          </w:tcPr>
          <w:p>
            <w:pPr>
              <w:jc w:val="right"/>
              <w:ind w:right="28"/>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F7F7E5"/>
            </w:tcBorders>
            <w:shd w:val="clear" w:color="auto" w:fill="F7F7E5"/>
          </w:tcPr>
          <w:p>
            <w:pPr>
              <w:spacing w:after="0"/>
              <w:rPr>
                <w:sz w:val="20"/>
                <w:szCs w:val="20"/>
                <w:color w:val="auto"/>
              </w:rPr>
            </w:pPr>
          </w:p>
        </w:tc>
        <w:tc>
          <w:tcPr>
            <w:tcW w:w="880" w:type="dxa"/>
            <w:vAlign w:val="bottom"/>
            <w:tcBorders>
              <w:bottom w:val="single" w:sz="8" w:color="F7F7E5"/>
            </w:tcBorders>
            <w:shd w:val="clear" w:color="auto" w:fill="F7F7E5"/>
          </w:tcPr>
          <w:p>
            <w:pPr>
              <w:jc w:val="right"/>
              <w:ind w:right="28"/>
              <w:spacing w:after="0"/>
              <w:rPr>
                <w:sz w:val="20"/>
                <w:szCs w:val="20"/>
                <w:color w:val="auto"/>
              </w:rPr>
            </w:pPr>
            <w:r>
              <w:rPr>
                <w:rFonts w:ascii="Arial" w:cs="Arial" w:eastAsia="Arial" w:hAnsi="Arial"/>
                <w:sz w:val="14"/>
                <w:szCs w:val="14"/>
                <w:color w:val="auto"/>
              </w:rPr>
              <w:t>N/A</w:t>
            </w:r>
          </w:p>
        </w:tc>
        <w:tc>
          <w:tcPr>
            <w:tcW w:w="200" w:type="dxa"/>
            <w:vAlign w:val="bottom"/>
            <w:tcBorders>
              <w:bottom w:val="single" w:sz="8" w:color="F7F7E5"/>
            </w:tcBorders>
            <w:shd w:val="clear" w:color="auto" w:fill="F7F7E5"/>
          </w:tcPr>
          <w:p>
            <w:pPr>
              <w:spacing w:after="0"/>
              <w:rPr>
                <w:sz w:val="20"/>
                <w:szCs w:val="20"/>
                <w:color w:val="auto"/>
              </w:rPr>
            </w:pPr>
          </w:p>
        </w:tc>
        <w:tc>
          <w:tcPr>
            <w:tcW w:w="820" w:type="dxa"/>
            <w:vAlign w:val="bottom"/>
            <w:tcBorders>
              <w:bottom w:val="single" w:sz="8" w:color="F7F7E5"/>
            </w:tcBorders>
            <w:shd w:val="clear" w:color="auto" w:fill="F7F7E5"/>
          </w:tcPr>
          <w:p>
            <w:pPr>
              <w:jc w:val="right"/>
              <w:ind w:right="28"/>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F7F7E5"/>
            </w:tcBorders>
            <w:shd w:val="clear" w:color="auto" w:fill="F7F7E5"/>
          </w:tcPr>
          <w:p>
            <w:pPr>
              <w:spacing w:after="0"/>
              <w:rPr>
                <w:sz w:val="20"/>
                <w:szCs w:val="20"/>
                <w:color w:val="auto"/>
              </w:rPr>
            </w:pPr>
          </w:p>
        </w:tc>
        <w:tc>
          <w:tcPr>
            <w:tcW w:w="800" w:type="dxa"/>
            <w:vAlign w:val="bottom"/>
            <w:tcBorders>
              <w:bottom w:val="single" w:sz="8" w:color="F7F7E5"/>
            </w:tcBorders>
            <w:shd w:val="clear" w:color="auto" w:fill="F7F7E5"/>
          </w:tcPr>
          <w:p>
            <w:pPr>
              <w:jc w:val="right"/>
              <w:ind w:right="48"/>
              <w:spacing w:after="0"/>
              <w:rPr>
                <w:sz w:val="20"/>
                <w:szCs w:val="20"/>
                <w:color w:val="auto"/>
              </w:rPr>
            </w:pPr>
            <w:r>
              <w:rPr>
                <w:rFonts w:ascii="Arial" w:cs="Arial" w:eastAsia="Arial" w:hAnsi="Arial"/>
                <w:sz w:val="14"/>
                <w:szCs w:val="14"/>
                <w:color w:val="auto"/>
              </w:rPr>
              <w:t>N/A</w:t>
            </w:r>
          </w:p>
        </w:tc>
        <w:tc>
          <w:tcPr>
            <w:tcW w:w="1740" w:type="dxa"/>
            <w:vAlign w:val="bottom"/>
            <w:tcBorders>
              <w:bottom w:val="single" w:sz="8" w:color="F7F7E5"/>
            </w:tcBorders>
            <w:shd w:val="clear" w:color="auto" w:fill="F7F7E5"/>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7F7E5"/>
            </w:tcBorders>
            <w:shd w:val="clear" w:color="auto" w:fill="F7F7E5"/>
          </w:tcPr>
          <w:p>
            <w:pPr>
              <w:spacing w:after="0"/>
              <w:rPr>
                <w:sz w:val="20"/>
                <w:szCs w:val="20"/>
                <w:color w:val="auto"/>
              </w:rPr>
            </w:pPr>
          </w:p>
        </w:tc>
        <w:tc>
          <w:tcPr>
            <w:tcW w:w="800" w:type="dxa"/>
            <w:vAlign w:val="bottom"/>
            <w:tcBorders>
              <w:bottom w:val="single" w:sz="8" w:color="F7F7E5"/>
            </w:tcBorders>
            <w:shd w:val="clear" w:color="auto" w:fill="F7F7E5"/>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80" w:type="dxa"/>
            <w:vAlign w:val="bottom"/>
            <w:shd w:val="clear" w:color="auto" w:fill="D1CDCA"/>
          </w:tcPr>
          <w:p>
            <w:pPr>
              <w:spacing w:after="0" w:line="20" w:lineRule="exact"/>
              <w:rPr>
                <w:sz w:val="1"/>
                <w:szCs w:val="1"/>
                <w:color w:val="auto"/>
              </w:rPr>
            </w:pPr>
          </w:p>
        </w:tc>
        <w:tc>
          <w:tcPr>
            <w:tcW w:w="880" w:type="dxa"/>
            <w:vAlign w:val="bottom"/>
            <w:shd w:val="clear" w:color="auto" w:fill="D1CDCA"/>
          </w:tcPr>
          <w:p>
            <w:pPr>
              <w:spacing w:after="0" w:line="20" w:lineRule="exact"/>
              <w:rPr>
                <w:sz w:val="1"/>
                <w:szCs w:val="1"/>
                <w:color w:val="auto"/>
              </w:rPr>
            </w:pPr>
          </w:p>
        </w:tc>
        <w:tc>
          <w:tcPr>
            <w:tcW w:w="240" w:type="dxa"/>
            <w:vAlign w:val="bottom"/>
            <w:shd w:val="clear" w:color="auto" w:fill="D1CDCA"/>
          </w:tcPr>
          <w:p>
            <w:pPr>
              <w:spacing w:after="0" w:line="20" w:lineRule="exact"/>
              <w:rPr>
                <w:sz w:val="1"/>
                <w:szCs w:val="1"/>
                <w:color w:val="auto"/>
              </w:rPr>
            </w:pPr>
          </w:p>
        </w:tc>
        <w:tc>
          <w:tcPr>
            <w:tcW w:w="880" w:type="dxa"/>
            <w:vAlign w:val="bottom"/>
            <w:shd w:val="clear" w:color="auto" w:fill="D1CDCA"/>
          </w:tcPr>
          <w:p>
            <w:pPr>
              <w:spacing w:after="0" w:line="20" w:lineRule="exact"/>
              <w:rPr>
                <w:sz w:val="1"/>
                <w:szCs w:val="1"/>
                <w:color w:val="auto"/>
              </w:rPr>
            </w:pPr>
          </w:p>
        </w:tc>
        <w:tc>
          <w:tcPr>
            <w:tcW w:w="200" w:type="dxa"/>
            <w:vAlign w:val="bottom"/>
            <w:shd w:val="clear" w:color="auto" w:fill="D1CDCA"/>
          </w:tcPr>
          <w:p>
            <w:pPr>
              <w:spacing w:after="0" w:line="20" w:lineRule="exact"/>
              <w:rPr>
                <w:sz w:val="1"/>
                <w:szCs w:val="1"/>
                <w:color w:val="auto"/>
              </w:rPr>
            </w:pPr>
          </w:p>
        </w:tc>
        <w:tc>
          <w:tcPr>
            <w:tcW w:w="820" w:type="dxa"/>
            <w:vAlign w:val="bottom"/>
            <w:shd w:val="clear" w:color="auto" w:fill="D1CDCA"/>
          </w:tcPr>
          <w:p>
            <w:pPr>
              <w:spacing w:after="0" w:line="20" w:lineRule="exact"/>
              <w:rPr>
                <w:sz w:val="1"/>
                <w:szCs w:val="1"/>
                <w:color w:val="auto"/>
              </w:rPr>
            </w:pPr>
          </w:p>
        </w:tc>
        <w:tc>
          <w:tcPr>
            <w:tcW w:w="240" w:type="dxa"/>
            <w:vAlign w:val="bottom"/>
            <w:shd w:val="clear" w:color="auto" w:fill="D1CDCA"/>
          </w:tcPr>
          <w:p>
            <w:pPr>
              <w:spacing w:after="0" w:line="20" w:lineRule="exact"/>
              <w:rPr>
                <w:sz w:val="1"/>
                <w:szCs w:val="1"/>
                <w:color w:val="auto"/>
              </w:rPr>
            </w:pPr>
          </w:p>
        </w:tc>
        <w:tc>
          <w:tcPr>
            <w:tcW w:w="800" w:type="dxa"/>
            <w:vAlign w:val="bottom"/>
            <w:shd w:val="clear" w:color="auto" w:fill="D1CDCA"/>
          </w:tcPr>
          <w:p>
            <w:pPr>
              <w:spacing w:after="0" w:line="20" w:lineRule="exact"/>
              <w:rPr>
                <w:sz w:val="1"/>
                <w:szCs w:val="1"/>
                <w:color w:val="auto"/>
              </w:rPr>
            </w:pPr>
          </w:p>
        </w:tc>
        <w:tc>
          <w:tcPr>
            <w:tcW w:w="1740" w:type="dxa"/>
            <w:vAlign w:val="bottom"/>
            <w:shd w:val="clear" w:color="auto" w:fill="D1CDCA"/>
          </w:tcPr>
          <w:p>
            <w:pPr>
              <w:spacing w:after="0" w:line="20" w:lineRule="exact"/>
              <w:rPr>
                <w:sz w:val="1"/>
                <w:szCs w:val="1"/>
                <w:color w:val="auto"/>
              </w:rPr>
            </w:pPr>
          </w:p>
        </w:tc>
        <w:tc>
          <w:tcPr>
            <w:tcW w:w="740" w:type="dxa"/>
            <w:vAlign w:val="bottom"/>
            <w:shd w:val="clear" w:color="auto" w:fill="D1CDCA"/>
          </w:tcPr>
          <w:p>
            <w:pPr>
              <w:spacing w:after="0" w:line="20" w:lineRule="exact"/>
              <w:rPr>
                <w:sz w:val="1"/>
                <w:szCs w:val="1"/>
                <w:color w:val="auto"/>
              </w:rPr>
            </w:pPr>
          </w:p>
        </w:tc>
        <w:tc>
          <w:tcPr>
            <w:tcW w:w="800" w:type="dxa"/>
            <w:vAlign w:val="bottom"/>
            <w:shd w:val="clear" w:color="auto" w:fill="D1CDC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360" w:right="260" w:hanging="148"/>
        <w:spacing w:after="0" w:line="264" w:lineRule="auto"/>
        <w:rPr>
          <w:sz w:val="20"/>
          <w:szCs w:val="20"/>
          <w:color w:val="auto"/>
        </w:rPr>
      </w:pPr>
      <w:r>
        <w:rPr>
          <w:rFonts w:ascii="Arial" w:cs="Arial" w:eastAsia="Arial" w:hAnsi="Arial"/>
          <w:sz w:val="11"/>
          <w:szCs w:val="11"/>
          <w:color w:val="auto"/>
        </w:rPr>
        <w:t>(1)</w:t>
      </w:r>
      <w:r>
        <w:rPr>
          <w:rFonts w:ascii="Arial" w:cs="Arial" w:eastAsia="Arial" w:hAnsi="Arial"/>
          <w:sz w:val="13"/>
          <w:szCs w:val="13"/>
          <w:color w:val="auto"/>
        </w:rPr>
        <w:t>The potential 2017 performance-based annual incentive awards that could have been earned for 2017 were subject to (a) the limitations set forth in the Omnibus Plan, including the cash</w:t>
      </w:r>
      <w:r>
        <w:rPr>
          <w:rFonts w:ascii="Arial" w:cs="Arial" w:eastAsia="Arial" w:hAnsi="Arial"/>
          <w:sz w:val="11"/>
          <w:szCs w:val="11"/>
          <w:color w:val="auto"/>
        </w:rPr>
        <w:t xml:space="preserve"> </w:t>
      </w:r>
      <w:r>
        <w:rPr>
          <w:rFonts w:ascii="Arial" w:cs="Arial" w:eastAsia="Arial" w:hAnsi="Arial"/>
          <w:sz w:val="13"/>
          <w:szCs w:val="13"/>
          <w:color w:val="auto"/>
        </w:rPr>
        <w:t>and stock grant limits and continued employment through the end of the performance period, (b) the Compensation Committee’s ability to reduce awards in its discretion and (c) the Compensation Committee’s discretion to pay a portion of the awards in shares of Common Stock. Actual awards were based upon achievement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93345</wp:posOffset>
            </wp:positionV>
            <wp:extent cx="6997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4" w:lineRule="exact"/>
        <w:rPr>
          <w:sz w:val="20"/>
          <w:szCs w:val="20"/>
          <w:color w:val="auto"/>
        </w:rPr>
      </w:pPr>
    </w:p>
    <w:p>
      <w:pPr>
        <w:ind w:left="8860"/>
        <w:spacing w:after="0"/>
        <w:tabs>
          <w:tab w:leader="none" w:pos="10840" w:val="left"/>
          <w:tab w:leader="none" w:pos="110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36</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EXECUTIVE COMPENSATION TABLES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three 2017 performance criteria: (1) achievement of a 2017 Adjusted Property EBITDA goal; (2) retention of specified third party recognition of quality and performance; and</w:t>
      </w:r>
    </w:p>
    <w:p>
      <w:pPr>
        <w:ind w:left="320" w:right="480" w:hanging="8"/>
        <w:spacing w:after="0" w:line="237" w:lineRule="auto"/>
        <w:tabs>
          <w:tab w:leader="none" w:pos="524" w:val="left"/>
        </w:tabs>
        <w:numPr>
          <w:ilvl w:val="0"/>
          <w:numId w:val="86"/>
        </w:numPr>
        <w:rPr>
          <w:rFonts w:ascii="Arial" w:cs="Arial" w:eastAsia="Arial" w:hAnsi="Arial"/>
          <w:sz w:val="14"/>
          <w:szCs w:val="14"/>
          <w:color w:val="auto"/>
        </w:rPr>
      </w:pPr>
      <w:r>
        <w:rPr>
          <w:rFonts w:ascii="Arial" w:cs="Arial" w:eastAsia="Arial" w:hAnsi="Arial"/>
          <w:sz w:val="14"/>
          <w:szCs w:val="14"/>
          <w:color w:val="auto"/>
        </w:rPr>
        <w:t>achievement of substantial completion of Wynn Plaza. Actual payouts are described in “Compensation Discussion and Analysis—Elements of Executive Compensation—Annual Incentives.”</w:t>
      </w:r>
    </w:p>
    <w:p>
      <w:pPr>
        <w:spacing w:after="0" w:line="35" w:lineRule="exact"/>
        <w:rPr>
          <w:sz w:val="20"/>
          <w:szCs w:val="20"/>
          <w:color w:val="auto"/>
        </w:rPr>
      </w:pPr>
    </w:p>
    <w:p>
      <w:pPr>
        <w:ind w:left="360" w:right="200" w:hanging="148"/>
        <w:spacing w:after="0" w:line="238" w:lineRule="auto"/>
        <w:rPr>
          <w:sz w:val="20"/>
          <w:szCs w:val="20"/>
          <w:color w:val="auto"/>
        </w:rPr>
      </w:pPr>
      <w:r>
        <w:rPr>
          <w:rFonts w:ascii="Arial" w:cs="Arial" w:eastAsia="Arial" w:hAnsi="Arial"/>
          <w:sz w:val="12"/>
          <w:szCs w:val="12"/>
          <w:color w:val="auto"/>
        </w:rPr>
        <w:t>(2)</w:t>
      </w:r>
      <w:r>
        <w:rPr>
          <w:rFonts w:ascii="Arial" w:cs="Arial" w:eastAsia="Arial" w:hAnsi="Arial"/>
          <w:sz w:val="14"/>
          <w:szCs w:val="14"/>
          <w:color w:val="auto"/>
        </w:rPr>
        <w:t>The amounts set forth in this column reflect the aggregate grant date fair value of stock awards computed in accordance with accounting standards for stock based compensation. See our</w:t>
      </w:r>
      <w:r>
        <w:rPr>
          <w:rFonts w:ascii="Arial" w:cs="Arial" w:eastAsia="Arial" w:hAnsi="Arial"/>
          <w:sz w:val="12"/>
          <w:szCs w:val="12"/>
          <w:color w:val="auto"/>
        </w:rPr>
        <w:t xml:space="preserve"> </w:t>
      </w:r>
      <w:r>
        <w:rPr>
          <w:rFonts w:ascii="Arial" w:cs="Arial" w:eastAsia="Arial" w:hAnsi="Arial"/>
          <w:sz w:val="14"/>
          <w:szCs w:val="14"/>
          <w:color w:val="auto"/>
        </w:rPr>
        <w:t>Annual Report on Form 10-K for the year ended December 31, 2017, Item 8, Note 12—“Stock-Based Compensation” to our Consolidated Financial Statements for assumptions used in computing fair value.</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(3)</w:t>
      </w:r>
      <w:r>
        <w:rPr>
          <w:rFonts w:ascii="Arial" w:cs="Arial" w:eastAsia="Arial" w:hAnsi="Arial"/>
          <w:sz w:val="13"/>
          <w:szCs w:val="13"/>
          <w:color w:val="auto"/>
        </w:rPr>
        <w:t>Amounts in the Threshold column reflect potential awards for achievement of 2017 Adjusted Property EBITDA between $1.1 billion to $1.375 billion and achievement of goals 2 and 3.</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 awards would have been payable under goal 1 if the 2017 Adjusted Property EBITDA were below $1.1 billion.</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1"/>
          <w:szCs w:val="11"/>
          <w:color w:val="auto"/>
        </w:rPr>
        <w:t>(4)</w:t>
      </w:r>
      <w:r>
        <w:rPr>
          <w:rFonts w:ascii="Arial" w:cs="Arial" w:eastAsia="Arial" w:hAnsi="Arial"/>
          <w:sz w:val="13"/>
          <w:szCs w:val="13"/>
          <w:color w:val="auto"/>
        </w:rPr>
        <w:t>Amounts in the Target column reflect potential awards for achievement of 2017 Adjusted Property EBITDA between $1.375 billion to $1.675 billion and achievement of goals 2 and 3.</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(5)</w:t>
      </w:r>
      <w:r>
        <w:rPr>
          <w:rFonts w:ascii="Arial" w:cs="Arial" w:eastAsia="Arial" w:hAnsi="Arial"/>
          <w:sz w:val="14"/>
          <w:szCs w:val="14"/>
          <w:color w:val="auto"/>
        </w:rPr>
        <w:t>Amounts in the Maximum column reflect potential awards for achievement of 2017 Adjusted Property EBITDA of over $1.675 billion and achievement of goals 2 and 3.</w:t>
      </w:r>
    </w:p>
    <w:p>
      <w:pPr>
        <w:spacing w:after="0" w:line="55" w:lineRule="exact"/>
        <w:rPr>
          <w:sz w:val="20"/>
          <w:szCs w:val="20"/>
          <w:color w:val="auto"/>
        </w:rPr>
      </w:pPr>
    </w:p>
    <w:p>
      <w:pPr>
        <w:ind w:left="360" w:right="120" w:hanging="156"/>
        <w:spacing w:after="0" w:line="234" w:lineRule="auto"/>
        <w:tabs>
          <w:tab w:leader="none" w:pos="360" w:val="left"/>
        </w:tabs>
        <w:numPr>
          <w:ilvl w:val="0"/>
          <w:numId w:val="87"/>
        </w:numPr>
        <w:rPr>
          <w:rFonts w:ascii="Arial" w:cs="Arial" w:eastAsia="Arial" w:hAnsi="Arial"/>
          <w:sz w:val="12"/>
          <w:szCs w:val="12"/>
          <w:color w:val="auto"/>
        </w:rPr>
      </w:pPr>
      <w:r>
        <w:rPr>
          <w:rFonts w:ascii="Arial" w:cs="Arial" w:eastAsia="Arial" w:hAnsi="Arial"/>
          <w:sz w:val="14"/>
          <w:szCs w:val="14"/>
          <w:color w:val="auto"/>
        </w:rPr>
        <w:t>In connection with the extension of their employment agreements, Mr. Maddox was granted 200,000 shares of restricted stock and Ms. Sinatra was granted 100,000 shares of restricted stock. The restricted stock awards provided that they would vest in full on November 4, 2021 subject to continued employment, provided that if the executive’s employment terminates before such date, certain accelerated vesting provisions may apply as described below under “Potential Payments upon Termination or Change in Control.” These awards were amended in April 2018 as described above in “Recent Compensation Actions.”</w:t>
      </w:r>
    </w:p>
    <w:p>
      <w:pPr>
        <w:spacing w:after="0" w:line="33" w:lineRule="exact"/>
        <w:rPr>
          <w:rFonts w:ascii="Arial" w:cs="Arial" w:eastAsia="Arial" w:hAnsi="Arial"/>
          <w:sz w:val="12"/>
          <w:szCs w:val="12"/>
          <w:color w:val="auto"/>
        </w:rPr>
      </w:pPr>
    </w:p>
    <w:p>
      <w:pPr>
        <w:ind w:left="360" w:right="720" w:hanging="156"/>
        <w:spacing w:after="0" w:line="253" w:lineRule="auto"/>
        <w:tabs>
          <w:tab w:leader="none" w:pos="360" w:val="left"/>
        </w:tabs>
        <w:numPr>
          <w:ilvl w:val="0"/>
          <w:numId w:val="87"/>
        </w:numPr>
        <w:rPr>
          <w:rFonts w:ascii="Arial" w:cs="Arial" w:eastAsia="Arial" w:hAnsi="Arial"/>
          <w:sz w:val="12"/>
          <w:szCs w:val="12"/>
          <w:color w:val="auto"/>
        </w:rPr>
      </w:pPr>
      <w:r>
        <w:rPr>
          <w:rFonts w:ascii="Arial" w:cs="Arial" w:eastAsia="Arial" w:hAnsi="Arial"/>
          <w:sz w:val="14"/>
          <w:szCs w:val="14"/>
          <w:color w:val="auto"/>
        </w:rPr>
        <w:t>In connection with Mr. Billings’ employment agreement, Mr. Billings was granted 30,000 shares of restricted stock. The restricted stock award vests 20% per year, over 5 years, commencing on March 1, 2018.</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97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1300" w:type="dxa"/>
            <w:vAlign w:val="bottom"/>
            <w:tcBorders>
              <w:bottom w:val="single" w:sz="8" w:color="D1CDCA"/>
            </w:tcBorders>
          </w:tcPr>
          <w:p>
            <w:pPr>
              <w:spacing w:after="0"/>
              <w:rPr>
                <w:sz w:val="16"/>
                <w:szCs w:val="16"/>
                <w:color w:val="auto"/>
              </w:rPr>
            </w:pPr>
          </w:p>
        </w:tc>
        <w:tc>
          <w:tcPr>
            <w:tcW w:w="2640" w:type="dxa"/>
            <w:vAlign w:val="bottom"/>
            <w:tcBorders>
              <w:bottom w:val="single" w:sz="8" w:color="D1CDCA"/>
            </w:tcBorders>
            <w:gridSpan w:val="2"/>
          </w:tcPr>
          <w:p>
            <w:pPr>
              <w:jc w:val="right"/>
              <w:ind w:right="708"/>
              <w:spacing w:after="0"/>
              <w:rPr>
                <w:sz w:val="20"/>
                <w:szCs w:val="20"/>
                <w:color w:val="auto"/>
              </w:rPr>
            </w:pPr>
            <w:r>
              <w:rPr>
                <w:rFonts w:ascii="Arial" w:cs="Arial" w:eastAsia="Arial" w:hAnsi="Arial"/>
                <w:sz w:val="14"/>
                <w:szCs w:val="14"/>
                <w:b w:val="1"/>
                <w:bCs w:val="1"/>
                <w:color w:val="665B4F"/>
              </w:rPr>
              <w:t>OPTION AWARDS</w:t>
            </w:r>
          </w:p>
        </w:tc>
        <w:tc>
          <w:tcPr>
            <w:tcW w:w="1220" w:type="dxa"/>
            <w:vAlign w:val="bottom"/>
            <w:tcBorders>
              <w:bottom w:val="single" w:sz="8" w:color="D1CDCA"/>
            </w:tcBorders>
          </w:tcPr>
          <w:p>
            <w:pPr>
              <w:spacing w:after="0"/>
              <w:rPr>
                <w:sz w:val="16"/>
                <w:szCs w:val="16"/>
                <w:color w:val="auto"/>
              </w:rPr>
            </w:pPr>
          </w:p>
        </w:tc>
        <w:tc>
          <w:tcPr>
            <w:tcW w:w="2780" w:type="dxa"/>
            <w:vAlign w:val="bottom"/>
            <w:tcBorders>
              <w:bottom w:val="single" w:sz="8" w:color="D1CDCA"/>
            </w:tcBorders>
            <w:gridSpan w:val="2"/>
          </w:tcPr>
          <w:p>
            <w:pPr>
              <w:jc w:val="right"/>
              <w:ind w:right="748"/>
              <w:spacing w:after="0"/>
              <w:rPr>
                <w:sz w:val="20"/>
                <w:szCs w:val="20"/>
                <w:color w:val="auto"/>
              </w:rPr>
            </w:pPr>
            <w:r>
              <w:rPr>
                <w:rFonts w:ascii="Arial" w:cs="Arial" w:eastAsia="Arial" w:hAnsi="Arial"/>
                <w:sz w:val="14"/>
                <w:szCs w:val="14"/>
                <w:b w:val="1"/>
                <w:bCs w:val="1"/>
                <w:color w:val="665B4F"/>
              </w:rPr>
              <w:t>STOCK AWARDS</w:t>
            </w: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1300" w:type="dxa"/>
            <w:vAlign w:val="bottom"/>
          </w:tcPr>
          <w:p>
            <w:pPr>
              <w:jc w:val="right"/>
              <w:ind w:right="88"/>
              <w:spacing w:after="0" w:line="129" w:lineRule="exact"/>
              <w:rPr>
                <w:sz w:val="20"/>
                <w:szCs w:val="20"/>
                <w:color w:val="auto"/>
              </w:rPr>
            </w:pPr>
            <w:r>
              <w:rPr>
                <w:rFonts w:ascii="Arial" w:cs="Arial" w:eastAsia="Arial" w:hAnsi="Arial"/>
                <w:sz w:val="14"/>
                <w:szCs w:val="14"/>
                <w:b w:val="1"/>
                <w:bCs w:val="1"/>
                <w:color w:val="665B4F"/>
              </w:rPr>
              <w:t>NUMBER OF</w:t>
            </w:r>
          </w:p>
        </w:tc>
        <w:tc>
          <w:tcPr>
            <w:tcW w:w="1640" w:type="dxa"/>
            <w:vAlign w:val="bottom"/>
          </w:tcPr>
          <w:p>
            <w:pPr>
              <w:jc w:val="right"/>
              <w:ind w:right="148"/>
              <w:spacing w:after="0" w:line="129" w:lineRule="exact"/>
              <w:rPr>
                <w:sz w:val="20"/>
                <w:szCs w:val="20"/>
                <w:color w:val="auto"/>
              </w:rPr>
            </w:pPr>
            <w:r>
              <w:rPr>
                <w:rFonts w:ascii="Arial" w:cs="Arial" w:eastAsia="Arial" w:hAnsi="Arial"/>
                <w:sz w:val="14"/>
                <w:szCs w:val="14"/>
                <w:b w:val="1"/>
                <w:bCs w:val="1"/>
                <w:color w:val="665B4F"/>
              </w:rPr>
              <w:t>NUMBER OF</w:t>
            </w:r>
          </w:p>
        </w:tc>
        <w:tc>
          <w:tcPr>
            <w:tcW w:w="10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tcPr>
          <w:p>
            <w:pPr>
              <w:jc w:val="right"/>
              <w:ind w:right="168"/>
              <w:spacing w:after="0" w:line="129" w:lineRule="exact"/>
              <w:rPr>
                <w:sz w:val="20"/>
                <w:szCs w:val="20"/>
                <w:color w:val="auto"/>
              </w:rPr>
            </w:pPr>
            <w:r>
              <w:rPr>
                <w:rFonts w:ascii="Arial" w:cs="Arial" w:eastAsia="Arial" w:hAnsi="Arial"/>
                <w:sz w:val="14"/>
                <w:szCs w:val="14"/>
                <w:b w:val="1"/>
                <w:bCs w:val="1"/>
                <w:color w:val="665B4F"/>
              </w:rPr>
              <w:t>NUMBER OF</w:t>
            </w:r>
          </w:p>
        </w:tc>
        <w:tc>
          <w:tcPr>
            <w:tcW w:w="1440" w:type="dxa"/>
            <w:vAlign w:val="bottom"/>
          </w:tcPr>
          <w:p>
            <w:pPr>
              <w:jc w:val="right"/>
              <w:ind w:right="128"/>
              <w:spacing w:after="0" w:line="129" w:lineRule="exact"/>
              <w:rPr>
                <w:sz w:val="20"/>
                <w:szCs w:val="20"/>
                <w:color w:val="auto"/>
              </w:rPr>
            </w:pPr>
            <w:r>
              <w:rPr>
                <w:rFonts w:ascii="Arial" w:cs="Arial" w:eastAsia="Arial" w:hAnsi="Arial"/>
                <w:sz w:val="14"/>
                <w:szCs w:val="14"/>
                <w:b w:val="1"/>
                <w:bCs w:val="1"/>
                <w:color w:val="665B4F"/>
              </w:rPr>
              <w:t>MARKET VALUE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3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665B4F"/>
              </w:rPr>
              <w:t>SECURITIES</w:t>
            </w:r>
          </w:p>
        </w:tc>
        <w:tc>
          <w:tcPr>
            <w:tcW w:w="16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665B4F"/>
              </w:rPr>
              <w:t>SECURITIES</w:t>
            </w:r>
          </w:p>
        </w:tc>
        <w:tc>
          <w:tcPr>
            <w:tcW w:w="10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665B4F"/>
              </w:rPr>
              <w:t>SHARES OR</w:t>
            </w:r>
          </w:p>
        </w:tc>
        <w:tc>
          <w:tcPr>
            <w:tcW w:w="144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665B4F"/>
              </w:rPr>
              <w:t>OF SHARES OR</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3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665B4F"/>
              </w:rPr>
              <w:t>UNDERLYING</w:t>
            </w:r>
          </w:p>
        </w:tc>
        <w:tc>
          <w:tcPr>
            <w:tcW w:w="16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665B4F"/>
              </w:rPr>
              <w:t>UNDERLYING</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665B4F"/>
              </w:rPr>
              <w:t>OPTION</w:t>
            </w: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665B4F"/>
              </w:rPr>
              <w:t>OPTION</w:t>
            </w:r>
          </w:p>
        </w:tc>
        <w:tc>
          <w:tcPr>
            <w:tcW w:w="13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665B4F"/>
              </w:rPr>
              <w:t>UNITS OF</w:t>
            </w:r>
          </w:p>
        </w:tc>
        <w:tc>
          <w:tcPr>
            <w:tcW w:w="144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665B4F"/>
              </w:rPr>
              <w:t>UNITS OF</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3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665B4F"/>
              </w:rPr>
              <w:t>UNEXERCISED</w:t>
            </w:r>
          </w:p>
        </w:tc>
        <w:tc>
          <w:tcPr>
            <w:tcW w:w="16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665B4F"/>
              </w:rPr>
              <w:t>UNEXERCISED</w:t>
            </w:r>
          </w:p>
        </w:tc>
        <w:tc>
          <w:tcPr>
            <w:tcW w:w="10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665B4F"/>
              </w:rPr>
              <w:t>STOCK THAT</w:t>
            </w:r>
          </w:p>
        </w:tc>
        <w:tc>
          <w:tcPr>
            <w:tcW w:w="144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665B4F"/>
              </w:rPr>
              <w:t>STOCK THAT</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60"/>
              <w:spacing w:after="0"/>
              <w:rPr>
                <w:sz w:val="20"/>
                <w:szCs w:val="20"/>
                <w:color w:val="auto"/>
              </w:rPr>
            </w:pPr>
            <w:r>
              <w:rPr>
                <w:rFonts w:ascii="Arial" w:cs="Arial" w:eastAsia="Arial" w:hAnsi="Arial"/>
                <w:sz w:val="14"/>
                <w:szCs w:val="14"/>
                <w:b w:val="1"/>
                <w:bCs w:val="1"/>
                <w:color w:val="665B4F"/>
              </w:rPr>
              <w:t>NAME</w:t>
            </w:r>
          </w:p>
        </w:tc>
        <w:tc>
          <w:tcPr>
            <w:tcW w:w="13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665B4F"/>
              </w:rPr>
              <w:t>OPTIONS (#)</w:t>
            </w:r>
          </w:p>
        </w:tc>
        <w:tc>
          <w:tcPr>
            <w:tcW w:w="16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665B4F"/>
              </w:rPr>
              <w:t>OPTIONS (#)</w:t>
            </w:r>
          </w:p>
        </w:tc>
        <w:tc>
          <w:tcPr>
            <w:tcW w:w="10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665B4F"/>
              </w:rPr>
              <w:t>EXERCISE</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665B4F"/>
              </w:rPr>
              <w:t>EXPIRATION</w:t>
            </w:r>
          </w:p>
        </w:tc>
        <w:tc>
          <w:tcPr>
            <w:tcW w:w="134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665B4F"/>
              </w:rPr>
              <w:t>HAVE NOT</w:t>
            </w:r>
          </w:p>
        </w:tc>
        <w:tc>
          <w:tcPr>
            <w:tcW w:w="144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665B4F"/>
              </w:rPr>
              <w:t>HAVE NOT</w:t>
            </w:r>
          </w:p>
        </w:tc>
        <w:tc>
          <w:tcPr>
            <w:tcW w:w="0" w:type="dxa"/>
            <w:vAlign w:val="bottom"/>
          </w:tcPr>
          <w:p>
            <w:pPr>
              <w:spacing w:after="0"/>
              <w:rPr>
                <w:sz w:val="1"/>
                <w:szCs w:val="1"/>
                <w:color w:val="auto"/>
              </w:rPr>
            </w:pPr>
          </w:p>
        </w:tc>
      </w:tr>
      <w:tr>
        <w:trPr>
          <w:trHeight w:val="176"/>
        </w:trPr>
        <w:tc>
          <w:tcPr>
            <w:tcW w:w="3080" w:type="dxa"/>
            <w:vAlign w:val="bottom"/>
            <w:tcBorders>
              <w:bottom w:val="single" w:sz="8" w:color="D1CDCA"/>
            </w:tcBorders>
            <w:vMerge w:val="continue"/>
          </w:tcPr>
          <w:p>
            <w:pPr>
              <w:spacing w:after="0"/>
              <w:rPr>
                <w:sz w:val="15"/>
                <w:szCs w:val="15"/>
                <w:color w:val="auto"/>
              </w:rPr>
            </w:pPr>
          </w:p>
        </w:tc>
        <w:tc>
          <w:tcPr>
            <w:tcW w:w="1300" w:type="dxa"/>
            <w:vAlign w:val="bottom"/>
            <w:tcBorders>
              <w:bottom w:val="single" w:sz="8" w:color="D1CDCA"/>
            </w:tcBorders>
          </w:tcPr>
          <w:p>
            <w:pPr>
              <w:jc w:val="right"/>
              <w:ind w:right="88"/>
              <w:spacing w:after="0"/>
              <w:rPr>
                <w:sz w:val="20"/>
                <w:szCs w:val="20"/>
                <w:color w:val="auto"/>
              </w:rPr>
            </w:pPr>
            <w:r>
              <w:rPr>
                <w:rFonts w:ascii="Arial" w:cs="Arial" w:eastAsia="Arial" w:hAnsi="Arial"/>
                <w:sz w:val="14"/>
                <w:szCs w:val="14"/>
                <w:b w:val="1"/>
                <w:bCs w:val="1"/>
                <w:color w:val="665B4F"/>
              </w:rPr>
              <w:t>EXERCISABLE</w:t>
            </w:r>
          </w:p>
        </w:tc>
        <w:tc>
          <w:tcPr>
            <w:tcW w:w="1640" w:type="dxa"/>
            <w:vAlign w:val="bottom"/>
            <w:tcBorders>
              <w:bottom w:val="single" w:sz="8" w:color="D1CDCA"/>
            </w:tcBorders>
          </w:tcPr>
          <w:p>
            <w:pPr>
              <w:jc w:val="right"/>
              <w:ind w:right="148"/>
              <w:spacing w:after="0"/>
              <w:rPr>
                <w:sz w:val="20"/>
                <w:szCs w:val="20"/>
                <w:color w:val="auto"/>
              </w:rPr>
            </w:pPr>
            <w:r>
              <w:rPr>
                <w:rFonts w:ascii="Arial" w:cs="Arial" w:eastAsia="Arial" w:hAnsi="Arial"/>
                <w:sz w:val="14"/>
                <w:szCs w:val="14"/>
                <w:b w:val="1"/>
                <w:bCs w:val="1"/>
                <w:color w:val="665B4F"/>
              </w:rPr>
              <w:t>UNEXERCISABLE</w:t>
            </w:r>
          </w:p>
        </w:tc>
        <w:tc>
          <w:tcPr>
            <w:tcW w:w="1000" w:type="dxa"/>
            <w:vAlign w:val="bottom"/>
            <w:tcBorders>
              <w:bottom w:val="single" w:sz="8" w:color="D1CDCA"/>
            </w:tcBorders>
          </w:tcPr>
          <w:p>
            <w:pPr>
              <w:jc w:val="right"/>
              <w:ind w:right="108"/>
              <w:spacing w:after="0"/>
              <w:rPr>
                <w:sz w:val="20"/>
                <w:szCs w:val="20"/>
                <w:color w:val="auto"/>
              </w:rPr>
            </w:pPr>
            <w:r>
              <w:rPr>
                <w:rFonts w:ascii="Arial" w:cs="Arial" w:eastAsia="Arial" w:hAnsi="Arial"/>
                <w:sz w:val="14"/>
                <w:szCs w:val="14"/>
                <w:b w:val="1"/>
                <w:bCs w:val="1"/>
                <w:color w:val="665B4F"/>
              </w:rPr>
              <w:t>PRICE ($)</w:t>
            </w:r>
          </w:p>
        </w:tc>
        <w:tc>
          <w:tcPr>
            <w:tcW w:w="1220" w:type="dxa"/>
            <w:vAlign w:val="bottom"/>
            <w:tcBorders>
              <w:bottom w:val="single" w:sz="8" w:color="D1CDCA"/>
            </w:tcBorders>
          </w:tcPr>
          <w:p>
            <w:pPr>
              <w:jc w:val="right"/>
              <w:ind w:right="88"/>
              <w:spacing w:after="0"/>
              <w:rPr>
                <w:sz w:val="20"/>
                <w:szCs w:val="20"/>
                <w:color w:val="auto"/>
              </w:rPr>
            </w:pPr>
            <w:r>
              <w:rPr>
                <w:rFonts w:ascii="Arial" w:cs="Arial" w:eastAsia="Arial" w:hAnsi="Arial"/>
                <w:sz w:val="14"/>
                <w:szCs w:val="14"/>
                <w:b w:val="1"/>
                <w:bCs w:val="1"/>
                <w:color w:val="665B4F"/>
              </w:rPr>
              <w:t>DATE</w:t>
            </w:r>
          </w:p>
        </w:tc>
        <w:tc>
          <w:tcPr>
            <w:tcW w:w="1340" w:type="dxa"/>
            <w:vAlign w:val="bottom"/>
            <w:tcBorders>
              <w:bottom w:val="single" w:sz="8" w:color="D1CDCA"/>
            </w:tcBorders>
          </w:tcPr>
          <w:p>
            <w:pPr>
              <w:jc w:val="right"/>
              <w:ind w:right="168"/>
              <w:spacing w:after="0"/>
              <w:rPr>
                <w:sz w:val="20"/>
                <w:szCs w:val="20"/>
                <w:color w:val="auto"/>
              </w:rPr>
            </w:pPr>
            <w:r>
              <w:rPr>
                <w:rFonts w:ascii="Arial" w:cs="Arial" w:eastAsia="Arial" w:hAnsi="Arial"/>
                <w:sz w:val="14"/>
                <w:szCs w:val="14"/>
                <w:b w:val="1"/>
                <w:bCs w:val="1"/>
                <w:color w:val="665B4F"/>
              </w:rPr>
              <w:t>VESTED (#)</w:t>
            </w:r>
          </w:p>
        </w:tc>
        <w:tc>
          <w:tcPr>
            <w:tcW w:w="1440" w:type="dxa"/>
            <w:vAlign w:val="bottom"/>
            <w:tcBorders>
              <w:bottom w:val="single" w:sz="8" w:color="D1CDCA"/>
            </w:tcBorders>
          </w:tcPr>
          <w:p>
            <w:pPr>
              <w:jc w:val="right"/>
              <w:ind w:right="128"/>
              <w:spacing w:after="0"/>
              <w:rPr>
                <w:sz w:val="20"/>
                <w:szCs w:val="20"/>
                <w:color w:val="auto"/>
              </w:rPr>
            </w:pPr>
            <w:r>
              <w:rPr>
                <w:rFonts w:ascii="Arial" w:cs="Arial" w:eastAsia="Arial" w:hAnsi="Arial"/>
                <w:sz w:val="14"/>
                <w:szCs w:val="14"/>
                <w:b w:val="1"/>
                <w:bCs w:val="1"/>
                <w:color w:val="665B4F"/>
              </w:rPr>
              <w:t>VESTED ($)</w:t>
            </w:r>
            <w:r>
              <w:rPr>
                <w:rFonts w:ascii="Arial" w:cs="Arial" w:eastAsia="Arial" w:hAnsi="Arial"/>
                <w:sz w:val="8"/>
                <w:szCs w:val="8"/>
                <w:b w:val="1"/>
                <w:bCs w:val="1"/>
                <w:color w:val="665B4F"/>
              </w:rPr>
              <w:t>(6)</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Matt Maddox</w:t>
            </w:r>
          </w:p>
        </w:tc>
        <w:tc>
          <w:tcPr>
            <w:tcW w:w="1300" w:type="dxa"/>
            <w:vAlign w:val="bottom"/>
            <w:tcBorders>
              <w:bottom w:val="single" w:sz="8" w:color="D1CDCA"/>
            </w:tcBorders>
            <w:shd w:val="clear" w:color="auto" w:fill="F7F7E5"/>
          </w:tcPr>
          <w:p>
            <w:pPr>
              <w:jc w:val="right"/>
              <w:ind w:right="88"/>
              <w:spacing w:after="0"/>
              <w:rPr>
                <w:sz w:val="20"/>
                <w:szCs w:val="20"/>
                <w:color w:val="auto"/>
              </w:rPr>
            </w:pPr>
            <w:r>
              <w:rPr>
                <w:rFonts w:ascii="Arial" w:cs="Arial" w:eastAsia="Arial" w:hAnsi="Arial"/>
                <w:sz w:val="14"/>
                <w:szCs w:val="14"/>
                <w:color w:val="auto"/>
              </w:rPr>
              <w:t>25,000</w:t>
            </w:r>
          </w:p>
        </w:tc>
        <w:tc>
          <w:tcPr>
            <w:tcW w:w="1640" w:type="dxa"/>
            <w:vAlign w:val="bottom"/>
            <w:tcBorders>
              <w:bottom w:val="single" w:sz="8" w:color="D1CDCA"/>
            </w:tcBorders>
            <w:shd w:val="clear" w:color="auto" w:fill="F7F7E5"/>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1CDCA"/>
            </w:tcBorders>
            <w:shd w:val="clear" w:color="auto" w:fill="F7F7E5"/>
          </w:tcPr>
          <w:p>
            <w:pPr>
              <w:jc w:val="right"/>
              <w:ind w:right="108"/>
              <w:spacing w:after="0"/>
              <w:rPr>
                <w:sz w:val="20"/>
                <w:szCs w:val="20"/>
                <w:color w:val="auto"/>
              </w:rPr>
            </w:pPr>
            <w:r>
              <w:rPr>
                <w:rFonts w:ascii="Arial" w:cs="Arial" w:eastAsia="Arial" w:hAnsi="Arial"/>
                <w:sz w:val="14"/>
                <w:szCs w:val="14"/>
                <w:color w:val="auto"/>
              </w:rPr>
              <w:t>$107.95</w:t>
            </w:r>
          </w:p>
        </w:tc>
        <w:tc>
          <w:tcPr>
            <w:tcW w:w="1220" w:type="dxa"/>
            <w:vAlign w:val="bottom"/>
            <w:tcBorders>
              <w:bottom w:val="single" w:sz="8" w:color="D1CDCA"/>
            </w:tcBorders>
            <w:shd w:val="clear" w:color="auto" w:fill="F7F7E5"/>
          </w:tcPr>
          <w:p>
            <w:pPr>
              <w:jc w:val="right"/>
              <w:ind w:right="88"/>
              <w:spacing w:after="0"/>
              <w:rPr>
                <w:sz w:val="20"/>
                <w:szCs w:val="20"/>
                <w:color w:val="auto"/>
              </w:rPr>
            </w:pPr>
            <w:r>
              <w:rPr>
                <w:rFonts w:ascii="Arial" w:cs="Arial" w:eastAsia="Arial" w:hAnsi="Arial"/>
                <w:sz w:val="14"/>
                <w:szCs w:val="14"/>
                <w:color w:val="auto"/>
              </w:rPr>
              <w:t>5/6/2018</w:t>
            </w:r>
          </w:p>
        </w:tc>
        <w:tc>
          <w:tcPr>
            <w:tcW w:w="1340" w:type="dxa"/>
            <w:vAlign w:val="bottom"/>
            <w:tcBorders>
              <w:bottom w:val="single" w:sz="8" w:color="D1CDCA"/>
            </w:tcBorders>
            <w:shd w:val="clear" w:color="auto" w:fill="F7F7E5"/>
          </w:tcPr>
          <w:p>
            <w:pPr>
              <w:jc w:val="right"/>
              <w:ind w:right="8"/>
              <w:spacing w:after="0" w:line="250" w:lineRule="exact"/>
              <w:rPr>
                <w:sz w:val="20"/>
                <w:szCs w:val="20"/>
                <w:color w:val="auto"/>
              </w:rPr>
            </w:pPr>
            <w:r>
              <w:rPr>
                <w:rFonts w:ascii="Arial" w:cs="Arial" w:eastAsia="Arial" w:hAnsi="Arial"/>
                <w:sz w:val="14"/>
                <w:szCs w:val="14"/>
                <w:color w:val="auto"/>
              </w:rPr>
              <w:t>200,000</w:t>
            </w:r>
            <w:r>
              <w:rPr>
                <w:rFonts w:ascii="Arial" w:cs="Arial" w:eastAsia="Arial" w:hAnsi="Arial"/>
                <w:sz w:val="24"/>
                <w:szCs w:val="24"/>
                <w:color w:val="auto"/>
                <w:vertAlign w:val="superscript"/>
              </w:rPr>
              <w:t>(3)</w:t>
            </w:r>
          </w:p>
        </w:tc>
        <w:tc>
          <w:tcPr>
            <w:tcW w:w="1440" w:type="dxa"/>
            <w:vAlign w:val="bottom"/>
            <w:tcBorders>
              <w:bottom w:val="single" w:sz="8" w:color="D1CDCA"/>
            </w:tcBorders>
            <w:shd w:val="clear" w:color="auto" w:fill="F7F7E5"/>
          </w:tcPr>
          <w:p>
            <w:pPr>
              <w:jc w:val="right"/>
              <w:ind w:right="128"/>
              <w:spacing w:after="0"/>
              <w:rPr>
                <w:sz w:val="20"/>
                <w:szCs w:val="20"/>
                <w:color w:val="auto"/>
              </w:rPr>
            </w:pPr>
            <w:r>
              <w:rPr>
                <w:rFonts w:ascii="Arial" w:cs="Arial" w:eastAsia="Arial" w:hAnsi="Arial"/>
                <w:sz w:val="14"/>
                <w:szCs w:val="14"/>
                <w:color w:val="auto"/>
              </w:rPr>
              <w:t>$33,718,000</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D1CDCA"/>
            </w:tcBorders>
            <w:shd w:val="clear" w:color="auto" w:fill="F7F7E5"/>
          </w:tcPr>
          <w:p>
            <w:pPr>
              <w:spacing w:after="0"/>
              <w:rPr>
                <w:sz w:val="21"/>
                <w:szCs w:val="21"/>
                <w:color w:val="auto"/>
              </w:rPr>
            </w:pPr>
          </w:p>
        </w:tc>
        <w:tc>
          <w:tcPr>
            <w:tcW w:w="1300" w:type="dxa"/>
            <w:vAlign w:val="bottom"/>
            <w:tcBorders>
              <w:bottom w:val="single" w:sz="8" w:color="D1CDCA"/>
            </w:tcBorders>
            <w:shd w:val="clear" w:color="auto" w:fill="F7F7E5"/>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D1CDCA"/>
            </w:tcBorders>
            <w:shd w:val="clear" w:color="auto" w:fill="F7F7E5"/>
          </w:tcPr>
          <w:p>
            <w:pPr>
              <w:jc w:val="right"/>
              <w:ind w:right="8"/>
              <w:spacing w:after="0" w:line="250" w:lineRule="exact"/>
              <w:rPr>
                <w:sz w:val="20"/>
                <w:szCs w:val="20"/>
                <w:color w:val="auto"/>
              </w:rPr>
            </w:pPr>
            <w:r>
              <w:rPr>
                <w:rFonts w:ascii="Arial" w:cs="Arial" w:eastAsia="Arial" w:hAnsi="Arial"/>
                <w:sz w:val="14"/>
                <w:szCs w:val="14"/>
                <w:color w:val="auto"/>
              </w:rPr>
              <w:t>60,000</w:t>
            </w:r>
            <w:r>
              <w:rPr>
                <w:rFonts w:ascii="Arial" w:cs="Arial" w:eastAsia="Arial" w:hAnsi="Arial"/>
                <w:sz w:val="24"/>
                <w:szCs w:val="24"/>
                <w:color w:val="auto"/>
                <w:vertAlign w:val="superscript"/>
              </w:rPr>
              <w:t>(1)</w:t>
            </w:r>
          </w:p>
        </w:tc>
        <w:tc>
          <w:tcPr>
            <w:tcW w:w="1000" w:type="dxa"/>
            <w:vAlign w:val="bottom"/>
            <w:tcBorders>
              <w:bottom w:val="single" w:sz="8" w:color="D1CDCA"/>
            </w:tcBorders>
            <w:shd w:val="clear" w:color="auto" w:fill="F7F7E5"/>
          </w:tcPr>
          <w:p>
            <w:pPr>
              <w:jc w:val="right"/>
              <w:ind w:right="108"/>
              <w:spacing w:after="0"/>
              <w:rPr>
                <w:sz w:val="20"/>
                <w:szCs w:val="20"/>
                <w:color w:val="auto"/>
              </w:rPr>
            </w:pPr>
            <w:r>
              <w:rPr>
                <w:rFonts w:ascii="Arial" w:cs="Arial" w:eastAsia="Arial" w:hAnsi="Arial"/>
                <w:sz w:val="14"/>
                <w:szCs w:val="14"/>
                <w:color w:val="auto"/>
              </w:rPr>
              <w:t>$ 47.12</w:t>
            </w:r>
          </w:p>
        </w:tc>
        <w:tc>
          <w:tcPr>
            <w:tcW w:w="1220" w:type="dxa"/>
            <w:vAlign w:val="bottom"/>
            <w:tcBorders>
              <w:bottom w:val="single" w:sz="8" w:color="D1CDCA"/>
            </w:tcBorders>
            <w:shd w:val="clear" w:color="auto" w:fill="F7F7E5"/>
          </w:tcPr>
          <w:p>
            <w:pPr>
              <w:jc w:val="right"/>
              <w:ind w:right="88"/>
              <w:spacing w:after="0"/>
              <w:rPr>
                <w:sz w:val="20"/>
                <w:szCs w:val="20"/>
                <w:color w:val="auto"/>
              </w:rPr>
            </w:pPr>
            <w:r>
              <w:rPr>
                <w:rFonts w:ascii="Arial" w:cs="Arial" w:eastAsia="Arial" w:hAnsi="Arial"/>
                <w:sz w:val="14"/>
                <w:szCs w:val="14"/>
                <w:color w:val="auto"/>
              </w:rPr>
              <w:t>5/6/2019</w:t>
            </w:r>
          </w:p>
        </w:tc>
        <w:tc>
          <w:tcPr>
            <w:tcW w:w="1340" w:type="dxa"/>
            <w:vAlign w:val="bottom"/>
            <w:tcBorders>
              <w:bottom w:val="single" w:sz="8" w:color="D1CDCA"/>
            </w:tcBorders>
            <w:shd w:val="clear" w:color="auto" w:fill="F7F7E5"/>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1CDCA"/>
            </w:tcBorders>
            <w:shd w:val="clear" w:color="auto" w:fill="F7F7E5"/>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Kim Sinatra</w:t>
            </w:r>
          </w:p>
        </w:tc>
        <w:tc>
          <w:tcPr>
            <w:tcW w:w="1300" w:type="dxa"/>
            <w:vAlign w:val="bottom"/>
            <w:tcBorders>
              <w:bottom w:val="single" w:sz="8" w:color="D1CDCA"/>
            </w:tcBorders>
          </w:tcPr>
          <w:p>
            <w:pPr>
              <w:jc w:val="right"/>
              <w:ind w:right="88"/>
              <w:spacing w:after="0"/>
              <w:rPr>
                <w:sz w:val="20"/>
                <w:szCs w:val="20"/>
                <w:color w:val="auto"/>
              </w:rPr>
            </w:pPr>
            <w:r>
              <w:rPr>
                <w:rFonts w:ascii="Arial" w:cs="Arial" w:eastAsia="Arial" w:hAnsi="Arial"/>
                <w:sz w:val="14"/>
                <w:szCs w:val="14"/>
                <w:color w:val="auto"/>
              </w:rPr>
              <w:t>25,000</w:t>
            </w:r>
          </w:p>
        </w:tc>
        <w:tc>
          <w:tcPr>
            <w:tcW w:w="1640" w:type="dxa"/>
            <w:vAlign w:val="bottom"/>
            <w:tcBorders>
              <w:bottom w:val="single" w:sz="8" w:color="D1CDCA"/>
            </w:tcBorders>
          </w:tcPr>
          <w:p>
            <w:pPr>
              <w:jc w:val="right"/>
              <w:ind w:right="8"/>
              <w:spacing w:after="0" w:line="250" w:lineRule="exact"/>
              <w:rPr>
                <w:sz w:val="20"/>
                <w:szCs w:val="20"/>
                <w:color w:val="auto"/>
              </w:rPr>
            </w:pPr>
            <w:r>
              <w:rPr>
                <w:rFonts w:ascii="Arial" w:cs="Arial" w:eastAsia="Arial" w:hAnsi="Arial"/>
                <w:sz w:val="14"/>
                <w:szCs w:val="14"/>
                <w:color w:val="auto"/>
              </w:rPr>
              <w:t>50,000</w:t>
            </w:r>
            <w:r>
              <w:rPr>
                <w:rFonts w:ascii="Arial" w:cs="Arial" w:eastAsia="Arial" w:hAnsi="Arial"/>
                <w:sz w:val="24"/>
                <w:szCs w:val="24"/>
                <w:color w:val="auto"/>
                <w:vertAlign w:val="superscript"/>
              </w:rPr>
              <w:t>(2)</w:t>
            </w:r>
          </w:p>
        </w:tc>
        <w:tc>
          <w:tcPr>
            <w:tcW w:w="1000" w:type="dxa"/>
            <w:vAlign w:val="bottom"/>
            <w:tcBorders>
              <w:bottom w:val="single" w:sz="8" w:color="D1CDCA"/>
            </w:tcBorders>
          </w:tcPr>
          <w:p>
            <w:pPr>
              <w:jc w:val="right"/>
              <w:ind w:right="108"/>
              <w:spacing w:after="0"/>
              <w:rPr>
                <w:sz w:val="20"/>
                <w:szCs w:val="20"/>
                <w:color w:val="auto"/>
              </w:rPr>
            </w:pPr>
            <w:r>
              <w:rPr>
                <w:rFonts w:ascii="Arial" w:cs="Arial" w:eastAsia="Arial" w:hAnsi="Arial"/>
                <w:sz w:val="14"/>
                <w:szCs w:val="14"/>
                <w:color w:val="auto"/>
              </w:rPr>
              <w:t>$ 47.12</w:t>
            </w:r>
          </w:p>
        </w:tc>
        <w:tc>
          <w:tcPr>
            <w:tcW w:w="1220" w:type="dxa"/>
            <w:vAlign w:val="bottom"/>
            <w:tcBorders>
              <w:bottom w:val="single" w:sz="8" w:color="D1CDCA"/>
            </w:tcBorders>
          </w:tcPr>
          <w:p>
            <w:pPr>
              <w:jc w:val="right"/>
              <w:ind w:right="88"/>
              <w:spacing w:after="0"/>
              <w:rPr>
                <w:sz w:val="20"/>
                <w:szCs w:val="20"/>
                <w:color w:val="auto"/>
              </w:rPr>
            </w:pPr>
            <w:r>
              <w:rPr>
                <w:rFonts w:ascii="Arial" w:cs="Arial" w:eastAsia="Arial" w:hAnsi="Arial"/>
                <w:sz w:val="14"/>
                <w:szCs w:val="14"/>
                <w:color w:val="auto"/>
              </w:rPr>
              <w:t>5/6/2019</w:t>
            </w:r>
          </w:p>
        </w:tc>
        <w:tc>
          <w:tcPr>
            <w:tcW w:w="1340" w:type="dxa"/>
            <w:vAlign w:val="bottom"/>
            <w:tcBorders>
              <w:bottom w:val="single" w:sz="8" w:color="D1CDCA"/>
            </w:tcBorders>
          </w:tcPr>
          <w:p>
            <w:pPr>
              <w:jc w:val="right"/>
              <w:ind w:right="8"/>
              <w:spacing w:after="0" w:line="250" w:lineRule="exact"/>
              <w:rPr>
                <w:sz w:val="20"/>
                <w:szCs w:val="20"/>
                <w:color w:val="auto"/>
              </w:rPr>
            </w:pPr>
            <w:r>
              <w:rPr>
                <w:rFonts w:ascii="Arial" w:cs="Arial" w:eastAsia="Arial" w:hAnsi="Arial"/>
                <w:sz w:val="14"/>
                <w:szCs w:val="14"/>
                <w:color w:val="auto"/>
              </w:rPr>
              <w:t>100,000</w:t>
            </w:r>
            <w:r>
              <w:rPr>
                <w:rFonts w:ascii="Arial" w:cs="Arial" w:eastAsia="Arial" w:hAnsi="Arial"/>
                <w:sz w:val="24"/>
                <w:szCs w:val="24"/>
                <w:color w:val="auto"/>
                <w:vertAlign w:val="superscript"/>
              </w:rPr>
              <w:t>(4)</w:t>
            </w:r>
          </w:p>
        </w:tc>
        <w:tc>
          <w:tcPr>
            <w:tcW w:w="1440" w:type="dxa"/>
            <w:vAlign w:val="bottom"/>
            <w:tcBorders>
              <w:bottom w:val="single" w:sz="8" w:color="D1CDCA"/>
            </w:tcBorders>
          </w:tcPr>
          <w:p>
            <w:pPr>
              <w:jc w:val="right"/>
              <w:ind w:right="128"/>
              <w:spacing w:after="0"/>
              <w:rPr>
                <w:sz w:val="20"/>
                <w:szCs w:val="20"/>
                <w:color w:val="auto"/>
              </w:rPr>
            </w:pPr>
            <w:r>
              <w:rPr>
                <w:rFonts w:ascii="Arial" w:cs="Arial" w:eastAsia="Arial" w:hAnsi="Arial"/>
                <w:sz w:val="14"/>
                <w:szCs w:val="14"/>
                <w:color w:val="auto"/>
              </w:rPr>
              <w:t>$16,859,000</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Craig Billings</w:t>
            </w:r>
          </w:p>
        </w:tc>
        <w:tc>
          <w:tcPr>
            <w:tcW w:w="1300" w:type="dxa"/>
            <w:vAlign w:val="bottom"/>
            <w:tcBorders>
              <w:bottom w:val="single" w:sz="8" w:color="D1CDCA"/>
            </w:tcBorders>
            <w:shd w:val="clear" w:color="auto" w:fill="F7F7E5"/>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D1CDCA"/>
            </w:tcBorders>
            <w:shd w:val="clear" w:color="auto" w:fill="F7F7E5"/>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1CDCA"/>
            </w:tcBorders>
            <w:shd w:val="clear" w:color="auto" w:fill="F7F7E5"/>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1CDCA"/>
            </w:tcBorders>
            <w:shd w:val="clear" w:color="auto" w:fill="F7F7E5"/>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1CDCA"/>
            </w:tcBorders>
            <w:shd w:val="clear" w:color="auto" w:fill="F7F7E5"/>
          </w:tcPr>
          <w:p>
            <w:pPr>
              <w:jc w:val="right"/>
              <w:ind w:right="8"/>
              <w:spacing w:after="0" w:line="250" w:lineRule="exact"/>
              <w:rPr>
                <w:sz w:val="20"/>
                <w:szCs w:val="20"/>
                <w:color w:val="auto"/>
              </w:rPr>
            </w:pPr>
            <w:r>
              <w:rPr>
                <w:rFonts w:ascii="Arial" w:cs="Arial" w:eastAsia="Arial" w:hAnsi="Arial"/>
                <w:sz w:val="14"/>
                <w:szCs w:val="14"/>
                <w:color w:val="auto"/>
              </w:rPr>
              <w:t>30,000</w:t>
            </w:r>
            <w:r>
              <w:rPr>
                <w:rFonts w:ascii="Arial" w:cs="Arial" w:eastAsia="Arial" w:hAnsi="Arial"/>
                <w:sz w:val="24"/>
                <w:szCs w:val="24"/>
                <w:color w:val="auto"/>
                <w:vertAlign w:val="superscript"/>
              </w:rPr>
              <w:t>(5)</w:t>
            </w:r>
          </w:p>
        </w:tc>
        <w:tc>
          <w:tcPr>
            <w:tcW w:w="1440" w:type="dxa"/>
            <w:vAlign w:val="bottom"/>
            <w:tcBorders>
              <w:bottom w:val="single" w:sz="8" w:color="D1CDCA"/>
            </w:tcBorders>
            <w:shd w:val="clear" w:color="auto" w:fill="F7F7E5"/>
          </w:tcPr>
          <w:p>
            <w:pPr>
              <w:jc w:val="right"/>
              <w:ind w:right="128"/>
              <w:spacing w:after="0"/>
              <w:rPr>
                <w:sz w:val="20"/>
                <w:szCs w:val="20"/>
                <w:color w:val="auto"/>
              </w:rPr>
            </w:pPr>
            <w:r>
              <w:rPr>
                <w:rFonts w:ascii="Arial" w:cs="Arial" w:eastAsia="Arial" w:hAnsi="Arial"/>
                <w:sz w:val="14"/>
                <w:szCs w:val="14"/>
                <w:color w:val="auto"/>
              </w:rPr>
              <w:t>$ 5,057,700</w:t>
            </w:r>
          </w:p>
        </w:tc>
        <w:tc>
          <w:tcPr>
            <w:tcW w:w="0" w:type="dxa"/>
            <w:vAlign w:val="bottom"/>
          </w:tcPr>
          <w:p>
            <w:pPr>
              <w:spacing w:after="0"/>
              <w:rPr>
                <w:sz w:val="1"/>
                <w:szCs w:val="1"/>
                <w:color w:val="auto"/>
              </w:rPr>
            </w:pPr>
          </w:p>
        </w:tc>
      </w:tr>
      <w:tr>
        <w:trPr>
          <w:trHeight w:val="211"/>
        </w:trPr>
        <w:tc>
          <w:tcPr>
            <w:tcW w:w="3080" w:type="dxa"/>
            <w:vAlign w:val="bottom"/>
          </w:tcPr>
          <w:p>
            <w:pPr>
              <w:ind w:left="60"/>
              <w:spacing w:after="0"/>
              <w:rPr>
                <w:sz w:val="20"/>
                <w:szCs w:val="20"/>
                <w:color w:val="auto"/>
              </w:rPr>
            </w:pPr>
            <w:r>
              <w:rPr>
                <w:rFonts w:ascii="Arial" w:cs="Arial" w:eastAsia="Arial" w:hAnsi="Arial"/>
                <w:sz w:val="14"/>
                <w:szCs w:val="14"/>
                <w:color w:val="auto"/>
              </w:rPr>
              <w:t>Stephen A. Wynn</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3080" w:type="dxa"/>
            <w:vAlign w:val="bottom"/>
            <w:tcBorders>
              <w:bottom w:val="single" w:sz="8" w:color="D1CDCA"/>
            </w:tcBorders>
          </w:tcPr>
          <w:p>
            <w:pPr>
              <w:spacing w:after="0"/>
              <w:rPr>
                <w:sz w:val="3"/>
                <w:szCs w:val="3"/>
                <w:color w:val="auto"/>
              </w:rPr>
            </w:pPr>
          </w:p>
        </w:tc>
        <w:tc>
          <w:tcPr>
            <w:tcW w:w="1300" w:type="dxa"/>
            <w:vAlign w:val="bottom"/>
            <w:tcBorders>
              <w:bottom w:val="single" w:sz="8" w:color="D1CDCA"/>
            </w:tcBorders>
          </w:tcPr>
          <w:p>
            <w:pPr>
              <w:spacing w:after="0"/>
              <w:rPr>
                <w:sz w:val="3"/>
                <w:szCs w:val="3"/>
                <w:color w:val="auto"/>
              </w:rPr>
            </w:pPr>
          </w:p>
        </w:tc>
        <w:tc>
          <w:tcPr>
            <w:tcW w:w="1640" w:type="dxa"/>
            <w:vAlign w:val="bottom"/>
            <w:tcBorders>
              <w:bottom w:val="single" w:sz="8" w:color="D1CDCA"/>
            </w:tcBorders>
          </w:tcPr>
          <w:p>
            <w:pPr>
              <w:spacing w:after="0"/>
              <w:rPr>
                <w:sz w:val="3"/>
                <w:szCs w:val="3"/>
                <w:color w:val="auto"/>
              </w:rPr>
            </w:pPr>
          </w:p>
        </w:tc>
        <w:tc>
          <w:tcPr>
            <w:tcW w:w="1000" w:type="dxa"/>
            <w:vAlign w:val="bottom"/>
            <w:tcBorders>
              <w:bottom w:val="single" w:sz="8" w:color="D1CDCA"/>
            </w:tcBorders>
          </w:tcPr>
          <w:p>
            <w:pPr>
              <w:spacing w:after="0"/>
              <w:rPr>
                <w:sz w:val="3"/>
                <w:szCs w:val="3"/>
                <w:color w:val="auto"/>
              </w:rPr>
            </w:pPr>
          </w:p>
        </w:tc>
        <w:tc>
          <w:tcPr>
            <w:tcW w:w="1220" w:type="dxa"/>
            <w:vAlign w:val="bottom"/>
            <w:tcBorders>
              <w:bottom w:val="single" w:sz="8" w:color="D1CDCA"/>
            </w:tcBorders>
          </w:tcPr>
          <w:p>
            <w:pPr>
              <w:spacing w:after="0"/>
              <w:rPr>
                <w:sz w:val="3"/>
                <w:szCs w:val="3"/>
                <w:color w:val="auto"/>
              </w:rPr>
            </w:pPr>
          </w:p>
        </w:tc>
        <w:tc>
          <w:tcPr>
            <w:tcW w:w="1340" w:type="dxa"/>
            <w:vAlign w:val="bottom"/>
            <w:tcBorders>
              <w:bottom w:val="single" w:sz="8" w:color="D1CDCA"/>
            </w:tcBorders>
          </w:tcPr>
          <w:p>
            <w:pPr>
              <w:spacing w:after="0"/>
              <w:rPr>
                <w:sz w:val="3"/>
                <w:szCs w:val="3"/>
                <w:color w:val="auto"/>
              </w:rPr>
            </w:pPr>
          </w:p>
        </w:tc>
        <w:tc>
          <w:tcPr>
            <w:tcW w:w="1440" w:type="dxa"/>
            <w:vAlign w:val="bottom"/>
            <w:tcBorders>
              <w:bottom w:val="single" w:sz="8" w:color="D1CDCA"/>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Stephen Cootey</w:t>
            </w:r>
          </w:p>
        </w:tc>
        <w:tc>
          <w:tcPr>
            <w:tcW w:w="1300" w:type="dxa"/>
            <w:vAlign w:val="bottom"/>
            <w:tcBorders>
              <w:bottom w:val="single" w:sz="8" w:color="F7F7E5"/>
            </w:tcBorders>
            <w:shd w:val="clear" w:color="auto" w:fill="F7F7E5"/>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F7F7E5"/>
            </w:tcBorders>
            <w:shd w:val="clear" w:color="auto" w:fill="F7F7E5"/>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F7F7E5"/>
            </w:tcBorders>
            <w:shd w:val="clear" w:color="auto" w:fill="F7F7E5"/>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F7F7E5"/>
            </w:tcBorders>
            <w:shd w:val="clear" w:color="auto" w:fill="F7F7E5"/>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F7F7E5"/>
            </w:tcBorders>
            <w:shd w:val="clear" w:color="auto" w:fill="F7F7E5"/>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F7F7E5"/>
            </w:tcBorders>
            <w:shd w:val="clear" w:color="auto" w:fill="F7F7E5"/>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80" w:type="dxa"/>
            <w:vAlign w:val="bottom"/>
            <w:shd w:val="clear" w:color="auto" w:fill="D1CDCA"/>
          </w:tcPr>
          <w:p>
            <w:pPr>
              <w:spacing w:after="0" w:line="20" w:lineRule="exact"/>
              <w:rPr>
                <w:sz w:val="1"/>
                <w:szCs w:val="1"/>
                <w:color w:val="auto"/>
              </w:rPr>
            </w:pPr>
          </w:p>
        </w:tc>
        <w:tc>
          <w:tcPr>
            <w:tcW w:w="1300" w:type="dxa"/>
            <w:vAlign w:val="bottom"/>
            <w:shd w:val="clear" w:color="auto" w:fill="D1CDCA"/>
          </w:tcPr>
          <w:p>
            <w:pPr>
              <w:spacing w:after="0" w:line="20" w:lineRule="exact"/>
              <w:rPr>
                <w:sz w:val="1"/>
                <w:szCs w:val="1"/>
                <w:color w:val="auto"/>
              </w:rPr>
            </w:pPr>
          </w:p>
        </w:tc>
        <w:tc>
          <w:tcPr>
            <w:tcW w:w="1640" w:type="dxa"/>
            <w:vAlign w:val="bottom"/>
            <w:shd w:val="clear" w:color="auto" w:fill="D1CDCA"/>
          </w:tcPr>
          <w:p>
            <w:pPr>
              <w:spacing w:after="0" w:line="20" w:lineRule="exact"/>
              <w:rPr>
                <w:sz w:val="1"/>
                <w:szCs w:val="1"/>
                <w:color w:val="auto"/>
              </w:rPr>
            </w:pPr>
          </w:p>
        </w:tc>
        <w:tc>
          <w:tcPr>
            <w:tcW w:w="1000" w:type="dxa"/>
            <w:vAlign w:val="bottom"/>
            <w:shd w:val="clear" w:color="auto" w:fill="D1CDCA"/>
          </w:tcPr>
          <w:p>
            <w:pPr>
              <w:spacing w:after="0" w:line="20" w:lineRule="exact"/>
              <w:rPr>
                <w:sz w:val="1"/>
                <w:szCs w:val="1"/>
                <w:color w:val="auto"/>
              </w:rPr>
            </w:pPr>
          </w:p>
        </w:tc>
        <w:tc>
          <w:tcPr>
            <w:tcW w:w="1220" w:type="dxa"/>
            <w:vAlign w:val="bottom"/>
            <w:shd w:val="clear" w:color="auto" w:fill="D1CDCA"/>
          </w:tcPr>
          <w:p>
            <w:pPr>
              <w:spacing w:after="0" w:line="20" w:lineRule="exact"/>
              <w:rPr>
                <w:sz w:val="1"/>
                <w:szCs w:val="1"/>
                <w:color w:val="auto"/>
              </w:rPr>
            </w:pPr>
          </w:p>
        </w:tc>
        <w:tc>
          <w:tcPr>
            <w:tcW w:w="1340" w:type="dxa"/>
            <w:vAlign w:val="bottom"/>
            <w:shd w:val="clear" w:color="auto" w:fill="D1CDCA"/>
          </w:tcPr>
          <w:p>
            <w:pPr>
              <w:spacing w:after="0" w:line="20" w:lineRule="exact"/>
              <w:rPr>
                <w:sz w:val="1"/>
                <w:szCs w:val="1"/>
                <w:color w:val="auto"/>
              </w:rPr>
            </w:pPr>
          </w:p>
        </w:tc>
        <w:tc>
          <w:tcPr>
            <w:tcW w:w="1440" w:type="dxa"/>
            <w:vAlign w:val="bottom"/>
            <w:shd w:val="clear" w:color="auto" w:fill="D1CDC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(1)</w:t>
      </w:r>
      <w:r>
        <w:rPr>
          <w:rFonts w:ascii="Arial" w:cs="Arial" w:eastAsia="Arial" w:hAnsi="Arial"/>
          <w:sz w:val="14"/>
          <w:szCs w:val="14"/>
          <w:color w:val="auto"/>
        </w:rPr>
        <w:t>30,000 stock options will vest on each of May 6, 2018 and May 6, 2019.</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(2)</w:t>
      </w:r>
      <w:r>
        <w:rPr>
          <w:rFonts w:ascii="Arial" w:cs="Arial" w:eastAsia="Arial" w:hAnsi="Arial"/>
          <w:sz w:val="14"/>
          <w:szCs w:val="14"/>
          <w:color w:val="auto"/>
        </w:rPr>
        <w:t>25,000 stock options will vest on each of May 6, 2018 and May 6, 2019.</w:t>
      </w:r>
    </w:p>
    <w:p>
      <w:pPr>
        <w:spacing w:after="0" w:line="55" w:lineRule="exact"/>
        <w:rPr>
          <w:sz w:val="20"/>
          <w:szCs w:val="20"/>
          <w:color w:val="auto"/>
        </w:rPr>
      </w:pPr>
    </w:p>
    <w:p>
      <w:pPr>
        <w:jc w:val="both"/>
        <w:ind w:left="360" w:right="140" w:hanging="148"/>
        <w:spacing w:after="0" w:line="238" w:lineRule="auto"/>
        <w:rPr>
          <w:sz w:val="20"/>
          <w:szCs w:val="20"/>
          <w:color w:val="auto"/>
        </w:rPr>
      </w:pPr>
      <w:r>
        <w:rPr>
          <w:rFonts w:ascii="Arial" w:cs="Arial" w:eastAsia="Arial" w:hAnsi="Arial"/>
          <w:sz w:val="12"/>
          <w:szCs w:val="12"/>
          <w:color w:val="auto"/>
        </w:rPr>
        <w:t>(3)</w:t>
      </w:r>
      <w:r>
        <w:rPr>
          <w:rFonts w:ascii="Arial" w:cs="Arial" w:eastAsia="Arial" w:hAnsi="Arial"/>
          <w:sz w:val="14"/>
          <w:szCs w:val="14"/>
          <w:color w:val="auto"/>
        </w:rPr>
        <w:t>This award originally provided that it would vest in full on November 4, 2021, subject to continued employment. As subsequently amended, 40,000 shares vest on each of March 1, 2019,</w:t>
      </w:r>
      <w:r>
        <w:rPr>
          <w:rFonts w:ascii="Arial" w:cs="Arial" w:eastAsia="Arial" w:hAnsi="Arial"/>
          <w:sz w:val="12"/>
          <w:szCs w:val="12"/>
          <w:color w:val="auto"/>
        </w:rPr>
        <w:t xml:space="preserve"> </w:t>
      </w:r>
      <w:r>
        <w:rPr>
          <w:rFonts w:ascii="Arial" w:cs="Arial" w:eastAsia="Arial" w:hAnsi="Arial"/>
          <w:sz w:val="14"/>
          <w:szCs w:val="14"/>
          <w:color w:val="auto"/>
        </w:rPr>
        <w:t>March 1, 2020 and March 1, 2021, based on the achievement of performance-based criteria set by the Compensation Committee, and 40,000 shares vest on each of November 4, 2020 and November 4, 2021, subject to continued employment.</w:t>
      </w:r>
    </w:p>
    <w:p>
      <w:pPr>
        <w:spacing w:after="0" w:line="34" w:lineRule="exact"/>
        <w:rPr>
          <w:sz w:val="20"/>
          <w:szCs w:val="20"/>
          <w:color w:val="auto"/>
        </w:rPr>
      </w:pPr>
    </w:p>
    <w:p>
      <w:pPr>
        <w:jc w:val="both"/>
        <w:ind w:left="360" w:right="160" w:hanging="148"/>
        <w:spacing w:after="0" w:line="238" w:lineRule="auto"/>
        <w:rPr>
          <w:sz w:val="20"/>
          <w:szCs w:val="20"/>
          <w:color w:val="auto"/>
        </w:rPr>
      </w:pPr>
      <w:r>
        <w:rPr>
          <w:rFonts w:ascii="Arial" w:cs="Arial" w:eastAsia="Arial" w:hAnsi="Arial"/>
          <w:sz w:val="12"/>
          <w:szCs w:val="12"/>
          <w:color w:val="auto"/>
        </w:rPr>
        <w:t>(4)</w:t>
      </w:r>
      <w:r>
        <w:rPr>
          <w:rFonts w:ascii="Arial" w:cs="Arial" w:eastAsia="Arial" w:hAnsi="Arial"/>
          <w:sz w:val="14"/>
          <w:szCs w:val="14"/>
          <w:color w:val="auto"/>
        </w:rPr>
        <w:t>This award originally provided that it would vest in full on November 4, 2021, subject to continued employment. As subsequently amended, 20,000 shares vest on each of March 1, 2019,</w:t>
      </w:r>
      <w:r>
        <w:rPr>
          <w:rFonts w:ascii="Arial" w:cs="Arial" w:eastAsia="Arial" w:hAnsi="Arial"/>
          <w:sz w:val="12"/>
          <w:szCs w:val="12"/>
          <w:color w:val="auto"/>
        </w:rPr>
        <w:t xml:space="preserve"> </w:t>
      </w:r>
      <w:r>
        <w:rPr>
          <w:rFonts w:ascii="Arial" w:cs="Arial" w:eastAsia="Arial" w:hAnsi="Arial"/>
          <w:sz w:val="14"/>
          <w:szCs w:val="14"/>
          <w:color w:val="auto"/>
        </w:rPr>
        <w:t>March 1, 2020 and March 1, 2021, based on the achievement of performance-based criteria set by the Compensation Committee, and 40,000 shares vest on November 4, 2021, subject to continued employment.</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(5)</w:t>
      </w:r>
      <w:r>
        <w:rPr>
          <w:rFonts w:ascii="Arial" w:cs="Arial" w:eastAsia="Arial" w:hAnsi="Arial"/>
          <w:sz w:val="13"/>
          <w:szCs w:val="13"/>
          <w:color w:val="auto"/>
        </w:rPr>
        <w:t>6,000 shares of restricted stock vested on March 1, 2018. 6,000 shares of restricted stock will vest on each of March 1, 2019; March 1, 2020; March 1, 2021; and March 1, 2022.</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(6)</w:t>
      </w:r>
      <w:r>
        <w:rPr>
          <w:rFonts w:ascii="Arial" w:cs="Arial" w:eastAsia="Arial" w:hAnsi="Arial"/>
          <w:sz w:val="14"/>
          <w:szCs w:val="14"/>
          <w:color w:val="auto"/>
        </w:rPr>
        <w:t>Amounts in this column are based upon the closing price of the Company’s stock at December 31, 2017, which was $168.59 per share.</w:t>
      </w:r>
    </w:p>
    <w:p>
      <w:pPr>
        <w:spacing w:after="0" w:line="224" w:lineRule="exact"/>
        <w:rPr>
          <w:sz w:val="20"/>
          <w:szCs w:val="20"/>
          <w:color w:val="auto"/>
        </w:rPr>
      </w:pPr>
    </w:p>
    <w:p>
      <w:pPr>
        <w:ind w:left="200" w:right="760"/>
        <w:spacing w:after="0" w:line="260" w:lineRule="auto"/>
        <w:rPr>
          <w:sz w:val="20"/>
          <w:szCs w:val="20"/>
          <w:color w:val="auto"/>
        </w:rPr>
      </w:pPr>
      <w:r>
        <w:rPr>
          <w:rFonts w:ascii="Arial" w:cs="Arial" w:eastAsia="Arial" w:hAnsi="Arial"/>
          <w:sz w:val="16"/>
          <w:szCs w:val="16"/>
          <w:color w:val="auto"/>
        </w:rPr>
        <w:t>All vesting is conditioned upon such NEOs being an employee of the Company on the vesting date, except as discussed below under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97155</wp:posOffset>
            </wp:positionV>
            <wp:extent cx="6997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200025</wp:posOffset>
            </wp:positionV>
            <wp:extent cx="608965" cy="274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00"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37</w:t>
        <w:tab/>
        <w:t>|</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65B4F"/>
        </w:rPr>
        <w:t>EXECUTIVE COMPENSATION TABLES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OPTION EXERCISES AND STOCK VESTED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97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2680" w:type="dxa"/>
            <w:vAlign w:val="bottom"/>
            <w:tcBorders>
              <w:bottom w:val="single" w:sz="8" w:color="D1CDCA"/>
            </w:tcBorders>
          </w:tcPr>
          <w:p>
            <w:pPr>
              <w:jc w:val="right"/>
              <w:spacing w:after="0"/>
              <w:rPr>
                <w:sz w:val="20"/>
                <w:szCs w:val="20"/>
                <w:color w:val="auto"/>
              </w:rPr>
            </w:pPr>
            <w:r>
              <w:rPr>
                <w:rFonts w:ascii="Arial" w:cs="Arial" w:eastAsia="Arial" w:hAnsi="Arial"/>
                <w:sz w:val="14"/>
                <w:szCs w:val="14"/>
                <w:b w:val="1"/>
                <w:bCs w:val="1"/>
                <w:color w:val="665B4F"/>
              </w:rPr>
              <w:t>OPTION AWARDS</w:t>
            </w:r>
          </w:p>
        </w:tc>
        <w:tc>
          <w:tcPr>
            <w:tcW w:w="1540" w:type="dxa"/>
            <w:vAlign w:val="bottom"/>
            <w:tcBorders>
              <w:bottom w:val="single" w:sz="8" w:color="D1CDCA"/>
            </w:tcBorders>
          </w:tcPr>
          <w:p>
            <w:pPr>
              <w:spacing w:after="0"/>
              <w:rPr>
                <w:sz w:val="16"/>
                <w:szCs w:val="16"/>
                <w:color w:val="auto"/>
              </w:rPr>
            </w:pPr>
          </w:p>
        </w:tc>
        <w:tc>
          <w:tcPr>
            <w:tcW w:w="2680" w:type="dxa"/>
            <w:vAlign w:val="bottom"/>
            <w:tcBorders>
              <w:bottom w:val="single" w:sz="8" w:color="D1CDCA"/>
            </w:tcBorders>
          </w:tcPr>
          <w:p>
            <w:pPr>
              <w:jc w:val="right"/>
              <w:spacing w:after="0"/>
              <w:rPr>
                <w:sz w:val="20"/>
                <w:szCs w:val="20"/>
                <w:color w:val="auto"/>
              </w:rPr>
            </w:pPr>
            <w:r>
              <w:rPr>
                <w:rFonts w:ascii="Arial" w:cs="Arial" w:eastAsia="Arial" w:hAnsi="Arial"/>
                <w:sz w:val="14"/>
                <w:szCs w:val="14"/>
                <w:b w:val="1"/>
                <w:bCs w:val="1"/>
                <w:color w:val="665B4F"/>
              </w:rPr>
              <w:t>STOCK AWARDS</w:t>
            </w:r>
          </w:p>
        </w:tc>
        <w:tc>
          <w:tcPr>
            <w:tcW w:w="600" w:type="dxa"/>
            <w:vAlign w:val="bottom"/>
            <w:tcBorders>
              <w:bottom w:val="single" w:sz="8" w:color="D1CDCA"/>
            </w:tcBorders>
          </w:tcPr>
          <w:p>
            <w:pPr>
              <w:spacing w:after="0"/>
              <w:rPr>
                <w:sz w:val="16"/>
                <w:szCs w:val="16"/>
                <w:color w:val="auto"/>
              </w:rPr>
            </w:pPr>
          </w:p>
        </w:tc>
        <w:tc>
          <w:tcPr>
            <w:tcW w:w="940" w:type="dxa"/>
            <w:vAlign w:val="bottom"/>
            <w:tcBorders>
              <w:bottom w:val="single" w:sz="8" w:color="D1CDCA"/>
            </w:tcBorders>
          </w:tcPr>
          <w:p>
            <w:pPr>
              <w:spacing w:after="0"/>
              <w:rPr>
                <w:sz w:val="16"/>
                <w:szCs w:val="16"/>
                <w:color w:val="auto"/>
              </w:rPr>
            </w:pPr>
          </w:p>
        </w:tc>
      </w:tr>
      <w:tr>
        <w:trPr>
          <w:trHeight w:val="119"/>
        </w:trPr>
        <w:tc>
          <w:tcPr>
            <w:tcW w:w="2580" w:type="dxa"/>
            <w:vAlign w:val="bottom"/>
          </w:tcPr>
          <w:p>
            <w:pPr>
              <w:spacing w:after="0"/>
              <w:rPr>
                <w:sz w:val="10"/>
                <w:szCs w:val="10"/>
                <w:color w:val="auto"/>
              </w:rPr>
            </w:pPr>
          </w:p>
        </w:tc>
        <w:tc>
          <w:tcPr>
            <w:tcW w:w="2680" w:type="dxa"/>
            <w:vAlign w:val="bottom"/>
          </w:tcPr>
          <w:p>
            <w:pPr>
              <w:jc w:val="right"/>
              <w:ind w:right="409"/>
              <w:spacing w:after="0" w:line="119" w:lineRule="exact"/>
              <w:rPr>
                <w:sz w:val="20"/>
                <w:szCs w:val="20"/>
                <w:color w:val="auto"/>
              </w:rPr>
            </w:pPr>
            <w:r>
              <w:rPr>
                <w:rFonts w:ascii="Arial" w:cs="Arial" w:eastAsia="Arial" w:hAnsi="Arial"/>
                <w:sz w:val="13"/>
                <w:szCs w:val="13"/>
                <w:b w:val="1"/>
                <w:bCs w:val="1"/>
                <w:color w:val="665B4F"/>
              </w:rPr>
              <w:t>NUMBER OF SHARES</w:t>
            </w:r>
          </w:p>
        </w:tc>
        <w:tc>
          <w:tcPr>
            <w:tcW w:w="1540" w:type="dxa"/>
            <w:vAlign w:val="bottom"/>
          </w:tcPr>
          <w:p>
            <w:pPr>
              <w:jc w:val="right"/>
              <w:ind w:right="189"/>
              <w:spacing w:after="0" w:line="119" w:lineRule="exact"/>
              <w:rPr>
                <w:sz w:val="20"/>
                <w:szCs w:val="20"/>
                <w:color w:val="auto"/>
              </w:rPr>
            </w:pPr>
            <w:r>
              <w:rPr>
                <w:rFonts w:ascii="Arial" w:cs="Arial" w:eastAsia="Arial" w:hAnsi="Arial"/>
                <w:sz w:val="13"/>
                <w:szCs w:val="13"/>
                <w:b w:val="1"/>
                <w:bCs w:val="1"/>
                <w:color w:val="665B4F"/>
              </w:rPr>
              <w:t>VALUE REALIZED</w:t>
            </w:r>
          </w:p>
        </w:tc>
        <w:tc>
          <w:tcPr>
            <w:tcW w:w="2680" w:type="dxa"/>
            <w:vAlign w:val="bottom"/>
          </w:tcPr>
          <w:p>
            <w:pPr>
              <w:jc w:val="right"/>
              <w:ind w:right="449"/>
              <w:spacing w:after="0" w:line="119" w:lineRule="exact"/>
              <w:rPr>
                <w:sz w:val="20"/>
                <w:szCs w:val="20"/>
                <w:color w:val="auto"/>
              </w:rPr>
            </w:pPr>
            <w:r>
              <w:rPr>
                <w:rFonts w:ascii="Arial" w:cs="Arial" w:eastAsia="Arial" w:hAnsi="Arial"/>
                <w:sz w:val="13"/>
                <w:szCs w:val="13"/>
                <w:b w:val="1"/>
                <w:bCs w:val="1"/>
                <w:color w:val="665B4F"/>
              </w:rPr>
              <w:t>NUMBER OF SHARES</w:t>
            </w:r>
          </w:p>
        </w:tc>
        <w:tc>
          <w:tcPr>
            <w:tcW w:w="1540" w:type="dxa"/>
            <w:vAlign w:val="bottom"/>
            <w:gridSpan w:val="2"/>
          </w:tcPr>
          <w:p>
            <w:pPr>
              <w:jc w:val="right"/>
              <w:ind w:right="188"/>
              <w:spacing w:after="0" w:line="119" w:lineRule="exact"/>
              <w:rPr>
                <w:sz w:val="20"/>
                <w:szCs w:val="20"/>
                <w:color w:val="auto"/>
              </w:rPr>
            </w:pPr>
            <w:r>
              <w:rPr>
                <w:rFonts w:ascii="Arial" w:cs="Arial" w:eastAsia="Arial" w:hAnsi="Arial"/>
                <w:sz w:val="13"/>
                <w:szCs w:val="13"/>
                <w:b w:val="1"/>
                <w:bCs w:val="1"/>
                <w:color w:val="665B4F"/>
              </w:rPr>
              <w:t>VALUE REALIZED</w:t>
            </w:r>
          </w:p>
        </w:tc>
      </w:tr>
      <w:tr>
        <w:trPr>
          <w:trHeight w:val="185"/>
        </w:trPr>
        <w:tc>
          <w:tcPr>
            <w:tcW w:w="2580" w:type="dxa"/>
            <w:vAlign w:val="bottom"/>
            <w:tcBorders>
              <w:bottom w:val="single" w:sz="8" w:color="D1CDCA"/>
            </w:tcBorders>
          </w:tcPr>
          <w:p>
            <w:pPr>
              <w:ind w:left="60"/>
              <w:spacing w:after="0"/>
              <w:rPr>
                <w:sz w:val="20"/>
                <w:szCs w:val="20"/>
                <w:color w:val="auto"/>
              </w:rPr>
            </w:pPr>
            <w:r>
              <w:rPr>
                <w:rFonts w:ascii="Arial" w:cs="Arial" w:eastAsia="Arial" w:hAnsi="Arial"/>
                <w:sz w:val="14"/>
                <w:szCs w:val="14"/>
                <w:b w:val="1"/>
                <w:bCs w:val="1"/>
                <w:color w:val="665B4F"/>
              </w:rPr>
              <w:t>NAME</w:t>
            </w:r>
          </w:p>
        </w:tc>
        <w:tc>
          <w:tcPr>
            <w:tcW w:w="2680" w:type="dxa"/>
            <w:vAlign w:val="bottom"/>
            <w:tcBorders>
              <w:bottom w:val="single" w:sz="8" w:color="D1CDCA"/>
            </w:tcBorders>
          </w:tcPr>
          <w:p>
            <w:pPr>
              <w:jc w:val="right"/>
              <w:ind w:right="409"/>
              <w:spacing w:after="0"/>
              <w:rPr>
                <w:sz w:val="20"/>
                <w:szCs w:val="20"/>
                <w:color w:val="auto"/>
              </w:rPr>
            </w:pPr>
            <w:r>
              <w:rPr>
                <w:rFonts w:ascii="Arial" w:cs="Arial" w:eastAsia="Arial" w:hAnsi="Arial"/>
                <w:sz w:val="14"/>
                <w:szCs w:val="14"/>
                <w:b w:val="1"/>
                <w:bCs w:val="1"/>
                <w:color w:val="665B4F"/>
              </w:rPr>
              <w:t>ACQUIRED ON EXERCISE (#)</w:t>
            </w:r>
          </w:p>
        </w:tc>
        <w:tc>
          <w:tcPr>
            <w:tcW w:w="1540" w:type="dxa"/>
            <w:vAlign w:val="bottom"/>
            <w:tcBorders>
              <w:bottom w:val="single" w:sz="8" w:color="D1CDCA"/>
            </w:tcBorders>
          </w:tcPr>
          <w:p>
            <w:pPr>
              <w:jc w:val="right"/>
              <w:ind w:right="189"/>
              <w:spacing w:after="0"/>
              <w:rPr>
                <w:sz w:val="20"/>
                <w:szCs w:val="20"/>
                <w:color w:val="auto"/>
              </w:rPr>
            </w:pPr>
            <w:r>
              <w:rPr>
                <w:rFonts w:ascii="Arial" w:cs="Arial" w:eastAsia="Arial" w:hAnsi="Arial"/>
                <w:sz w:val="14"/>
                <w:szCs w:val="14"/>
                <w:b w:val="1"/>
                <w:bCs w:val="1"/>
                <w:color w:val="665B4F"/>
              </w:rPr>
              <w:t>ON EXERCISE ($)</w:t>
            </w:r>
          </w:p>
        </w:tc>
        <w:tc>
          <w:tcPr>
            <w:tcW w:w="2680" w:type="dxa"/>
            <w:vAlign w:val="bottom"/>
            <w:tcBorders>
              <w:bottom w:val="single" w:sz="8" w:color="D1CDCA"/>
            </w:tcBorders>
          </w:tcPr>
          <w:p>
            <w:pPr>
              <w:jc w:val="right"/>
              <w:ind w:right="449"/>
              <w:spacing w:after="0"/>
              <w:rPr>
                <w:sz w:val="20"/>
                <w:szCs w:val="20"/>
                <w:color w:val="auto"/>
              </w:rPr>
            </w:pPr>
            <w:r>
              <w:rPr>
                <w:rFonts w:ascii="Arial" w:cs="Arial" w:eastAsia="Arial" w:hAnsi="Arial"/>
                <w:sz w:val="14"/>
                <w:szCs w:val="14"/>
                <w:b w:val="1"/>
                <w:bCs w:val="1"/>
                <w:color w:val="665B4F"/>
              </w:rPr>
              <w:t>ACQUIRED ON VESTING (#)</w:t>
            </w:r>
          </w:p>
        </w:tc>
        <w:tc>
          <w:tcPr>
            <w:tcW w:w="1540" w:type="dxa"/>
            <w:vAlign w:val="bottom"/>
            <w:tcBorders>
              <w:bottom w:val="single" w:sz="8" w:color="D1CDCA"/>
            </w:tcBorders>
            <w:gridSpan w:val="2"/>
          </w:tcPr>
          <w:p>
            <w:pPr>
              <w:jc w:val="right"/>
              <w:ind w:right="188"/>
              <w:spacing w:after="0"/>
              <w:rPr>
                <w:sz w:val="20"/>
                <w:szCs w:val="20"/>
                <w:color w:val="auto"/>
              </w:rPr>
            </w:pPr>
            <w:r>
              <w:rPr>
                <w:rFonts w:ascii="Arial" w:cs="Arial" w:eastAsia="Arial" w:hAnsi="Arial"/>
                <w:sz w:val="14"/>
                <w:szCs w:val="14"/>
                <w:b w:val="1"/>
                <w:bCs w:val="1"/>
                <w:color w:val="665B4F"/>
              </w:rPr>
              <w:t>ON VESTING ($)</w:t>
            </w:r>
          </w:p>
        </w:tc>
      </w:tr>
      <w:tr>
        <w:trPr>
          <w:trHeight w:val="250"/>
        </w:trPr>
        <w:tc>
          <w:tcPr>
            <w:tcW w:w="258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Matt Maddox</w:t>
            </w:r>
          </w:p>
        </w:tc>
        <w:tc>
          <w:tcPr>
            <w:tcW w:w="2680" w:type="dxa"/>
            <w:vAlign w:val="bottom"/>
            <w:tcBorders>
              <w:bottom w:val="single" w:sz="8" w:color="D1CDCA"/>
            </w:tcBorders>
            <w:shd w:val="clear" w:color="auto" w:fill="F7F7E5"/>
          </w:tcPr>
          <w:p>
            <w:pPr>
              <w:jc w:val="right"/>
              <w:ind w:right="409"/>
              <w:spacing w:after="0"/>
              <w:rPr>
                <w:sz w:val="20"/>
                <w:szCs w:val="20"/>
                <w:color w:val="auto"/>
              </w:rPr>
            </w:pPr>
            <w:r>
              <w:rPr>
                <w:rFonts w:ascii="Arial" w:cs="Arial" w:eastAsia="Arial" w:hAnsi="Arial"/>
                <w:sz w:val="14"/>
                <w:szCs w:val="14"/>
                <w:color w:val="auto"/>
              </w:rPr>
              <w:t>240,000</w:t>
            </w:r>
          </w:p>
        </w:tc>
        <w:tc>
          <w:tcPr>
            <w:tcW w:w="1540" w:type="dxa"/>
            <w:vAlign w:val="bottom"/>
            <w:tcBorders>
              <w:bottom w:val="single" w:sz="8" w:color="D1CDCA"/>
            </w:tcBorders>
            <w:shd w:val="clear" w:color="auto" w:fill="F7F7E5"/>
          </w:tcPr>
          <w:p>
            <w:pPr>
              <w:jc w:val="right"/>
              <w:ind w:right="189"/>
              <w:spacing w:after="0"/>
              <w:rPr>
                <w:sz w:val="20"/>
                <w:szCs w:val="20"/>
                <w:color w:val="auto"/>
              </w:rPr>
            </w:pPr>
            <w:r>
              <w:rPr>
                <w:rFonts w:ascii="Arial" w:cs="Arial" w:eastAsia="Arial" w:hAnsi="Arial"/>
                <w:sz w:val="14"/>
                <w:szCs w:val="14"/>
                <w:color w:val="auto"/>
              </w:rPr>
              <w:t>$13,322,740</w:t>
            </w:r>
          </w:p>
        </w:tc>
        <w:tc>
          <w:tcPr>
            <w:tcW w:w="2680" w:type="dxa"/>
            <w:vAlign w:val="bottom"/>
            <w:tcBorders>
              <w:bottom w:val="single" w:sz="8" w:color="D1CDCA"/>
            </w:tcBorders>
            <w:shd w:val="clear" w:color="auto" w:fill="F7F7E5"/>
          </w:tcPr>
          <w:p>
            <w:pPr>
              <w:jc w:val="right"/>
              <w:ind w:right="289"/>
              <w:spacing w:after="0" w:line="250" w:lineRule="exact"/>
              <w:rPr>
                <w:sz w:val="20"/>
                <w:szCs w:val="20"/>
                <w:color w:val="auto"/>
              </w:rPr>
            </w:pPr>
            <w:r>
              <w:rPr>
                <w:rFonts w:ascii="Arial" w:cs="Arial" w:eastAsia="Arial" w:hAnsi="Arial"/>
                <w:sz w:val="14"/>
                <w:szCs w:val="14"/>
                <w:color w:val="auto"/>
              </w:rPr>
              <w:t>27,226</w:t>
            </w:r>
            <w:r>
              <w:rPr>
                <w:rFonts w:ascii="Arial" w:cs="Arial" w:eastAsia="Arial" w:hAnsi="Arial"/>
                <w:sz w:val="24"/>
                <w:szCs w:val="24"/>
                <w:color w:val="auto"/>
                <w:vertAlign w:val="superscript"/>
              </w:rPr>
              <w:t>(1</w:t>
            </w:r>
            <w:r>
              <w:rPr>
                <w:rFonts w:ascii="Arial" w:cs="Arial" w:eastAsia="Arial" w:hAnsi="Arial"/>
                <w:sz w:val="24"/>
                <w:szCs w:val="24"/>
                <w:i w:val="1"/>
                <w:iCs w:val="1"/>
                <w:color w:val="auto"/>
                <w:vertAlign w:val="superscript"/>
              </w:rPr>
              <w:t>)</w:t>
            </w:r>
          </w:p>
        </w:tc>
        <w:tc>
          <w:tcPr>
            <w:tcW w:w="1540" w:type="dxa"/>
            <w:vAlign w:val="bottom"/>
            <w:tcBorders>
              <w:bottom w:val="single" w:sz="8" w:color="D1CDCA"/>
            </w:tcBorders>
            <w:gridSpan w:val="2"/>
            <w:shd w:val="clear" w:color="auto" w:fill="F7F7E5"/>
          </w:tcPr>
          <w:p>
            <w:pPr>
              <w:jc w:val="right"/>
              <w:ind w:right="188"/>
              <w:spacing w:after="0"/>
              <w:rPr>
                <w:sz w:val="20"/>
                <w:szCs w:val="20"/>
                <w:color w:val="auto"/>
              </w:rPr>
            </w:pPr>
            <w:r>
              <w:rPr>
                <w:rFonts w:ascii="Arial" w:cs="Arial" w:eastAsia="Arial" w:hAnsi="Arial"/>
                <w:sz w:val="14"/>
                <w:szCs w:val="14"/>
                <w:color w:val="auto"/>
              </w:rPr>
              <w:t>$ 3,299,939</w:t>
            </w:r>
          </w:p>
        </w:tc>
      </w:tr>
      <w:tr>
        <w:trPr>
          <w:trHeight w:val="250"/>
        </w:trPr>
        <w:tc>
          <w:tcPr>
            <w:tcW w:w="258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Kim Sinatra</w:t>
            </w:r>
          </w:p>
        </w:tc>
        <w:tc>
          <w:tcPr>
            <w:tcW w:w="2680" w:type="dxa"/>
            <w:vAlign w:val="bottom"/>
            <w:tcBorders>
              <w:bottom w:val="single" w:sz="8" w:color="D1CDCA"/>
            </w:tcBorders>
          </w:tcPr>
          <w:p>
            <w:pPr>
              <w:jc w:val="right"/>
              <w:ind w:right="409"/>
              <w:spacing w:after="0"/>
              <w:rPr>
                <w:sz w:val="20"/>
                <w:szCs w:val="20"/>
                <w:color w:val="auto"/>
              </w:rPr>
            </w:pPr>
            <w:r>
              <w:rPr>
                <w:rFonts w:ascii="Arial" w:cs="Arial" w:eastAsia="Arial" w:hAnsi="Arial"/>
                <w:sz w:val="14"/>
                <w:szCs w:val="14"/>
                <w:color w:val="auto"/>
              </w:rPr>
              <w:t>75,000</w:t>
            </w:r>
          </w:p>
        </w:tc>
        <w:tc>
          <w:tcPr>
            <w:tcW w:w="1540" w:type="dxa"/>
            <w:vAlign w:val="bottom"/>
            <w:tcBorders>
              <w:bottom w:val="single" w:sz="8" w:color="D1CDCA"/>
            </w:tcBorders>
          </w:tcPr>
          <w:p>
            <w:pPr>
              <w:jc w:val="right"/>
              <w:ind w:right="189"/>
              <w:spacing w:after="0"/>
              <w:rPr>
                <w:sz w:val="20"/>
                <w:szCs w:val="20"/>
                <w:color w:val="auto"/>
              </w:rPr>
            </w:pPr>
            <w:r>
              <w:rPr>
                <w:rFonts w:ascii="Arial" w:cs="Arial" w:eastAsia="Arial" w:hAnsi="Arial"/>
                <w:sz w:val="14"/>
                <w:szCs w:val="14"/>
                <w:color w:val="auto"/>
              </w:rPr>
              <w:t>$ 2,525,994</w:t>
            </w:r>
          </w:p>
        </w:tc>
        <w:tc>
          <w:tcPr>
            <w:tcW w:w="2680" w:type="dxa"/>
            <w:vAlign w:val="bottom"/>
            <w:tcBorders>
              <w:bottom w:val="single" w:sz="8" w:color="D1CDCA"/>
            </w:tcBorders>
          </w:tcPr>
          <w:p>
            <w:pPr>
              <w:jc w:val="right"/>
              <w:ind w:right="289"/>
              <w:spacing w:after="0" w:line="250" w:lineRule="exact"/>
              <w:rPr>
                <w:sz w:val="20"/>
                <w:szCs w:val="20"/>
                <w:color w:val="auto"/>
              </w:rPr>
            </w:pPr>
            <w:r>
              <w:rPr>
                <w:rFonts w:ascii="Arial" w:cs="Arial" w:eastAsia="Arial" w:hAnsi="Arial"/>
                <w:sz w:val="14"/>
                <w:szCs w:val="14"/>
                <w:color w:val="auto"/>
              </w:rPr>
              <w:t>16,500</w:t>
            </w:r>
            <w:r>
              <w:rPr>
                <w:rFonts w:ascii="Arial" w:cs="Arial" w:eastAsia="Arial" w:hAnsi="Arial"/>
                <w:sz w:val="24"/>
                <w:szCs w:val="24"/>
                <w:color w:val="auto"/>
                <w:vertAlign w:val="superscript"/>
              </w:rPr>
              <w:t>(1</w:t>
            </w:r>
            <w:r>
              <w:rPr>
                <w:rFonts w:ascii="Arial" w:cs="Arial" w:eastAsia="Arial" w:hAnsi="Arial"/>
                <w:sz w:val="24"/>
                <w:szCs w:val="24"/>
                <w:i w:val="1"/>
                <w:iCs w:val="1"/>
                <w:color w:val="auto"/>
                <w:vertAlign w:val="superscript"/>
              </w:rPr>
              <w:t>)</w:t>
            </w:r>
          </w:p>
        </w:tc>
        <w:tc>
          <w:tcPr>
            <w:tcW w:w="600" w:type="dxa"/>
            <w:vAlign w:val="bottom"/>
            <w:tcBorders>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1CDCA"/>
            </w:tcBorders>
          </w:tcPr>
          <w:p>
            <w:pPr>
              <w:jc w:val="right"/>
              <w:ind w:right="188"/>
              <w:spacing w:after="0"/>
              <w:rPr>
                <w:sz w:val="20"/>
                <w:szCs w:val="20"/>
                <w:color w:val="auto"/>
              </w:rPr>
            </w:pPr>
            <w:r>
              <w:rPr>
                <w:rFonts w:ascii="Arial" w:cs="Arial" w:eastAsia="Arial" w:hAnsi="Arial"/>
                <w:sz w:val="14"/>
                <w:szCs w:val="14"/>
                <w:color w:val="auto"/>
              </w:rPr>
              <w:t>2,049,838</w:t>
            </w:r>
          </w:p>
        </w:tc>
      </w:tr>
      <w:tr>
        <w:trPr>
          <w:trHeight w:val="250"/>
        </w:trPr>
        <w:tc>
          <w:tcPr>
            <w:tcW w:w="258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Craig Billings</w:t>
            </w:r>
          </w:p>
        </w:tc>
        <w:tc>
          <w:tcPr>
            <w:tcW w:w="2680" w:type="dxa"/>
            <w:vAlign w:val="bottom"/>
            <w:tcBorders>
              <w:bottom w:val="single" w:sz="8" w:color="D1CDCA"/>
            </w:tcBorders>
            <w:shd w:val="clear" w:color="auto" w:fill="F7F7E5"/>
          </w:tcPr>
          <w:p>
            <w:pPr>
              <w:jc w:val="right"/>
              <w:ind w:right="409"/>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D1CDCA"/>
            </w:tcBorders>
            <w:shd w:val="clear" w:color="auto" w:fill="F7F7E5"/>
          </w:tcPr>
          <w:p>
            <w:pPr>
              <w:jc w:val="right"/>
              <w:ind w:right="189"/>
              <w:spacing w:after="0"/>
              <w:rPr>
                <w:sz w:val="20"/>
                <w:szCs w:val="20"/>
                <w:color w:val="auto"/>
              </w:rPr>
            </w:pPr>
            <w:r>
              <w:rPr>
                <w:rFonts w:ascii="Arial" w:cs="Arial" w:eastAsia="Arial" w:hAnsi="Arial"/>
                <w:sz w:val="14"/>
                <w:szCs w:val="14"/>
                <w:color w:val="auto"/>
              </w:rPr>
              <w:t>—</w:t>
            </w:r>
          </w:p>
        </w:tc>
        <w:tc>
          <w:tcPr>
            <w:tcW w:w="2680" w:type="dxa"/>
            <w:vAlign w:val="bottom"/>
            <w:tcBorders>
              <w:bottom w:val="single" w:sz="8" w:color="D1CDCA"/>
            </w:tcBorders>
            <w:shd w:val="clear" w:color="auto" w:fill="F7F7E5"/>
          </w:tcPr>
          <w:p>
            <w:pPr>
              <w:jc w:val="right"/>
              <w:ind w:right="289"/>
              <w:spacing w:after="0" w:line="250" w:lineRule="exact"/>
              <w:rPr>
                <w:sz w:val="20"/>
                <w:szCs w:val="20"/>
                <w:color w:val="auto"/>
              </w:rPr>
            </w:pPr>
            <w:r>
              <w:rPr>
                <w:rFonts w:ascii="Arial" w:cs="Arial" w:eastAsia="Arial" w:hAnsi="Arial"/>
                <w:sz w:val="14"/>
                <w:szCs w:val="14"/>
                <w:color w:val="auto"/>
              </w:rPr>
              <w:t>5,365</w:t>
            </w:r>
            <w:r>
              <w:rPr>
                <w:rFonts w:ascii="Arial" w:cs="Arial" w:eastAsia="Arial" w:hAnsi="Arial"/>
                <w:sz w:val="24"/>
                <w:szCs w:val="24"/>
                <w:color w:val="auto"/>
                <w:vertAlign w:val="superscript"/>
              </w:rPr>
              <w:t>(2)</w:t>
            </w:r>
          </w:p>
        </w:tc>
        <w:tc>
          <w:tcPr>
            <w:tcW w:w="600" w:type="dxa"/>
            <w:vAlign w:val="bottom"/>
            <w:tcBorders>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1CDCA"/>
            </w:tcBorders>
            <w:shd w:val="clear" w:color="auto" w:fill="F7F7E5"/>
          </w:tcPr>
          <w:p>
            <w:pPr>
              <w:jc w:val="right"/>
              <w:ind w:right="188"/>
              <w:spacing w:after="0"/>
              <w:rPr>
                <w:sz w:val="20"/>
                <w:szCs w:val="20"/>
                <w:color w:val="auto"/>
              </w:rPr>
            </w:pPr>
            <w:r>
              <w:rPr>
                <w:rFonts w:ascii="Arial" w:cs="Arial" w:eastAsia="Arial" w:hAnsi="Arial"/>
                <w:sz w:val="14"/>
                <w:szCs w:val="14"/>
                <w:color w:val="auto"/>
              </w:rPr>
              <w:t>899,979</w:t>
            </w:r>
          </w:p>
        </w:tc>
      </w:tr>
      <w:tr>
        <w:trPr>
          <w:trHeight w:val="250"/>
        </w:trPr>
        <w:tc>
          <w:tcPr>
            <w:tcW w:w="258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Stephen A. Wynn</w:t>
            </w:r>
          </w:p>
        </w:tc>
        <w:tc>
          <w:tcPr>
            <w:tcW w:w="2680" w:type="dxa"/>
            <w:vAlign w:val="bottom"/>
            <w:tcBorders>
              <w:bottom w:val="single" w:sz="8" w:color="D1CDCA"/>
            </w:tcBorders>
          </w:tcPr>
          <w:p>
            <w:pPr>
              <w:jc w:val="right"/>
              <w:ind w:right="409"/>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D1CDCA"/>
            </w:tcBorders>
          </w:tcPr>
          <w:p>
            <w:pPr>
              <w:jc w:val="right"/>
              <w:ind w:right="189"/>
              <w:spacing w:after="0"/>
              <w:rPr>
                <w:sz w:val="20"/>
                <w:szCs w:val="20"/>
                <w:color w:val="auto"/>
              </w:rPr>
            </w:pPr>
            <w:r>
              <w:rPr>
                <w:rFonts w:ascii="Arial" w:cs="Arial" w:eastAsia="Arial" w:hAnsi="Arial"/>
                <w:sz w:val="14"/>
                <w:szCs w:val="14"/>
                <w:color w:val="auto"/>
              </w:rPr>
              <w:t>—</w:t>
            </w:r>
          </w:p>
        </w:tc>
        <w:tc>
          <w:tcPr>
            <w:tcW w:w="2680" w:type="dxa"/>
            <w:vAlign w:val="bottom"/>
            <w:tcBorders>
              <w:bottom w:val="single" w:sz="8" w:color="D1CDCA"/>
            </w:tcBorders>
          </w:tcPr>
          <w:p>
            <w:pPr>
              <w:jc w:val="right"/>
              <w:ind w:right="289"/>
              <w:spacing w:after="0" w:line="250" w:lineRule="exact"/>
              <w:rPr>
                <w:sz w:val="20"/>
                <w:szCs w:val="20"/>
                <w:color w:val="auto"/>
              </w:rPr>
            </w:pPr>
            <w:r>
              <w:rPr>
                <w:rFonts w:ascii="Arial" w:cs="Arial" w:eastAsia="Arial" w:hAnsi="Arial"/>
                <w:sz w:val="14"/>
                <w:szCs w:val="14"/>
                <w:color w:val="auto"/>
              </w:rPr>
              <w:t>226,886</w:t>
            </w:r>
            <w:r>
              <w:rPr>
                <w:rFonts w:ascii="Arial" w:cs="Arial" w:eastAsia="Arial" w:hAnsi="Arial"/>
                <w:sz w:val="24"/>
                <w:szCs w:val="24"/>
                <w:color w:val="auto"/>
                <w:vertAlign w:val="superscript"/>
              </w:rPr>
              <w:t>(1</w:t>
            </w:r>
            <w:r>
              <w:rPr>
                <w:rFonts w:ascii="Arial" w:cs="Arial" w:eastAsia="Arial" w:hAnsi="Arial"/>
                <w:sz w:val="24"/>
                <w:szCs w:val="24"/>
                <w:i w:val="1"/>
                <w:iCs w:val="1"/>
                <w:color w:val="auto"/>
                <w:vertAlign w:val="superscript"/>
              </w:rPr>
              <w:t>)</w:t>
            </w:r>
          </w:p>
        </w:tc>
        <w:tc>
          <w:tcPr>
            <w:tcW w:w="1540" w:type="dxa"/>
            <w:vAlign w:val="bottom"/>
            <w:tcBorders>
              <w:bottom w:val="single" w:sz="8" w:color="D1CDCA"/>
            </w:tcBorders>
            <w:gridSpan w:val="2"/>
          </w:tcPr>
          <w:p>
            <w:pPr>
              <w:jc w:val="right"/>
              <w:ind w:right="188"/>
              <w:spacing w:after="0"/>
              <w:rPr>
                <w:sz w:val="20"/>
                <w:szCs w:val="20"/>
                <w:color w:val="auto"/>
              </w:rPr>
            </w:pPr>
            <w:r>
              <w:rPr>
                <w:rFonts w:ascii="Arial" w:cs="Arial" w:eastAsia="Arial" w:hAnsi="Arial"/>
                <w:sz w:val="14"/>
                <w:szCs w:val="14"/>
                <w:color w:val="auto"/>
              </w:rPr>
              <w:t>$27,499,835</w:t>
            </w:r>
          </w:p>
        </w:tc>
      </w:tr>
      <w:tr>
        <w:trPr>
          <w:trHeight w:val="230"/>
        </w:trPr>
        <w:tc>
          <w:tcPr>
            <w:tcW w:w="258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Stephen Cootey</w:t>
            </w:r>
          </w:p>
        </w:tc>
        <w:tc>
          <w:tcPr>
            <w:tcW w:w="2680" w:type="dxa"/>
            <w:vAlign w:val="bottom"/>
            <w:tcBorders>
              <w:bottom w:val="single" w:sz="8" w:color="F7F7E5"/>
            </w:tcBorders>
            <w:shd w:val="clear" w:color="auto" w:fill="F7F7E5"/>
          </w:tcPr>
          <w:p>
            <w:pPr>
              <w:jc w:val="right"/>
              <w:ind w:right="409"/>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F7F7E5"/>
            </w:tcBorders>
            <w:shd w:val="clear" w:color="auto" w:fill="F7F7E5"/>
          </w:tcPr>
          <w:p>
            <w:pPr>
              <w:jc w:val="right"/>
              <w:ind w:right="189"/>
              <w:spacing w:after="0"/>
              <w:rPr>
                <w:sz w:val="20"/>
                <w:szCs w:val="20"/>
                <w:color w:val="auto"/>
              </w:rPr>
            </w:pPr>
            <w:r>
              <w:rPr>
                <w:rFonts w:ascii="Arial" w:cs="Arial" w:eastAsia="Arial" w:hAnsi="Arial"/>
                <w:sz w:val="14"/>
                <w:szCs w:val="14"/>
                <w:color w:val="auto"/>
              </w:rPr>
              <w:t>—</w:t>
            </w:r>
          </w:p>
        </w:tc>
        <w:tc>
          <w:tcPr>
            <w:tcW w:w="2680" w:type="dxa"/>
            <w:vAlign w:val="bottom"/>
            <w:tcBorders>
              <w:bottom w:val="single" w:sz="8" w:color="F7F7E5"/>
            </w:tcBorders>
            <w:shd w:val="clear" w:color="auto" w:fill="F7F7E5"/>
          </w:tcPr>
          <w:p>
            <w:pPr>
              <w:jc w:val="right"/>
              <w:ind w:right="44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F7F7E5"/>
            </w:tcBorders>
            <w:shd w:val="clear" w:color="auto" w:fill="F7F7E5"/>
          </w:tcPr>
          <w:p>
            <w:pPr>
              <w:spacing w:after="0"/>
              <w:rPr>
                <w:sz w:val="20"/>
                <w:szCs w:val="20"/>
                <w:color w:val="auto"/>
              </w:rPr>
            </w:pPr>
          </w:p>
        </w:tc>
        <w:tc>
          <w:tcPr>
            <w:tcW w:w="940" w:type="dxa"/>
            <w:vAlign w:val="bottom"/>
            <w:tcBorders>
              <w:bottom w:val="single" w:sz="8" w:color="F7F7E5"/>
            </w:tcBorders>
            <w:shd w:val="clear" w:color="auto" w:fill="F7F7E5"/>
          </w:tcPr>
          <w:p>
            <w:pPr>
              <w:jc w:val="right"/>
              <w:ind w:right="188"/>
              <w:spacing w:after="0"/>
              <w:rPr>
                <w:sz w:val="20"/>
                <w:szCs w:val="20"/>
                <w:color w:val="auto"/>
              </w:rPr>
            </w:pPr>
            <w:r>
              <w:rPr>
                <w:rFonts w:ascii="Arial" w:cs="Arial" w:eastAsia="Arial" w:hAnsi="Arial"/>
                <w:sz w:val="14"/>
                <w:szCs w:val="14"/>
                <w:color w:val="auto"/>
              </w:rPr>
              <w:t>—</w:t>
            </w:r>
          </w:p>
        </w:tc>
      </w:tr>
      <w:tr>
        <w:trPr>
          <w:trHeight w:val="20"/>
        </w:trPr>
        <w:tc>
          <w:tcPr>
            <w:tcW w:w="2580" w:type="dxa"/>
            <w:vAlign w:val="bottom"/>
            <w:shd w:val="clear" w:color="auto" w:fill="D1CDCA"/>
          </w:tcPr>
          <w:p>
            <w:pPr>
              <w:spacing w:after="0" w:line="20" w:lineRule="exact"/>
              <w:rPr>
                <w:sz w:val="1"/>
                <w:szCs w:val="1"/>
                <w:color w:val="auto"/>
              </w:rPr>
            </w:pPr>
          </w:p>
        </w:tc>
        <w:tc>
          <w:tcPr>
            <w:tcW w:w="2680" w:type="dxa"/>
            <w:vAlign w:val="bottom"/>
            <w:shd w:val="clear" w:color="auto" w:fill="D1CDCA"/>
          </w:tcPr>
          <w:p>
            <w:pPr>
              <w:spacing w:after="0" w:line="20" w:lineRule="exact"/>
              <w:rPr>
                <w:sz w:val="1"/>
                <w:szCs w:val="1"/>
                <w:color w:val="auto"/>
              </w:rPr>
            </w:pPr>
          </w:p>
        </w:tc>
        <w:tc>
          <w:tcPr>
            <w:tcW w:w="1540" w:type="dxa"/>
            <w:vAlign w:val="bottom"/>
            <w:shd w:val="clear" w:color="auto" w:fill="D1CDCA"/>
          </w:tcPr>
          <w:p>
            <w:pPr>
              <w:spacing w:after="0" w:line="20" w:lineRule="exact"/>
              <w:rPr>
                <w:sz w:val="1"/>
                <w:szCs w:val="1"/>
                <w:color w:val="auto"/>
              </w:rPr>
            </w:pPr>
          </w:p>
        </w:tc>
        <w:tc>
          <w:tcPr>
            <w:tcW w:w="2680" w:type="dxa"/>
            <w:vAlign w:val="bottom"/>
            <w:shd w:val="clear" w:color="auto" w:fill="D1CDCA"/>
          </w:tcPr>
          <w:p>
            <w:pPr>
              <w:spacing w:after="0" w:line="20" w:lineRule="exact"/>
              <w:rPr>
                <w:sz w:val="1"/>
                <w:szCs w:val="1"/>
                <w:color w:val="auto"/>
              </w:rPr>
            </w:pPr>
          </w:p>
        </w:tc>
        <w:tc>
          <w:tcPr>
            <w:tcW w:w="600" w:type="dxa"/>
            <w:vAlign w:val="bottom"/>
            <w:shd w:val="clear" w:color="auto" w:fill="D1CDCA"/>
          </w:tcPr>
          <w:p>
            <w:pPr>
              <w:spacing w:after="0" w:line="20" w:lineRule="exact"/>
              <w:rPr>
                <w:sz w:val="1"/>
                <w:szCs w:val="1"/>
                <w:color w:val="auto"/>
              </w:rPr>
            </w:pPr>
          </w:p>
        </w:tc>
        <w:tc>
          <w:tcPr>
            <w:tcW w:w="940" w:type="dxa"/>
            <w:vAlign w:val="bottom"/>
            <w:shd w:val="clear" w:color="auto" w:fill="D1CDCA"/>
          </w:tcPr>
          <w:p>
            <w:pPr>
              <w:spacing w:after="0" w:line="20" w:lineRule="exact"/>
              <w:rPr>
                <w:sz w:val="1"/>
                <w:szCs w:val="1"/>
                <w:color w:val="auto"/>
              </w:rPr>
            </w:pPr>
          </w:p>
        </w:tc>
      </w:tr>
    </w:tbl>
    <w:p>
      <w:pPr>
        <w:spacing w:after="0" w:line="103" w:lineRule="exact"/>
        <w:rPr>
          <w:sz w:val="20"/>
          <w:szCs w:val="20"/>
          <w:color w:val="auto"/>
        </w:rPr>
      </w:pPr>
    </w:p>
    <w:p>
      <w:pPr>
        <w:ind w:left="360" w:right="300" w:hanging="148"/>
        <w:spacing w:after="0" w:line="253" w:lineRule="auto"/>
        <w:rPr>
          <w:sz w:val="20"/>
          <w:szCs w:val="20"/>
          <w:color w:val="auto"/>
        </w:rPr>
      </w:pPr>
      <w:r>
        <w:rPr>
          <w:rFonts w:ascii="Arial" w:cs="Arial" w:eastAsia="Arial" w:hAnsi="Arial"/>
          <w:sz w:val="12"/>
          <w:szCs w:val="12"/>
          <w:color w:val="auto"/>
        </w:rPr>
        <w:t>(1)</w:t>
      </w:r>
      <w:r>
        <w:rPr>
          <w:rFonts w:ascii="Arial" w:cs="Arial" w:eastAsia="Arial" w:hAnsi="Arial"/>
          <w:sz w:val="14"/>
          <w:szCs w:val="14"/>
          <w:color w:val="auto"/>
        </w:rPr>
        <w:t>The shares vested relate to the 2016 performance-based annual incentive awards, which were granted in January 2017, and the 2017 performance-based annual incentive awards, which</w:t>
      </w:r>
      <w:r>
        <w:rPr>
          <w:rFonts w:ascii="Arial" w:cs="Arial" w:eastAsia="Arial" w:hAnsi="Arial"/>
          <w:sz w:val="12"/>
          <w:szCs w:val="12"/>
          <w:color w:val="auto"/>
        </w:rPr>
        <w:t xml:space="preserve"> </w:t>
      </w:r>
      <w:r>
        <w:rPr>
          <w:rFonts w:ascii="Arial" w:cs="Arial" w:eastAsia="Arial" w:hAnsi="Arial"/>
          <w:sz w:val="14"/>
          <w:szCs w:val="14"/>
          <w:color w:val="auto"/>
        </w:rPr>
        <w:t>were granted in December 2017.</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(2)</w:t>
      </w:r>
      <w:r>
        <w:rPr>
          <w:rFonts w:ascii="Arial" w:cs="Arial" w:eastAsia="Arial" w:hAnsi="Arial"/>
          <w:sz w:val="14"/>
          <w:szCs w:val="14"/>
          <w:color w:val="auto"/>
        </w:rPr>
        <w:t>The shares vested relate to the 2017 performance-based annual incentive awards, which were granted in December 2017.</w:t>
      </w:r>
    </w:p>
    <w:p>
      <w:pPr>
        <w:spacing w:after="0" w:line="224" w:lineRule="exact"/>
        <w:rPr>
          <w:sz w:val="20"/>
          <w:szCs w:val="20"/>
          <w:color w:val="auto"/>
        </w:rPr>
      </w:pPr>
    </w:p>
    <w:p>
      <w:pPr>
        <w:ind w:left="200" w:right="420"/>
        <w:spacing w:after="0" w:line="260" w:lineRule="auto"/>
        <w:rPr>
          <w:sz w:val="20"/>
          <w:szCs w:val="20"/>
          <w:color w:val="auto"/>
        </w:rPr>
      </w:pPr>
      <w:r>
        <w:rPr>
          <w:rFonts w:ascii="Arial" w:cs="Arial" w:eastAsia="Arial" w:hAnsi="Arial"/>
          <w:sz w:val="16"/>
          <w:szCs w:val="16"/>
          <w:color w:val="auto"/>
        </w:rPr>
        <w:t>The amounts reported in the table above are based on the closing price of the Company’s Common Stock on the date the stock award vested. Upon vesting of the stock award, the executive also was paid an amount equal to the dividends that had accrued on the shares prior to their vesting.</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104" w:lineRule="exact"/>
        <w:rPr>
          <w:sz w:val="20"/>
          <w:szCs w:val="20"/>
          <w:color w:val="auto"/>
        </w:rPr>
      </w:pPr>
    </w:p>
    <w:p>
      <w:pPr>
        <w:ind w:left="200" w:right="20"/>
        <w:spacing w:after="0" w:line="254" w:lineRule="auto"/>
        <w:rPr>
          <w:sz w:val="20"/>
          <w:szCs w:val="20"/>
          <w:color w:val="auto"/>
        </w:rPr>
      </w:pPr>
      <w:r>
        <w:rPr>
          <w:rFonts w:ascii="Arial" w:cs="Arial" w:eastAsia="Arial" w:hAnsi="Arial"/>
          <w:sz w:val="16"/>
          <w:szCs w:val="16"/>
          <w:b w:val="1"/>
          <w:bCs w:val="1"/>
          <w:color w:val="auto"/>
        </w:rPr>
        <w:t>Payments Made Upon Termination Due to Death, Complete Disability or License Revocation</w:t>
      </w:r>
      <w:r>
        <w:rPr>
          <w:rFonts w:ascii="Arial" w:cs="Arial" w:eastAsia="Arial" w:hAnsi="Arial"/>
          <w:sz w:val="16"/>
          <w:szCs w:val="16"/>
          <w:color w:val="auto"/>
        </w:rPr>
        <w:t>. The Company’s employment agreements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NEOs provide that such agreements terminate automatically upon death or complete disability of the employee, as well as upon failure of the employee to obtain or maintain any required gaming licenses. Upon such termination, such NEO is entitled to a lump sum payment of accrued and unpaid base salary and vacation pay through the termination date. Pursuant to the terms of the applicable stock option agreements and restricted stock grant agreements, all of the unvested options and restricted stock held by the NEOs would vest upon termination as a result of such NEO’s death or complete disability.</w:t>
      </w:r>
    </w:p>
    <w:p>
      <w:pPr>
        <w:spacing w:after="0" w:line="182" w:lineRule="exact"/>
        <w:rPr>
          <w:sz w:val="20"/>
          <w:szCs w:val="20"/>
          <w:color w:val="auto"/>
        </w:rPr>
      </w:pPr>
    </w:p>
    <w:p>
      <w:pPr>
        <w:ind w:left="200" w:right="60"/>
        <w:spacing w:after="0" w:line="249" w:lineRule="auto"/>
        <w:rPr>
          <w:sz w:val="20"/>
          <w:szCs w:val="20"/>
          <w:color w:val="auto"/>
        </w:rPr>
      </w:pPr>
      <w:r>
        <w:rPr>
          <w:rFonts w:ascii="Arial" w:cs="Arial" w:eastAsia="Arial" w:hAnsi="Arial"/>
          <w:sz w:val="16"/>
          <w:szCs w:val="16"/>
          <w:b w:val="1"/>
          <w:bCs w:val="1"/>
          <w:color w:val="auto"/>
        </w:rPr>
        <w:t>Payments Made Upon Termination Without Cause at Employer’s Election or at Employee’s Election Upon Material Breach During the Term</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employment agreements with its NEOs provide that such agreements are terminable by the Company without cause upon notice to the employee, so long as a “separation payment” is paid as provided in such contracts, or by the employee upon written notice to the Company of the Company’s material breach of the agreement. Cause is defined as (i) inability or failure to secure and/or maintain any licenses or permits required by government agencies with jurisdiction over the business of the Company or its affiliates; (ii) willful destruction of property of the Company or an affiliate having a material value to the Company or such affiliate; (iii) fraud, embezzlement, theft, or comparable dishonest activity (excluding acts involving a de minimis dollar value and not related in any manner to the Company, its affiliates or their business); (iv) conviction of or entering a plea of guilty or nolo contendere to any crime constituting a felony; (v) material breach of employment agreement; (vi) neglect, refusal, or knowing failure to materially discharge duties (other than due to physical or mental illness) commensurate with title and function, or failure to comply with the lawful directions of the Company or its board; (vii) knowing material misrepresentation to the Company or its board of directors; (viii) failure to follow a material policy or procedure of the Company or an affiliate; or (ix) material breach of a statutory or common law duty of loyalty or fiduciary duty to the Company or an affiliate. Material breach is defined as (i) the Company’s failure to pay the employee’s base salary when due, (ii) the Company’s material reduction in the scope in the employee’s duties and responsibilities such that the employee’s remaining duties and responsibilities are materially inconsistent with duties and responsibilities generally associated with the employee’s position with the Company, or (iii) a material reduction in the employee’s base salary.</w:t>
      </w:r>
    </w:p>
    <w:p>
      <w:pPr>
        <w:spacing w:after="0" w:line="211" w:lineRule="exact"/>
        <w:rPr>
          <w:sz w:val="20"/>
          <w:szCs w:val="20"/>
          <w:color w:val="auto"/>
        </w:rPr>
      </w:pPr>
    </w:p>
    <w:p>
      <w:pPr>
        <w:ind w:left="200" w:right="20"/>
        <w:spacing w:after="0" w:line="246" w:lineRule="auto"/>
        <w:rPr>
          <w:sz w:val="20"/>
          <w:szCs w:val="20"/>
          <w:color w:val="auto"/>
        </w:rPr>
      </w:pPr>
      <w:r>
        <w:rPr>
          <w:rFonts w:ascii="Arial" w:cs="Arial" w:eastAsia="Arial" w:hAnsi="Arial"/>
          <w:sz w:val="16"/>
          <w:szCs w:val="16"/>
          <w:color w:val="auto"/>
        </w:rPr>
        <w:t>The “separation payment” for all NEOs equals the sum of (a) base salary for the remainder of the term of the employment agreement, but not less than 12 months; (b) bonus projected for all bonus periods through the end of the term of the employment agreement (based upon the last bonus paid pursuant to the employment agreement), but not less than the preceding bonus that was paid; (c) any accrued but unpaid vacation pay; and (d) except for Mr. Billings, an excise tax gross up. If Mr. Maddox, Ms. Sinatra or Mr. Billings is terminated without cause or resigns following the Company’s material breach of his or her employment agreement, then as a condition to receiving such separation payment, he/she must execute a written release-severance agreement that</w:t>
      </w:r>
    </w:p>
    <w:p>
      <w:pPr>
        <w:spacing w:after="0" w:line="2" w:lineRule="exact"/>
        <w:rPr>
          <w:sz w:val="20"/>
          <w:szCs w:val="20"/>
          <w:color w:val="auto"/>
        </w:rPr>
      </w:pPr>
    </w:p>
    <w:p>
      <w:pPr>
        <w:ind w:left="200" w:right="180" w:firstLine="4"/>
        <w:spacing w:after="0" w:line="260" w:lineRule="auto"/>
        <w:tabs>
          <w:tab w:leader="none" w:pos="443"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releases the Company, its affiliates, and their officers, directors, agents and employees, from any claims or causes of action, and (2) provides for the confidentiality of both the terms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97155</wp:posOffset>
            </wp:positionV>
            <wp:extent cx="6997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0" w:lineRule="exact"/>
        <w:rPr>
          <w:sz w:val="20"/>
          <w:szCs w:val="20"/>
          <w:color w:val="auto"/>
        </w:rPr>
      </w:pPr>
    </w:p>
    <w:p>
      <w:pPr>
        <w:jc w:val="right"/>
        <w:ind w:right="20"/>
        <w:spacing w:after="0"/>
        <w:tabs>
          <w:tab w:leader="none" w:pos="360" w:val="left"/>
          <w:tab w:leader="none" w:pos="16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38</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EXECUTIVE COMPENSATION TABLES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release-severance agreement and the compensation paid. In addition, the NEOs are entitled to health benefits coverage under the same plan or</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arrangement as such NEO was covered immediately prior to termination. Health benefits are to be provided until the earlier of the remainder of the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original term, or until the employee is covered by a plan of another employer. The restricted stock awards granted to Mr. Maddox, Ms. Sinatra and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Billings in 2017 will vest pro rata for the number of months served since the grant date upon termination by the Company without “cause” or by the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employee upon the Company’s material breach. As discussed above, in April 2018, the Compensation Committee approved an amended and restated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employment agreement with Mr. Maddox. Under Mr. Maddox’s amended agreement, the termination date of the agreement is extended from</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2019 to February 27, 2021 and, as part of any “separation payment,” Mr. Maddox is eligible to receive his base salary for the remainder of</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term of the amended agreement, but not less than 18 months. Additionally, under his amended agreement and Ms. Sinatra’s amended employment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agreement, both Mr. Maddox and Ms. Sinatra agreed to the cancellation of their right to an excise tax gross-up that previously was payable in connection</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with any separation payments.</w:t>
      </w:r>
    </w:p>
    <w:p>
      <w:pPr>
        <w:spacing w:after="0" w:line="201" w:lineRule="exact"/>
        <w:rPr>
          <w:sz w:val="20"/>
          <w:szCs w:val="20"/>
          <w:color w:val="auto"/>
        </w:rPr>
      </w:pPr>
    </w:p>
    <w:p>
      <w:pPr>
        <w:ind w:left="200" w:right="20"/>
        <w:spacing w:after="0" w:line="249" w:lineRule="auto"/>
        <w:rPr>
          <w:sz w:val="20"/>
          <w:szCs w:val="20"/>
          <w:color w:val="auto"/>
        </w:rPr>
      </w:pPr>
      <w:r>
        <w:rPr>
          <w:rFonts w:ascii="Arial" w:cs="Arial" w:eastAsia="Arial" w:hAnsi="Arial"/>
          <w:sz w:val="16"/>
          <w:szCs w:val="16"/>
          <w:b w:val="1"/>
          <w:bCs w:val="1"/>
          <w:color w:val="auto"/>
        </w:rPr>
        <w:t>Payments Made Upon Termination by Employee for Good Reason after Change in Control</w:t>
      </w:r>
      <w:r>
        <w:rPr>
          <w:rFonts w:ascii="Arial" w:cs="Arial" w:eastAsia="Arial" w:hAnsi="Arial"/>
          <w:sz w:val="16"/>
          <w:szCs w:val="16"/>
          <w:color w:val="auto"/>
        </w:rPr>
        <w:t>. The Company’s employment agreements with its NEOs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that such agreements are terminable by the employee for good reason after a change of control. A change of control is defined as (a) any person or group (other than Mr. Wynn and his affiliates)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“separation payment” described under “Payments Made Upon Termination Without Cause at Employer’s Election During the Term” above. Pursuant to the terms of the applicable stock option agreements, some or all of the unvested options held by the NEOs would immediately vest upon termination by the Company without cause or upon termination by the employee for good reason after a change of control. The amended employment agreements with Mr. Maddox, Ms. Sinatra and Mr. Billings amend the definition of “change of control” to delete the reference to Mr. Wynn and his affiliates and provide that their restricted stock awards will vest in full upon termination for “good reason” following a “change of control.”</w:t>
      </w:r>
    </w:p>
    <w:p>
      <w:pPr>
        <w:spacing w:after="0" w:line="376"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b w:val="1"/>
          <w:bCs w:val="1"/>
          <w:color w:val="auto"/>
        </w:rPr>
        <w:t>Payments Made Upon Termination</w:t>
      </w:r>
      <w:r>
        <w:rPr>
          <w:rFonts w:ascii="Arial" w:cs="Arial" w:eastAsia="Arial" w:hAnsi="Arial"/>
          <w:sz w:val="16"/>
          <w:szCs w:val="16"/>
          <w:color w:val="auto"/>
        </w:rPr>
        <w:t>. The tables below reflect the amount of compensation that would become payable to each of our current NEOs</w:t>
      </w:r>
      <w:r>
        <w:rPr>
          <w:rFonts w:ascii="Arial" w:cs="Arial" w:eastAsia="Arial" w:hAnsi="Arial"/>
          <w:sz w:val="16"/>
          <w:szCs w:val="16"/>
          <w:b w:val="1"/>
          <w:bCs w:val="1"/>
          <w:color w:val="auto"/>
        </w:rPr>
        <w:t xml:space="preserve"> </w:t>
      </w:r>
      <w:r>
        <w:rPr>
          <w:rFonts w:ascii="Arial" w:cs="Arial" w:eastAsia="Arial" w:hAnsi="Arial"/>
          <w:sz w:val="16"/>
          <w:szCs w:val="16"/>
          <w:color w:val="auto"/>
        </w:rPr>
        <w:t>under existing agreements and arrangements if the NEO’s employment had terminated on December 31, 2017, given the NEO’s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101600</wp:posOffset>
            </wp:positionV>
            <wp:extent cx="6997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204470</wp:posOffset>
            </wp:positionV>
            <wp:extent cx="608965" cy="274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07"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39</w:t>
        <w:tab/>
        <w:t>|</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665B4F"/>
        </w:rPr>
        <w:t>EXECUTIVE COMPENSATION TABLES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2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665B4F"/>
              </w:rPr>
              <w:t>TERMINATION UPON</w:t>
            </w:r>
          </w:p>
        </w:tc>
        <w:tc>
          <w:tcPr>
            <w:tcW w:w="1880" w:type="dxa"/>
            <w:vAlign w:val="bottom"/>
          </w:tcPr>
          <w:p>
            <w:pPr>
              <w:jc w:val="right"/>
              <w:ind w:right="88"/>
              <w:spacing w:after="0"/>
              <w:rPr>
                <w:sz w:val="20"/>
                <w:szCs w:val="20"/>
                <w:color w:val="auto"/>
              </w:rPr>
            </w:pPr>
            <w:r>
              <w:rPr>
                <w:rFonts w:ascii="Arial" w:cs="Arial" w:eastAsia="Arial" w:hAnsi="Arial"/>
                <w:sz w:val="14"/>
                <w:szCs w:val="14"/>
                <w:b w:val="1"/>
                <w:bCs w:val="1"/>
                <w:color w:val="665B4F"/>
              </w:rPr>
              <w:t>TERMINATION</w:t>
            </w:r>
          </w:p>
        </w:tc>
        <w:tc>
          <w:tcPr>
            <w:tcW w:w="19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665B4F"/>
              </w:rPr>
              <w:t>TERMINATION BY</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8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665B4F"/>
              </w:rPr>
              <w:t>WITHOUT CAUSE OR</w:t>
            </w:r>
          </w:p>
        </w:tc>
        <w:tc>
          <w:tcPr>
            <w:tcW w:w="1980" w:type="dxa"/>
            <w:vAlign w:val="bottom"/>
            <w:gridSpan w:val="2"/>
          </w:tcPr>
          <w:p>
            <w:pPr>
              <w:jc w:val="right"/>
              <w:ind w:right="128"/>
              <w:spacing w:after="0" w:line="149" w:lineRule="exact"/>
              <w:rPr>
                <w:sz w:val="20"/>
                <w:szCs w:val="20"/>
                <w:color w:val="auto"/>
              </w:rPr>
            </w:pPr>
            <w:r>
              <w:rPr>
                <w:rFonts w:ascii="Arial" w:cs="Arial" w:eastAsia="Arial" w:hAnsi="Arial"/>
                <w:sz w:val="14"/>
                <w:szCs w:val="14"/>
                <w:b w:val="1"/>
                <w:bCs w:val="1"/>
                <w:color w:val="665B4F"/>
              </w:rPr>
              <w:t>EMPLOYEE FOR GOOD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2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665B4F"/>
              </w:rPr>
              <w:t>DEATH OR COMPLETE</w:t>
            </w:r>
          </w:p>
        </w:tc>
        <w:tc>
          <w:tcPr>
            <w:tcW w:w="18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665B4F"/>
              </w:rPr>
              <w:t>UPON MATERIAL</w:t>
            </w:r>
          </w:p>
        </w:tc>
        <w:tc>
          <w:tcPr>
            <w:tcW w:w="1980" w:type="dxa"/>
            <w:vAlign w:val="bottom"/>
            <w:gridSpan w:val="2"/>
          </w:tcPr>
          <w:p>
            <w:pPr>
              <w:jc w:val="right"/>
              <w:ind w:right="128"/>
              <w:spacing w:after="0" w:line="149" w:lineRule="exact"/>
              <w:rPr>
                <w:sz w:val="20"/>
                <w:szCs w:val="20"/>
                <w:color w:val="auto"/>
              </w:rPr>
            </w:pPr>
            <w:r>
              <w:rPr>
                <w:rFonts w:ascii="Arial" w:cs="Arial" w:eastAsia="Arial" w:hAnsi="Arial"/>
                <w:sz w:val="14"/>
                <w:szCs w:val="14"/>
                <w:b w:val="1"/>
                <w:bCs w:val="1"/>
                <w:color w:val="665B4F"/>
              </w:rPr>
              <w:t>REASON AFTER</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D1CDCA"/>
            </w:tcBorders>
          </w:tcPr>
          <w:p>
            <w:pPr>
              <w:spacing w:after="0"/>
              <w:rPr>
                <w:sz w:val="16"/>
                <w:szCs w:val="16"/>
                <w:color w:val="auto"/>
              </w:rPr>
            </w:pPr>
          </w:p>
        </w:tc>
        <w:tc>
          <w:tcPr>
            <w:tcW w:w="2240" w:type="dxa"/>
            <w:vAlign w:val="bottom"/>
            <w:tcBorders>
              <w:bottom w:val="single" w:sz="8" w:color="D1CDCA"/>
            </w:tcBorders>
          </w:tcPr>
          <w:p>
            <w:pPr>
              <w:jc w:val="right"/>
              <w:ind w:right="148"/>
              <w:spacing w:after="0"/>
              <w:rPr>
                <w:sz w:val="20"/>
                <w:szCs w:val="20"/>
                <w:color w:val="auto"/>
              </w:rPr>
            </w:pPr>
            <w:r>
              <w:rPr>
                <w:rFonts w:ascii="Arial" w:cs="Arial" w:eastAsia="Arial" w:hAnsi="Arial"/>
                <w:sz w:val="14"/>
                <w:szCs w:val="14"/>
                <w:b w:val="1"/>
                <w:bCs w:val="1"/>
                <w:color w:val="665B4F"/>
              </w:rPr>
              <w:t>DISABILITY</w:t>
            </w:r>
          </w:p>
        </w:tc>
        <w:tc>
          <w:tcPr>
            <w:tcW w:w="1880" w:type="dxa"/>
            <w:vAlign w:val="bottom"/>
            <w:tcBorders>
              <w:bottom w:val="single" w:sz="8" w:color="D1CDCA"/>
            </w:tcBorders>
          </w:tcPr>
          <w:p>
            <w:pPr>
              <w:jc w:val="right"/>
              <w:ind w:right="88"/>
              <w:spacing w:after="0"/>
              <w:rPr>
                <w:sz w:val="20"/>
                <w:szCs w:val="20"/>
                <w:color w:val="auto"/>
              </w:rPr>
            </w:pPr>
            <w:r>
              <w:rPr>
                <w:rFonts w:ascii="Arial" w:cs="Arial" w:eastAsia="Arial" w:hAnsi="Arial"/>
                <w:sz w:val="14"/>
                <w:szCs w:val="14"/>
                <w:b w:val="1"/>
                <w:bCs w:val="1"/>
                <w:color w:val="665B4F"/>
              </w:rPr>
              <w:t>BREACH</w:t>
            </w:r>
          </w:p>
        </w:tc>
        <w:tc>
          <w:tcPr>
            <w:tcW w:w="1980" w:type="dxa"/>
            <w:vAlign w:val="bottom"/>
            <w:tcBorders>
              <w:bottom w:val="single" w:sz="8" w:color="D1CDCA"/>
            </w:tcBorders>
            <w:gridSpan w:val="2"/>
          </w:tcPr>
          <w:p>
            <w:pPr>
              <w:jc w:val="right"/>
              <w:ind w:right="128"/>
              <w:spacing w:after="0"/>
              <w:rPr>
                <w:sz w:val="20"/>
                <w:szCs w:val="20"/>
                <w:color w:val="auto"/>
              </w:rPr>
            </w:pPr>
            <w:r>
              <w:rPr>
                <w:rFonts w:ascii="Arial" w:cs="Arial" w:eastAsia="Arial" w:hAnsi="Arial"/>
                <w:sz w:val="14"/>
                <w:szCs w:val="14"/>
                <w:b w:val="1"/>
                <w:bCs w:val="1"/>
                <w:color w:val="665B4F"/>
              </w:rPr>
              <w:t>CHANGE IN CONTROL</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Base Salary</w:t>
            </w:r>
          </w:p>
        </w:tc>
        <w:tc>
          <w:tcPr>
            <w:tcW w:w="2240" w:type="dxa"/>
            <w:vAlign w:val="bottom"/>
            <w:tcBorders>
              <w:bottom w:val="single" w:sz="8" w:color="D1CDCA"/>
            </w:tcBorders>
            <w:shd w:val="clear" w:color="auto" w:fill="F7F7E5"/>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D1CDCA"/>
            </w:tcBorders>
            <w:shd w:val="clear" w:color="auto" w:fill="F7F7E5"/>
          </w:tcPr>
          <w:p>
            <w:pPr>
              <w:jc w:val="right"/>
              <w:ind w:right="88"/>
              <w:spacing w:after="0"/>
              <w:rPr>
                <w:sz w:val="20"/>
                <w:szCs w:val="20"/>
                <w:color w:val="auto"/>
              </w:rPr>
            </w:pPr>
            <w:r>
              <w:rPr>
                <w:rFonts w:ascii="Arial" w:cs="Arial" w:eastAsia="Arial" w:hAnsi="Arial"/>
                <w:sz w:val="14"/>
                <w:szCs w:val="14"/>
                <w:color w:val="auto"/>
              </w:rPr>
              <w:t>$3,000,000</w:t>
            </w:r>
          </w:p>
        </w:tc>
        <w:tc>
          <w:tcPr>
            <w:tcW w:w="1100" w:type="dxa"/>
            <w:vAlign w:val="bottom"/>
            <w:tcBorders>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1CDCA"/>
            </w:tcBorders>
            <w:shd w:val="clear" w:color="auto" w:fill="F7F7E5"/>
          </w:tcPr>
          <w:p>
            <w:pPr>
              <w:jc w:val="right"/>
              <w:ind w:right="128"/>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Bonus</w:t>
            </w:r>
          </w:p>
        </w:tc>
        <w:tc>
          <w:tcPr>
            <w:tcW w:w="2240" w:type="dxa"/>
            <w:vAlign w:val="bottom"/>
            <w:tcBorders>
              <w:bottom w:val="single" w:sz="8" w:color="D1CDCA"/>
            </w:tcBorders>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D1CDCA"/>
            </w:tcBorders>
          </w:tcPr>
          <w:p>
            <w:pPr>
              <w:jc w:val="right"/>
              <w:ind w:right="88"/>
              <w:spacing w:after="0"/>
              <w:rPr>
                <w:sz w:val="20"/>
                <w:szCs w:val="20"/>
                <w:color w:val="auto"/>
              </w:rPr>
            </w:pPr>
            <w:r>
              <w:rPr>
                <w:rFonts w:ascii="Arial" w:cs="Arial" w:eastAsia="Arial" w:hAnsi="Arial"/>
                <w:sz w:val="14"/>
                <w:szCs w:val="14"/>
                <w:color w:val="auto"/>
              </w:rPr>
              <w:t>$6,000,000</w:t>
            </w:r>
          </w:p>
        </w:tc>
        <w:tc>
          <w:tcPr>
            <w:tcW w:w="1100" w:type="dxa"/>
            <w:vAlign w:val="bottom"/>
            <w:tcBorders>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1CDCA"/>
            </w:tcBorders>
          </w:tcPr>
          <w:p>
            <w:pPr>
              <w:jc w:val="right"/>
              <w:ind w:right="128"/>
              <w:spacing w:after="0"/>
              <w:rPr>
                <w:sz w:val="20"/>
                <w:szCs w:val="20"/>
                <w:color w:val="auto"/>
              </w:rPr>
            </w:pPr>
            <w:r>
              <w:rPr>
                <w:rFonts w:ascii="Arial" w:cs="Arial" w:eastAsia="Arial" w:hAnsi="Arial"/>
                <w:sz w:val="14"/>
                <w:szCs w:val="14"/>
                <w:color w:val="auto"/>
              </w:rPr>
              <w:t>6,000,000</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D1CDCA"/>
            </w:tcBorders>
            <w:shd w:val="clear" w:color="auto" w:fill="F7F7E5"/>
          </w:tcPr>
          <w:p>
            <w:pPr>
              <w:ind w:left="60"/>
              <w:spacing w:after="0" w:line="242" w:lineRule="exact"/>
              <w:rPr>
                <w:sz w:val="20"/>
                <w:szCs w:val="20"/>
                <w:color w:val="auto"/>
              </w:rPr>
            </w:pPr>
            <w:r>
              <w:rPr>
                <w:rFonts w:ascii="Arial" w:cs="Arial" w:eastAsia="Arial" w:hAnsi="Arial"/>
                <w:sz w:val="14"/>
                <w:szCs w:val="14"/>
                <w:color w:val="auto"/>
              </w:rPr>
              <w:t>Stock Options/Restricted Stock</w:t>
            </w:r>
            <w:r>
              <w:rPr>
                <w:rFonts w:ascii="Arial" w:cs="Arial" w:eastAsia="Arial" w:hAnsi="Arial"/>
                <w:sz w:val="24"/>
                <w:szCs w:val="24"/>
                <w:color w:val="auto"/>
                <w:vertAlign w:val="superscript"/>
              </w:rPr>
              <w:t>(1)(2)(3)</w:t>
            </w:r>
          </w:p>
        </w:tc>
        <w:tc>
          <w:tcPr>
            <w:tcW w:w="2240" w:type="dxa"/>
            <w:vAlign w:val="bottom"/>
            <w:tcBorders>
              <w:bottom w:val="single" w:sz="8" w:color="D1CDCA"/>
            </w:tcBorders>
            <w:shd w:val="clear" w:color="auto" w:fill="F7F7E5"/>
          </w:tcPr>
          <w:p>
            <w:pPr>
              <w:jc w:val="right"/>
              <w:ind w:right="148"/>
              <w:spacing w:after="0"/>
              <w:rPr>
                <w:sz w:val="20"/>
                <w:szCs w:val="20"/>
                <w:color w:val="auto"/>
              </w:rPr>
            </w:pPr>
            <w:r>
              <w:rPr>
                <w:rFonts w:ascii="Arial" w:cs="Arial" w:eastAsia="Arial" w:hAnsi="Arial"/>
                <w:sz w:val="14"/>
                <w:szCs w:val="14"/>
                <w:color w:val="auto"/>
              </w:rPr>
              <w:t>$42,822,200</w:t>
            </w:r>
          </w:p>
        </w:tc>
        <w:tc>
          <w:tcPr>
            <w:tcW w:w="1880" w:type="dxa"/>
            <w:vAlign w:val="bottom"/>
            <w:tcBorders>
              <w:bottom w:val="single" w:sz="8" w:color="D1CDCA"/>
            </w:tcBorders>
            <w:shd w:val="clear" w:color="auto" w:fill="F7F7E5"/>
          </w:tcPr>
          <w:p>
            <w:pPr>
              <w:jc w:val="right"/>
              <w:ind w:right="88"/>
              <w:spacing w:after="0"/>
              <w:rPr>
                <w:sz w:val="20"/>
                <w:szCs w:val="20"/>
                <w:color w:val="auto"/>
              </w:rPr>
            </w:pPr>
            <w:r>
              <w:rPr>
                <w:rFonts w:ascii="Arial" w:cs="Arial" w:eastAsia="Arial" w:hAnsi="Arial"/>
                <w:sz w:val="14"/>
                <w:szCs w:val="14"/>
                <w:color w:val="auto"/>
              </w:rPr>
              <w:t>$7,590,643</w:t>
            </w:r>
          </w:p>
        </w:tc>
        <w:tc>
          <w:tcPr>
            <w:tcW w:w="1980" w:type="dxa"/>
            <w:vAlign w:val="bottom"/>
            <w:tcBorders>
              <w:bottom w:val="single" w:sz="8" w:color="D1CDCA"/>
            </w:tcBorders>
            <w:gridSpan w:val="2"/>
            <w:shd w:val="clear" w:color="auto" w:fill="F7F7E5"/>
          </w:tcPr>
          <w:p>
            <w:pPr>
              <w:jc w:val="right"/>
              <w:ind w:right="128"/>
              <w:spacing w:after="0"/>
              <w:rPr>
                <w:sz w:val="20"/>
                <w:szCs w:val="20"/>
                <w:color w:val="auto"/>
              </w:rPr>
            </w:pPr>
            <w:r>
              <w:rPr>
                <w:rFonts w:ascii="Arial" w:cs="Arial" w:eastAsia="Arial" w:hAnsi="Arial"/>
                <w:sz w:val="14"/>
                <w:szCs w:val="14"/>
                <w:color w:val="auto"/>
              </w:rPr>
              <w:t>$35,534,000</w:t>
            </w:r>
          </w:p>
        </w:tc>
        <w:tc>
          <w:tcPr>
            <w:tcW w:w="0" w:type="dxa"/>
            <w:vAlign w:val="bottom"/>
          </w:tcPr>
          <w:p>
            <w:pPr>
              <w:spacing w:after="0"/>
              <w:rPr>
                <w:sz w:val="1"/>
                <w:szCs w:val="1"/>
                <w:color w:val="auto"/>
              </w:rPr>
            </w:pPr>
          </w:p>
        </w:tc>
      </w:tr>
      <w:tr>
        <w:trPr>
          <w:trHeight w:val="231"/>
        </w:trPr>
        <w:tc>
          <w:tcPr>
            <w:tcW w:w="492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Company Paid Life Insurance</w:t>
            </w:r>
          </w:p>
        </w:tc>
        <w:tc>
          <w:tcPr>
            <w:tcW w:w="2240" w:type="dxa"/>
            <w:vAlign w:val="bottom"/>
            <w:tcBorders>
              <w:bottom w:val="single" w:sz="8" w:color="D1CDCA"/>
            </w:tcBorders>
          </w:tcPr>
          <w:p>
            <w:pPr>
              <w:jc w:val="right"/>
              <w:ind w:right="148"/>
              <w:spacing w:after="0"/>
              <w:rPr>
                <w:sz w:val="20"/>
                <w:szCs w:val="20"/>
                <w:color w:val="auto"/>
              </w:rPr>
            </w:pPr>
            <w:r>
              <w:rPr>
                <w:rFonts w:ascii="Arial" w:cs="Arial" w:eastAsia="Arial" w:hAnsi="Arial"/>
                <w:sz w:val="14"/>
                <w:szCs w:val="14"/>
                <w:color w:val="auto"/>
              </w:rPr>
              <w:t>$ 1,500,000</w:t>
            </w:r>
          </w:p>
        </w:tc>
        <w:tc>
          <w:tcPr>
            <w:tcW w:w="1880" w:type="dxa"/>
            <w:vAlign w:val="bottom"/>
            <w:tcBorders>
              <w:bottom w:val="single" w:sz="8" w:color="D1CDCA"/>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1CDCA"/>
            </w:tcBorders>
          </w:tcPr>
          <w:p>
            <w:pPr>
              <w:spacing w:after="0"/>
              <w:rPr>
                <w:sz w:val="20"/>
                <w:szCs w:val="20"/>
                <w:color w:val="auto"/>
              </w:rPr>
            </w:pPr>
          </w:p>
        </w:tc>
        <w:tc>
          <w:tcPr>
            <w:tcW w:w="880" w:type="dxa"/>
            <w:vAlign w:val="bottom"/>
            <w:tcBorders>
              <w:bottom w:val="single" w:sz="8" w:color="D1CDCA"/>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Tax Gross Up</w:t>
            </w:r>
          </w:p>
        </w:tc>
        <w:tc>
          <w:tcPr>
            <w:tcW w:w="2240" w:type="dxa"/>
            <w:vAlign w:val="bottom"/>
            <w:tcBorders>
              <w:bottom w:val="single" w:sz="8" w:color="D1CDCA"/>
            </w:tcBorders>
            <w:shd w:val="clear" w:color="auto" w:fill="F7F7E5"/>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D1CDCA"/>
            </w:tcBorders>
            <w:shd w:val="clear" w:color="auto" w:fill="F7F7E5"/>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1CDCA"/>
            </w:tcBorders>
            <w:shd w:val="clear" w:color="auto" w:fill="F7F7E5"/>
          </w:tcPr>
          <w:p>
            <w:pPr>
              <w:spacing w:after="0"/>
              <w:rPr>
                <w:sz w:val="20"/>
                <w:szCs w:val="20"/>
                <w:color w:val="auto"/>
              </w:rPr>
            </w:pPr>
          </w:p>
        </w:tc>
        <w:tc>
          <w:tcPr>
            <w:tcW w:w="880" w:type="dxa"/>
            <w:vAlign w:val="bottom"/>
            <w:tcBorders>
              <w:bottom w:val="single" w:sz="8" w:color="D1CDCA"/>
            </w:tcBorders>
            <w:shd w:val="clear" w:color="auto" w:fill="F7F7E5"/>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D1CDCA"/>
            </w:tcBorders>
          </w:tcPr>
          <w:p>
            <w:pPr>
              <w:ind w:left="60"/>
              <w:spacing w:after="0" w:line="242" w:lineRule="exact"/>
              <w:rPr>
                <w:sz w:val="20"/>
                <w:szCs w:val="20"/>
                <w:color w:val="auto"/>
              </w:rPr>
            </w:pPr>
            <w:r>
              <w:rPr>
                <w:rFonts w:ascii="Arial" w:cs="Arial" w:eastAsia="Arial" w:hAnsi="Arial"/>
                <w:sz w:val="14"/>
                <w:szCs w:val="14"/>
                <w:color w:val="auto"/>
              </w:rPr>
              <w:t>Benefits</w:t>
            </w:r>
            <w:r>
              <w:rPr>
                <w:rFonts w:ascii="Arial" w:cs="Arial" w:eastAsia="Arial" w:hAnsi="Arial"/>
                <w:sz w:val="24"/>
                <w:szCs w:val="24"/>
                <w:color w:val="auto"/>
                <w:vertAlign w:val="superscript"/>
              </w:rPr>
              <w:t>(4)</w:t>
            </w:r>
          </w:p>
        </w:tc>
        <w:tc>
          <w:tcPr>
            <w:tcW w:w="2240" w:type="dxa"/>
            <w:vAlign w:val="bottom"/>
            <w:tcBorders>
              <w:bottom w:val="single" w:sz="8" w:color="D1CDCA"/>
            </w:tcBorders>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D1CDCA"/>
            </w:tcBorders>
          </w:tcPr>
          <w:p>
            <w:pPr>
              <w:jc w:val="right"/>
              <w:ind w:right="88"/>
              <w:spacing w:after="0"/>
              <w:rPr>
                <w:sz w:val="20"/>
                <w:szCs w:val="20"/>
                <w:color w:val="auto"/>
              </w:rPr>
            </w:pPr>
            <w:r>
              <w:rPr>
                <w:rFonts w:ascii="Arial" w:cs="Arial" w:eastAsia="Arial" w:hAnsi="Arial"/>
                <w:sz w:val="14"/>
                <w:szCs w:val="14"/>
                <w:color w:val="auto"/>
              </w:rPr>
              <w:t>$  157,451</w:t>
            </w:r>
          </w:p>
        </w:tc>
        <w:tc>
          <w:tcPr>
            <w:tcW w:w="1100" w:type="dxa"/>
            <w:vAlign w:val="bottom"/>
            <w:tcBorders>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1CDCA"/>
            </w:tcBorders>
          </w:tcPr>
          <w:p>
            <w:pPr>
              <w:jc w:val="right"/>
              <w:ind w:right="128"/>
              <w:spacing w:after="0"/>
              <w:rPr>
                <w:sz w:val="20"/>
                <w:szCs w:val="20"/>
                <w:color w:val="auto"/>
              </w:rPr>
            </w:pPr>
            <w:r>
              <w:rPr>
                <w:rFonts w:ascii="Arial" w:cs="Arial" w:eastAsia="Arial" w:hAnsi="Arial"/>
                <w:sz w:val="14"/>
                <w:szCs w:val="14"/>
                <w:color w:val="auto"/>
              </w:rPr>
              <w:t>157,451</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60" w:right="320" w:hanging="148"/>
        <w:spacing w:after="0" w:line="238" w:lineRule="auto"/>
        <w:rPr>
          <w:sz w:val="20"/>
          <w:szCs w:val="20"/>
          <w:color w:val="auto"/>
        </w:rPr>
      </w:pPr>
      <w:r>
        <w:rPr>
          <w:rFonts w:ascii="Arial" w:cs="Arial" w:eastAsia="Arial" w:hAnsi="Arial"/>
          <w:sz w:val="12"/>
          <w:szCs w:val="12"/>
          <w:color w:val="auto"/>
        </w:rPr>
        <w:t>(1)</w:t>
      </w:r>
      <w:r>
        <w:rPr>
          <w:rFonts w:ascii="Arial" w:cs="Arial" w:eastAsia="Arial" w:hAnsi="Arial"/>
          <w:sz w:val="14"/>
          <w:szCs w:val="14"/>
          <w:color w:val="auto"/>
        </w:rPr>
        <w:t>As of December 31, 2017, vested stock options of 25,000 were available for exercise. Using the closing price on December 31, 2017, the value of such vested shares would have been</w:t>
      </w:r>
      <w:r>
        <w:rPr>
          <w:rFonts w:ascii="Arial" w:cs="Arial" w:eastAsia="Arial" w:hAnsi="Arial"/>
          <w:sz w:val="12"/>
          <w:szCs w:val="12"/>
          <w:color w:val="auto"/>
        </w:rPr>
        <w:t xml:space="preserve"> </w:t>
      </w:r>
      <w:r>
        <w:rPr>
          <w:rFonts w:ascii="Arial" w:cs="Arial" w:eastAsia="Arial" w:hAnsi="Arial"/>
          <w:sz w:val="14"/>
          <w:szCs w:val="14"/>
          <w:color w:val="auto"/>
        </w:rPr>
        <w:t>$1,516,000. Upon death or complete disability, unvested stock options of 60,000 would vest in full immediately. Using the closing price on December 31, 2017, the value of such stock options upon exercise would have been $7,288,200.</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(2)</w:t>
      </w:r>
      <w:r>
        <w:rPr>
          <w:rFonts w:ascii="Arial" w:cs="Arial" w:eastAsia="Arial" w:hAnsi="Arial"/>
          <w:sz w:val="13"/>
          <w:szCs w:val="13"/>
          <w:color w:val="auto"/>
        </w:rPr>
        <w:t>Upon death, complete disability or change in control, 200,000 shares of restricted stock would vest in full immediately. Using the closing price on December 31, 2017, the value of such</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200,000 shares would have been $33,718,000, plus accrued dividends of $300,000.</w:t>
      </w:r>
    </w:p>
    <w:p>
      <w:pPr>
        <w:spacing w:after="0" w:line="43" w:lineRule="exact"/>
        <w:rPr>
          <w:sz w:val="20"/>
          <w:szCs w:val="20"/>
          <w:color w:val="auto"/>
        </w:rPr>
      </w:pPr>
    </w:p>
    <w:p>
      <w:pPr>
        <w:ind w:left="360" w:right="220" w:hanging="148"/>
        <w:spacing w:after="0" w:line="253" w:lineRule="auto"/>
        <w:rPr>
          <w:sz w:val="20"/>
          <w:szCs w:val="20"/>
          <w:color w:val="auto"/>
        </w:rPr>
      </w:pPr>
      <w:r>
        <w:rPr>
          <w:rFonts w:ascii="Arial" w:cs="Arial" w:eastAsia="Arial" w:hAnsi="Arial"/>
          <w:sz w:val="12"/>
          <w:szCs w:val="12"/>
          <w:color w:val="auto"/>
        </w:rPr>
        <w:t>(3)</w:t>
      </w:r>
      <w:r>
        <w:rPr>
          <w:rFonts w:ascii="Arial" w:cs="Arial" w:eastAsia="Arial" w:hAnsi="Arial"/>
          <w:sz w:val="14"/>
          <w:szCs w:val="14"/>
          <w:color w:val="auto"/>
        </w:rPr>
        <w:t>Upon termination without cause or upon the Company’s material breach, 200,000 shares of restricted stock would vest on a prorated basis based on the number of months since the grant</w:t>
      </w:r>
      <w:r>
        <w:rPr>
          <w:rFonts w:ascii="Arial" w:cs="Arial" w:eastAsia="Arial" w:hAnsi="Arial"/>
          <w:sz w:val="12"/>
          <w:szCs w:val="12"/>
          <w:color w:val="auto"/>
        </w:rPr>
        <w:t xml:space="preserve"> </w:t>
      </w:r>
      <w:r>
        <w:rPr>
          <w:rFonts w:ascii="Arial" w:cs="Arial" w:eastAsia="Arial" w:hAnsi="Arial"/>
          <w:sz w:val="14"/>
          <w:szCs w:val="14"/>
          <w:color w:val="auto"/>
        </w:rPr>
        <w:t>date. Using the closing price on December 31, 2017, the value of such 200,000 shares would have been ,$6,021,072, plus accrued dividends of $53,571.</w:t>
      </w:r>
    </w:p>
    <w:p>
      <w:pPr>
        <w:spacing w:after="0" w:line="25" w:lineRule="exact"/>
        <w:rPr>
          <w:sz w:val="20"/>
          <w:szCs w:val="20"/>
          <w:color w:val="auto"/>
        </w:rPr>
      </w:pPr>
    </w:p>
    <w:p>
      <w:pPr>
        <w:ind w:left="360" w:right="480" w:hanging="148"/>
        <w:spacing w:after="0" w:line="253" w:lineRule="auto"/>
        <w:rPr>
          <w:sz w:val="20"/>
          <w:szCs w:val="20"/>
          <w:color w:val="auto"/>
        </w:rPr>
      </w:pPr>
      <w:r>
        <w:rPr>
          <w:rFonts w:ascii="Arial" w:cs="Arial" w:eastAsia="Arial" w:hAnsi="Arial"/>
          <w:sz w:val="12"/>
          <w:szCs w:val="12"/>
          <w:color w:val="auto"/>
        </w:rPr>
        <w:t>(4)</w:t>
      </w:r>
      <w:r>
        <w:rPr>
          <w:rFonts w:ascii="Arial" w:cs="Arial" w:eastAsia="Arial" w:hAnsi="Arial"/>
          <w:sz w:val="14"/>
          <w:szCs w:val="14"/>
          <w:color w:val="auto"/>
        </w:rPr>
        <w:t>Continued health benefits for remainder of the term or until covered by another plan. Amounts shown reflect an estimated cost including tax equalization for providing such benefits</w:t>
      </w:r>
      <w:r>
        <w:rPr>
          <w:rFonts w:ascii="Arial" w:cs="Arial" w:eastAsia="Arial" w:hAnsi="Arial"/>
          <w:sz w:val="12"/>
          <w:szCs w:val="12"/>
          <w:color w:val="auto"/>
        </w:rPr>
        <w:t xml:space="preserve"> </w:t>
      </w:r>
      <w:r>
        <w:rPr>
          <w:rFonts w:ascii="Arial" w:cs="Arial" w:eastAsia="Arial" w:hAnsi="Arial"/>
          <w:sz w:val="14"/>
          <w:szCs w:val="14"/>
          <w:color w:val="auto"/>
        </w:rPr>
        <w:t>through the remainder of the term.</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665B4F"/>
              </w:rPr>
              <w:t>TERMINATION UPON</w:t>
            </w:r>
          </w:p>
        </w:tc>
        <w:tc>
          <w:tcPr>
            <w:tcW w:w="2040" w:type="dxa"/>
            <w:vAlign w:val="bottom"/>
          </w:tcPr>
          <w:p>
            <w:pPr>
              <w:jc w:val="right"/>
              <w:ind w:right="228"/>
              <w:spacing w:after="0"/>
              <w:rPr>
                <w:sz w:val="20"/>
                <w:szCs w:val="20"/>
                <w:color w:val="auto"/>
              </w:rPr>
            </w:pPr>
            <w:r>
              <w:rPr>
                <w:rFonts w:ascii="Arial" w:cs="Arial" w:eastAsia="Arial" w:hAnsi="Arial"/>
                <w:sz w:val="14"/>
                <w:szCs w:val="14"/>
                <w:b w:val="1"/>
                <w:bCs w:val="1"/>
                <w:color w:val="665B4F"/>
              </w:rPr>
              <w:t>TERMINATION</w:t>
            </w:r>
          </w:p>
        </w:tc>
        <w:tc>
          <w:tcPr>
            <w:tcW w:w="22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665B4F"/>
              </w:rPr>
              <w:t>TERMINATION BY</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204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665B4F"/>
              </w:rPr>
              <w:t>WITHOUT CAUSE OR</w:t>
            </w:r>
          </w:p>
        </w:tc>
        <w:tc>
          <w:tcPr>
            <w:tcW w:w="2260" w:type="dxa"/>
            <w:vAlign w:val="bottom"/>
            <w:gridSpan w:val="2"/>
          </w:tcPr>
          <w:p>
            <w:pPr>
              <w:jc w:val="right"/>
              <w:ind w:right="268"/>
              <w:spacing w:after="0" w:line="149" w:lineRule="exact"/>
              <w:rPr>
                <w:sz w:val="20"/>
                <w:szCs w:val="20"/>
                <w:color w:val="auto"/>
              </w:rPr>
            </w:pPr>
            <w:r>
              <w:rPr>
                <w:rFonts w:ascii="Arial" w:cs="Arial" w:eastAsia="Arial" w:hAnsi="Arial"/>
                <w:sz w:val="14"/>
                <w:szCs w:val="14"/>
                <w:b w:val="1"/>
                <w:bCs w:val="1"/>
                <w:color w:val="665B4F"/>
              </w:rPr>
              <w:t>EMPLOYEE FOR GOOD</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10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665B4F"/>
              </w:rPr>
              <w:t>DEATH OR COMPLETE</w:t>
            </w:r>
          </w:p>
        </w:tc>
        <w:tc>
          <w:tcPr>
            <w:tcW w:w="204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665B4F"/>
              </w:rPr>
              <w:t>UPON MATERIAL</w:t>
            </w:r>
          </w:p>
        </w:tc>
        <w:tc>
          <w:tcPr>
            <w:tcW w:w="2260" w:type="dxa"/>
            <w:vAlign w:val="bottom"/>
            <w:gridSpan w:val="2"/>
          </w:tcPr>
          <w:p>
            <w:pPr>
              <w:jc w:val="right"/>
              <w:ind w:right="268"/>
              <w:spacing w:after="0" w:line="149" w:lineRule="exact"/>
              <w:rPr>
                <w:sz w:val="20"/>
                <w:szCs w:val="20"/>
                <w:color w:val="auto"/>
              </w:rPr>
            </w:pPr>
            <w:r>
              <w:rPr>
                <w:rFonts w:ascii="Arial" w:cs="Arial" w:eastAsia="Arial" w:hAnsi="Arial"/>
                <w:sz w:val="14"/>
                <w:szCs w:val="14"/>
                <w:b w:val="1"/>
                <w:bCs w:val="1"/>
                <w:color w:val="665B4F"/>
              </w:rPr>
              <w:t>REASON AFTER</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D1CDCA"/>
            </w:tcBorders>
          </w:tcPr>
          <w:p>
            <w:pPr>
              <w:spacing w:after="0"/>
              <w:rPr>
                <w:sz w:val="16"/>
                <w:szCs w:val="16"/>
                <w:color w:val="auto"/>
              </w:rPr>
            </w:pPr>
          </w:p>
        </w:tc>
        <w:tc>
          <w:tcPr>
            <w:tcW w:w="2100" w:type="dxa"/>
            <w:vAlign w:val="bottom"/>
            <w:tcBorders>
              <w:bottom w:val="single" w:sz="8" w:color="D1CDCA"/>
            </w:tcBorders>
          </w:tcPr>
          <w:p>
            <w:pPr>
              <w:jc w:val="right"/>
              <w:ind w:right="168"/>
              <w:spacing w:after="0"/>
              <w:rPr>
                <w:sz w:val="20"/>
                <w:szCs w:val="20"/>
                <w:color w:val="auto"/>
              </w:rPr>
            </w:pPr>
            <w:r>
              <w:rPr>
                <w:rFonts w:ascii="Arial" w:cs="Arial" w:eastAsia="Arial" w:hAnsi="Arial"/>
                <w:sz w:val="14"/>
                <w:szCs w:val="14"/>
                <w:b w:val="1"/>
                <w:bCs w:val="1"/>
                <w:color w:val="665B4F"/>
              </w:rPr>
              <w:t>DISABILITY</w:t>
            </w:r>
          </w:p>
        </w:tc>
        <w:tc>
          <w:tcPr>
            <w:tcW w:w="2040" w:type="dxa"/>
            <w:vAlign w:val="bottom"/>
            <w:tcBorders>
              <w:bottom w:val="single" w:sz="8" w:color="D1CDCA"/>
            </w:tcBorders>
          </w:tcPr>
          <w:p>
            <w:pPr>
              <w:jc w:val="right"/>
              <w:ind w:right="228"/>
              <w:spacing w:after="0"/>
              <w:rPr>
                <w:sz w:val="20"/>
                <w:szCs w:val="20"/>
                <w:color w:val="auto"/>
              </w:rPr>
            </w:pPr>
            <w:r>
              <w:rPr>
                <w:rFonts w:ascii="Arial" w:cs="Arial" w:eastAsia="Arial" w:hAnsi="Arial"/>
                <w:sz w:val="14"/>
                <w:szCs w:val="14"/>
                <w:b w:val="1"/>
                <w:bCs w:val="1"/>
                <w:color w:val="665B4F"/>
              </w:rPr>
              <w:t>BREACH</w:t>
            </w:r>
          </w:p>
        </w:tc>
        <w:tc>
          <w:tcPr>
            <w:tcW w:w="2260" w:type="dxa"/>
            <w:vAlign w:val="bottom"/>
            <w:tcBorders>
              <w:bottom w:val="single" w:sz="8" w:color="D1CDCA"/>
            </w:tcBorders>
            <w:gridSpan w:val="2"/>
          </w:tcPr>
          <w:p>
            <w:pPr>
              <w:jc w:val="right"/>
              <w:ind w:right="268"/>
              <w:spacing w:after="0"/>
              <w:rPr>
                <w:sz w:val="20"/>
                <w:szCs w:val="20"/>
                <w:color w:val="auto"/>
              </w:rPr>
            </w:pPr>
            <w:r>
              <w:rPr>
                <w:rFonts w:ascii="Arial" w:cs="Arial" w:eastAsia="Arial" w:hAnsi="Arial"/>
                <w:sz w:val="14"/>
                <w:szCs w:val="14"/>
                <w:b w:val="1"/>
                <w:bCs w:val="1"/>
                <w:color w:val="665B4F"/>
              </w:rPr>
              <w:t>CHANGE IN CONTROL</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Base Salary</w:t>
            </w:r>
          </w:p>
        </w:tc>
        <w:tc>
          <w:tcPr>
            <w:tcW w:w="2100" w:type="dxa"/>
            <w:vAlign w:val="bottom"/>
            <w:tcBorders>
              <w:bottom w:val="single" w:sz="8" w:color="D1CDCA"/>
            </w:tcBorders>
            <w:shd w:val="clear" w:color="auto" w:fill="F7F7E5"/>
          </w:tcPr>
          <w:p>
            <w:pPr>
              <w:jc w:val="right"/>
              <w:ind w:right="16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D1CDCA"/>
            </w:tcBorders>
            <w:shd w:val="clear" w:color="auto" w:fill="F7F7E5"/>
          </w:tcPr>
          <w:p>
            <w:pPr>
              <w:jc w:val="right"/>
              <w:ind w:right="228"/>
              <w:spacing w:after="0"/>
              <w:rPr>
                <w:sz w:val="20"/>
                <w:szCs w:val="20"/>
                <w:color w:val="auto"/>
              </w:rPr>
            </w:pPr>
            <w:r>
              <w:rPr>
                <w:rFonts w:ascii="Arial" w:cs="Arial" w:eastAsia="Arial" w:hAnsi="Arial"/>
                <w:sz w:val="14"/>
                <w:szCs w:val="14"/>
                <w:color w:val="auto"/>
              </w:rPr>
              <w:t>$2,166,667</w:t>
            </w:r>
          </w:p>
        </w:tc>
        <w:tc>
          <w:tcPr>
            <w:tcW w:w="1240" w:type="dxa"/>
            <w:vAlign w:val="bottom"/>
            <w:tcBorders>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1CDCA"/>
            </w:tcBorders>
            <w:shd w:val="clear" w:color="auto" w:fill="F7F7E5"/>
          </w:tcPr>
          <w:p>
            <w:pPr>
              <w:jc w:val="right"/>
              <w:ind w:right="268"/>
              <w:spacing w:after="0"/>
              <w:rPr>
                <w:sz w:val="20"/>
                <w:szCs w:val="20"/>
                <w:color w:val="auto"/>
              </w:rPr>
            </w:pPr>
            <w:r>
              <w:rPr>
                <w:rFonts w:ascii="Arial" w:cs="Arial" w:eastAsia="Arial" w:hAnsi="Arial"/>
                <w:sz w:val="14"/>
                <w:szCs w:val="14"/>
                <w:color w:val="auto"/>
              </w:rPr>
              <w:t>2,166,667</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Bonus</w:t>
            </w:r>
          </w:p>
        </w:tc>
        <w:tc>
          <w:tcPr>
            <w:tcW w:w="2100" w:type="dxa"/>
            <w:vAlign w:val="bottom"/>
            <w:tcBorders>
              <w:bottom w:val="single" w:sz="8" w:color="D1CDCA"/>
            </w:tcBorders>
          </w:tcPr>
          <w:p>
            <w:pPr>
              <w:jc w:val="right"/>
              <w:ind w:right="16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D1CDCA"/>
            </w:tcBorders>
          </w:tcPr>
          <w:p>
            <w:pPr>
              <w:jc w:val="right"/>
              <w:ind w:right="228"/>
              <w:spacing w:after="0"/>
              <w:rPr>
                <w:sz w:val="20"/>
                <w:szCs w:val="20"/>
                <w:color w:val="auto"/>
              </w:rPr>
            </w:pPr>
            <w:r>
              <w:rPr>
                <w:rFonts w:ascii="Arial" w:cs="Arial" w:eastAsia="Arial" w:hAnsi="Arial"/>
                <w:sz w:val="14"/>
                <w:szCs w:val="14"/>
                <w:color w:val="auto"/>
              </w:rPr>
              <w:t>$5,200,000</w:t>
            </w:r>
          </w:p>
        </w:tc>
        <w:tc>
          <w:tcPr>
            <w:tcW w:w="1240" w:type="dxa"/>
            <w:vAlign w:val="bottom"/>
            <w:tcBorders>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1CDCA"/>
            </w:tcBorders>
          </w:tcPr>
          <w:p>
            <w:pPr>
              <w:jc w:val="right"/>
              <w:ind w:right="268"/>
              <w:spacing w:after="0"/>
              <w:rPr>
                <w:sz w:val="20"/>
                <w:szCs w:val="20"/>
                <w:color w:val="auto"/>
              </w:rPr>
            </w:pPr>
            <w:r>
              <w:rPr>
                <w:rFonts w:ascii="Arial" w:cs="Arial" w:eastAsia="Arial" w:hAnsi="Arial"/>
                <w:sz w:val="14"/>
                <w:szCs w:val="14"/>
                <w:color w:val="auto"/>
              </w:rPr>
              <w:t>5,200,000</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D1CDCA"/>
            </w:tcBorders>
            <w:shd w:val="clear" w:color="auto" w:fill="F7F7E5"/>
          </w:tcPr>
          <w:p>
            <w:pPr>
              <w:ind w:left="60"/>
              <w:spacing w:after="0" w:line="242" w:lineRule="exact"/>
              <w:rPr>
                <w:sz w:val="20"/>
                <w:szCs w:val="20"/>
                <w:color w:val="auto"/>
              </w:rPr>
            </w:pPr>
            <w:r>
              <w:rPr>
                <w:rFonts w:ascii="Arial" w:cs="Arial" w:eastAsia="Arial" w:hAnsi="Arial"/>
                <w:sz w:val="14"/>
                <w:szCs w:val="14"/>
                <w:color w:val="auto"/>
              </w:rPr>
              <w:t>Stock Options/Restricted Stock</w:t>
            </w:r>
            <w:r>
              <w:rPr>
                <w:rFonts w:ascii="Arial" w:cs="Arial" w:eastAsia="Arial" w:hAnsi="Arial"/>
                <w:sz w:val="24"/>
                <w:szCs w:val="24"/>
                <w:color w:val="auto"/>
                <w:vertAlign w:val="superscript"/>
              </w:rPr>
              <w:t>(1)(2)(3)</w:t>
            </w:r>
          </w:p>
        </w:tc>
        <w:tc>
          <w:tcPr>
            <w:tcW w:w="2100" w:type="dxa"/>
            <w:vAlign w:val="bottom"/>
            <w:tcBorders>
              <w:bottom w:val="single" w:sz="8" w:color="D1CDCA"/>
            </w:tcBorders>
            <w:shd w:val="clear" w:color="auto" w:fill="F7F7E5"/>
          </w:tcPr>
          <w:p>
            <w:pPr>
              <w:jc w:val="right"/>
              <w:ind w:right="168"/>
              <w:spacing w:after="0"/>
              <w:rPr>
                <w:sz w:val="20"/>
                <w:szCs w:val="20"/>
                <w:color w:val="auto"/>
              </w:rPr>
            </w:pPr>
            <w:r>
              <w:rPr>
                <w:rFonts w:ascii="Arial" w:cs="Arial" w:eastAsia="Arial" w:hAnsi="Arial"/>
                <w:sz w:val="14"/>
                <w:szCs w:val="14"/>
                <w:color w:val="auto"/>
              </w:rPr>
              <w:t>$26,119,250</w:t>
            </w:r>
          </w:p>
        </w:tc>
        <w:tc>
          <w:tcPr>
            <w:tcW w:w="2040" w:type="dxa"/>
            <w:vAlign w:val="bottom"/>
            <w:tcBorders>
              <w:bottom w:val="single" w:sz="8" w:color="D1CDCA"/>
            </w:tcBorders>
            <w:shd w:val="clear" w:color="auto" w:fill="F7F7E5"/>
          </w:tcPr>
          <w:p>
            <w:pPr>
              <w:jc w:val="right"/>
              <w:ind w:right="228"/>
              <w:spacing w:after="0"/>
              <w:rPr>
                <w:sz w:val="20"/>
                <w:szCs w:val="20"/>
                <w:color w:val="auto"/>
              </w:rPr>
            </w:pPr>
            <w:r>
              <w:rPr>
                <w:rFonts w:ascii="Arial" w:cs="Arial" w:eastAsia="Arial" w:hAnsi="Arial"/>
                <w:sz w:val="14"/>
                <w:szCs w:val="14"/>
                <w:color w:val="auto"/>
              </w:rPr>
              <w:t>$6,074,071</w:t>
            </w:r>
          </w:p>
        </w:tc>
        <w:tc>
          <w:tcPr>
            <w:tcW w:w="2260" w:type="dxa"/>
            <w:vAlign w:val="bottom"/>
            <w:tcBorders>
              <w:bottom w:val="single" w:sz="8" w:color="D1CDCA"/>
            </w:tcBorders>
            <w:gridSpan w:val="2"/>
            <w:shd w:val="clear" w:color="auto" w:fill="F7F7E5"/>
          </w:tcPr>
          <w:p>
            <w:pPr>
              <w:jc w:val="right"/>
              <w:ind w:right="268"/>
              <w:spacing w:after="0"/>
              <w:rPr>
                <w:sz w:val="20"/>
                <w:szCs w:val="20"/>
                <w:color w:val="auto"/>
              </w:rPr>
            </w:pPr>
            <w:r>
              <w:rPr>
                <w:rFonts w:ascii="Arial" w:cs="Arial" w:eastAsia="Arial" w:hAnsi="Arial"/>
                <w:sz w:val="14"/>
                <w:szCs w:val="14"/>
                <w:color w:val="auto"/>
              </w:rPr>
              <w:t>$20,045,750</w:t>
            </w:r>
          </w:p>
        </w:tc>
        <w:tc>
          <w:tcPr>
            <w:tcW w:w="0" w:type="dxa"/>
            <w:vAlign w:val="bottom"/>
          </w:tcPr>
          <w:p>
            <w:pPr>
              <w:spacing w:after="0"/>
              <w:rPr>
                <w:sz w:val="1"/>
                <w:szCs w:val="1"/>
                <w:color w:val="auto"/>
              </w:rPr>
            </w:pPr>
          </w:p>
        </w:tc>
      </w:tr>
      <w:tr>
        <w:trPr>
          <w:trHeight w:val="231"/>
        </w:trPr>
        <w:tc>
          <w:tcPr>
            <w:tcW w:w="462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Company Paid Life Insurance</w:t>
            </w:r>
          </w:p>
        </w:tc>
        <w:tc>
          <w:tcPr>
            <w:tcW w:w="2100" w:type="dxa"/>
            <w:vAlign w:val="bottom"/>
            <w:tcBorders>
              <w:bottom w:val="single" w:sz="8" w:color="D1CDCA"/>
            </w:tcBorders>
          </w:tcPr>
          <w:p>
            <w:pPr>
              <w:jc w:val="right"/>
              <w:ind w:right="168"/>
              <w:spacing w:after="0"/>
              <w:rPr>
                <w:sz w:val="20"/>
                <w:szCs w:val="20"/>
                <w:color w:val="auto"/>
              </w:rPr>
            </w:pPr>
            <w:r>
              <w:rPr>
                <w:rFonts w:ascii="Arial" w:cs="Arial" w:eastAsia="Arial" w:hAnsi="Arial"/>
                <w:sz w:val="14"/>
                <w:szCs w:val="14"/>
                <w:color w:val="auto"/>
              </w:rPr>
              <w:t>$ 1,000,000</w:t>
            </w:r>
          </w:p>
        </w:tc>
        <w:tc>
          <w:tcPr>
            <w:tcW w:w="2040" w:type="dxa"/>
            <w:vAlign w:val="bottom"/>
            <w:tcBorders>
              <w:bottom w:val="single" w:sz="8" w:color="D1CDCA"/>
            </w:tcBorders>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1CDCA"/>
            </w:tcBorders>
          </w:tcPr>
          <w:p>
            <w:pPr>
              <w:spacing w:after="0"/>
              <w:rPr>
                <w:sz w:val="20"/>
                <w:szCs w:val="20"/>
                <w:color w:val="auto"/>
              </w:rPr>
            </w:pPr>
          </w:p>
        </w:tc>
        <w:tc>
          <w:tcPr>
            <w:tcW w:w="1020" w:type="dxa"/>
            <w:vAlign w:val="bottom"/>
            <w:tcBorders>
              <w:bottom w:val="single" w:sz="8" w:color="D1CDCA"/>
            </w:tcBorders>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Tax Gross Up</w:t>
            </w:r>
          </w:p>
        </w:tc>
        <w:tc>
          <w:tcPr>
            <w:tcW w:w="2100" w:type="dxa"/>
            <w:vAlign w:val="bottom"/>
            <w:tcBorders>
              <w:bottom w:val="single" w:sz="8" w:color="D1CDCA"/>
            </w:tcBorders>
            <w:shd w:val="clear" w:color="auto" w:fill="F7F7E5"/>
          </w:tcPr>
          <w:p>
            <w:pPr>
              <w:jc w:val="right"/>
              <w:ind w:right="16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D1CDCA"/>
            </w:tcBorders>
            <w:shd w:val="clear" w:color="auto" w:fill="F7F7E5"/>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1CDCA"/>
            </w:tcBorders>
            <w:shd w:val="clear" w:color="auto" w:fill="F7F7E5"/>
          </w:tcPr>
          <w:p>
            <w:pPr>
              <w:spacing w:after="0"/>
              <w:rPr>
                <w:sz w:val="20"/>
                <w:szCs w:val="20"/>
                <w:color w:val="auto"/>
              </w:rPr>
            </w:pPr>
          </w:p>
        </w:tc>
        <w:tc>
          <w:tcPr>
            <w:tcW w:w="1020" w:type="dxa"/>
            <w:vAlign w:val="bottom"/>
            <w:tcBorders>
              <w:bottom w:val="single" w:sz="8" w:color="D1CDCA"/>
            </w:tcBorders>
            <w:shd w:val="clear" w:color="auto" w:fill="F7F7E5"/>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D1CDCA"/>
            </w:tcBorders>
          </w:tcPr>
          <w:p>
            <w:pPr>
              <w:ind w:left="60"/>
              <w:spacing w:after="0" w:line="242" w:lineRule="exact"/>
              <w:rPr>
                <w:sz w:val="20"/>
                <w:szCs w:val="20"/>
                <w:color w:val="auto"/>
              </w:rPr>
            </w:pPr>
            <w:r>
              <w:rPr>
                <w:rFonts w:ascii="Arial" w:cs="Arial" w:eastAsia="Arial" w:hAnsi="Arial"/>
                <w:sz w:val="14"/>
                <w:szCs w:val="14"/>
                <w:color w:val="auto"/>
              </w:rPr>
              <w:t>Benefits</w:t>
            </w:r>
            <w:r>
              <w:rPr>
                <w:rFonts w:ascii="Arial" w:cs="Arial" w:eastAsia="Arial" w:hAnsi="Arial"/>
                <w:sz w:val="24"/>
                <w:szCs w:val="24"/>
                <w:color w:val="auto"/>
                <w:vertAlign w:val="superscript"/>
              </w:rPr>
              <w:t>(4)</w:t>
            </w:r>
          </w:p>
        </w:tc>
        <w:tc>
          <w:tcPr>
            <w:tcW w:w="2100" w:type="dxa"/>
            <w:vAlign w:val="bottom"/>
            <w:tcBorders>
              <w:bottom w:val="single" w:sz="8" w:color="D1CDCA"/>
            </w:tcBorders>
          </w:tcPr>
          <w:p>
            <w:pPr>
              <w:jc w:val="right"/>
              <w:ind w:right="16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D1CDCA"/>
            </w:tcBorders>
          </w:tcPr>
          <w:p>
            <w:pPr>
              <w:jc w:val="right"/>
              <w:ind w:right="228"/>
              <w:spacing w:after="0"/>
              <w:rPr>
                <w:sz w:val="20"/>
                <w:szCs w:val="20"/>
                <w:color w:val="auto"/>
              </w:rPr>
            </w:pPr>
            <w:r>
              <w:rPr>
                <w:rFonts w:ascii="Arial" w:cs="Arial" w:eastAsia="Arial" w:hAnsi="Arial"/>
                <w:sz w:val="14"/>
                <w:szCs w:val="14"/>
                <w:color w:val="auto"/>
              </w:rPr>
              <w:t>$  171,003</w:t>
            </w:r>
          </w:p>
        </w:tc>
        <w:tc>
          <w:tcPr>
            <w:tcW w:w="1240" w:type="dxa"/>
            <w:vAlign w:val="bottom"/>
            <w:tcBorders>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1CDCA"/>
            </w:tcBorders>
          </w:tcPr>
          <w:p>
            <w:pPr>
              <w:jc w:val="right"/>
              <w:ind w:right="268"/>
              <w:spacing w:after="0"/>
              <w:rPr>
                <w:sz w:val="20"/>
                <w:szCs w:val="20"/>
                <w:color w:val="auto"/>
              </w:rPr>
            </w:pPr>
            <w:r>
              <w:rPr>
                <w:rFonts w:ascii="Arial" w:cs="Arial" w:eastAsia="Arial" w:hAnsi="Arial"/>
                <w:sz w:val="14"/>
                <w:szCs w:val="14"/>
                <w:color w:val="auto"/>
              </w:rPr>
              <w:t>171,003</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60" w:right="320" w:hanging="148"/>
        <w:spacing w:after="0" w:line="238" w:lineRule="auto"/>
        <w:rPr>
          <w:sz w:val="20"/>
          <w:szCs w:val="20"/>
          <w:color w:val="auto"/>
        </w:rPr>
      </w:pPr>
      <w:r>
        <w:rPr>
          <w:rFonts w:ascii="Arial" w:cs="Arial" w:eastAsia="Arial" w:hAnsi="Arial"/>
          <w:sz w:val="12"/>
          <w:szCs w:val="12"/>
          <w:color w:val="auto"/>
        </w:rPr>
        <w:t>(1)</w:t>
      </w:r>
      <w:r>
        <w:rPr>
          <w:rFonts w:ascii="Arial" w:cs="Arial" w:eastAsia="Arial" w:hAnsi="Arial"/>
          <w:sz w:val="14"/>
          <w:szCs w:val="14"/>
          <w:color w:val="auto"/>
        </w:rPr>
        <w:t>As of December 31, 2017, vested stock options of 25,000 were available for exercise. Using the closing price on December 31, 2017, the value of such vested shares would have been</w:t>
      </w:r>
      <w:r>
        <w:rPr>
          <w:rFonts w:ascii="Arial" w:cs="Arial" w:eastAsia="Arial" w:hAnsi="Arial"/>
          <w:sz w:val="12"/>
          <w:szCs w:val="12"/>
          <w:color w:val="auto"/>
        </w:rPr>
        <w:t xml:space="preserve"> </w:t>
      </w:r>
      <w:r>
        <w:rPr>
          <w:rFonts w:ascii="Arial" w:cs="Arial" w:eastAsia="Arial" w:hAnsi="Arial"/>
          <w:sz w:val="14"/>
          <w:szCs w:val="14"/>
          <w:color w:val="auto"/>
        </w:rPr>
        <w:t>$3,036,750. Upon death or complete disability, unvested stock options of 50,000 would vest in full immediately. Using the closing price on December 31, 2017, the value of such stock options upon exercise would have been $6,073,500.</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(2)</w:t>
      </w:r>
      <w:r>
        <w:rPr>
          <w:rFonts w:ascii="Arial" w:cs="Arial" w:eastAsia="Arial" w:hAnsi="Arial"/>
          <w:sz w:val="13"/>
          <w:szCs w:val="13"/>
          <w:color w:val="auto"/>
        </w:rPr>
        <w:t>Upon death, complete disability or change in control, 100,000 shares of restricted stock would vest in full immediately. Using the closing price on December 31, 2017, the value of such</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100,000 shares would have been $16,859,000, plus accrued dividends of $150,000.</w:t>
      </w:r>
    </w:p>
    <w:p>
      <w:pPr>
        <w:spacing w:after="0" w:line="43" w:lineRule="exact"/>
        <w:rPr>
          <w:sz w:val="20"/>
          <w:szCs w:val="20"/>
          <w:color w:val="auto"/>
        </w:rPr>
      </w:pPr>
    </w:p>
    <w:p>
      <w:pPr>
        <w:ind w:left="360" w:right="220" w:hanging="148"/>
        <w:spacing w:after="0" w:line="253" w:lineRule="auto"/>
        <w:rPr>
          <w:sz w:val="20"/>
          <w:szCs w:val="20"/>
          <w:color w:val="auto"/>
        </w:rPr>
      </w:pPr>
      <w:r>
        <w:rPr>
          <w:rFonts w:ascii="Arial" w:cs="Arial" w:eastAsia="Arial" w:hAnsi="Arial"/>
          <w:sz w:val="12"/>
          <w:szCs w:val="12"/>
          <w:color w:val="auto"/>
        </w:rPr>
        <w:t>(3)</w:t>
      </w:r>
      <w:r>
        <w:rPr>
          <w:rFonts w:ascii="Arial" w:cs="Arial" w:eastAsia="Arial" w:hAnsi="Arial"/>
          <w:sz w:val="14"/>
          <w:szCs w:val="14"/>
          <w:color w:val="auto"/>
        </w:rPr>
        <w:t>Upon termination without cause or upon the Company’s material breach, 100,000 shares of restricted stock would vest on a prorated basis based on the number of months since the grant</w:t>
      </w:r>
      <w:r>
        <w:rPr>
          <w:rFonts w:ascii="Arial" w:cs="Arial" w:eastAsia="Arial" w:hAnsi="Arial"/>
          <w:sz w:val="12"/>
          <w:szCs w:val="12"/>
          <w:color w:val="auto"/>
        </w:rPr>
        <w:t xml:space="preserve"> </w:t>
      </w:r>
      <w:r>
        <w:rPr>
          <w:rFonts w:ascii="Arial" w:cs="Arial" w:eastAsia="Arial" w:hAnsi="Arial"/>
          <w:sz w:val="14"/>
          <w:szCs w:val="14"/>
          <w:color w:val="auto"/>
        </w:rPr>
        <w:t>date. Using the closing price on December 31, 2017, the value of such 100,000 shares would have been $3,010,536, plus accrued dividends of $26,785.</w:t>
      </w:r>
    </w:p>
    <w:p>
      <w:pPr>
        <w:spacing w:after="0" w:line="25" w:lineRule="exact"/>
        <w:rPr>
          <w:sz w:val="20"/>
          <w:szCs w:val="20"/>
          <w:color w:val="auto"/>
        </w:rPr>
      </w:pPr>
    </w:p>
    <w:p>
      <w:pPr>
        <w:ind w:left="360" w:right="480" w:hanging="148"/>
        <w:spacing w:after="0" w:line="253" w:lineRule="auto"/>
        <w:rPr>
          <w:sz w:val="20"/>
          <w:szCs w:val="20"/>
          <w:color w:val="auto"/>
        </w:rPr>
      </w:pPr>
      <w:r>
        <w:rPr>
          <w:rFonts w:ascii="Arial" w:cs="Arial" w:eastAsia="Arial" w:hAnsi="Arial"/>
          <w:sz w:val="12"/>
          <w:szCs w:val="12"/>
          <w:color w:val="auto"/>
        </w:rPr>
        <w:t>(4)</w:t>
      </w:r>
      <w:r>
        <w:rPr>
          <w:rFonts w:ascii="Arial" w:cs="Arial" w:eastAsia="Arial" w:hAnsi="Arial"/>
          <w:sz w:val="14"/>
          <w:szCs w:val="14"/>
          <w:color w:val="auto"/>
        </w:rPr>
        <w:t>Continued health benefits for remainder of the term or until covered by another plan. Amounts shown reflect an estimated cost including tax equalization for providing such benefits</w:t>
      </w:r>
      <w:r>
        <w:rPr>
          <w:rFonts w:ascii="Arial" w:cs="Arial" w:eastAsia="Arial" w:hAnsi="Arial"/>
          <w:sz w:val="12"/>
          <w:szCs w:val="12"/>
          <w:color w:val="auto"/>
        </w:rPr>
        <w:t xml:space="preserve"> </w:t>
      </w:r>
      <w:r>
        <w:rPr>
          <w:rFonts w:ascii="Arial" w:cs="Arial" w:eastAsia="Arial" w:hAnsi="Arial"/>
          <w:sz w:val="14"/>
          <w:szCs w:val="14"/>
          <w:color w:val="auto"/>
        </w:rPr>
        <w:t>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96520</wp:posOffset>
            </wp:positionV>
            <wp:extent cx="6997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9" w:lineRule="exact"/>
        <w:rPr>
          <w:sz w:val="20"/>
          <w:szCs w:val="20"/>
          <w:color w:val="auto"/>
        </w:rPr>
      </w:pPr>
    </w:p>
    <w:p>
      <w:pPr>
        <w:jc w:val="right"/>
        <w:ind w:right="20"/>
        <w:spacing w:after="0"/>
        <w:tabs>
          <w:tab w:leader="none" w:pos="360" w:val="left"/>
          <w:tab w:leader="none" w:pos="16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40</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EXECUTIVE COMPENSATION TABLES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665B4F"/>
              </w:rPr>
              <w:t>TERMINATION UPON</w:t>
            </w:r>
          </w:p>
        </w:tc>
        <w:tc>
          <w:tcPr>
            <w:tcW w:w="20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665B4F"/>
              </w:rPr>
              <w:t>TERMINATION</w:t>
            </w:r>
          </w:p>
        </w:tc>
        <w:tc>
          <w:tcPr>
            <w:tcW w:w="2220" w:type="dxa"/>
            <w:vAlign w:val="bottom"/>
          </w:tcPr>
          <w:p>
            <w:pPr>
              <w:jc w:val="right"/>
              <w:ind w:right="248"/>
              <w:spacing w:after="0"/>
              <w:rPr>
                <w:sz w:val="20"/>
                <w:szCs w:val="20"/>
                <w:color w:val="auto"/>
              </w:rPr>
            </w:pPr>
            <w:r>
              <w:rPr>
                <w:rFonts w:ascii="Arial" w:cs="Arial" w:eastAsia="Arial" w:hAnsi="Arial"/>
                <w:sz w:val="14"/>
                <w:szCs w:val="14"/>
                <w:b w:val="1"/>
                <w:bCs w:val="1"/>
                <w:color w:val="665B4F"/>
              </w:rPr>
              <w:t>TERMINATION BY</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200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665B4F"/>
              </w:rPr>
              <w:t>WITHOUT CAUSE OR</w:t>
            </w:r>
          </w:p>
        </w:tc>
        <w:tc>
          <w:tcPr>
            <w:tcW w:w="22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665B4F"/>
              </w:rPr>
              <w:t>EMPLOYEE FOR GOOD</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0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665B4F"/>
              </w:rPr>
              <w:t>DEATH OR COMPLETE</w:t>
            </w:r>
          </w:p>
        </w:tc>
        <w:tc>
          <w:tcPr>
            <w:tcW w:w="200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665B4F"/>
              </w:rPr>
              <w:t>UPON MATERIAL</w:t>
            </w:r>
          </w:p>
        </w:tc>
        <w:tc>
          <w:tcPr>
            <w:tcW w:w="22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665B4F"/>
              </w:rPr>
              <w:t>REASON AFTER</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D1CDCA"/>
            </w:tcBorders>
          </w:tcPr>
          <w:p>
            <w:pPr>
              <w:spacing w:after="0"/>
              <w:rPr>
                <w:sz w:val="16"/>
                <w:szCs w:val="16"/>
                <w:color w:val="auto"/>
              </w:rPr>
            </w:pPr>
          </w:p>
        </w:tc>
        <w:tc>
          <w:tcPr>
            <w:tcW w:w="2060" w:type="dxa"/>
            <w:vAlign w:val="bottom"/>
            <w:tcBorders>
              <w:bottom w:val="single" w:sz="8" w:color="D1CDCA"/>
            </w:tcBorders>
          </w:tcPr>
          <w:p>
            <w:pPr>
              <w:jc w:val="right"/>
              <w:ind w:right="148"/>
              <w:spacing w:after="0"/>
              <w:rPr>
                <w:sz w:val="20"/>
                <w:szCs w:val="20"/>
                <w:color w:val="auto"/>
              </w:rPr>
            </w:pPr>
            <w:r>
              <w:rPr>
                <w:rFonts w:ascii="Arial" w:cs="Arial" w:eastAsia="Arial" w:hAnsi="Arial"/>
                <w:sz w:val="14"/>
                <w:szCs w:val="14"/>
                <w:b w:val="1"/>
                <w:bCs w:val="1"/>
                <w:color w:val="665B4F"/>
              </w:rPr>
              <w:t>DISABILITY</w:t>
            </w:r>
          </w:p>
        </w:tc>
        <w:tc>
          <w:tcPr>
            <w:tcW w:w="1100" w:type="dxa"/>
            <w:vAlign w:val="bottom"/>
            <w:tcBorders>
              <w:bottom w:val="single" w:sz="8" w:color="D1CDCA"/>
            </w:tcBorders>
          </w:tcPr>
          <w:p>
            <w:pPr>
              <w:spacing w:after="0"/>
              <w:rPr>
                <w:sz w:val="16"/>
                <w:szCs w:val="16"/>
                <w:color w:val="auto"/>
              </w:rPr>
            </w:pPr>
          </w:p>
        </w:tc>
        <w:tc>
          <w:tcPr>
            <w:tcW w:w="900" w:type="dxa"/>
            <w:vAlign w:val="bottom"/>
            <w:tcBorders>
              <w:bottom w:val="single" w:sz="8" w:color="D1CDCA"/>
            </w:tcBorders>
          </w:tcPr>
          <w:p>
            <w:pPr>
              <w:jc w:val="right"/>
              <w:ind w:right="188"/>
              <w:spacing w:after="0"/>
              <w:rPr>
                <w:sz w:val="20"/>
                <w:szCs w:val="20"/>
                <w:color w:val="auto"/>
              </w:rPr>
            </w:pPr>
            <w:r>
              <w:rPr>
                <w:rFonts w:ascii="Arial" w:cs="Arial" w:eastAsia="Arial" w:hAnsi="Arial"/>
                <w:sz w:val="14"/>
                <w:szCs w:val="14"/>
                <w:b w:val="1"/>
                <w:bCs w:val="1"/>
                <w:color w:val="665B4F"/>
              </w:rPr>
              <w:t>BREACH</w:t>
            </w:r>
          </w:p>
        </w:tc>
        <w:tc>
          <w:tcPr>
            <w:tcW w:w="2220" w:type="dxa"/>
            <w:vAlign w:val="bottom"/>
            <w:tcBorders>
              <w:bottom w:val="single" w:sz="8" w:color="D1CDCA"/>
            </w:tcBorders>
          </w:tcPr>
          <w:p>
            <w:pPr>
              <w:jc w:val="right"/>
              <w:ind w:right="248"/>
              <w:spacing w:after="0"/>
              <w:rPr>
                <w:sz w:val="20"/>
                <w:szCs w:val="20"/>
                <w:color w:val="auto"/>
              </w:rPr>
            </w:pPr>
            <w:r>
              <w:rPr>
                <w:rFonts w:ascii="Arial" w:cs="Arial" w:eastAsia="Arial" w:hAnsi="Arial"/>
                <w:sz w:val="14"/>
                <w:szCs w:val="14"/>
                <w:b w:val="1"/>
                <w:bCs w:val="1"/>
                <w:color w:val="665B4F"/>
              </w:rPr>
              <w:t>CHANGE IN CONTROL</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Base Salary</w:t>
            </w:r>
          </w:p>
        </w:tc>
        <w:tc>
          <w:tcPr>
            <w:tcW w:w="2060" w:type="dxa"/>
            <w:vAlign w:val="bottom"/>
            <w:tcBorders>
              <w:bottom w:val="single" w:sz="8" w:color="D1CDCA"/>
            </w:tcBorders>
            <w:shd w:val="clear" w:color="auto" w:fill="F7F7E5"/>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D1CDCA"/>
            </w:tcBorders>
            <w:gridSpan w:val="2"/>
            <w:shd w:val="clear" w:color="auto" w:fill="F7F7E5"/>
          </w:tcPr>
          <w:p>
            <w:pPr>
              <w:jc w:val="right"/>
              <w:ind w:right="188"/>
              <w:spacing w:after="0"/>
              <w:rPr>
                <w:sz w:val="20"/>
                <w:szCs w:val="20"/>
                <w:color w:val="auto"/>
              </w:rPr>
            </w:pPr>
            <w:r>
              <w:rPr>
                <w:rFonts w:ascii="Arial" w:cs="Arial" w:eastAsia="Arial" w:hAnsi="Arial"/>
                <w:sz w:val="14"/>
                <w:szCs w:val="14"/>
                <w:color w:val="auto"/>
              </w:rPr>
              <w:t>$1,687,500</w:t>
            </w:r>
          </w:p>
        </w:tc>
        <w:tc>
          <w:tcPr>
            <w:tcW w:w="2220" w:type="dxa"/>
            <w:vAlign w:val="bottom"/>
            <w:tcBorders>
              <w:bottom w:val="single" w:sz="8" w:color="D1CDCA"/>
            </w:tcBorders>
            <w:shd w:val="clear" w:color="auto" w:fill="F7F7E5"/>
          </w:tcPr>
          <w:p>
            <w:pPr>
              <w:jc w:val="right"/>
              <w:ind w:right="248"/>
              <w:spacing w:after="0"/>
              <w:rPr>
                <w:sz w:val="20"/>
                <w:szCs w:val="20"/>
                <w:color w:val="auto"/>
              </w:rPr>
            </w:pPr>
            <w:r>
              <w:rPr>
                <w:rFonts w:ascii="Arial" w:cs="Arial" w:eastAsia="Arial" w:hAnsi="Arial"/>
                <w:sz w:val="14"/>
                <w:szCs w:val="14"/>
                <w:color w:val="auto"/>
              </w:rPr>
              <w:t>$1,687,500</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Bonus</w:t>
            </w:r>
          </w:p>
        </w:tc>
        <w:tc>
          <w:tcPr>
            <w:tcW w:w="2060" w:type="dxa"/>
            <w:vAlign w:val="bottom"/>
            <w:tcBorders>
              <w:bottom w:val="single" w:sz="8" w:color="D1CDCA"/>
            </w:tcBorders>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D1CDCA"/>
            </w:tcBorders>
            <w:gridSpan w:val="2"/>
          </w:tcPr>
          <w:p>
            <w:pPr>
              <w:jc w:val="right"/>
              <w:ind w:right="188"/>
              <w:spacing w:after="0"/>
              <w:rPr>
                <w:sz w:val="20"/>
                <w:szCs w:val="20"/>
                <w:color w:val="auto"/>
              </w:rPr>
            </w:pPr>
            <w:r>
              <w:rPr>
                <w:rFonts w:ascii="Arial" w:cs="Arial" w:eastAsia="Arial" w:hAnsi="Arial"/>
                <w:sz w:val="14"/>
                <w:szCs w:val="14"/>
                <w:color w:val="auto"/>
              </w:rPr>
              <w:t>$4,050,000</w:t>
            </w:r>
          </w:p>
        </w:tc>
        <w:tc>
          <w:tcPr>
            <w:tcW w:w="2220" w:type="dxa"/>
            <w:vAlign w:val="bottom"/>
            <w:tcBorders>
              <w:bottom w:val="single" w:sz="8" w:color="D1CDCA"/>
            </w:tcBorders>
          </w:tcPr>
          <w:p>
            <w:pPr>
              <w:jc w:val="right"/>
              <w:ind w:right="248"/>
              <w:spacing w:after="0"/>
              <w:rPr>
                <w:sz w:val="20"/>
                <w:szCs w:val="20"/>
                <w:color w:val="auto"/>
              </w:rPr>
            </w:pPr>
            <w:r>
              <w:rPr>
                <w:rFonts w:ascii="Arial" w:cs="Arial" w:eastAsia="Arial" w:hAnsi="Arial"/>
                <w:sz w:val="14"/>
                <w:szCs w:val="14"/>
                <w:color w:val="auto"/>
              </w:rPr>
              <w:t>$4,050,000</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D1CDCA"/>
            </w:tcBorders>
            <w:shd w:val="clear" w:color="auto" w:fill="F7F7E5"/>
          </w:tcPr>
          <w:p>
            <w:pPr>
              <w:ind w:left="60"/>
              <w:spacing w:after="0" w:line="242" w:lineRule="exact"/>
              <w:rPr>
                <w:sz w:val="20"/>
                <w:szCs w:val="20"/>
                <w:color w:val="auto"/>
              </w:rPr>
            </w:pPr>
            <w:r>
              <w:rPr>
                <w:rFonts w:ascii="Arial" w:cs="Arial" w:eastAsia="Arial" w:hAnsi="Arial"/>
                <w:sz w:val="14"/>
                <w:szCs w:val="14"/>
                <w:color w:val="auto"/>
              </w:rPr>
              <w:t>Stock Options/Restricted Stock</w:t>
            </w:r>
            <w:r>
              <w:rPr>
                <w:rFonts w:ascii="Arial" w:cs="Arial" w:eastAsia="Arial" w:hAnsi="Arial"/>
                <w:sz w:val="24"/>
                <w:szCs w:val="24"/>
                <w:color w:val="auto"/>
                <w:vertAlign w:val="superscript"/>
              </w:rPr>
              <w:t>(1)(2)</w:t>
            </w:r>
          </w:p>
        </w:tc>
        <w:tc>
          <w:tcPr>
            <w:tcW w:w="2060" w:type="dxa"/>
            <w:vAlign w:val="bottom"/>
            <w:tcBorders>
              <w:bottom w:val="single" w:sz="8" w:color="D1CDCA"/>
            </w:tcBorders>
            <w:shd w:val="clear" w:color="auto" w:fill="F7F7E5"/>
          </w:tcPr>
          <w:p>
            <w:pPr>
              <w:jc w:val="right"/>
              <w:ind w:right="148"/>
              <w:spacing w:after="0"/>
              <w:rPr>
                <w:sz w:val="20"/>
                <w:szCs w:val="20"/>
                <w:color w:val="auto"/>
              </w:rPr>
            </w:pPr>
            <w:r>
              <w:rPr>
                <w:rFonts w:ascii="Arial" w:cs="Arial" w:eastAsia="Arial" w:hAnsi="Arial"/>
                <w:sz w:val="14"/>
                <w:szCs w:val="14"/>
                <w:color w:val="auto"/>
              </w:rPr>
              <w:t>$5,102,700</w:t>
            </w:r>
          </w:p>
        </w:tc>
        <w:tc>
          <w:tcPr>
            <w:tcW w:w="1100" w:type="dxa"/>
            <w:vAlign w:val="bottom"/>
            <w:tcBorders>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1CDCA"/>
            </w:tcBorders>
            <w:shd w:val="clear" w:color="auto" w:fill="F7F7E5"/>
          </w:tcPr>
          <w:p>
            <w:pPr>
              <w:jc w:val="right"/>
              <w:ind w:right="188"/>
              <w:spacing w:after="0"/>
              <w:rPr>
                <w:sz w:val="20"/>
                <w:szCs w:val="20"/>
                <w:color w:val="auto"/>
              </w:rPr>
            </w:pPr>
            <w:r>
              <w:rPr>
                <w:rFonts w:ascii="Arial" w:cs="Arial" w:eastAsia="Arial" w:hAnsi="Arial"/>
                <w:sz w:val="14"/>
                <w:szCs w:val="14"/>
                <w:color w:val="auto"/>
              </w:rPr>
              <w:t>850,450</w:t>
            </w:r>
          </w:p>
        </w:tc>
        <w:tc>
          <w:tcPr>
            <w:tcW w:w="2220" w:type="dxa"/>
            <w:vAlign w:val="bottom"/>
            <w:tcBorders>
              <w:bottom w:val="single" w:sz="8" w:color="D1CDCA"/>
            </w:tcBorders>
            <w:shd w:val="clear" w:color="auto" w:fill="F7F7E5"/>
          </w:tcPr>
          <w:p>
            <w:pPr>
              <w:jc w:val="right"/>
              <w:ind w:right="248"/>
              <w:spacing w:after="0"/>
              <w:rPr>
                <w:sz w:val="20"/>
                <w:szCs w:val="20"/>
                <w:color w:val="auto"/>
              </w:rPr>
            </w:pPr>
            <w:r>
              <w:rPr>
                <w:rFonts w:ascii="Arial" w:cs="Arial" w:eastAsia="Arial" w:hAnsi="Arial"/>
                <w:sz w:val="14"/>
                <w:szCs w:val="14"/>
                <w:color w:val="auto"/>
              </w:rPr>
              <w:t>$5,102,700</w:t>
            </w:r>
          </w:p>
        </w:tc>
        <w:tc>
          <w:tcPr>
            <w:tcW w:w="0" w:type="dxa"/>
            <w:vAlign w:val="bottom"/>
          </w:tcPr>
          <w:p>
            <w:pPr>
              <w:spacing w:after="0"/>
              <w:rPr>
                <w:sz w:val="1"/>
                <w:szCs w:val="1"/>
                <w:color w:val="auto"/>
              </w:rPr>
            </w:pPr>
          </w:p>
        </w:tc>
      </w:tr>
      <w:tr>
        <w:trPr>
          <w:trHeight w:val="231"/>
        </w:trPr>
        <w:tc>
          <w:tcPr>
            <w:tcW w:w="474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Company Paid Life Insurance</w:t>
            </w:r>
          </w:p>
        </w:tc>
        <w:tc>
          <w:tcPr>
            <w:tcW w:w="2060" w:type="dxa"/>
            <w:vAlign w:val="bottom"/>
            <w:tcBorders>
              <w:bottom w:val="single" w:sz="8" w:color="D1CDCA"/>
            </w:tcBorders>
          </w:tcPr>
          <w:p>
            <w:pPr>
              <w:jc w:val="right"/>
              <w:ind w:right="148"/>
              <w:spacing w:after="0"/>
              <w:rPr>
                <w:sz w:val="20"/>
                <w:szCs w:val="20"/>
                <w:color w:val="auto"/>
              </w:rPr>
            </w:pPr>
            <w:r>
              <w:rPr>
                <w:rFonts w:ascii="Arial" w:cs="Arial" w:eastAsia="Arial" w:hAnsi="Arial"/>
                <w:sz w:val="14"/>
                <w:szCs w:val="14"/>
                <w:color w:val="auto"/>
              </w:rPr>
              <w:t>$  750,000</w:t>
            </w:r>
          </w:p>
        </w:tc>
        <w:tc>
          <w:tcPr>
            <w:tcW w:w="1100" w:type="dxa"/>
            <w:vAlign w:val="bottom"/>
            <w:tcBorders>
              <w:bottom w:val="single" w:sz="8" w:color="D1CDCA"/>
            </w:tcBorders>
          </w:tcPr>
          <w:p>
            <w:pPr>
              <w:spacing w:after="0"/>
              <w:rPr>
                <w:sz w:val="20"/>
                <w:szCs w:val="20"/>
                <w:color w:val="auto"/>
              </w:rPr>
            </w:pPr>
          </w:p>
        </w:tc>
        <w:tc>
          <w:tcPr>
            <w:tcW w:w="900" w:type="dxa"/>
            <w:vAlign w:val="bottom"/>
            <w:tcBorders>
              <w:bottom w:val="single" w:sz="8" w:color="D1CDCA"/>
            </w:tcBorders>
          </w:tcPr>
          <w:p>
            <w:pPr>
              <w:jc w:val="right"/>
              <w:ind w:right="188"/>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D1CDCA"/>
            </w:tcBorders>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Tax Gross Up</w:t>
            </w:r>
          </w:p>
        </w:tc>
        <w:tc>
          <w:tcPr>
            <w:tcW w:w="2060" w:type="dxa"/>
            <w:vAlign w:val="bottom"/>
            <w:tcBorders>
              <w:bottom w:val="single" w:sz="8" w:color="D1CDCA"/>
            </w:tcBorders>
            <w:shd w:val="clear" w:color="auto" w:fill="F7F7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1CDCA"/>
            </w:tcBorders>
            <w:shd w:val="clear" w:color="auto" w:fill="F7F7E5"/>
          </w:tcPr>
          <w:p>
            <w:pPr>
              <w:spacing w:after="0"/>
              <w:rPr>
                <w:sz w:val="20"/>
                <w:szCs w:val="20"/>
                <w:color w:val="auto"/>
              </w:rPr>
            </w:pPr>
          </w:p>
        </w:tc>
        <w:tc>
          <w:tcPr>
            <w:tcW w:w="900" w:type="dxa"/>
            <w:vAlign w:val="bottom"/>
            <w:tcBorders>
              <w:bottom w:val="single" w:sz="8" w:color="D1CDCA"/>
            </w:tcBorders>
            <w:shd w:val="clear" w:color="auto" w:fill="F7F7E5"/>
          </w:tcPr>
          <w:p>
            <w:pPr>
              <w:jc w:val="right"/>
              <w:ind w:right="188"/>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D1CDCA"/>
            </w:tcBorders>
            <w:shd w:val="clear" w:color="auto" w:fill="F7F7E5"/>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D1CDCA"/>
            </w:tcBorders>
          </w:tcPr>
          <w:p>
            <w:pPr>
              <w:ind w:left="60"/>
              <w:spacing w:after="0" w:line="242" w:lineRule="exact"/>
              <w:rPr>
                <w:sz w:val="20"/>
                <w:szCs w:val="20"/>
                <w:color w:val="auto"/>
              </w:rPr>
            </w:pPr>
            <w:r>
              <w:rPr>
                <w:rFonts w:ascii="Arial" w:cs="Arial" w:eastAsia="Arial" w:hAnsi="Arial"/>
                <w:sz w:val="14"/>
                <w:szCs w:val="14"/>
                <w:color w:val="auto"/>
              </w:rPr>
              <w:t>Benefits</w:t>
            </w:r>
            <w:r>
              <w:rPr>
                <w:rFonts w:ascii="Arial" w:cs="Arial" w:eastAsia="Arial" w:hAnsi="Arial"/>
                <w:sz w:val="24"/>
                <w:szCs w:val="24"/>
                <w:color w:val="auto"/>
                <w:vertAlign w:val="superscript"/>
              </w:rPr>
              <w:t>(3)</w:t>
            </w:r>
          </w:p>
        </w:tc>
        <w:tc>
          <w:tcPr>
            <w:tcW w:w="2060" w:type="dxa"/>
            <w:vAlign w:val="bottom"/>
            <w:tcBorders>
              <w:bottom w:val="single" w:sz="8" w:color="D1CDCA"/>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1CDCA"/>
            </w:tcBorders>
          </w:tcPr>
          <w:p>
            <w:pPr>
              <w:jc w:val="right"/>
              <w:ind w:right="188"/>
              <w:spacing w:after="0"/>
              <w:rPr>
                <w:sz w:val="20"/>
                <w:szCs w:val="20"/>
                <w:color w:val="auto"/>
              </w:rPr>
            </w:pPr>
            <w:r>
              <w:rPr>
                <w:rFonts w:ascii="Arial" w:cs="Arial" w:eastAsia="Arial" w:hAnsi="Arial"/>
                <w:sz w:val="14"/>
                <w:szCs w:val="14"/>
                <w:color w:val="auto"/>
              </w:rPr>
              <w:t>177,804</w:t>
            </w:r>
          </w:p>
        </w:tc>
        <w:tc>
          <w:tcPr>
            <w:tcW w:w="2220" w:type="dxa"/>
            <w:vAlign w:val="bottom"/>
            <w:tcBorders>
              <w:bottom w:val="single" w:sz="8" w:color="D1CDCA"/>
            </w:tcBorders>
          </w:tcPr>
          <w:p>
            <w:pPr>
              <w:jc w:val="right"/>
              <w:ind w:right="248"/>
              <w:spacing w:after="0"/>
              <w:rPr>
                <w:sz w:val="20"/>
                <w:szCs w:val="20"/>
                <w:color w:val="auto"/>
              </w:rPr>
            </w:pPr>
            <w:r>
              <w:rPr>
                <w:rFonts w:ascii="Arial" w:cs="Arial" w:eastAsia="Arial" w:hAnsi="Arial"/>
                <w:sz w:val="14"/>
                <w:szCs w:val="14"/>
                <w:color w:val="auto"/>
              </w:rPr>
              <w:t>$  177,804</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1"/>
          <w:szCs w:val="11"/>
          <w:color w:val="auto"/>
        </w:rPr>
        <w:t>(1)</w:t>
      </w:r>
      <w:r>
        <w:rPr>
          <w:rFonts w:ascii="Arial" w:cs="Arial" w:eastAsia="Arial" w:hAnsi="Arial"/>
          <w:sz w:val="13"/>
          <w:szCs w:val="13"/>
          <w:color w:val="auto"/>
        </w:rPr>
        <w:t>Upon death, complete disability or change in control, 30,000 shares of restricted stock would vest in full immediately. Using the closing price on December 31, 2017, the value of such</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30,000 shares would have been $5,057,700, plus accrued dividends of $45,000.</w:t>
      </w:r>
    </w:p>
    <w:p>
      <w:pPr>
        <w:spacing w:after="0" w:line="43" w:lineRule="exact"/>
        <w:rPr>
          <w:sz w:val="20"/>
          <w:szCs w:val="20"/>
          <w:color w:val="auto"/>
        </w:rPr>
      </w:pPr>
    </w:p>
    <w:p>
      <w:pPr>
        <w:ind w:left="360" w:right="300" w:hanging="148"/>
        <w:spacing w:after="0" w:line="253" w:lineRule="auto"/>
        <w:rPr>
          <w:sz w:val="20"/>
          <w:szCs w:val="20"/>
          <w:color w:val="auto"/>
        </w:rPr>
      </w:pPr>
      <w:r>
        <w:rPr>
          <w:rFonts w:ascii="Arial" w:cs="Arial" w:eastAsia="Arial" w:hAnsi="Arial"/>
          <w:sz w:val="12"/>
          <w:szCs w:val="12"/>
          <w:color w:val="auto"/>
        </w:rPr>
        <w:t>(2)</w:t>
      </w:r>
      <w:r>
        <w:rPr>
          <w:rFonts w:ascii="Arial" w:cs="Arial" w:eastAsia="Arial" w:hAnsi="Arial"/>
          <w:sz w:val="14"/>
          <w:szCs w:val="14"/>
          <w:color w:val="auto"/>
        </w:rPr>
        <w:t>Upon termination without cause or upon the Company’s material breach, 30,000 shares of restricted stock would vest on a prorated basis based on the number of months since the grant</w:t>
      </w:r>
      <w:r>
        <w:rPr>
          <w:rFonts w:ascii="Arial" w:cs="Arial" w:eastAsia="Arial" w:hAnsi="Arial"/>
          <w:sz w:val="12"/>
          <w:szCs w:val="12"/>
          <w:color w:val="auto"/>
        </w:rPr>
        <w:t xml:space="preserve"> </w:t>
      </w:r>
      <w:r>
        <w:rPr>
          <w:rFonts w:ascii="Arial" w:cs="Arial" w:eastAsia="Arial" w:hAnsi="Arial"/>
          <w:sz w:val="14"/>
          <w:szCs w:val="14"/>
          <w:color w:val="auto"/>
        </w:rPr>
        <w:t>date. Using the closing price on December 31, 2017, the value of such 30,000 shares would have been $842,950, plus accrued dividends of $7,500.</w:t>
      </w:r>
    </w:p>
    <w:p>
      <w:pPr>
        <w:spacing w:after="0" w:line="25" w:lineRule="exact"/>
        <w:rPr>
          <w:sz w:val="20"/>
          <w:szCs w:val="20"/>
          <w:color w:val="auto"/>
        </w:rPr>
      </w:pPr>
    </w:p>
    <w:p>
      <w:pPr>
        <w:ind w:left="360" w:right="480" w:hanging="148"/>
        <w:spacing w:after="0" w:line="253" w:lineRule="auto"/>
        <w:rPr>
          <w:sz w:val="20"/>
          <w:szCs w:val="20"/>
          <w:color w:val="auto"/>
        </w:rPr>
      </w:pPr>
      <w:r>
        <w:rPr>
          <w:rFonts w:ascii="Arial" w:cs="Arial" w:eastAsia="Arial" w:hAnsi="Arial"/>
          <w:sz w:val="12"/>
          <w:szCs w:val="12"/>
          <w:color w:val="auto"/>
        </w:rPr>
        <w:t>(3)</w:t>
      </w:r>
      <w:r>
        <w:rPr>
          <w:rFonts w:ascii="Arial" w:cs="Arial" w:eastAsia="Arial" w:hAnsi="Arial"/>
          <w:sz w:val="14"/>
          <w:szCs w:val="14"/>
          <w:color w:val="auto"/>
        </w:rPr>
        <w:t>Continued health benefits for remainder of the term or until covered by another plan. Amounts shown reflect an estimated cost including tax equalization for providing such benefits</w:t>
      </w:r>
      <w:r>
        <w:rPr>
          <w:rFonts w:ascii="Arial" w:cs="Arial" w:eastAsia="Arial" w:hAnsi="Arial"/>
          <w:sz w:val="12"/>
          <w:szCs w:val="12"/>
          <w:color w:val="auto"/>
        </w:rPr>
        <w:t xml:space="preserve"> </w:t>
      </w:r>
      <w:r>
        <w:rPr>
          <w:rFonts w:ascii="Arial" w:cs="Arial" w:eastAsia="Arial" w:hAnsi="Arial"/>
          <w:sz w:val="14"/>
          <w:szCs w:val="14"/>
          <w:color w:val="auto"/>
        </w:rPr>
        <w:t>through the remainder of the term.</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6997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4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665B4F"/>
              </w:rPr>
              <w:t>TERMINATION UPON</w:t>
            </w:r>
          </w:p>
        </w:tc>
        <w:tc>
          <w:tcPr>
            <w:tcW w:w="20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665B4F"/>
              </w:rPr>
              <w:t>TERMINATION</w:t>
            </w:r>
          </w:p>
        </w:tc>
        <w:tc>
          <w:tcPr>
            <w:tcW w:w="22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665B4F"/>
              </w:rPr>
              <w:t>TERMINATION BY</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0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665B4F"/>
              </w:rPr>
              <w:t>WITHOUT CAUSE OR</w:t>
            </w:r>
          </w:p>
        </w:tc>
        <w:tc>
          <w:tcPr>
            <w:tcW w:w="2260" w:type="dxa"/>
            <w:vAlign w:val="bottom"/>
            <w:gridSpan w:val="2"/>
          </w:tcPr>
          <w:p>
            <w:pPr>
              <w:jc w:val="right"/>
              <w:ind w:right="208"/>
              <w:spacing w:after="0" w:line="149" w:lineRule="exact"/>
              <w:rPr>
                <w:sz w:val="20"/>
                <w:szCs w:val="20"/>
                <w:color w:val="auto"/>
              </w:rPr>
            </w:pPr>
            <w:r>
              <w:rPr>
                <w:rFonts w:ascii="Arial" w:cs="Arial" w:eastAsia="Arial" w:hAnsi="Arial"/>
                <w:sz w:val="14"/>
                <w:szCs w:val="14"/>
                <w:b w:val="1"/>
                <w:bCs w:val="1"/>
                <w:color w:val="665B4F"/>
              </w:rPr>
              <w:t>EMPLOYEE FOR GOOD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665B4F"/>
              </w:rPr>
              <w:t>DEATH OR COMPLETE</w:t>
            </w:r>
          </w:p>
        </w:tc>
        <w:tc>
          <w:tcPr>
            <w:tcW w:w="20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665B4F"/>
              </w:rPr>
              <w:t>UPON MATERIAL</w:t>
            </w:r>
          </w:p>
        </w:tc>
        <w:tc>
          <w:tcPr>
            <w:tcW w:w="2260" w:type="dxa"/>
            <w:vAlign w:val="bottom"/>
            <w:gridSpan w:val="2"/>
          </w:tcPr>
          <w:p>
            <w:pPr>
              <w:jc w:val="right"/>
              <w:ind w:right="208"/>
              <w:spacing w:after="0" w:line="149" w:lineRule="exact"/>
              <w:rPr>
                <w:sz w:val="20"/>
                <w:szCs w:val="20"/>
                <w:color w:val="auto"/>
              </w:rPr>
            </w:pPr>
            <w:r>
              <w:rPr>
                <w:rFonts w:ascii="Arial" w:cs="Arial" w:eastAsia="Arial" w:hAnsi="Arial"/>
                <w:sz w:val="14"/>
                <w:szCs w:val="14"/>
                <w:b w:val="1"/>
                <w:bCs w:val="1"/>
                <w:color w:val="665B4F"/>
              </w:rPr>
              <w:t>REASON 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D1CDCA"/>
            </w:tcBorders>
          </w:tcPr>
          <w:p>
            <w:pPr>
              <w:spacing w:after="0"/>
              <w:rPr>
                <w:sz w:val="16"/>
                <w:szCs w:val="16"/>
                <w:color w:val="auto"/>
              </w:rPr>
            </w:pPr>
          </w:p>
        </w:tc>
        <w:tc>
          <w:tcPr>
            <w:tcW w:w="2040" w:type="dxa"/>
            <w:vAlign w:val="bottom"/>
            <w:tcBorders>
              <w:bottom w:val="single" w:sz="8" w:color="D1CDCA"/>
            </w:tcBorders>
            <w:gridSpan w:val="2"/>
          </w:tcPr>
          <w:p>
            <w:pPr>
              <w:jc w:val="right"/>
              <w:ind w:right="188"/>
              <w:spacing w:after="0"/>
              <w:rPr>
                <w:sz w:val="20"/>
                <w:szCs w:val="20"/>
                <w:color w:val="auto"/>
              </w:rPr>
            </w:pPr>
            <w:r>
              <w:rPr>
                <w:rFonts w:ascii="Arial" w:cs="Arial" w:eastAsia="Arial" w:hAnsi="Arial"/>
                <w:sz w:val="14"/>
                <w:szCs w:val="14"/>
                <w:b w:val="1"/>
                <w:bCs w:val="1"/>
                <w:color w:val="665B4F"/>
              </w:rPr>
              <w:t>DISABILITY</w:t>
            </w:r>
            <w:r>
              <w:rPr>
                <w:rFonts w:ascii="Arial" w:cs="Arial" w:eastAsia="Arial" w:hAnsi="Arial"/>
                <w:sz w:val="12"/>
                <w:szCs w:val="12"/>
                <w:b w:val="1"/>
                <w:bCs w:val="1"/>
                <w:color w:val="665B4F"/>
              </w:rPr>
              <w:t>(1</w:t>
            </w:r>
            <w:r>
              <w:rPr>
                <w:rFonts w:ascii="Arial" w:cs="Arial" w:eastAsia="Arial" w:hAnsi="Arial"/>
                <w:sz w:val="12"/>
                <w:szCs w:val="12"/>
                <w:i w:val="1"/>
                <w:iCs w:val="1"/>
                <w:color w:val="665B4F"/>
              </w:rPr>
              <w:t>)</w:t>
            </w:r>
          </w:p>
        </w:tc>
        <w:tc>
          <w:tcPr>
            <w:tcW w:w="980" w:type="dxa"/>
            <w:vAlign w:val="bottom"/>
            <w:tcBorders>
              <w:bottom w:val="single" w:sz="8" w:color="D1CDCA"/>
            </w:tcBorders>
          </w:tcPr>
          <w:p>
            <w:pPr>
              <w:spacing w:after="0"/>
              <w:rPr>
                <w:sz w:val="16"/>
                <w:szCs w:val="16"/>
                <w:color w:val="auto"/>
              </w:rPr>
            </w:pPr>
          </w:p>
        </w:tc>
        <w:tc>
          <w:tcPr>
            <w:tcW w:w="1040" w:type="dxa"/>
            <w:vAlign w:val="bottom"/>
            <w:tcBorders>
              <w:bottom w:val="single" w:sz="8" w:color="D1CDCA"/>
            </w:tcBorders>
          </w:tcPr>
          <w:p>
            <w:pPr>
              <w:jc w:val="right"/>
              <w:ind w:right="188"/>
              <w:spacing w:after="0"/>
              <w:rPr>
                <w:sz w:val="20"/>
                <w:szCs w:val="20"/>
                <w:color w:val="auto"/>
              </w:rPr>
            </w:pPr>
            <w:r>
              <w:rPr>
                <w:rFonts w:ascii="Arial" w:cs="Arial" w:eastAsia="Arial" w:hAnsi="Arial"/>
                <w:sz w:val="14"/>
                <w:szCs w:val="14"/>
                <w:b w:val="1"/>
                <w:bCs w:val="1"/>
                <w:color w:val="665B4F"/>
              </w:rPr>
              <w:t>BREACH</w:t>
            </w:r>
            <w:r>
              <w:rPr>
                <w:rFonts w:ascii="Arial" w:cs="Arial" w:eastAsia="Arial" w:hAnsi="Arial"/>
                <w:sz w:val="12"/>
                <w:szCs w:val="12"/>
                <w:b w:val="1"/>
                <w:bCs w:val="1"/>
                <w:color w:val="665B4F"/>
              </w:rPr>
              <w:t>(2)</w:t>
            </w:r>
          </w:p>
        </w:tc>
        <w:tc>
          <w:tcPr>
            <w:tcW w:w="2260" w:type="dxa"/>
            <w:vAlign w:val="bottom"/>
            <w:tcBorders>
              <w:bottom w:val="single" w:sz="8" w:color="D1CDCA"/>
            </w:tcBorders>
            <w:gridSpan w:val="2"/>
          </w:tcPr>
          <w:p>
            <w:pPr>
              <w:jc w:val="right"/>
              <w:ind w:right="208"/>
              <w:spacing w:after="0"/>
              <w:rPr>
                <w:sz w:val="20"/>
                <w:szCs w:val="20"/>
                <w:color w:val="auto"/>
              </w:rPr>
            </w:pPr>
            <w:r>
              <w:rPr>
                <w:rFonts w:ascii="Arial" w:cs="Arial" w:eastAsia="Arial" w:hAnsi="Arial"/>
                <w:sz w:val="14"/>
                <w:szCs w:val="14"/>
                <w:b w:val="1"/>
                <w:bCs w:val="1"/>
                <w:color w:val="665B4F"/>
              </w:rPr>
              <w:t>CHANGE IN CONTROL</w:t>
            </w:r>
            <w:r>
              <w:rPr>
                <w:rFonts w:ascii="Arial" w:cs="Arial" w:eastAsia="Arial" w:hAnsi="Arial"/>
                <w:sz w:val="12"/>
                <w:szCs w:val="12"/>
                <w:b w:val="1"/>
                <w:bCs w:val="1"/>
                <w:color w:val="665B4F"/>
              </w:rPr>
              <w:t>(3)</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Base Salary</w:t>
            </w:r>
          </w:p>
        </w:tc>
        <w:tc>
          <w:tcPr>
            <w:tcW w:w="1020" w:type="dxa"/>
            <w:vAlign w:val="bottom"/>
            <w:tcBorders>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1CDCA"/>
            </w:tcBorders>
            <w:shd w:val="clear" w:color="auto" w:fill="F7F7E5"/>
          </w:tcPr>
          <w:p>
            <w:pPr>
              <w:jc w:val="right"/>
              <w:ind w:right="188"/>
              <w:spacing w:after="0"/>
              <w:rPr>
                <w:sz w:val="20"/>
                <w:szCs w:val="20"/>
                <w:color w:val="auto"/>
              </w:rPr>
            </w:pPr>
            <w:r>
              <w:rPr>
                <w:rFonts w:ascii="Arial" w:cs="Arial" w:eastAsia="Arial" w:hAnsi="Arial"/>
                <w:sz w:val="14"/>
                <w:szCs w:val="14"/>
                <w:color w:val="auto"/>
              </w:rPr>
              <w:t>10,000,000</w:t>
            </w:r>
          </w:p>
        </w:tc>
        <w:tc>
          <w:tcPr>
            <w:tcW w:w="980" w:type="dxa"/>
            <w:vAlign w:val="bottom"/>
            <w:tcBorders>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1CDCA"/>
            </w:tcBorders>
            <w:shd w:val="clear" w:color="auto" w:fill="F7F7E5"/>
          </w:tcPr>
          <w:p>
            <w:pPr>
              <w:jc w:val="right"/>
              <w:ind w:right="188"/>
              <w:spacing w:after="0"/>
              <w:rPr>
                <w:sz w:val="20"/>
                <w:szCs w:val="20"/>
                <w:color w:val="auto"/>
              </w:rPr>
            </w:pPr>
            <w:r>
              <w:rPr>
                <w:rFonts w:ascii="Arial" w:cs="Arial" w:eastAsia="Arial" w:hAnsi="Arial"/>
                <w:sz w:val="14"/>
                <w:szCs w:val="14"/>
                <w:color w:val="auto"/>
              </w:rPr>
              <w:t>30,000,000</w:t>
            </w:r>
          </w:p>
        </w:tc>
        <w:tc>
          <w:tcPr>
            <w:tcW w:w="1220" w:type="dxa"/>
            <w:vAlign w:val="bottom"/>
            <w:tcBorders>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1CDCA"/>
            </w:tcBorders>
            <w:shd w:val="clear" w:color="auto" w:fill="F7F7E5"/>
          </w:tcPr>
          <w:p>
            <w:pPr>
              <w:jc w:val="right"/>
              <w:ind w:right="208"/>
              <w:spacing w:after="0"/>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Bonus</w:t>
            </w:r>
          </w:p>
        </w:tc>
        <w:tc>
          <w:tcPr>
            <w:tcW w:w="2040" w:type="dxa"/>
            <w:vAlign w:val="bottom"/>
            <w:tcBorders>
              <w:bottom w:val="single" w:sz="8" w:color="D1CDCA"/>
            </w:tcBorders>
            <w:gridSpan w:val="2"/>
          </w:tcPr>
          <w:p>
            <w:pPr>
              <w:jc w:val="right"/>
              <w:ind w:right="188"/>
              <w:spacing w:after="0"/>
              <w:rPr>
                <w:sz w:val="20"/>
                <w:szCs w:val="20"/>
                <w:color w:val="auto"/>
              </w:rPr>
            </w:pPr>
            <w:r>
              <w:rPr>
                <w:rFonts w:ascii="Arial" w:cs="Arial" w:eastAsia="Arial" w:hAnsi="Arial"/>
                <w:sz w:val="14"/>
                <w:szCs w:val="14"/>
                <w:color w:val="auto"/>
              </w:rPr>
              <w:t>$120,000,000</w:t>
            </w:r>
          </w:p>
        </w:tc>
        <w:tc>
          <w:tcPr>
            <w:tcW w:w="2020" w:type="dxa"/>
            <w:vAlign w:val="bottom"/>
            <w:tcBorders>
              <w:bottom w:val="single" w:sz="8" w:color="D1CDCA"/>
            </w:tcBorders>
            <w:gridSpan w:val="2"/>
          </w:tcPr>
          <w:p>
            <w:pPr>
              <w:jc w:val="right"/>
              <w:ind w:right="188"/>
              <w:spacing w:after="0"/>
              <w:rPr>
                <w:sz w:val="20"/>
                <w:szCs w:val="20"/>
                <w:color w:val="auto"/>
              </w:rPr>
            </w:pPr>
            <w:r>
              <w:rPr>
                <w:rFonts w:ascii="Arial" w:cs="Arial" w:eastAsia="Arial" w:hAnsi="Arial"/>
                <w:sz w:val="14"/>
                <w:szCs w:val="14"/>
                <w:color w:val="auto"/>
              </w:rPr>
              <w:t>$360,000,000</w:t>
            </w:r>
          </w:p>
        </w:tc>
        <w:tc>
          <w:tcPr>
            <w:tcW w:w="2260" w:type="dxa"/>
            <w:vAlign w:val="bottom"/>
            <w:tcBorders>
              <w:bottom w:val="single" w:sz="8" w:color="D1CDCA"/>
            </w:tcBorders>
            <w:gridSpan w:val="2"/>
          </w:tcPr>
          <w:p>
            <w:pPr>
              <w:jc w:val="right"/>
              <w:ind w:right="208"/>
              <w:spacing w:after="0"/>
              <w:rPr>
                <w:sz w:val="20"/>
                <w:szCs w:val="20"/>
                <w:color w:val="auto"/>
              </w:rPr>
            </w:pPr>
            <w:r>
              <w:rPr>
                <w:rFonts w:ascii="Arial" w:cs="Arial" w:eastAsia="Arial" w:hAnsi="Arial"/>
                <w:sz w:val="14"/>
                <w:szCs w:val="14"/>
                <w:color w:val="auto"/>
              </w:rPr>
              <w:t>$360,000,000</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Stock Options/Restricted Stock</w:t>
            </w:r>
          </w:p>
        </w:tc>
        <w:tc>
          <w:tcPr>
            <w:tcW w:w="1020" w:type="dxa"/>
            <w:vAlign w:val="bottom"/>
            <w:tcBorders>
              <w:bottom w:val="single" w:sz="8" w:color="D1CDCA"/>
            </w:tcBorders>
            <w:shd w:val="clear" w:color="auto" w:fill="F7F7E5"/>
          </w:tcPr>
          <w:p>
            <w:pPr>
              <w:spacing w:after="0"/>
              <w:rPr>
                <w:sz w:val="20"/>
                <w:szCs w:val="20"/>
                <w:color w:val="auto"/>
              </w:rPr>
            </w:pPr>
          </w:p>
        </w:tc>
        <w:tc>
          <w:tcPr>
            <w:tcW w:w="1020" w:type="dxa"/>
            <w:vAlign w:val="bottom"/>
            <w:tcBorders>
              <w:bottom w:val="single" w:sz="8" w:color="D1CDCA"/>
            </w:tcBorders>
            <w:shd w:val="clear" w:color="auto" w:fill="F7F7E5"/>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1CDCA"/>
            </w:tcBorders>
            <w:shd w:val="clear" w:color="auto" w:fill="F7F7E5"/>
          </w:tcPr>
          <w:p>
            <w:pPr>
              <w:spacing w:after="0"/>
              <w:rPr>
                <w:sz w:val="20"/>
                <w:szCs w:val="20"/>
                <w:color w:val="auto"/>
              </w:rPr>
            </w:pPr>
          </w:p>
        </w:tc>
        <w:tc>
          <w:tcPr>
            <w:tcW w:w="1040" w:type="dxa"/>
            <w:vAlign w:val="bottom"/>
            <w:tcBorders>
              <w:bottom w:val="single" w:sz="8" w:color="D1CDCA"/>
            </w:tcBorders>
            <w:shd w:val="clear" w:color="auto" w:fill="F7F7E5"/>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1CDCA"/>
            </w:tcBorders>
            <w:shd w:val="clear" w:color="auto" w:fill="F7F7E5"/>
          </w:tcPr>
          <w:p>
            <w:pPr>
              <w:spacing w:after="0"/>
              <w:rPr>
                <w:sz w:val="20"/>
                <w:szCs w:val="20"/>
                <w:color w:val="auto"/>
              </w:rPr>
            </w:pPr>
          </w:p>
        </w:tc>
        <w:tc>
          <w:tcPr>
            <w:tcW w:w="1040" w:type="dxa"/>
            <w:vAlign w:val="bottom"/>
            <w:tcBorders>
              <w:bottom w:val="single" w:sz="8" w:color="D1CDCA"/>
            </w:tcBorders>
            <w:shd w:val="clear" w:color="auto" w:fill="F7F7E5"/>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Company Paid Life Insurance</w:t>
            </w:r>
          </w:p>
        </w:tc>
        <w:tc>
          <w:tcPr>
            <w:tcW w:w="1020" w:type="dxa"/>
            <w:vAlign w:val="bottom"/>
            <w:tcBorders>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1CDCA"/>
            </w:tcBorders>
          </w:tcPr>
          <w:p>
            <w:pPr>
              <w:jc w:val="right"/>
              <w:ind w:right="188"/>
              <w:spacing w:after="0"/>
              <w:rPr>
                <w:sz w:val="20"/>
                <w:szCs w:val="20"/>
                <w:color w:val="auto"/>
              </w:rPr>
            </w:pPr>
            <w:r>
              <w:rPr>
                <w:rFonts w:ascii="Arial" w:cs="Arial" w:eastAsia="Arial" w:hAnsi="Arial"/>
                <w:sz w:val="14"/>
                <w:szCs w:val="14"/>
                <w:color w:val="auto"/>
              </w:rPr>
              <w:t>1,300,000</w:t>
            </w:r>
          </w:p>
        </w:tc>
        <w:tc>
          <w:tcPr>
            <w:tcW w:w="980" w:type="dxa"/>
            <w:vAlign w:val="bottom"/>
            <w:tcBorders>
              <w:bottom w:val="single" w:sz="8" w:color="D1CDCA"/>
            </w:tcBorders>
          </w:tcPr>
          <w:p>
            <w:pPr>
              <w:spacing w:after="0"/>
              <w:rPr>
                <w:sz w:val="20"/>
                <w:szCs w:val="20"/>
                <w:color w:val="auto"/>
              </w:rPr>
            </w:pPr>
          </w:p>
        </w:tc>
        <w:tc>
          <w:tcPr>
            <w:tcW w:w="1040" w:type="dxa"/>
            <w:vAlign w:val="bottom"/>
            <w:tcBorders>
              <w:bottom w:val="single" w:sz="8" w:color="D1CDCA"/>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1CDCA"/>
            </w:tcBorders>
          </w:tcPr>
          <w:p>
            <w:pPr>
              <w:spacing w:after="0"/>
              <w:rPr>
                <w:sz w:val="20"/>
                <w:szCs w:val="20"/>
                <w:color w:val="auto"/>
              </w:rPr>
            </w:pPr>
          </w:p>
        </w:tc>
        <w:tc>
          <w:tcPr>
            <w:tcW w:w="1040" w:type="dxa"/>
            <w:vAlign w:val="bottom"/>
            <w:tcBorders>
              <w:bottom w:val="single" w:sz="8" w:color="D1CDCA"/>
            </w:tcBorders>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Tax Gross Up</w:t>
            </w:r>
          </w:p>
        </w:tc>
        <w:tc>
          <w:tcPr>
            <w:tcW w:w="1020" w:type="dxa"/>
            <w:vAlign w:val="bottom"/>
            <w:tcBorders>
              <w:bottom w:val="single" w:sz="8" w:color="D1CDCA"/>
            </w:tcBorders>
            <w:shd w:val="clear" w:color="auto" w:fill="F7F7E5"/>
          </w:tcPr>
          <w:p>
            <w:pPr>
              <w:spacing w:after="0"/>
              <w:rPr>
                <w:sz w:val="20"/>
                <w:szCs w:val="20"/>
                <w:color w:val="auto"/>
              </w:rPr>
            </w:pPr>
          </w:p>
        </w:tc>
        <w:tc>
          <w:tcPr>
            <w:tcW w:w="1020" w:type="dxa"/>
            <w:vAlign w:val="bottom"/>
            <w:tcBorders>
              <w:bottom w:val="single" w:sz="8" w:color="D1CDCA"/>
            </w:tcBorders>
            <w:shd w:val="clear" w:color="auto" w:fill="F7F7E5"/>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1CDCA"/>
            </w:tcBorders>
            <w:shd w:val="clear" w:color="auto" w:fill="F7F7E5"/>
          </w:tcPr>
          <w:p>
            <w:pPr>
              <w:spacing w:after="0"/>
              <w:rPr>
                <w:sz w:val="20"/>
                <w:szCs w:val="20"/>
                <w:color w:val="auto"/>
              </w:rPr>
            </w:pPr>
          </w:p>
        </w:tc>
        <w:tc>
          <w:tcPr>
            <w:tcW w:w="1040" w:type="dxa"/>
            <w:vAlign w:val="bottom"/>
            <w:tcBorders>
              <w:bottom w:val="single" w:sz="8" w:color="D1CDCA"/>
            </w:tcBorders>
            <w:shd w:val="clear" w:color="auto" w:fill="F7F7E5"/>
          </w:tcPr>
          <w:p>
            <w:pPr>
              <w:jc w:val="right"/>
              <w:ind w:right="188"/>
              <w:spacing w:after="0"/>
              <w:rPr>
                <w:sz w:val="20"/>
                <w:szCs w:val="20"/>
                <w:color w:val="auto"/>
              </w:rPr>
            </w:pPr>
            <w:r>
              <w:rPr>
                <w:rFonts w:ascii="Arial" w:cs="Arial" w:eastAsia="Arial" w:hAnsi="Arial"/>
                <w:sz w:val="14"/>
                <w:szCs w:val="14"/>
                <w:color w:val="auto"/>
              </w:rPr>
              <w:t>—</w:t>
            </w:r>
          </w:p>
        </w:tc>
        <w:tc>
          <w:tcPr>
            <w:tcW w:w="2260" w:type="dxa"/>
            <w:vAlign w:val="bottom"/>
            <w:tcBorders>
              <w:bottom w:val="single" w:sz="8" w:color="D1CDCA"/>
            </w:tcBorders>
            <w:gridSpan w:val="2"/>
            <w:shd w:val="clear" w:color="auto" w:fill="F7F7E5"/>
          </w:tcPr>
          <w:p>
            <w:pPr>
              <w:jc w:val="right"/>
              <w:ind w:right="208"/>
              <w:spacing w:after="0"/>
              <w:rPr>
                <w:sz w:val="20"/>
                <w:szCs w:val="20"/>
                <w:color w:val="auto"/>
              </w:rPr>
            </w:pPr>
            <w:r>
              <w:rPr>
                <w:rFonts w:ascii="Arial" w:cs="Arial" w:eastAsia="Arial" w:hAnsi="Arial"/>
                <w:sz w:val="14"/>
                <w:szCs w:val="14"/>
                <w:color w:val="auto"/>
              </w:rPr>
              <w:t>$191,717,298</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D1CDCA"/>
            </w:tcBorders>
          </w:tcPr>
          <w:p>
            <w:pPr>
              <w:ind w:left="60"/>
              <w:spacing w:after="0" w:line="242" w:lineRule="exact"/>
              <w:rPr>
                <w:sz w:val="20"/>
                <w:szCs w:val="20"/>
                <w:color w:val="auto"/>
              </w:rPr>
            </w:pPr>
            <w:r>
              <w:rPr>
                <w:rFonts w:ascii="Arial" w:cs="Arial" w:eastAsia="Arial" w:hAnsi="Arial"/>
                <w:sz w:val="14"/>
                <w:szCs w:val="14"/>
                <w:color w:val="auto"/>
              </w:rPr>
              <w:t>Benefits</w:t>
            </w:r>
            <w:r>
              <w:rPr>
                <w:rFonts w:ascii="Arial" w:cs="Arial" w:eastAsia="Arial" w:hAnsi="Arial"/>
                <w:sz w:val="24"/>
                <w:szCs w:val="24"/>
                <w:color w:val="auto"/>
                <w:vertAlign w:val="superscript"/>
              </w:rPr>
              <w:t>(4)</w:t>
            </w:r>
          </w:p>
        </w:tc>
        <w:tc>
          <w:tcPr>
            <w:tcW w:w="1020" w:type="dxa"/>
            <w:vAlign w:val="bottom"/>
            <w:tcBorders>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1CDCA"/>
            </w:tcBorders>
          </w:tcPr>
          <w:p>
            <w:pPr>
              <w:jc w:val="right"/>
              <w:ind w:right="188"/>
              <w:spacing w:after="0"/>
              <w:rPr>
                <w:sz w:val="20"/>
                <w:szCs w:val="20"/>
                <w:color w:val="auto"/>
              </w:rPr>
            </w:pPr>
            <w:r>
              <w:rPr>
                <w:rFonts w:ascii="Arial" w:cs="Arial" w:eastAsia="Arial" w:hAnsi="Arial"/>
                <w:sz w:val="14"/>
                <w:szCs w:val="14"/>
                <w:color w:val="auto"/>
              </w:rPr>
              <w:t>324,626</w:t>
            </w:r>
          </w:p>
        </w:tc>
        <w:tc>
          <w:tcPr>
            <w:tcW w:w="980" w:type="dxa"/>
            <w:vAlign w:val="bottom"/>
            <w:tcBorders>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1CDCA"/>
            </w:tcBorders>
          </w:tcPr>
          <w:p>
            <w:pPr>
              <w:jc w:val="right"/>
              <w:ind w:right="188"/>
              <w:spacing w:after="0"/>
              <w:rPr>
                <w:sz w:val="20"/>
                <w:szCs w:val="20"/>
                <w:color w:val="auto"/>
              </w:rPr>
            </w:pPr>
            <w:r>
              <w:rPr>
                <w:rFonts w:ascii="Arial" w:cs="Arial" w:eastAsia="Arial" w:hAnsi="Arial"/>
                <w:sz w:val="14"/>
                <w:szCs w:val="14"/>
                <w:color w:val="auto"/>
              </w:rPr>
              <w:t>324,626</w:t>
            </w:r>
          </w:p>
        </w:tc>
        <w:tc>
          <w:tcPr>
            <w:tcW w:w="1220" w:type="dxa"/>
            <w:vAlign w:val="bottom"/>
            <w:tcBorders>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1CDCA"/>
            </w:tcBorders>
          </w:tcPr>
          <w:p>
            <w:pPr>
              <w:jc w:val="right"/>
              <w:ind w:right="208"/>
              <w:spacing w:after="0"/>
              <w:rPr>
                <w:sz w:val="20"/>
                <w:szCs w:val="20"/>
                <w:color w:val="auto"/>
              </w:rPr>
            </w:pPr>
            <w:r>
              <w:rPr>
                <w:rFonts w:ascii="Arial" w:cs="Arial" w:eastAsia="Arial" w:hAnsi="Arial"/>
                <w:sz w:val="14"/>
                <w:szCs w:val="14"/>
                <w:color w:val="auto"/>
              </w:rPr>
              <w:t>495,257</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60" w:right="100" w:hanging="148"/>
        <w:spacing w:after="0" w:line="234" w:lineRule="auto"/>
        <w:rPr>
          <w:sz w:val="20"/>
          <w:szCs w:val="20"/>
          <w:color w:val="auto"/>
        </w:rPr>
      </w:pPr>
      <w:r>
        <w:rPr>
          <w:rFonts w:ascii="Arial" w:cs="Arial" w:eastAsia="Arial" w:hAnsi="Arial"/>
          <w:sz w:val="12"/>
          <w:szCs w:val="12"/>
          <w:color w:val="auto"/>
        </w:rPr>
        <w:t>(1)</w:t>
      </w:r>
      <w:r>
        <w:rPr>
          <w:rFonts w:ascii="Arial" w:cs="Arial" w:eastAsia="Arial" w:hAnsi="Arial"/>
          <w:sz w:val="14"/>
          <w:szCs w:val="14"/>
          <w:color w:val="auto"/>
        </w:rPr>
        <w:t>Had Mr. Wynn been terminated on December 31, 2017 upon death or complete disability, Mr. Wynn would have been entitled to a lump sum payment consisting of (a) the Separation</w:t>
      </w:r>
      <w:r>
        <w:rPr>
          <w:rFonts w:ascii="Arial" w:cs="Arial" w:eastAsia="Arial" w:hAnsi="Arial"/>
          <w:sz w:val="12"/>
          <w:szCs w:val="12"/>
          <w:color w:val="auto"/>
        </w:rPr>
        <w:t xml:space="preserve"> </w:t>
      </w:r>
      <w:r>
        <w:rPr>
          <w:rFonts w:ascii="Arial" w:cs="Arial" w:eastAsia="Arial" w:hAnsi="Arial"/>
          <w:sz w:val="14"/>
          <w:szCs w:val="14"/>
          <w:color w:val="auto"/>
        </w:rPr>
        <w:t>Payment (defined below), (b) any accrued but unpaid vacation pay, and (c) an excise tax gross up. “Separation Payment” means an amount equal to the sum of (i) base salary through the end of the term of his employment agreement, but not more than four years, and (ii) bonus for all bonus periods based upon last bonus paid pursuant to the employment agreement through the end of the term of the agreement, but not less than 12 months or more than four years.</w:t>
      </w:r>
    </w:p>
    <w:p>
      <w:pPr>
        <w:spacing w:after="0" w:line="34" w:lineRule="exact"/>
        <w:rPr>
          <w:sz w:val="20"/>
          <w:szCs w:val="20"/>
          <w:color w:val="auto"/>
        </w:rPr>
      </w:pPr>
    </w:p>
    <w:p>
      <w:pPr>
        <w:ind w:left="360" w:right="60" w:hanging="148"/>
        <w:spacing w:after="0" w:line="253" w:lineRule="auto"/>
        <w:rPr>
          <w:sz w:val="20"/>
          <w:szCs w:val="20"/>
          <w:color w:val="auto"/>
        </w:rPr>
      </w:pPr>
      <w:r>
        <w:rPr>
          <w:rFonts w:ascii="Arial" w:cs="Arial" w:eastAsia="Arial" w:hAnsi="Arial"/>
          <w:sz w:val="12"/>
          <w:szCs w:val="12"/>
          <w:color w:val="auto"/>
        </w:rPr>
        <w:t>(2)</w:t>
      </w:r>
      <w:r>
        <w:rPr>
          <w:rFonts w:ascii="Arial" w:cs="Arial" w:eastAsia="Arial" w:hAnsi="Arial"/>
          <w:sz w:val="14"/>
          <w:szCs w:val="14"/>
          <w:color w:val="auto"/>
        </w:rPr>
        <w:t>Had Mr. Wynn been terminated on December 31, 2017 by the Company without cause or at his election upon the Company’s material breach, Mr. Wynn would have been entitled to a lump</w:t>
      </w:r>
      <w:r>
        <w:rPr>
          <w:rFonts w:ascii="Arial" w:cs="Arial" w:eastAsia="Arial" w:hAnsi="Arial"/>
          <w:sz w:val="12"/>
          <w:szCs w:val="12"/>
          <w:color w:val="auto"/>
        </w:rPr>
        <w:t xml:space="preserve"> </w:t>
      </w:r>
      <w:r>
        <w:rPr>
          <w:rFonts w:ascii="Arial" w:cs="Arial" w:eastAsia="Arial" w:hAnsi="Arial"/>
          <w:sz w:val="14"/>
          <w:szCs w:val="14"/>
          <w:color w:val="auto"/>
        </w:rPr>
        <w:t>sum of three times his Separation Payment, any accrued but unpaid vacation pay and any excise tax gross up.</w:t>
      </w:r>
    </w:p>
    <w:p>
      <w:pPr>
        <w:spacing w:after="0" w:line="25" w:lineRule="exact"/>
        <w:rPr>
          <w:sz w:val="20"/>
          <w:szCs w:val="20"/>
          <w:color w:val="auto"/>
        </w:rPr>
      </w:pPr>
    </w:p>
    <w:p>
      <w:pPr>
        <w:ind w:left="360" w:right="40" w:hanging="148"/>
        <w:spacing w:after="0" w:line="253" w:lineRule="auto"/>
        <w:rPr>
          <w:sz w:val="20"/>
          <w:szCs w:val="20"/>
          <w:color w:val="auto"/>
        </w:rPr>
      </w:pPr>
      <w:r>
        <w:rPr>
          <w:rFonts w:ascii="Arial" w:cs="Arial" w:eastAsia="Arial" w:hAnsi="Arial"/>
          <w:sz w:val="12"/>
          <w:szCs w:val="12"/>
          <w:color w:val="auto"/>
        </w:rPr>
        <w:t>(3)</w:t>
      </w:r>
      <w:r>
        <w:rPr>
          <w:rFonts w:ascii="Arial" w:cs="Arial" w:eastAsia="Arial" w:hAnsi="Arial"/>
          <w:sz w:val="14"/>
          <w:szCs w:val="14"/>
          <w:color w:val="auto"/>
        </w:rPr>
        <w:t>Had Mr. Wynn been terminated on December 31, 2017 by the Company upon a change in control, Mr. Wynn would have been entitled to a lump sum of three times his Separation Payment,</w:t>
      </w:r>
      <w:r>
        <w:rPr>
          <w:rFonts w:ascii="Arial" w:cs="Arial" w:eastAsia="Arial" w:hAnsi="Arial"/>
          <w:sz w:val="12"/>
          <w:szCs w:val="12"/>
          <w:color w:val="auto"/>
        </w:rPr>
        <w:t xml:space="preserve"> </w:t>
      </w:r>
      <w:r>
        <w:rPr>
          <w:rFonts w:ascii="Arial" w:cs="Arial" w:eastAsia="Arial" w:hAnsi="Arial"/>
          <w:sz w:val="14"/>
          <w:szCs w:val="14"/>
          <w:color w:val="auto"/>
        </w:rPr>
        <w:t>any accrued but unpaid vacation pay and any excise tax gross up.</w:t>
      </w:r>
    </w:p>
    <w:p>
      <w:pPr>
        <w:spacing w:after="0" w:line="25" w:lineRule="exact"/>
        <w:rPr>
          <w:sz w:val="20"/>
          <w:szCs w:val="20"/>
          <w:color w:val="auto"/>
        </w:rPr>
      </w:pPr>
    </w:p>
    <w:p>
      <w:pPr>
        <w:ind w:left="360" w:right="480" w:hanging="148"/>
        <w:spacing w:after="0" w:line="253" w:lineRule="auto"/>
        <w:rPr>
          <w:sz w:val="20"/>
          <w:szCs w:val="20"/>
          <w:color w:val="auto"/>
        </w:rPr>
      </w:pPr>
      <w:r>
        <w:rPr>
          <w:rFonts w:ascii="Arial" w:cs="Arial" w:eastAsia="Arial" w:hAnsi="Arial"/>
          <w:sz w:val="12"/>
          <w:szCs w:val="12"/>
          <w:color w:val="auto"/>
        </w:rPr>
        <w:t>(4)</w:t>
      </w:r>
      <w:r>
        <w:rPr>
          <w:rFonts w:ascii="Arial" w:cs="Arial" w:eastAsia="Arial" w:hAnsi="Arial"/>
          <w:sz w:val="14"/>
          <w:szCs w:val="14"/>
          <w:color w:val="auto"/>
        </w:rPr>
        <w:t>Continued health benefits for remainder of the term or until covered by another plan. Amounts shown reflect an estimated cost including tax equalization for providing such benefits</w:t>
      </w:r>
      <w:r>
        <w:rPr>
          <w:rFonts w:ascii="Arial" w:cs="Arial" w:eastAsia="Arial" w:hAnsi="Arial"/>
          <w:sz w:val="12"/>
          <w:szCs w:val="12"/>
          <w:color w:val="auto"/>
        </w:rPr>
        <w:t xml:space="preserve"> </w:t>
      </w:r>
      <w:r>
        <w:rPr>
          <w:rFonts w:ascii="Arial" w:cs="Arial" w:eastAsia="Arial" w:hAnsi="Arial"/>
          <w:sz w:val="14"/>
          <w:szCs w:val="14"/>
          <w:color w:val="auto"/>
        </w:rPr>
        <w:t>through the remainder of the term.</w:t>
      </w:r>
    </w:p>
    <w:p>
      <w:pPr>
        <w:spacing w:after="0" w:line="174" w:lineRule="exact"/>
        <w:rPr>
          <w:sz w:val="20"/>
          <w:szCs w:val="20"/>
          <w:color w:val="auto"/>
        </w:rPr>
      </w:pPr>
    </w:p>
    <w:p>
      <w:pPr>
        <w:ind w:left="200" w:right="120"/>
        <w:spacing w:after="0" w:line="251" w:lineRule="auto"/>
        <w:rPr>
          <w:sz w:val="20"/>
          <w:szCs w:val="20"/>
          <w:color w:val="auto"/>
        </w:rPr>
      </w:pPr>
      <w:r>
        <w:rPr>
          <w:rFonts w:ascii="Arial" w:cs="Arial" w:eastAsia="Arial" w:hAnsi="Arial"/>
          <w:sz w:val="16"/>
          <w:szCs w:val="16"/>
          <w:b w:val="1"/>
          <w:bCs w:val="1"/>
          <w:color w:val="auto"/>
        </w:rPr>
        <w:t>Separation Agreement</w:t>
      </w:r>
      <w:r>
        <w:rPr>
          <w:rFonts w:ascii="Arial" w:cs="Arial" w:eastAsia="Arial" w:hAnsi="Arial"/>
          <w:sz w:val="16"/>
          <w:szCs w:val="16"/>
          <w:color w:val="auto"/>
        </w:rPr>
        <w:t>. On February 6, 2018, Mr. Wynn resigned from his position as the Company’s Chairman and Chief Executive Officer,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Mr. Wynn did not receive any severance payment or other compensation in connection with his resignation. On February 15, 2018, the Company entered into a separation agreement among the Company, Mr. Wynn, and Wynn Resorts Holdings, LLC (the “Separation Agreement”) specifying the terms of Mr. Wynn’s termination of service with the Company. The Separation Agreement terminates Mr. Wynn’s previous employment agreement with the Company and confirms that Mr. Wynn is not entitled to any severance payment or other compensation from the Company under the employment agreement. Under the Separation Agreement, Mr. Wynn agrees not to compete against the Company for a period of two years and to provide reasonable cooperation and assistance to the Company in connection with any private litigation or arbitration and to the Board of Directors of the Company or any committee of the Board in connection with any investigation by the Company related to his service with the Company. In order to effectuate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104140</wp:posOffset>
            </wp:positionV>
            <wp:extent cx="6997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207010</wp:posOffset>
            </wp:positionV>
            <wp:extent cx="608965" cy="274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10"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41</w:t>
        <w:tab/>
        <w:t>|</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665B4F"/>
        </w:rPr>
        <w:t>EXECUTIVE COMPENSATION TABLES</w:t>
      </w:r>
    </w:p>
    <w:p>
      <w:pPr>
        <w:spacing w:after="0" w:line="178" w:lineRule="exact"/>
        <w:rPr>
          <w:sz w:val="20"/>
          <w:szCs w:val="20"/>
          <w:color w:val="auto"/>
        </w:rPr>
      </w:pPr>
    </w:p>
    <w:p>
      <w:pPr>
        <w:ind w:left="200" w:right="40"/>
        <w:spacing w:after="0" w:line="246" w:lineRule="auto"/>
        <w:rPr>
          <w:sz w:val="20"/>
          <w:szCs w:val="20"/>
          <w:color w:val="auto"/>
        </w:rPr>
      </w:pPr>
      <w:r>
        <w:rPr>
          <w:rFonts w:ascii="Arial" w:cs="Arial" w:eastAsia="Arial" w:hAnsi="Arial"/>
          <w:sz w:val="16"/>
          <w:szCs w:val="16"/>
          <w:color w:val="auto"/>
        </w:rPr>
        <w:t>smooth transition of Mr. Wynn’s separation from the Company, and in consideration of the foregoing and other agreements described therein, the Separation Agreement provides that (i) Mr. Wynn’s lease of his personal residence at Wynn Las Vegas will terminate no later than June 1, 2018 and until such date Mr. Wynn shall continue to pay rent at the fair market value previously established by the Company based on an independent third-party expert opinion (Please refer to “Certain Relationships and Related Transactions”), unless Mr. Wynn elects to terminate the lease before such date,</w:t>
      </w:r>
    </w:p>
    <w:p>
      <w:pPr>
        <w:spacing w:after="0" w:line="2" w:lineRule="exact"/>
        <w:rPr>
          <w:sz w:val="20"/>
          <w:szCs w:val="20"/>
          <w:color w:val="auto"/>
        </w:rPr>
      </w:pPr>
    </w:p>
    <w:p>
      <w:pPr>
        <w:ind w:left="200" w:right="80" w:firstLine="4"/>
        <w:spacing w:after="0" w:line="253" w:lineRule="auto"/>
        <w:tabs>
          <w:tab w:leader="none" w:pos="425" w:val="left"/>
        </w:tabs>
        <w:numPr>
          <w:ilvl w:val="0"/>
          <w:numId w:val="89"/>
        </w:numPr>
        <w:rPr>
          <w:rFonts w:ascii="Arial" w:cs="Arial" w:eastAsia="Arial" w:hAnsi="Arial"/>
          <w:sz w:val="16"/>
          <w:szCs w:val="16"/>
          <w:color w:val="auto"/>
        </w:rPr>
      </w:pPr>
      <w:r>
        <w:rPr>
          <w:rFonts w:ascii="Arial" w:cs="Arial" w:eastAsia="Arial" w:hAnsi="Arial"/>
          <w:sz w:val="16"/>
          <w:szCs w:val="16"/>
          <w:color w:val="auto"/>
        </w:rPr>
        <w:t>Mr. Wynn’s current healthcare coverage will terminate on December 31, 2018, and (iii) administrative support for Mr. Wynn will terminate on May 31, 2018. Additionally, in order to conduct any sales of Company shares in an orderly fashion in the event that Mr. Wynn is permitted to and elects to sell any shares that he owns, the Company entered into a registration rights agreement with Mr. Wynn.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Stephen Cootey</w:t>
      </w:r>
    </w:p>
    <w:p>
      <w:pPr>
        <w:spacing w:after="0" w:line="128" w:lineRule="exact"/>
        <w:rPr>
          <w:sz w:val="20"/>
          <w:szCs w:val="20"/>
          <w:color w:val="auto"/>
        </w:rPr>
      </w:pPr>
    </w:p>
    <w:p>
      <w:pPr>
        <w:ind w:left="200" w:right="20"/>
        <w:spacing w:after="0" w:line="251" w:lineRule="auto"/>
        <w:rPr>
          <w:sz w:val="20"/>
          <w:szCs w:val="20"/>
          <w:color w:val="auto"/>
        </w:rPr>
      </w:pPr>
      <w:r>
        <w:rPr>
          <w:rFonts w:ascii="Arial" w:cs="Arial" w:eastAsia="Arial" w:hAnsi="Arial"/>
          <w:sz w:val="16"/>
          <w:szCs w:val="16"/>
          <w:color w:val="auto"/>
        </w:rPr>
        <w:t>On February 22, 2017, Stephen Cootey resigned from his position as the Company’s Chief Financial Officer, Senior Vice President and Treasurer, effective March 1, 2017. The Company entered into a Separation Agreement and Release with Mr. Cootey, which included customary waiver and release, non-solicitation, confidentiality and non-disparagement provisions and provided for the payment of unpaid salary and accrued vacation through March 1, 2017 and accrued annual bonus and accrued matching contributions made under the Company’s 401(k) Plan for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101600</wp:posOffset>
            </wp:positionV>
            <wp:extent cx="6997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7" w:lineRule="exact"/>
        <w:rPr>
          <w:sz w:val="20"/>
          <w:szCs w:val="20"/>
          <w:color w:val="auto"/>
        </w:rPr>
      </w:pPr>
    </w:p>
    <w:p>
      <w:pPr>
        <w:jc w:val="right"/>
        <w:spacing w:after="0"/>
        <w:tabs>
          <w:tab w:leader="none" w:pos="340" w:val="left"/>
          <w:tab w:leader="none" w:pos="1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42</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41"/>
          <w:szCs w:val="41"/>
          <w:b w:val="1"/>
          <w:bCs w:val="1"/>
          <w:color w:val="665B4F"/>
        </w:rPr>
        <w:t>CERTAIN RELATIONSHIPS AND TRANSACTIONS</w:t>
      </w:r>
    </w:p>
    <w:p>
      <w:pPr>
        <w:spacing w:after="0" w:line="200" w:lineRule="exact"/>
        <w:rPr>
          <w:sz w:val="20"/>
          <w:szCs w:val="20"/>
          <w:color w:val="auto"/>
        </w:rPr>
      </w:pPr>
    </w:p>
    <w:p>
      <w:pPr>
        <w:spacing w:after="0" w:line="284" w:lineRule="exact"/>
        <w:rPr>
          <w:sz w:val="20"/>
          <w:szCs w:val="20"/>
          <w:color w:val="auto"/>
        </w:rPr>
      </w:pPr>
    </w:p>
    <w:p>
      <w:pPr>
        <w:ind w:left="200" w:right="60"/>
        <w:spacing w:after="0" w:line="247" w:lineRule="auto"/>
        <w:rPr>
          <w:sz w:val="20"/>
          <w:szCs w:val="20"/>
          <w:color w:val="auto"/>
        </w:rPr>
      </w:pPr>
      <w:r>
        <w:rPr>
          <w:rFonts w:ascii="Arial" w:cs="Arial" w:eastAsia="Arial" w:hAnsi="Arial"/>
          <w:sz w:val="16"/>
          <w:szCs w:val="16"/>
          <w:color w:val="auto"/>
        </w:rPr>
        <w:t>Pursuant to written Company policy, the Audit Committee reviews for approval or ratification all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 (c) transactions where the related person’s interest arises solely from the ownership of the Company’s stock and all shareholders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212" w:lineRule="exact"/>
        <w:rPr>
          <w:sz w:val="20"/>
          <w:szCs w:val="20"/>
          <w:color w:val="auto"/>
        </w:rPr>
      </w:pPr>
    </w:p>
    <w:p>
      <w:pPr>
        <w:ind w:left="200" w:right="260"/>
        <w:spacing w:after="0" w:line="260" w:lineRule="auto"/>
        <w:rPr>
          <w:sz w:val="20"/>
          <w:szCs w:val="20"/>
          <w:color w:val="auto"/>
        </w:rPr>
      </w:pPr>
      <w:r>
        <w:rPr>
          <w:rFonts w:ascii="Arial" w:cs="Arial" w:eastAsia="Arial" w:hAnsi="Arial"/>
          <w:sz w:val="16"/>
          <w:szCs w:val="16"/>
          <w:color w:val="auto"/>
        </w:rPr>
        <w:t>The following are the material transactions or agreements that occurred or were in effect at any time after January 1, 2017, between the Company and related persons. The Audit Committee has approved or ratified all of these transactions that occurred after the date of the adoption of the policy.</w:t>
      </w:r>
    </w:p>
    <w:p>
      <w:pPr>
        <w:spacing w:after="0" w:line="176"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b w:val="1"/>
          <w:bCs w:val="1"/>
          <w:color w:val="auto"/>
        </w:rPr>
        <w:t xml:space="preserve">Shareholders Agreement. </w:t>
      </w:r>
      <w:r>
        <w:rPr>
          <w:rFonts w:ascii="Arial" w:cs="Arial" w:eastAsia="Arial" w:hAnsi="Arial"/>
          <w:sz w:val="16"/>
          <w:szCs w:val="16"/>
          <w:color w:val="auto"/>
        </w:rPr>
        <w:t>On January 6, 2010, Mr. Wynn, Ms. Elaine P. Wynn (“Ms. Wynn”), and Aruze USA, Inc. (“Aruze”), each of whom were then</w:t>
      </w:r>
      <w:r>
        <w:rPr>
          <w:rFonts w:ascii="Arial" w:cs="Arial" w:eastAsia="Arial" w:hAnsi="Arial"/>
          <w:sz w:val="16"/>
          <w:szCs w:val="16"/>
          <w:b w:val="1"/>
          <w:bCs w:val="1"/>
          <w:color w:val="auto"/>
        </w:rPr>
        <w:t xml:space="preserve"> </w:t>
      </w:r>
      <w:r>
        <w:rPr>
          <w:rFonts w:ascii="Arial" w:cs="Arial" w:eastAsia="Arial" w:hAnsi="Arial"/>
          <w:sz w:val="16"/>
          <w:szCs w:val="16"/>
          <w:color w:val="auto"/>
        </w:rPr>
        <w:t>greater than 5% shareholders of the Company, entered into an amended and restated shareholders agreement (the “Shareholders Agreement”), pursuant to which each of Mr. Wynn, Ms. Wynn and Aruze agreed to vote all shares of the Company held by them and subject to the terms of the Amended and Restated Stockholders Agreement in a manner so as to elect to the Company’s Board of Directors each of the nominees contained on each and every slate of directors endorsed by Mr. Wynn, to include, subject to certain conditions, Ms. Wynn and, so long as such slate results in a majority of directors at all times being candidates endorsed by Mr. Wynn, nominees approved by Aruze. Pursuant to an agreement, dated March 8, 2018, settling certain litigation between the Company and Aruze, Aruze agreed not to claim that Aruze remains a party to the Shareholders Agreement. On March 14, 2018, Mr. Wynn and Ms. Wynn entered into a stipulation declaring the Shareholders Agreement invalid and unenforceable, and on April 16, 2018, the Company entered into a Settlement Agreement and Mutual Release by and between the Company, Mr. Wynn, Ms. Wynn and Ms. Sinatra, which, among other things, resolved and unconditionally released the parties from all claims and cross claims asserted among the parties in a legal proceeding involving the Shareholders Agreement.</w:t>
      </w:r>
    </w:p>
    <w:p>
      <w:pPr>
        <w:spacing w:after="0" w:line="188" w:lineRule="exact"/>
        <w:rPr>
          <w:sz w:val="20"/>
          <w:szCs w:val="20"/>
          <w:color w:val="auto"/>
        </w:rPr>
      </w:pPr>
    </w:p>
    <w:p>
      <w:pPr>
        <w:ind w:left="200" w:right="60"/>
        <w:spacing w:after="0" w:line="250" w:lineRule="auto"/>
        <w:rPr>
          <w:sz w:val="20"/>
          <w:szCs w:val="20"/>
          <w:color w:val="auto"/>
        </w:rPr>
      </w:pPr>
      <w:r>
        <w:rPr>
          <w:rFonts w:ascii="Arial" w:cs="Arial" w:eastAsia="Arial" w:hAnsi="Arial"/>
          <w:sz w:val="16"/>
          <w:szCs w:val="16"/>
          <w:b w:val="1"/>
          <w:bCs w:val="1"/>
          <w:color w:val="auto"/>
        </w:rPr>
        <w:t xml:space="preserve">Registration Rights Agreement. </w:t>
      </w:r>
      <w:r>
        <w:rPr>
          <w:rFonts w:ascii="Arial" w:cs="Arial" w:eastAsia="Arial" w:hAnsi="Arial"/>
          <w:sz w:val="16"/>
          <w:szCs w:val="16"/>
          <w:color w:val="auto"/>
        </w:rPr>
        <w:t>On March 20, 2018, the Company entered into a Registration Rights Agreement with Mr. Wynn, the Wynn Family</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Partnership, a Delaware limited partnership (“WFLP” and together with Mr. Wynn, the “Selling Shareholder”) and each holder from time to time a party thereto (the “Registration Rights Agreement”), pursuant to the Separation Agreement described above. Further, the Registration Rights Agreement provides for mutual indemnification and expense reimbursement. On March 21, 2018, the Company filed a prospectus supplement, dated March 20, 2018, pursuant to the terms of the Registration Rights Agreement. The Selling Shareholder reported that on March 21, 2018, it sold an aggregate of 4,104,999 shares of Common Stock at a price of $180.00 per share in open market transactions pursuant to Rule 144 under the Securities Act of 1933, as amended. In addition, on March 22, 2018, the Selling Shareholder entered into agreements to sell approximately 8,026,708 million shares of Common Stock in privately negotiated transactions to institutional buyers. Upon completion of these sales, the Selling Shareholder had no remaining holdings of Common Stock. Pursuant to the Registration Rights Agreement, without the Company’s prior written consent, the Selling Shareholder was not permitted to sell more than an aggregate of 4,043,903 shares of Common Stock in any quarter. The Company provided written consent permitting the Selling Shareholder to undertake these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96520</wp:posOffset>
            </wp:positionV>
            <wp:extent cx="6997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207645</wp:posOffset>
            </wp:positionV>
            <wp:extent cx="608965" cy="274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12"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43</w:t>
        <w:tab/>
        <w:t>|</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665B4F"/>
        </w:rPr>
        <w:t>CERTAIN RELATIONSHIPS AND TRANSACTION</w:t>
      </w:r>
    </w:p>
    <w:p>
      <w:pPr>
        <w:spacing w:after="0" w:line="158" w:lineRule="exact"/>
        <w:rPr>
          <w:sz w:val="20"/>
          <w:szCs w:val="20"/>
          <w:color w:val="auto"/>
        </w:rPr>
      </w:pPr>
    </w:p>
    <w:p>
      <w:pPr>
        <w:jc w:val="both"/>
        <w:ind w:left="200" w:right="100"/>
        <w:spacing w:after="0" w:line="266" w:lineRule="auto"/>
        <w:rPr>
          <w:sz w:val="20"/>
          <w:szCs w:val="20"/>
          <w:color w:val="auto"/>
        </w:rPr>
      </w:pPr>
      <w:r>
        <w:rPr>
          <w:rFonts w:ascii="Arial" w:cs="Arial" w:eastAsia="Arial" w:hAnsi="Arial"/>
          <w:sz w:val="16"/>
          <w:szCs w:val="16"/>
          <w:b w:val="1"/>
          <w:bCs w:val="1"/>
          <w:color w:val="auto"/>
        </w:rPr>
        <w:t xml:space="preserve">Artwork. </w:t>
      </w:r>
      <w:r>
        <w:rPr>
          <w:rFonts w:ascii="Arial" w:cs="Arial" w:eastAsia="Arial" w:hAnsi="Arial"/>
          <w:sz w:val="16"/>
          <w:szCs w:val="16"/>
          <w:color w:val="auto"/>
        </w:rPr>
        <w:t>From June 2006 through February 28, 2018, Wynn Las Vegas, LLC leased certain pieces of fine art from Mr. Wynn for an annual fee of $1.00.</w:t>
      </w:r>
      <w:r>
        <w:rPr>
          <w:rFonts w:ascii="Arial" w:cs="Arial" w:eastAsia="Arial" w:hAnsi="Arial"/>
          <w:sz w:val="16"/>
          <w:szCs w:val="16"/>
          <w:b w:val="1"/>
          <w:bCs w:val="1"/>
          <w:color w:val="auto"/>
        </w:rPr>
        <w:t xml:space="preserve"> </w:t>
      </w:r>
      <w:r>
        <w:rPr>
          <w:rFonts w:ascii="Arial" w:cs="Arial" w:eastAsia="Arial" w:hAnsi="Arial"/>
          <w:sz w:val="16"/>
          <w:szCs w:val="16"/>
          <w:color w:val="auto"/>
        </w:rPr>
        <w:t>Wynn Las Vegas, LLC was responsible for all expenses incurred in exhibiting and safeguarding those works that it exhibits under the lease, including the cost of insurance (including terrorism insurance) and taxes.</w:t>
      </w:r>
    </w:p>
    <w:p>
      <w:pPr>
        <w:spacing w:after="0" w:line="172"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b w:val="1"/>
          <w:bCs w:val="1"/>
          <w:color w:val="auto"/>
        </w:rPr>
        <w:t xml:space="preserve">The “Wynn” Surname Rights Agreement. </w:t>
      </w:r>
      <w:r>
        <w:rPr>
          <w:rFonts w:ascii="Arial" w:cs="Arial" w:eastAsia="Arial" w:hAnsi="Arial"/>
          <w:sz w:val="16"/>
          <w:szCs w:val="16"/>
          <w:color w:val="auto"/>
        </w:rPr>
        <w:t>Under the parties’ Surname Rights Agreement, dated August 6, 2004, Mr. Wynn granted the Company an</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fully paid-up, perpetual, worldwide license to use, and to own and register trademarks and service marks incorporating the “Wynn” name for casino resorts and related businesses, together with the right to sublicense the name and marks to its affiliates. Pursuant to the Separation Agreement, if the Company ceases to use the “Wynn” name and trademark, the Company will assign all of its right, title, and interest in the “Wynn” trademark to</w:t>
      </w:r>
    </w:p>
    <w:p>
      <w:pPr>
        <w:ind w:left="200" w:right="60"/>
        <w:spacing w:after="0" w:line="253" w:lineRule="auto"/>
        <w:rPr>
          <w:sz w:val="20"/>
          <w:szCs w:val="20"/>
          <w:color w:val="auto"/>
        </w:rPr>
      </w:pPr>
      <w:r>
        <w:rPr>
          <w:rFonts w:ascii="Arial" w:cs="Arial" w:eastAsia="Arial" w:hAnsi="Arial"/>
          <w:sz w:val="16"/>
          <w:szCs w:val="16"/>
          <w:color w:val="auto"/>
        </w:rPr>
        <w:t>Mr. Wynn and terminate the Surname Rights Agreement. Under the parties’ Rights of Publicity License, Mr. Wynn granted the Company the exclusive, royalty-free, worldwide right to use his full name, persona and related rights of publicity for casino resorts and related businesses, together with the ability to sublicense his persona and publicity rights to the Company’s affiliates, until October 24, 2017.</w:t>
      </w:r>
    </w:p>
    <w:p>
      <w:pPr>
        <w:spacing w:after="0" w:line="181" w:lineRule="exact"/>
        <w:rPr>
          <w:sz w:val="20"/>
          <w:szCs w:val="20"/>
          <w:color w:val="auto"/>
        </w:rPr>
      </w:pPr>
    </w:p>
    <w:p>
      <w:pPr>
        <w:ind w:left="200" w:right="200"/>
        <w:spacing w:after="0" w:line="254" w:lineRule="auto"/>
        <w:rPr>
          <w:sz w:val="20"/>
          <w:szCs w:val="20"/>
          <w:color w:val="auto"/>
        </w:rPr>
      </w:pPr>
      <w:r>
        <w:rPr>
          <w:rFonts w:ascii="Arial" w:cs="Arial" w:eastAsia="Arial" w:hAnsi="Arial"/>
          <w:sz w:val="16"/>
          <w:szCs w:val="16"/>
          <w:b w:val="1"/>
          <w:bCs w:val="1"/>
          <w:color w:val="auto"/>
        </w:rPr>
        <w:t xml:space="preserve">Villa Lease. </w:t>
      </w:r>
      <w:r>
        <w:rPr>
          <w:rFonts w:ascii="Arial" w:cs="Arial" w:eastAsia="Arial" w:hAnsi="Arial"/>
          <w:sz w:val="16"/>
          <w:szCs w:val="16"/>
          <w:color w:val="auto"/>
        </w:rPr>
        <w:t>Pursuant to the Third Amended and Restated Agreement of Lease, Mr. Wynn leases property at Wynn Las Vegas for use as his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residence and pays Wynn Las Vegas annual rent at the fair market value of the accommodations based on independent third-party expert opinions of value, which for 2017 was $305,680. The Villa Lease provides that Wynn Las Vegas pays for all capital improvements to the villas, and certain services for, and maintenance of, the villas are included in the annual rent. Pursuant to the Separation Agreement, the Villa Lease will terminate no later than June 1, 2018 and until such date Mr. Wynn shall continue to pay rent at the rate of $305,680 per year, unless Mr. Wynn elects to terminate the lease before such date.</w:t>
      </w:r>
    </w:p>
    <w:p>
      <w:pPr>
        <w:spacing w:after="0" w:line="182" w:lineRule="exact"/>
        <w:rPr>
          <w:sz w:val="20"/>
          <w:szCs w:val="20"/>
          <w:color w:val="auto"/>
        </w:rPr>
      </w:pPr>
    </w:p>
    <w:p>
      <w:pPr>
        <w:ind w:left="200" w:right="20"/>
        <w:spacing w:after="0" w:line="256"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Effective as of January 1, 2015, Mr. Wynn reimbursed the Company for certain expenses for his personal use of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aircraft, subject to a $250,000 credit per calendar year as approved by the Compensation Committee. Additionally, the Company included as taxable compensation of Mr. Wynn, the direct costs that the Company incurred in operating the aircraft where personal passengers accompany him on business flights, up to an amount determined by using the Internal Revenue Service Standard Industry Fare Level (SIFL) tables. For 2017, $99,476 was included in Mr. Wynn’s taxable compensation and Mr. Wynn reimbursed the Company $766,098. Such aircraft arrangements terminated on February 6, 2018.</w:t>
      </w:r>
    </w:p>
    <w:p>
      <w:pPr>
        <w:spacing w:after="0" w:line="180" w:lineRule="exact"/>
        <w:rPr>
          <w:sz w:val="20"/>
          <w:szCs w:val="20"/>
          <w:color w:val="auto"/>
        </w:rPr>
      </w:pPr>
    </w:p>
    <w:p>
      <w:pPr>
        <w:ind w:left="200" w:right="80"/>
        <w:spacing w:after="0" w:line="256"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The Company periodically provides services to certain of its executive officers and directors, including the personal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construction work and other personal services. These certain officers and directors have deposits with the Company to prepay any such items. These deposits are replenished on an ongoing basis as needed. At December 31, 2017, Mr. Wynn had a net deposit balance with the Company of $319,404. The Company is discontinuing these arrangements in connection with Mr. Wynn’s separation from the Company and expects to complete and collect for such services no later than June 30, 2018.</w:t>
      </w:r>
    </w:p>
    <w:p>
      <w:pPr>
        <w:spacing w:after="0" w:line="180" w:lineRule="exact"/>
        <w:rPr>
          <w:sz w:val="20"/>
          <w:szCs w:val="20"/>
          <w:color w:val="auto"/>
        </w:rPr>
      </w:pPr>
    </w:p>
    <w:p>
      <w:pPr>
        <w:ind w:left="200" w:right="80"/>
        <w:spacing w:after="0" w:line="259" w:lineRule="auto"/>
        <w:rPr>
          <w:sz w:val="20"/>
          <w:szCs w:val="20"/>
          <w:color w:val="auto"/>
        </w:rPr>
      </w:pPr>
      <w:r>
        <w:rPr>
          <w:rFonts w:ascii="Arial" w:cs="Arial" w:eastAsia="Arial" w:hAnsi="Arial"/>
          <w:sz w:val="16"/>
          <w:szCs w:val="16"/>
          <w:b w:val="1"/>
          <w:bCs w:val="1"/>
          <w:color w:val="auto"/>
        </w:rPr>
        <w:t xml:space="preserve">Plane Option Agreement. </w:t>
      </w:r>
      <w:r>
        <w:rPr>
          <w:rFonts w:ascii="Arial" w:cs="Arial" w:eastAsia="Arial" w:hAnsi="Arial"/>
          <w:sz w:val="16"/>
          <w:szCs w:val="16"/>
          <w:color w:val="auto"/>
        </w:rPr>
        <w:t>On January 3, 2013, the Company and Mr. Wynn entered into an agreement pursuant to which Mr. Wynn agreed to terminate</w:t>
      </w:r>
      <w:r>
        <w:rPr>
          <w:rFonts w:ascii="Arial" w:cs="Arial" w:eastAsia="Arial" w:hAnsi="Arial"/>
          <w:sz w:val="16"/>
          <w:szCs w:val="16"/>
          <w:b w:val="1"/>
          <w:bCs w:val="1"/>
          <w:color w:val="auto"/>
        </w:rPr>
        <w:t xml:space="preserve"> </w:t>
      </w:r>
      <w:r>
        <w:rPr>
          <w:rFonts w:ascii="Arial" w:cs="Arial" w:eastAsia="Arial" w:hAnsi="Arial"/>
          <w:sz w:val="16"/>
          <w:szCs w:val="16"/>
          <w:color w:val="auto"/>
        </w:rPr>
        <w:t>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was exercisable upon 30 days written notice and at a price equal to the book value of such aircraft and terminated on February 6, 2018.</w:t>
      </w:r>
    </w:p>
    <w:p>
      <w:pPr>
        <w:spacing w:after="0" w:line="178" w:lineRule="exact"/>
        <w:rPr>
          <w:sz w:val="20"/>
          <w:szCs w:val="20"/>
          <w:color w:val="auto"/>
        </w:rPr>
      </w:pPr>
    </w:p>
    <w:p>
      <w:pPr>
        <w:ind w:left="200"/>
        <w:spacing w:after="0" w:line="254" w:lineRule="auto"/>
        <w:rPr>
          <w:sz w:val="20"/>
          <w:szCs w:val="20"/>
          <w:color w:val="auto"/>
        </w:rPr>
      </w:pPr>
      <w:r>
        <w:rPr>
          <w:rFonts w:ascii="Arial" w:cs="Arial" w:eastAsia="Arial" w:hAnsi="Arial"/>
          <w:sz w:val="16"/>
          <w:szCs w:val="16"/>
          <w:b w:val="1"/>
          <w:bCs w:val="1"/>
          <w:color w:val="auto"/>
        </w:rPr>
        <w:t>Other</w:t>
      </w:r>
      <w:r>
        <w:rPr>
          <w:rFonts w:ascii="Arial" w:cs="Arial" w:eastAsia="Arial" w:hAnsi="Arial"/>
          <w:sz w:val="16"/>
          <w:szCs w:val="16"/>
          <w:color w:val="auto"/>
        </w:rPr>
        <w:t>. In addition to the above, the Company (or its subsidiaries) employs Mary Ann Pascal, the sister-in-law of Ms. Wynn (who is a beneficial owner of in</w:t>
      </w:r>
      <w:r>
        <w:rPr>
          <w:rFonts w:ascii="Arial" w:cs="Arial" w:eastAsia="Arial" w:hAnsi="Arial"/>
          <w:sz w:val="16"/>
          <w:szCs w:val="16"/>
          <w:b w:val="1"/>
          <w:bCs w:val="1"/>
          <w:color w:val="auto"/>
        </w:rPr>
        <w:t xml:space="preserve"> </w:t>
      </w:r>
      <w:r>
        <w:rPr>
          <w:rFonts w:ascii="Arial" w:cs="Arial" w:eastAsia="Arial" w:hAnsi="Arial"/>
          <w:sz w:val="16"/>
          <w:szCs w:val="16"/>
          <w:color w:val="auto"/>
        </w:rPr>
        <w:t>excess of 5% of the outstanding shares of the Company’s Common Stock), as Vice President—Player Development at Wynn Las Vegas. The Audit Committee of the Company approved the employment arrangement in advance and determined that compensation was at (or below) levels paid to non-family members. Total compensation paid to Ms. Pascal for 2017 included the following amounts calculated in the same manner as the Summary Compensation Table values presented for NEOs: base salary of $203,846 bonus of $60,000, and other compensation of $3,199. Ms. Pascal’s annual base salary was increased to $250,000, effective May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101600</wp:posOffset>
            </wp:positionV>
            <wp:extent cx="6997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7" w:lineRule="exact"/>
        <w:rPr>
          <w:sz w:val="20"/>
          <w:szCs w:val="20"/>
          <w:color w:val="auto"/>
        </w:rPr>
      </w:pPr>
    </w:p>
    <w:p>
      <w:pPr>
        <w:jc w:val="right"/>
        <w:spacing w:after="0"/>
        <w:tabs>
          <w:tab w:leader="none" w:pos="340" w:val="left"/>
          <w:tab w:leader="none" w:pos="1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44</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41"/>
          <w:szCs w:val="41"/>
          <w:b w:val="1"/>
          <w:bCs w:val="1"/>
          <w:color w:val="665B4F"/>
        </w:rPr>
        <w:t>PAY RATIO DISCLOSURE</w:t>
      </w:r>
    </w:p>
    <w:p>
      <w:pPr>
        <w:spacing w:after="0" w:line="200" w:lineRule="exact"/>
        <w:rPr>
          <w:sz w:val="20"/>
          <w:szCs w:val="20"/>
          <w:color w:val="auto"/>
        </w:rPr>
      </w:pPr>
    </w:p>
    <w:p>
      <w:pPr>
        <w:spacing w:after="0" w:line="284" w:lineRule="exact"/>
        <w:rPr>
          <w:sz w:val="20"/>
          <w:szCs w:val="20"/>
          <w:color w:val="auto"/>
        </w:rPr>
      </w:pPr>
    </w:p>
    <w:p>
      <w:pPr>
        <w:ind w:left="200" w:right="260"/>
        <w:spacing w:after="0" w:line="250" w:lineRule="auto"/>
        <w:rPr>
          <w:sz w:val="20"/>
          <w:szCs w:val="20"/>
          <w:color w:val="auto"/>
        </w:rPr>
      </w:pPr>
      <w:r>
        <w:rPr>
          <w:rFonts w:ascii="Arial" w:cs="Arial" w:eastAsia="Arial" w:hAnsi="Arial"/>
          <w:sz w:val="16"/>
          <w:szCs w:val="16"/>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may have different employee populations and compensation practices and may utilize different methodologies, exclusions, estimates and assumptions in calculating their own pay ratios.</w:t>
      </w:r>
    </w:p>
    <w:p>
      <w:pPr>
        <w:spacing w:after="0" w:line="203" w:lineRule="exact"/>
        <w:rPr>
          <w:sz w:val="20"/>
          <w:szCs w:val="20"/>
          <w:color w:val="auto"/>
        </w:rPr>
      </w:pPr>
    </w:p>
    <w:p>
      <w:pPr>
        <w:ind w:left="200" w:right="140"/>
        <w:spacing w:after="0" w:line="249" w:lineRule="auto"/>
        <w:rPr>
          <w:sz w:val="20"/>
          <w:szCs w:val="20"/>
          <w:color w:val="auto"/>
        </w:rPr>
      </w:pPr>
      <w:r>
        <w:rPr>
          <w:rFonts w:ascii="Arial" w:cs="Arial" w:eastAsia="Arial" w:hAnsi="Arial"/>
          <w:sz w:val="16"/>
          <w:szCs w:val="16"/>
          <w:color w:val="auto"/>
        </w:rPr>
        <w:t>The pay ratio reported below is a reasonable estimate calculated in a manner consistent with SEC rules based on our payroll records and the methodology described below. For these purposes, we determined the median compensated employee using taxable income for 2017, which we annualized for any employee who did not work for the entire year unless designated as a temporary employee. We determined that, as of December 31, 2017, our employee population consisted of approximately 25,200 employees, with approximately 52% working in Macau as an employee of Wynn Macau, Limited or one of its subsidiaries. In identifying the median employee, we made a cost-of-living adjustment using the International Monetary Fund’s implied purchasing power conversion rate of 5.49 with respect to employees located in Macau.</w:t>
      </w:r>
    </w:p>
    <w:p>
      <w:pPr>
        <w:spacing w:after="0" w:line="205" w:lineRule="exact"/>
        <w:rPr>
          <w:sz w:val="20"/>
          <w:szCs w:val="20"/>
          <w:color w:val="auto"/>
        </w:rPr>
      </w:pPr>
    </w:p>
    <w:p>
      <w:pPr>
        <w:ind w:left="200" w:right="280"/>
        <w:spacing w:after="0" w:line="253" w:lineRule="auto"/>
        <w:rPr>
          <w:sz w:val="20"/>
          <w:szCs w:val="20"/>
          <w:color w:val="auto"/>
        </w:rPr>
      </w:pPr>
      <w:r>
        <w:rPr>
          <w:rFonts w:ascii="Arial" w:cs="Arial" w:eastAsia="Arial" w:hAnsi="Arial"/>
          <w:sz w:val="16"/>
          <w:szCs w:val="16"/>
          <w:color w:val="auto"/>
        </w:rPr>
        <w:t>Using this methodology, we determined that the median employee was a full-time, salaried employee located in Las Vegas. The 2017 annual total compensation of our median compensated employee, other than our 2017 CEO, was $44,437; the 2017 annual total compensation of our CEO during 2017, Mr. Wynn, was $34,522,695; and the ratio of these amounts was 1-to-777.</w:t>
      </w:r>
    </w:p>
    <w:p>
      <w:pPr>
        <w:spacing w:after="0" w:line="201" w:lineRule="exact"/>
        <w:rPr>
          <w:sz w:val="20"/>
          <w:szCs w:val="20"/>
          <w:color w:val="auto"/>
        </w:rPr>
      </w:pPr>
    </w:p>
    <w:p>
      <w:pPr>
        <w:jc w:val="both"/>
        <w:ind w:left="200" w:right="20"/>
        <w:spacing w:after="0" w:line="251" w:lineRule="auto"/>
        <w:rPr>
          <w:sz w:val="20"/>
          <w:szCs w:val="20"/>
          <w:color w:val="auto"/>
        </w:rPr>
      </w:pPr>
      <w:r>
        <w:rPr>
          <w:rFonts w:ascii="Arial" w:cs="Arial" w:eastAsia="Arial" w:hAnsi="Arial"/>
          <w:sz w:val="16"/>
          <w:szCs w:val="16"/>
          <w:color w:val="auto"/>
        </w:rPr>
        <w:t>To identify the median employee without a cost-of-living adjustment, we converted the compensation paid in Macau currency to U.S. dollars by applying a Macau patacas to U.S. dollars exchange rate using the noon buying rate of exchange of Macau patacas to U.S. dollars of 8.0518 on December 31, 2017. The 2017 annual total compensation of our median compensated employee, other than our 2017 CEO, without the cost-of-living adjustment was $37,963; and the ratio of this amount to Mr. Wynn’s 2017 annual total compensation was 1-to-909.</w:t>
      </w:r>
    </w:p>
    <w:p>
      <w:pPr>
        <w:spacing w:after="0" w:line="203"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We believe the employee population for gaming and hospitality industries includes a large percentage of “steady extra workers”. These are permanent workers who are paid hourly and obtain hours based on business volumes (e.g., coverage during peak times such as when large conventions are in town) and personal needs of the employee. As of December 31, 2017, approximately 13% of our employee population of 25,200 consisted of steady extra workers, most of whom are eligible for medical and other benefits. Based on SEC’s rules, these permanent workers are included in the employee population used in calculating the median employee compensation and may impact comparability of our median employee compensation amount with that in other industries.</w:t>
      </w:r>
    </w:p>
    <w:p>
      <w:pPr>
        <w:spacing w:after="0" w:line="205" w:lineRule="exact"/>
        <w:rPr>
          <w:sz w:val="20"/>
          <w:szCs w:val="20"/>
          <w:color w:val="auto"/>
        </w:rPr>
      </w:pPr>
    </w:p>
    <w:p>
      <w:pPr>
        <w:ind w:left="200" w:right="140"/>
        <w:spacing w:after="0" w:line="253" w:lineRule="auto"/>
        <w:rPr>
          <w:sz w:val="20"/>
          <w:szCs w:val="20"/>
          <w:color w:val="auto"/>
        </w:rPr>
      </w:pPr>
      <w:r>
        <w:rPr>
          <w:rFonts w:ascii="Arial" w:cs="Arial" w:eastAsia="Arial" w:hAnsi="Arial"/>
          <w:sz w:val="16"/>
          <w:szCs w:val="16"/>
          <w:color w:val="auto"/>
        </w:rPr>
        <w:t>Our talented and dedicated employees play an integral role in our overall success and we place great emphasis on creating an environment for our employees to excel and advance. We are committed to the development, health and well-being of our workforce through various programs, benefits and amenities. Please refer to “Our People and Our Stewardship”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203835</wp:posOffset>
            </wp:positionV>
            <wp:extent cx="608965" cy="274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06"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45</w:t>
        <w:tab/>
        <w:t>|</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41"/>
          <w:szCs w:val="41"/>
          <w:b w:val="1"/>
          <w:bCs w:val="1"/>
          <w:color w:val="665B4F"/>
        </w:rPr>
        <w:t>SECURITY OWNERSHIP</w:t>
      </w: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CERTAIN BENEFICIAL OWNERSHIP AND MANAGEMENT</w:t>
      </w:r>
    </w:p>
    <w:p>
      <w:pPr>
        <w:spacing w:after="0" w:line="124" w:lineRule="exact"/>
        <w:rPr>
          <w:sz w:val="20"/>
          <w:szCs w:val="20"/>
          <w:color w:val="auto"/>
        </w:rPr>
      </w:pPr>
    </w:p>
    <w:p>
      <w:pPr>
        <w:ind w:left="200" w:right="100"/>
        <w:spacing w:after="0" w:line="248" w:lineRule="auto"/>
        <w:rPr>
          <w:sz w:val="20"/>
          <w:szCs w:val="20"/>
          <w:color w:val="auto"/>
        </w:rPr>
      </w:pPr>
      <w:r>
        <w:rPr>
          <w:rFonts w:ascii="Arial" w:cs="Arial" w:eastAsia="Arial" w:hAnsi="Arial"/>
          <w:sz w:val="16"/>
          <w:szCs w:val="16"/>
          <w:color w:val="auto"/>
        </w:rPr>
        <w:t>The following table sets forth certain information regarding the shares of the Company’s Common Stock beneficially owned by: (i) each shareholder who is known by the Company to beneficially own in excess of 5% of the outstanding shares of the Company’s Common Stock based on information reported in Schedules 13D or 13G filed with the SEC; (ii) each director and nominee for director; (iii) each of the executive officers named in the Summary Compensation Table; and (iv) all current executive officers, directors and director nominees as a group. Each shareholder’s beneficial ownership is reported as of March 19, 2018 unless otherwise indicated, and ownership percentage is based on 103,202,045 shares of Common Stock outstanding as of March 19, 2018, plus any shares of our Common Stock underlying options held by that shareholder and exercisable on or within 60 days of March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148590</wp:posOffset>
            </wp:positionV>
            <wp:extent cx="6997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41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665B4F"/>
              </w:rPr>
              <w:t>BENEFICIAL OWNERSHIP OF SHARES</w:t>
            </w:r>
            <w:r>
              <w:rPr>
                <w:rFonts w:ascii="Arial" w:cs="Arial" w:eastAsia="Arial" w:hAnsi="Arial"/>
                <w:sz w:val="12"/>
                <w:szCs w:val="12"/>
                <w:b w:val="1"/>
                <w:bCs w:val="1"/>
                <w:color w:val="665B4F"/>
              </w:rPr>
              <w:t>(1)</w:t>
            </w:r>
          </w:p>
        </w:tc>
      </w:tr>
      <w:tr>
        <w:trPr>
          <w:trHeight w:val="39"/>
        </w:trPr>
        <w:tc>
          <w:tcPr>
            <w:tcW w:w="6840" w:type="dxa"/>
            <w:vAlign w:val="bottom"/>
          </w:tcPr>
          <w:p>
            <w:pPr>
              <w:spacing w:after="0"/>
              <w:rPr>
                <w:sz w:val="3"/>
                <w:szCs w:val="3"/>
                <w:color w:val="auto"/>
              </w:rPr>
            </w:pPr>
          </w:p>
        </w:tc>
        <w:tc>
          <w:tcPr>
            <w:tcW w:w="2280" w:type="dxa"/>
            <w:vAlign w:val="bottom"/>
            <w:tcBorders>
              <w:bottom w:val="single" w:sz="8" w:color="D1CDCA"/>
            </w:tcBorders>
          </w:tcPr>
          <w:p>
            <w:pPr>
              <w:spacing w:after="0"/>
              <w:rPr>
                <w:sz w:val="3"/>
                <w:szCs w:val="3"/>
                <w:color w:val="auto"/>
              </w:rPr>
            </w:pPr>
          </w:p>
        </w:tc>
        <w:tc>
          <w:tcPr>
            <w:tcW w:w="1900" w:type="dxa"/>
            <w:vAlign w:val="bottom"/>
            <w:tcBorders>
              <w:bottom w:val="single" w:sz="8" w:color="D1CDCA"/>
            </w:tcBorders>
          </w:tcPr>
          <w:p>
            <w:pPr>
              <w:spacing w:after="0"/>
              <w:rPr>
                <w:sz w:val="3"/>
                <w:szCs w:val="3"/>
                <w:color w:val="auto"/>
              </w:rPr>
            </w:pPr>
          </w:p>
        </w:tc>
      </w:tr>
      <w:tr>
        <w:trPr>
          <w:trHeight w:val="198"/>
        </w:trPr>
        <w:tc>
          <w:tcPr>
            <w:tcW w:w="6840" w:type="dxa"/>
            <w:vAlign w:val="bottom"/>
          </w:tcPr>
          <w:p>
            <w:pPr>
              <w:ind w:left="60"/>
              <w:spacing w:after="0"/>
              <w:rPr>
                <w:sz w:val="20"/>
                <w:szCs w:val="20"/>
                <w:color w:val="auto"/>
              </w:rPr>
            </w:pPr>
            <w:r>
              <w:rPr>
                <w:rFonts w:ascii="Arial" w:cs="Arial" w:eastAsia="Arial" w:hAnsi="Arial"/>
                <w:sz w:val="14"/>
                <w:szCs w:val="14"/>
                <w:b w:val="1"/>
                <w:bCs w:val="1"/>
                <w:color w:val="665B4F"/>
              </w:rPr>
              <w:t>NAME AND ADDRESS OF BENEFICIAL OWNER</w:t>
            </w:r>
            <w:r>
              <w:rPr>
                <w:rFonts w:ascii="Arial" w:cs="Arial" w:eastAsia="Arial" w:hAnsi="Arial"/>
                <w:sz w:val="12"/>
                <w:szCs w:val="12"/>
                <w:b w:val="1"/>
                <w:bCs w:val="1"/>
                <w:color w:val="665B4F"/>
              </w:rPr>
              <w:t>(2)</w:t>
            </w:r>
          </w:p>
        </w:tc>
        <w:tc>
          <w:tcPr>
            <w:tcW w:w="2280" w:type="dxa"/>
            <w:vAlign w:val="bottom"/>
          </w:tcPr>
          <w:p>
            <w:pPr>
              <w:jc w:val="right"/>
              <w:ind w:right="448"/>
              <w:spacing w:after="0"/>
              <w:rPr>
                <w:sz w:val="20"/>
                <w:szCs w:val="20"/>
                <w:color w:val="auto"/>
              </w:rPr>
            </w:pPr>
            <w:r>
              <w:rPr>
                <w:rFonts w:ascii="Arial" w:cs="Arial" w:eastAsia="Arial" w:hAnsi="Arial"/>
                <w:sz w:val="14"/>
                <w:szCs w:val="14"/>
                <w:b w:val="1"/>
                <w:bCs w:val="1"/>
                <w:color w:val="665B4F"/>
              </w:rPr>
              <w:t>NUMBER</w:t>
            </w:r>
          </w:p>
        </w:tc>
        <w:tc>
          <w:tcPr>
            <w:tcW w:w="1900" w:type="dxa"/>
            <w:vAlign w:val="bottom"/>
          </w:tcPr>
          <w:p>
            <w:pPr>
              <w:jc w:val="right"/>
              <w:ind w:right="328"/>
              <w:spacing w:after="0"/>
              <w:rPr>
                <w:sz w:val="20"/>
                <w:szCs w:val="20"/>
                <w:color w:val="auto"/>
              </w:rPr>
            </w:pPr>
            <w:r>
              <w:rPr>
                <w:rFonts w:ascii="Arial" w:cs="Arial" w:eastAsia="Arial" w:hAnsi="Arial"/>
                <w:sz w:val="14"/>
                <w:szCs w:val="14"/>
                <w:b w:val="1"/>
                <w:bCs w:val="1"/>
                <w:color w:val="665B4F"/>
              </w:rPr>
              <w:t>PERCENTAGE</w:t>
            </w:r>
          </w:p>
        </w:tc>
      </w:tr>
      <w:tr>
        <w:trPr>
          <w:trHeight w:val="39"/>
        </w:trPr>
        <w:tc>
          <w:tcPr>
            <w:tcW w:w="6840" w:type="dxa"/>
            <w:vAlign w:val="bottom"/>
            <w:tcBorders>
              <w:bottom w:val="single" w:sz="8" w:color="D1CDCA"/>
            </w:tcBorders>
          </w:tcPr>
          <w:p>
            <w:pPr>
              <w:spacing w:after="0"/>
              <w:rPr>
                <w:sz w:val="3"/>
                <w:szCs w:val="3"/>
                <w:color w:val="auto"/>
              </w:rPr>
            </w:pPr>
          </w:p>
        </w:tc>
        <w:tc>
          <w:tcPr>
            <w:tcW w:w="2280" w:type="dxa"/>
            <w:vAlign w:val="bottom"/>
            <w:tcBorders>
              <w:bottom w:val="single" w:sz="8" w:color="D1CDCA"/>
            </w:tcBorders>
          </w:tcPr>
          <w:p>
            <w:pPr>
              <w:spacing w:after="0"/>
              <w:rPr>
                <w:sz w:val="3"/>
                <w:szCs w:val="3"/>
                <w:color w:val="auto"/>
              </w:rPr>
            </w:pPr>
          </w:p>
        </w:tc>
        <w:tc>
          <w:tcPr>
            <w:tcW w:w="1900" w:type="dxa"/>
            <w:vAlign w:val="bottom"/>
            <w:tcBorders>
              <w:bottom w:val="single" w:sz="8" w:color="D1CDCA"/>
            </w:tcBorders>
          </w:tcPr>
          <w:p>
            <w:pPr>
              <w:spacing w:after="0"/>
              <w:rPr>
                <w:sz w:val="3"/>
                <w:szCs w:val="3"/>
                <w:color w:val="auto"/>
              </w:rPr>
            </w:pPr>
          </w:p>
        </w:tc>
      </w:tr>
      <w:tr>
        <w:trPr>
          <w:trHeight w:val="255"/>
        </w:trPr>
        <w:tc>
          <w:tcPr>
            <w:tcW w:w="684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b w:val="1"/>
                <w:bCs w:val="1"/>
                <w:color w:val="auto"/>
              </w:rPr>
              <w:t>5% Shareholders:</w:t>
            </w:r>
          </w:p>
        </w:tc>
        <w:tc>
          <w:tcPr>
            <w:tcW w:w="2280" w:type="dxa"/>
            <w:vAlign w:val="bottom"/>
            <w:tcBorders>
              <w:bottom w:val="single" w:sz="8" w:color="F7F7E5"/>
            </w:tcBorders>
            <w:shd w:val="clear" w:color="auto" w:fill="F7F7E5"/>
          </w:tcPr>
          <w:p>
            <w:pPr>
              <w:spacing w:after="0"/>
              <w:rPr>
                <w:sz w:val="21"/>
                <w:szCs w:val="21"/>
                <w:color w:val="auto"/>
              </w:rPr>
            </w:pPr>
          </w:p>
        </w:tc>
        <w:tc>
          <w:tcPr>
            <w:tcW w:w="1900" w:type="dxa"/>
            <w:vAlign w:val="bottom"/>
            <w:tcBorders>
              <w:bottom w:val="single" w:sz="8" w:color="F7F7E5"/>
            </w:tcBorders>
            <w:shd w:val="clear" w:color="auto" w:fill="F7F7E5"/>
          </w:tcPr>
          <w:p>
            <w:pPr>
              <w:spacing w:after="0"/>
              <w:rPr>
                <w:sz w:val="21"/>
                <w:szCs w:val="21"/>
                <w:color w:val="auto"/>
              </w:rPr>
            </w:pPr>
          </w:p>
        </w:tc>
      </w:tr>
      <w:tr>
        <w:trPr>
          <w:trHeight w:val="201"/>
        </w:trPr>
        <w:tc>
          <w:tcPr>
            <w:tcW w:w="6840" w:type="dxa"/>
            <w:vAlign w:val="bottom"/>
            <w:tcBorders>
              <w:top w:val="single" w:sz="8" w:color="D1CDCA"/>
            </w:tcBorders>
          </w:tcPr>
          <w:p>
            <w:pPr>
              <w:ind w:left="60"/>
              <w:spacing w:after="0" w:line="201" w:lineRule="exact"/>
              <w:rPr>
                <w:sz w:val="20"/>
                <w:szCs w:val="20"/>
                <w:color w:val="auto"/>
              </w:rPr>
            </w:pPr>
            <w:r>
              <w:rPr>
                <w:rFonts w:ascii="Arial" w:cs="Arial" w:eastAsia="Arial" w:hAnsi="Arial"/>
                <w:sz w:val="14"/>
                <w:szCs w:val="14"/>
                <w:color w:val="auto"/>
              </w:rPr>
              <w:t>Elaine P. Wynn</w:t>
            </w:r>
            <w:r>
              <w:rPr>
                <w:rFonts w:ascii="Arial" w:cs="Arial" w:eastAsia="Arial" w:hAnsi="Arial"/>
                <w:sz w:val="23"/>
                <w:szCs w:val="23"/>
                <w:color w:val="auto"/>
                <w:vertAlign w:val="superscript"/>
              </w:rPr>
              <w:t>(3)</w:t>
            </w:r>
          </w:p>
        </w:tc>
        <w:tc>
          <w:tcPr>
            <w:tcW w:w="2280" w:type="dxa"/>
            <w:vAlign w:val="bottom"/>
            <w:tcBorders>
              <w:top w:val="single" w:sz="8" w:color="D1CDCA"/>
            </w:tcBorders>
          </w:tcPr>
          <w:p>
            <w:pPr>
              <w:jc w:val="right"/>
              <w:ind w:right="448"/>
              <w:spacing w:after="0"/>
              <w:rPr>
                <w:sz w:val="20"/>
                <w:szCs w:val="20"/>
                <w:color w:val="auto"/>
              </w:rPr>
            </w:pPr>
            <w:r>
              <w:rPr>
                <w:rFonts w:ascii="Arial" w:cs="Arial" w:eastAsia="Arial" w:hAnsi="Arial"/>
                <w:sz w:val="14"/>
                <w:szCs w:val="14"/>
                <w:color w:val="auto"/>
              </w:rPr>
              <w:t>9,539,077</w:t>
            </w:r>
          </w:p>
        </w:tc>
        <w:tc>
          <w:tcPr>
            <w:tcW w:w="1900" w:type="dxa"/>
            <w:vAlign w:val="bottom"/>
            <w:tcBorders>
              <w:top w:val="single" w:sz="8" w:color="D1CDCA"/>
            </w:tcBorders>
          </w:tcPr>
          <w:p>
            <w:pPr>
              <w:jc w:val="right"/>
              <w:ind w:right="208"/>
              <w:spacing w:after="0"/>
              <w:rPr>
                <w:sz w:val="20"/>
                <w:szCs w:val="20"/>
                <w:color w:val="auto"/>
              </w:rPr>
            </w:pPr>
            <w:r>
              <w:rPr>
                <w:rFonts w:ascii="Arial" w:cs="Arial" w:eastAsia="Arial" w:hAnsi="Arial"/>
                <w:sz w:val="14"/>
                <w:szCs w:val="14"/>
                <w:color w:val="auto"/>
              </w:rPr>
              <w:t>9.2%</w:t>
            </w:r>
          </w:p>
        </w:tc>
      </w:tr>
      <w:tr>
        <w:trPr>
          <w:trHeight w:val="162"/>
        </w:trPr>
        <w:tc>
          <w:tcPr>
            <w:tcW w:w="6840" w:type="dxa"/>
            <w:vAlign w:val="bottom"/>
          </w:tcPr>
          <w:p>
            <w:pPr>
              <w:ind w:left="120"/>
              <w:spacing w:after="0"/>
              <w:rPr>
                <w:sz w:val="20"/>
                <w:szCs w:val="20"/>
                <w:color w:val="auto"/>
              </w:rPr>
            </w:pPr>
            <w:r>
              <w:rPr>
                <w:rFonts w:ascii="Arial" w:cs="Arial" w:eastAsia="Arial" w:hAnsi="Arial"/>
                <w:sz w:val="14"/>
                <w:szCs w:val="14"/>
                <w:color w:val="auto"/>
              </w:rPr>
              <w:t>c/o Elaine P. Wynn and Family Foundation</w:t>
            </w:r>
          </w:p>
        </w:tc>
        <w:tc>
          <w:tcPr>
            <w:tcW w:w="22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2"/>
        </w:trPr>
        <w:tc>
          <w:tcPr>
            <w:tcW w:w="6840" w:type="dxa"/>
            <w:vAlign w:val="bottom"/>
          </w:tcPr>
          <w:p>
            <w:pPr>
              <w:ind w:left="120"/>
              <w:spacing w:after="0"/>
              <w:rPr>
                <w:sz w:val="20"/>
                <w:szCs w:val="20"/>
                <w:color w:val="auto"/>
              </w:rPr>
            </w:pPr>
            <w:r>
              <w:rPr>
                <w:rFonts w:ascii="Arial" w:cs="Arial" w:eastAsia="Arial" w:hAnsi="Arial"/>
                <w:sz w:val="14"/>
                <w:szCs w:val="14"/>
                <w:color w:val="auto"/>
              </w:rPr>
              <w:t>3800 Howard Hughes Parkway</w:t>
            </w:r>
          </w:p>
        </w:tc>
        <w:tc>
          <w:tcPr>
            <w:tcW w:w="22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2"/>
        </w:trPr>
        <w:tc>
          <w:tcPr>
            <w:tcW w:w="6840" w:type="dxa"/>
            <w:vAlign w:val="bottom"/>
          </w:tcPr>
          <w:p>
            <w:pPr>
              <w:ind w:left="120"/>
              <w:spacing w:after="0"/>
              <w:rPr>
                <w:sz w:val="20"/>
                <w:szCs w:val="20"/>
                <w:color w:val="auto"/>
              </w:rPr>
            </w:pPr>
            <w:r>
              <w:rPr>
                <w:rFonts w:ascii="Arial" w:cs="Arial" w:eastAsia="Arial" w:hAnsi="Arial"/>
                <w:sz w:val="14"/>
                <w:szCs w:val="14"/>
                <w:color w:val="auto"/>
              </w:rPr>
              <w:t>Suite 960</w:t>
            </w:r>
          </w:p>
        </w:tc>
        <w:tc>
          <w:tcPr>
            <w:tcW w:w="22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2"/>
        </w:trPr>
        <w:tc>
          <w:tcPr>
            <w:tcW w:w="6840" w:type="dxa"/>
            <w:vAlign w:val="bottom"/>
          </w:tcPr>
          <w:p>
            <w:pPr>
              <w:ind w:left="120"/>
              <w:spacing w:after="0"/>
              <w:rPr>
                <w:sz w:val="20"/>
                <w:szCs w:val="20"/>
                <w:color w:val="auto"/>
              </w:rPr>
            </w:pPr>
            <w:r>
              <w:rPr>
                <w:rFonts w:ascii="Arial" w:cs="Arial" w:eastAsia="Arial" w:hAnsi="Arial"/>
                <w:sz w:val="14"/>
                <w:szCs w:val="14"/>
                <w:color w:val="auto"/>
              </w:rPr>
              <w:t>Las Vegas, Nevada 89169</w:t>
            </w:r>
          </w:p>
        </w:tc>
        <w:tc>
          <w:tcPr>
            <w:tcW w:w="22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39"/>
        </w:trPr>
        <w:tc>
          <w:tcPr>
            <w:tcW w:w="6840" w:type="dxa"/>
            <w:vAlign w:val="bottom"/>
            <w:tcBorders>
              <w:bottom w:val="single" w:sz="8" w:color="D1CDCA"/>
            </w:tcBorders>
          </w:tcPr>
          <w:p>
            <w:pPr>
              <w:spacing w:after="0"/>
              <w:rPr>
                <w:sz w:val="3"/>
                <w:szCs w:val="3"/>
                <w:color w:val="auto"/>
              </w:rPr>
            </w:pPr>
          </w:p>
        </w:tc>
        <w:tc>
          <w:tcPr>
            <w:tcW w:w="2280" w:type="dxa"/>
            <w:vAlign w:val="bottom"/>
            <w:tcBorders>
              <w:bottom w:val="single" w:sz="8" w:color="D1CDCA"/>
            </w:tcBorders>
          </w:tcPr>
          <w:p>
            <w:pPr>
              <w:spacing w:after="0"/>
              <w:rPr>
                <w:sz w:val="3"/>
                <w:szCs w:val="3"/>
                <w:color w:val="auto"/>
              </w:rPr>
            </w:pPr>
          </w:p>
        </w:tc>
        <w:tc>
          <w:tcPr>
            <w:tcW w:w="1900" w:type="dxa"/>
            <w:vAlign w:val="bottom"/>
            <w:tcBorders>
              <w:bottom w:val="single" w:sz="8" w:color="D1CDCA"/>
            </w:tcBorders>
          </w:tcPr>
          <w:p>
            <w:pPr>
              <w:spacing w:after="0"/>
              <w:rPr>
                <w:sz w:val="3"/>
                <w:szCs w:val="3"/>
                <w:color w:val="auto"/>
              </w:rPr>
            </w:pPr>
          </w:p>
        </w:tc>
      </w:tr>
      <w:tr>
        <w:trPr>
          <w:trHeight w:val="201"/>
        </w:trPr>
        <w:tc>
          <w:tcPr>
            <w:tcW w:w="6840" w:type="dxa"/>
            <w:vAlign w:val="bottom"/>
            <w:shd w:val="clear" w:color="auto" w:fill="F7F7E5"/>
          </w:tcPr>
          <w:p>
            <w:pPr>
              <w:ind w:left="60"/>
              <w:spacing w:after="0" w:line="201" w:lineRule="exact"/>
              <w:rPr>
                <w:sz w:val="20"/>
                <w:szCs w:val="20"/>
                <w:color w:val="auto"/>
              </w:rPr>
            </w:pPr>
            <w:r>
              <w:rPr>
                <w:rFonts w:ascii="Arial" w:cs="Arial" w:eastAsia="Arial" w:hAnsi="Arial"/>
                <w:sz w:val="14"/>
                <w:szCs w:val="14"/>
                <w:color w:val="auto"/>
              </w:rPr>
              <w:t>The Vanguard Group</w:t>
            </w:r>
            <w:r>
              <w:rPr>
                <w:rFonts w:ascii="Arial" w:cs="Arial" w:eastAsia="Arial" w:hAnsi="Arial"/>
                <w:sz w:val="23"/>
                <w:szCs w:val="23"/>
                <w:color w:val="auto"/>
                <w:vertAlign w:val="superscript"/>
              </w:rPr>
              <w:t>(4)</w:t>
            </w:r>
          </w:p>
        </w:tc>
        <w:tc>
          <w:tcPr>
            <w:tcW w:w="2280" w:type="dxa"/>
            <w:vAlign w:val="bottom"/>
            <w:shd w:val="clear" w:color="auto" w:fill="F7F7E5"/>
          </w:tcPr>
          <w:p>
            <w:pPr>
              <w:jc w:val="right"/>
              <w:ind w:right="448"/>
              <w:spacing w:after="0"/>
              <w:rPr>
                <w:sz w:val="20"/>
                <w:szCs w:val="20"/>
                <w:color w:val="auto"/>
              </w:rPr>
            </w:pPr>
            <w:r>
              <w:rPr>
                <w:rFonts w:ascii="Arial" w:cs="Arial" w:eastAsia="Arial" w:hAnsi="Arial"/>
                <w:sz w:val="14"/>
                <w:szCs w:val="14"/>
                <w:color w:val="auto"/>
              </w:rPr>
              <w:t>8,858,494</w:t>
            </w:r>
          </w:p>
        </w:tc>
        <w:tc>
          <w:tcPr>
            <w:tcW w:w="1900" w:type="dxa"/>
            <w:vAlign w:val="bottom"/>
            <w:shd w:val="clear" w:color="auto" w:fill="F7F7E5"/>
          </w:tcPr>
          <w:p>
            <w:pPr>
              <w:jc w:val="right"/>
              <w:ind w:right="208"/>
              <w:spacing w:after="0"/>
              <w:rPr>
                <w:sz w:val="20"/>
                <w:szCs w:val="20"/>
                <w:color w:val="auto"/>
              </w:rPr>
            </w:pPr>
            <w:r>
              <w:rPr>
                <w:rFonts w:ascii="Arial" w:cs="Arial" w:eastAsia="Arial" w:hAnsi="Arial"/>
                <w:sz w:val="14"/>
                <w:szCs w:val="14"/>
                <w:color w:val="auto"/>
              </w:rPr>
              <w:t>8.6%</w:t>
            </w:r>
          </w:p>
        </w:tc>
      </w:tr>
      <w:tr>
        <w:trPr>
          <w:trHeight w:val="162"/>
        </w:trPr>
        <w:tc>
          <w:tcPr>
            <w:tcW w:w="6840" w:type="dxa"/>
            <w:vAlign w:val="bottom"/>
            <w:shd w:val="clear" w:color="auto" w:fill="F7F7E5"/>
          </w:tcPr>
          <w:p>
            <w:pPr>
              <w:ind w:left="120"/>
              <w:spacing w:after="0"/>
              <w:rPr>
                <w:sz w:val="20"/>
                <w:szCs w:val="20"/>
                <w:color w:val="auto"/>
              </w:rPr>
            </w:pPr>
            <w:r>
              <w:rPr>
                <w:rFonts w:ascii="Arial" w:cs="Arial" w:eastAsia="Arial" w:hAnsi="Arial"/>
                <w:sz w:val="14"/>
                <w:szCs w:val="14"/>
                <w:color w:val="auto"/>
              </w:rPr>
              <w:t>100 Vanguard Blvd.</w:t>
            </w:r>
          </w:p>
        </w:tc>
        <w:tc>
          <w:tcPr>
            <w:tcW w:w="2280" w:type="dxa"/>
            <w:vAlign w:val="bottom"/>
            <w:shd w:val="clear" w:color="auto" w:fill="F7F7E5"/>
          </w:tcPr>
          <w:p>
            <w:pPr>
              <w:spacing w:after="0"/>
              <w:rPr>
                <w:sz w:val="14"/>
                <w:szCs w:val="14"/>
                <w:color w:val="auto"/>
              </w:rPr>
            </w:pPr>
          </w:p>
        </w:tc>
        <w:tc>
          <w:tcPr>
            <w:tcW w:w="1900" w:type="dxa"/>
            <w:vAlign w:val="bottom"/>
            <w:shd w:val="clear" w:color="auto" w:fill="F7F7E5"/>
          </w:tcPr>
          <w:p>
            <w:pPr>
              <w:spacing w:after="0"/>
              <w:rPr>
                <w:sz w:val="14"/>
                <w:szCs w:val="14"/>
                <w:color w:val="auto"/>
              </w:rPr>
            </w:pPr>
          </w:p>
        </w:tc>
      </w:tr>
      <w:tr>
        <w:trPr>
          <w:trHeight w:val="216"/>
        </w:trPr>
        <w:tc>
          <w:tcPr>
            <w:tcW w:w="6840" w:type="dxa"/>
            <w:vAlign w:val="bottom"/>
            <w:tcBorders>
              <w:bottom w:val="single" w:sz="8" w:color="F7F7E5"/>
            </w:tcBorders>
            <w:shd w:val="clear" w:color="auto" w:fill="F7F7E5"/>
          </w:tcPr>
          <w:p>
            <w:pPr>
              <w:ind w:left="120"/>
              <w:spacing w:after="0"/>
              <w:rPr>
                <w:sz w:val="20"/>
                <w:szCs w:val="20"/>
                <w:color w:val="auto"/>
              </w:rPr>
            </w:pPr>
            <w:r>
              <w:rPr>
                <w:rFonts w:ascii="Arial" w:cs="Arial" w:eastAsia="Arial" w:hAnsi="Arial"/>
                <w:sz w:val="14"/>
                <w:szCs w:val="14"/>
                <w:color w:val="auto"/>
              </w:rPr>
              <w:t>Malvern, PA 19355</w:t>
            </w:r>
          </w:p>
        </w:tc>
        <w:tc>
          <w:tcPr>
            <w:tcW w:w="2280" w:type="dxa"/>
            <w:vAlign w:val="bottom"/>
            <w:tcBorders>
              <w:bottom w:val="single" w:sz="8" w:color="F7F7E5"/>
            </w:tcBorders>
            <w:shd w:val="clear" w:color="auto" w:fill="F7F7E5"/>
          </w:tcPr>
          <w:p>
            <w:pPr>
              <w:spacing w:after="0"/>
              <w:rPr>
                <w:sz w:val="18"/>
                <w:szCs w:val="18"/>
                <w:color w:val="auto"/>
              </w:rPr>
            </w:pPr>
          </w:p>
        </w:tc>
        <w:tc>
          <w:tcPr>
            <w:tcW w:w="1900" w:type="dxa"/>
            <w:vAlign w:val="bottom"/>
            <w:tcBorders>
              <w:bottom w:val="single" w:sz="8" w:color="F7F7E5"/>
            </w:tcBorders>
            <w:shd w:val="clear" w:color="auto" w:fill="F7F7E5"/>
          </w:tcPr>
          <w:p>
            <w:pPr>
              <w:spacing w:after="0"/>
              <w:rPr>
                <w:sz w:val="18"/>
                <w:szCs w:val="18"/>
                <w:color w:val="auto"/>
              </w:rPr>
            </w:pPr>
          </w:p>
        </w:tc>
      </w:tr>
      <w:tr>
        <w:trPr>
          <w:trHeight w:val="201"/>
        </w:trPr>
        <w:tc>
          <w:tcPr>
            <w:tcW w:w="6840" w:type="dxa"/>
            <w:vAlign w:val="bottom"/>
            <w:tcBorders>
              <w:top w:val="single" w:sz="8" w:color="D1CDCA"/>
            </w:tcBorders>
          </w:tcPr>
          <w:p>
            <w:pPr>
              <w:ind w:left="60"/>
              <w:spacing w:after="0" w:line="201" w:lineRule="exact"/>
              <w:rPr>
                <w:sz w:val="20"/>
                <w:szCs w:val="20"/>
                <w:color w:val="auto"/>
              </w:rPr>
            </w:pPr>
            <w:r>
              <w:rPr>
                <w:rFonts w:ascii="Arial" w:cs="Arial" w:eastAsia="Arial" w:hAnsi="Arial"/>
                <w:sz w:val="14"/>
                <w:szCs w:val="14"/>
                <w:color w:val="auto"/>
              </w:rPr>
              <w:t>Northern Cross LLC</w:t>
            </w:r>
            <w:r>
              <w:rPr>
                <w:rFonts w:ascii="Arial" w:cs="Arial" w:eastAsia="Arial" w:hAnsi="Arial"/>
                <w:sz w:val="23"/>
                <w:szCs w:val="23"/>
                <w:color w:val="auto"/>
                <w:vertAlign w:val="superscript"/>
              </w:rPr>
              <w:t>(5)</w:t>
            </w:r>
          </w:p>
        </w:tc>
        <w:tc>
          <w:tcPr>
            <w:tcW w:w="2280" w:type="dxa"/>
            <w:vAlign w:val="bottom"/>
            <w:tcBorders>
              <w:top w:val="single" w:sz="8" w:color="D1CDCA"/>
            </w:tcBorders>
          </w:tcPr>
          <w:p>
            <w:pPr>
              <w:jc w:val="right"/>
              <w:ind w:right="448"/>
              <w:spacing w:after="0"/>
              <w:rPr>
                <w:sz w:val="20"/>
                <w:szCs w:val="20"/>
                <w:color w:val="auto"/>
              </w:rPr>
            </w:pPr>
            <w:r>
              <w:rPr>
                <w:rFonts w:ascii="Arial" w:cs="Arial" w:eastAsia="Arial" w:hAnsi="Arial"/>
                <w:sz w:val="14"/>
                <w:szCs w:val="14"/>
                <w:color w:val="auto"/>
              </w:rPr>
              <w:t>7,102,470</w:t>
            </w:r>
          </w:p>
        </w:tc>
        <w:tc>
          <w:tcPr>
            <w:tcW w:w="1900" w:type="dxa"/>
            <w:vAlign w:val="bottom"/>
            <w:tcBorders>
              <w:top w:val="single" w:sz="8" w:color="D1CDCA"/>
            </w:tcBorders>
          </w:tcPr>
          <w:p>
            <w:pPr>
              <w:jc w:val="right"/>
              <w:ind w:right="208"/>
              <w:spacing w:after="0"/>
              <w:rPr>
                <w:sz w:val="20"/>
                <w:szCs w:val="20"/>
                <w:color w:val="auto"/>
              </w:rPr>
            </w:pPr>
            <w:r>
              <w:rPr>
                <w:rFonts w:ascii="Arial" w:cs="Arial" w:eastAsia="Arial" w:hAnsi="Arial"/>
                <w:sz w:val="14"/>
                <w:szCs w:val="14"/>
                <w:color w:val="auto"/>
              </w:rPr>
              <w:t>6.9%</w:t>
            </w:r>
          </w:p>
        </w:tc>
      </w:tr>
      <w:tr>
        <w:trPr>
          <w:trHeight w:val="162"/>
        </w:trPr>
        <w:tc>
          <w:tcPr>
            <w:tcW w:w="6840" w:type="dxa"/>
            <w:vAlign w:val="bottom"/>
          </w:tcPr>
          <w:p>
            <w:pPr>
              <w:ind w:left="120"/>
              <w:spacing w:after="0"/>
              <w:rPr>
                <w:sz w:val="20"/>
                <w:szCs w:val="20"/>
                <w:color w:val="auto"/>
              </w:rPr>
            </w:pPr>
            <w:r>
              <w:rPr>
                <w:rFonts w:ascii="Arial" w:cs="Arial" w:eastAsia="Arial" w:hAnsi="Arial"/>
                <w:sz w:val="14"/>
                <w:szCs w:val="14"/>
                <w:color w:val="auto"/>
              </w:rPr>
              <w:t>125 Summer Street, 14th Floor</w:t>
            </w:r>
          </w:p>
        </w:tc>
        <w:tc>
          <w:tcPr>
            <w:tcW w:w="22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2"/>
        </w:trPr>
        <w:tc>
          <w:tcPr>
            <w:tcW w:w="6840" w:type="dxa"/>
            <w:vAlign w:val="bottom"/>
          </w:tcPr>
          <w:p>
            <w:pPr>
              <w:ind w:left="120"/>
              <w:spacing w:after="0"/>
              <w:rPr>
                <w:sz w:val="20"/>
                <w:szCs w:val="20"/>
                <w:color w:val="auto"/>
              </w:rPr>
            </w:pPr>
            <w:r>
              <w:rPr>
                <w:rFonts w:ascii="Arial" w:cs="Arial" w:eastAsia="Arial" w:hAnsi="Arial"/>
                <w:sz w:val="14"/>
                <w:szCs w:val="14"/>
                <w:color w:val="auto"/>
              </w:rPr>
              <w:t>Boston, MA 02110</w:t>
            </w:r>
          </w:p>
        </w:tc>
        <w:tc>
          <w:tcPr>
            <w:tcW w:w="22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39"/>
        </w:trPr>
        <w:tc>
          <w:tcPr>
            <w:tcW w:w="6840" w:type="dxa"/>
            <w:vAlign w:val="bottom"/>
            <w:tcBorders>
              <w:bottom w:val="single" w:sz="8" w:color="D1CDCA"/>
            </w:tcBorders>
          </w:tcPr>
          <w:p>
            <w:pPr>
              <w:spacing w:after="0"/>
              <w:rPr>
                <w:sz w:val="3"/>
                <w:szCs w:val="3"/>
                <w:color w:val="auto"/>
              </w:rPr>
            </w:pPr>
          </w:p>
        </w:tc>
        <w:tc>
          <w:tcPr>
            <w:tcW w:w="2280" w:type="dxa"/>
            <w:vAlign w:val="bottom"/>
            <w:tcBorders>
              <w:bottom w:val="single" w:sz="8" w:color="D1CDCA"/>
            </w:tcBorders>
          </w:tcPr>
          <w:p>
            <w:pPr>
              <w:spacing w:after="0"/>
              <w:rPr>
                <w:sz w:val="3"/>
                <w:szCs w:val="3"/>
                <w:color w:val="auto"/>
              </w:rPr>
            </w:pPr>
          </w:p>
        </w:tc>
        <w:tc>
          <w:tcPr>
            <w:tcW w:w="1900" w:type="dxa"/>
            <w:vAlign w:val="bottom"/>
            <w:tcBorders>
              <w:bottom w:val="single" w:sz="8" w:color="D1CDCA"/>
            </w:tcBorders>
          </w:tcPr>
          <w:p>
            <w:pPr>
              <w:spacing w:after="0"/>
              <w:rPr>
                <w:sz w:val="3"/>
                <w:szCs w:val="3"/>
                <w:color w:val="auto"/>
              </w:rPr>
            </w:pPr>
          </w:p>
        </w:tc>
      </w:tr>
      <w:tr>
        <w:trPr>
          <w:trHeight w:val="336"/>
        </w:trPr>
        <w:tc>
          <w:tcPr>
            <w:tcW w:w="684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b w:val="1"/>
                <w:bCs w:val="1"/>
                <w:color w:val="auto"/>
              </w:rPr>
              <w:t>Directors and Named Executive Officers:</w:t>
            </w:r>
          </w:p>
        </w:tc>
        <w:tc>
          <w:tcPr>
            <w:tcW w:w="2280" w:type="dxa"/>
            <w:vAlign w:val="bottom"/>
            <w:tcBorders>
              <w:bottom w:val="single" w:sz="8" w:color="F7F7E5"/>
            </w:tcBorders>
            <w:shd w:val="clear" w:color="auto" w:fill="F7F7E5"/>
          </w:tcPr>
          <w:p>
            <w:pPr>
              <w:spacing w:after="0"/>
              <w:rPr>
                <w:sz w:val="24"/>
                <w:szCs w:val="24"/>
                <w:color w:val="auto"/>
              </w:rPr>
            </w:pPr>
          </w:p>
        </w:tc>
        <w:tc>
          <w:tcPr>
            <w:tcW w:w="1900" w:type="dxa"/>
            <w:vAlign w:val="bottom"/>
            <w:tcBorders>
              <w:bottom w:val="single" w:sz="8" w:color="F7F7E5"/>
            </w:tcBorders>
            <w:shd w:val="clear" w:color="auto" w:fill="F7F7E5"/>
          </w:tcPr>
          <w:p>
            <w:pPr>
              <w:spacing w:after="0"/>
              <w:rPr>
                <w:sz w:val="24"/>
                <w:szCs w:val="24"/>
                <w:color w:val="auto"/>
              </w:rPr>
            </w:pPr>
          </w:p>
        </w:tc>
      </w:tr>
      <w:tr>
        <w:trPr>
          <w:trHeight w:val="211"/>
        </w:trPr>
        <w:tc>
          <w:tcPr>
            <w:tcW w:w="6840" w:type="dxa"/>
            <w:vAlign w:val="bottom"/>
            <w:tcBorders>
              <w:top w:val="single" w:sz="8" w:color="D1CDCA"/>
            </w:tcBorders>
          </w:tcPr>
          <w:p>
            <w:pPr>
              <w:ind w:left="60"/>
              <w:spacing w:after="0"/>
              <w:rPr>
                <w:sz w:val="20"/>
                <w:szCs w:val="20"/>
                <w:color w:val="auto"/>
              </w:rPr>
            </w:pPr>
            <w:r>
              <w:rPr>
                <w:rFonts w:ascii="Arial" w:cs="Arial" w:eastAsia="Arial" w:hAnsi="Arial"/>
                <w:sz w:val="14"/>
                <w:szCs w:val="14"/>
                <w:color w:val="auto"/>
              </w:rPr>
              <w:t>Betsy Atkins</w:t>
            </w:r>
          </w:p>
        </w:tc>
        <w:tc>
          <w:tcPr>
            <w:tcW w:w="2280" w:type="dxa"/>
            <w:vAlign w:val="bottom"/>
            <w:tcBorders>
              <w:top w:val="single" w:sz="8" w:color="D1CDCA"/>
            </w:tcBorders>
          </w:tcPr>
          <w:p>
            <w:pPr>
              <w:jc w:val="right"/>
              <w:ind w:right="448"/>
              <w:spacing w:after="0"/>
              <w:rPr>
                <w:sz w:val="20"/>
                <w:szCs w:val="20"/>
                <w:color w:val="auto"/>
              </w:rPr>
            </w:pPr>
            <w:r>
              <w:rPr>
                <w:rFonts w:ascii="Arial" w:cs="Arial" w:eastAsia="Arial" w:hAnsi="Arial"/>
                <w:sz w:val="14"/>
                <w:szCs w:val="14"/>
                <w:color w:val="auto"/>
              </w:rPr>
              <w:t>0</w:t>
            </w:r>
          </w:p>
        </w:tc>
        <w:tc>
          <w:tcPr>
            <w:tcW w:w="1900" w:type="dxa"/>
            <w:vAlign w:val="bottom"/>
            <w:tcBorders>
              <w:top w:val="single" w:sz="8" w:color="D1CDCA"/>
            </w:tcBorders>
          </w:tcPr>
          <w:p>
            <w:pPr>
              <w:jc w:val="right"/>
              <w:ind w:right="328"/>
              <w:spacing w:after="0"/>
              <w:rPr>
                <w:sz w:val="20"/>
                <w:szCs w:val="20"/>
                <w:color w:val="auto"/>
              </w:rPr>
            </w:pPr>
            <w:r>
              <w:rPr>
                <w:rFonts w:ascii="Arial" w:cs="Arial" w:eastAsia="Arial" w:hAnsi="Arial"/>
                <w:sz w:val="14"/>
                <w:szCs w:val="14"/>
                <w:color w:val="auto"/>
              </w:rPr>
              <w:t>0</w:t>
            </w:r>
          </w:p>
        </w:tc>
      </w:tr>
      <w:tr>
        <w:trPr>
          <w:trHeight w:val="39"/>
        </w:trPr>
        <w:tc>
          <w:tcPr>
            <w:tcW w:w="6840" w:type="dxa"/>
            <w:vAlign w:val="bottom"/>
            <w:tcBorders>
              <w:bottom w:val="single" w:sz="8" w:color="D1CDCA"/>
            </w:tcBorders>
          </w:tcPr>
          <w:p>
            <w:pPr>
              <w:spacing w:after="0"/>
              <w:rPr>
                <w:sz w:val="3"/>
                <w:szCs w:val="3"/>
                <w:color w:val="auto"/>
              </w:rPr>
            </w:pPr>
          </w:p>
        </w:tc>
        <w:tc>
          <w:tcPr>
            <w:tcW w:w="2280" w:type="dxa"/>
            <w:vAlign w:val="bottom"/>
            <w:tcBorders>
              <w:bottom w:val="single" w:sz="8" w:color="D1CDCA"/>
            </w:tcBorders>
          </w:tcPr>
          <w:p>
            <w:pPr>
              <w:spacing w:after="0"/>
              <w:rPr>
                <w:sz w:val="3"/>
                <w:szCs w:val="3"/>
                <w:color w:val="auto"/>
              </w:rPr>
            </w:pPr>
          </w:p>
        </w:tc>
        <w:tc>
          <w:tcPr>
            <w:tcW w:w="1900" w:type="dxa"/>
            <w:vAlign w:val="bottom"/>
            <w:tcBorders>
              <w:bottom w:val="single" w:sz="8" w:color="D1CDCA"/>
            </w:tcBorders>
          </w:tcPr>
          <w:p>
            <w:pPr>
              <w:spacing w:after="0"/>
              <w:rPr>
                <w:sz w:val="3"/>
                <w:szCs w:val="3"/>
                <w:color w:val="auto"/>
              </w:rPr>
            </w:pPr>
          </w:p>
        </w:tc>
      </w:tr>
      <w:tr>
        <w:trPr>
          <w:trHeight w:val="250"/>
        </w:trPr>
        <w:tc>
          <w:tcPr>
            <w:tcW w:w="6840" w:type="dxa"/>
            <w:vAlign w:val="bottom"/>
            <w:tcBorders>
              <w:bottom w:val="single" w:sz="8" w:color="D1CDCA"/>
            </w:tcBorders>
            <w:shd w:val="clear" w:color="auto" w:fill="F7F7E5"/>
          </w:tcPr>
          <w:p>
            <w:pPr>
              <w:ind w:left="60"/>
              <w:spacing w:after="0" w:line="250" w:lineRule="exact"/>
              <w:rPr>
                <w:sz w:val="20"/>
                <w:szCs w:val="20"/>
                <w:color w:val="auto"/>
              </w:rPr>
            </w:pPr>
            <w:r>
              <w:rPr>
                <w:rFonts w:ascii="Arial" w:cs="Arial" w:eastAsia="Arial" w:hAnsi="Arial"/>
                <w:sz w:val="14"/>
                <w:szCs w:val="14"/>
                <w:color w:val="auto"/>
              </w:rPr>
              <w:t>John J. Hagenbuch</w:t>
            </w:r>
            <w:r>
              <w:rPr>
                <w:rFonts w:ascii="Arial" w:cs="Arial" w:eastAsia="Arial" w:hAnsi="Arial"/>
                <w:sz w:val="24"/>
                <w:szCs w:val="24"/>
                <w:color w:val="auto"/>
                <w:vertAlign w:val="superscript"/>
              </w:rPr>
              <w:t>(6)</w:t>
            </w:r>
          </w:p>
        </w:tc>
        <w:tc>
          <w:tcPr>
            <w:tcW w:w="2280" w:type="dxa"/>
            <w:vAlign w:val="bottom"/>
            <w:tcBorders>
              <w:bottom w:val="single" w:sz="8" w:color="D1CDCA"/>
            </w:tcBorders>
            <w:shd w:val="clear" w:color="auto" w:fill="F7F7E5"/>
          </w:tcPr>
          <w:p>
            <w:pPr>
              <w:jc w:val="right"/>
              <w:ind w:right="448"/>
              <w:spacing w:after="0"/>
              <w:rPr>
                <w:sz w:val="20"/>
                <w:szCs w:val="20"/>
                <w:color w:val="auto"/>
              </w:rPr>
            </w:pPr>
            <w:r>
              <w:rPr>
                <w:rFonts w:ascii="Arial" w:cs="Arial" w:eastAsia="Arial" w:hAnsi="Arial"/>
                <w:sz w:val="14"/>
                <w:szCs w:val="14"/>
                <w:color w:val="auto"/>
              </w:rPr>
              <w:t>31,187</w:t>
            </w:r>
          </w:p>
        </w:tc>
        <w:tc>
          <w:tcPr>
            <w:tcW w:w="1900" w:type="dxa"/>
            <w:vAlign w:val="bottom"/>
            <w:tcBorders>
              <w:bottom w:val="single" w:sz="8" w:color="D1CDCA"/>
            </w:tcBorders>
            <w:shd w:val="clear" w:color="auto" w:fill="F7F7E5"/>
          </w:tcPr>
          <w:p>
            <w:pPr>
              <w:jc w:val="right"/>
              <w:ind w:right="328"/>
              <w:spacing w:after="0"/>
              <w:rPr>
                <w:sz w:val="20"/>
                <w:szCs w:val="20"/>
                <w:color w:val="auto"/>
              </w:rPr>
            </w:pPr>
            <w:r>
              <w:rPr>
                <w:rFonts w:ascii="Arial" w:cs="Arial" w:eastAsia="Arial" w:hAnsi="Arial"/>
                <w:sz w:val="14"/>
                <w:szCs w:val="14"/>
                <w:color w:val="auto"/>
              </w:rPr>
              <w:t>*</w:t>
            </w:r>
          </w:p>
        </w:tc>
      </w:tr>
      <w:tr>
        <w:trPr>
          <w:trHeight w:val="250"/>
        </w:trPr>
        <w:tc>
          <w:tcPr>
            <w:tcW w:w="6840" w:type="dxa"/>
            <w:vAlign w:val="bottom"/>
            <w:tcBorders>
              <w:bottom w:val="single" w:sz="8" w:color="D1CDCA"/>
            </w:tcBorders>
          </w:tcPr>
          <w:p>
            <w:pPr>
              <w:ind w:left="60"/>
              <w:spacing w:after="0" w:line="250" w:lineRule="exact"/>
              <w:rPr>
                <w:sz w:val="20"/>
                <w:szCs w:val="20"/>
                <w:color w:val="auto"/>
              </w:rPr>
            </w:pPr>
            <w:r>
              <w:rPr>
                <w:rFonts w:ascii="Arial" w:cs="Arial" w:eastAsia="Arial" w:hAnsi="Arial"/>
                <w:sz w:val="14"/>
                <w:szCs w:val="14"/>
                <w:color w:val="auto"/>
              </w:rPr>
              <w:t>Jay L. Johnson</w:t>
            </w:r>
            <w:r>
              <w:rPr>
                <w:rFonts w:ascii="Arial" w:cs="Arial" w:eastAsia="Arial" w:hAnsi="Arial"/>
                <w:sz w:val="24"/>
                <w:szCs w:val="24"/>
                <w:color w:val="auto"/>
                <w:vertAlign w:val="superscript"/>
              </w:rPr>
              <w:t>(7)</w:t>
            </w:r>
          </w:p>
        </w:tc>
        <w:tc>
          <w:tcPr>
            <w:tcW w:w="2280" w:type="dxa"/>
            <w:vAlign w:val="bottom"/>
            <w:tcBorders>
              <w:bottom w:val="single" w:sz="8" w:color="D1CDCA"/>
            </w:tcBorders>
          </w:tcPr>
          <w:p>
            <w:pPr>
              <w:jc w:val="right"/>
              <w:ind w:right="448"/>
              <w:spacing w:after="0"/>
              <w:rPr>
                <w:sz w:val="20"/>
                <w:szCs w:val="20"/>
                <w:color w:val="auto"/>
              </w:rPr>
            </w:pPr>
            <w:r>
              <w:rPr>
                <w:rFonts w:ascii="Arial" w:cs="Arial" w:eastAsia="Arial" w:hAnsi="Arial"/>
                <w:sz w:val="14"/>
                <w:szCs w:val="14"/>
                <w:color w:val="auto"/>
              </w:rPr>
              <w:t>12,152</w:t>
            </w:r>
          </w:p>
        </w:tc>
        <w:tc>
          <w:tcPr>
            <w:tcW w:w="1900" w:type="dxa"/>
            <w:vAlign w:val="bottom"/>
            <w:tcBorders>
              <w:bottom w:val="single" w:sz="8" w:color="D1CDCA"/>
            </w:tcBorders>
          </w:tcPr>
          <w:p>
            <w:pPr>
              <w:jc w:val="right"/>
              <w:ind w:right="328"/>
              <w:spacing w:after="0"/>
              <w:rPr>
                <w:sz w:val="20"/>
                <w:szCs w:val="20"/>
                <w:color w:val="auto"/>
              </w:rPr>
            </w:pPr>
            <w:r>
              <w:rPr>
                <w:rFonts w:ascii="Arial" w:cs="Arial" w:eastAsia="Arial" w:hAnsi="Arial"/>
                <w:sz w:val="14"/>
                <w:szCs w:val="14"/>
                <w:color w:val="auto"/>
              </w:rPr>
              <w:t>*</w:t>
            </w:r>
          </w:p>
        </w:tc>
      </w:tr>
      <w:tr>
        <w:trPr>
          <w:trHeight w:val="291"/>
        </w:trPr>
        <w:tc>
          <w:tcPr>
            <w:tcW w:w="684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Robert J. Miller</w:t>
            </w:r>
            <w:r>
              <w:rPr>
                <w:rFonts w:ascii="Arial" w:cs="Arial" w:eastAsia="Arial" w:hAnsi="Arial"/>
                <w:sz w:val="24"/>
                <w:szCs w:val="24"/>
                <w:color w:val="auto"/>
                <w:vertAlign w:val="superscript"/>
              </w:rPr>
              <w:t>(8)</w:t>
            </w:r>
          </w:p>
        </w:tc>
        <w:tc>
          <w:tcPr>
            <w:tcW w:w="2280" w:type="dxa"/>
            <w:vAlign w:val="bottom"/>
            <w:tcBorders>
              <w:bottom w:val="single" w:sz="8" w:color="D1CDCA"/>
            </w:tcBorders>
            <w:shd w:val="clear" w:color="auto" w:fill="F7F7E5"/>
          </w:tcPr>
          <w:p>
            <w:pPr>
              <w:jc w:val="right"/>
              <w:ind w:right="448"/>
              <w:spacing w:after="0"/>
              <w:rPr>
                <w:sz w:val="20"/>
                <w:szCs w:val="20"/>
                <w:color w:val="auto"/>
              </w:rPr>
            </w:pPr>
            <w:r>
              <w:rPr>
                <w:rFonts w:ascii="Arial" w:cs="Arial" w:eastAsia="Arial" w:hAnsi="Arial"/>
                <w:sz w:val="14"/>
                <w:szCs w:val="14"/>
                <w:color w:val="auto"/>
              </w:rPr>
              <w:t>44,977</w:t>
            </w:r>
          </w:p>
        </w:tc>
        <w:tc>
          <w:tcPr>
            <w:tcW w:w="1900" w:type="dxa"/>
            <w:vAlign w:val="bottom"/>
            <w:tcBorders>
              <w:bottom w:val="single" w:sz="8" w:color="D1CDCA"/>
            </w:tcBorders>
            <w:shd w:val="clear" w:color="auto" w:fill="F7F7E5"/>
          </w:tcPr>
          <w:p>
            <w:pPr>
              <w:jc w:val="right"/>
              <w:ind w:right="328"/>
              <w:spacing w:after="0"/>
              <w:rPr>
                <w:sz w:val="20"/>
                <w:szCs w:val="20"/>
                <w:color w:val="auto"/>
              </w:rPr>
            </w:pPr>
            <w:r>
              <w:rPr>
                <w:rFonts w:ascii="Arial" w:cs="Arial" w:eastAsia="Arial" w:hAnsi="Arial"/>
                <w:sz w:val="14"/>
                <w:szCs w:val="14"/>
                <w:color w:val="auto"/>
              </w:rPr>
              <w:t>*</w:t>
            </w:r>
          </w:p>
        </w:tc>
      </w:tr>
      <w:tr>
        <w:trPr>
          <w:trHeight w:val="250"/>
        </w:trPr>
        <w:tc>
          <w:tcPr>
            <w:tcW w:w="6840" w:type="dxa"/>
            <w:vAlign w:val="bottom"/>
            <w:tcBorders>
              <w:bottom w:val="single" w:sz="8" w:color="D1CDCA"/>
            </w:tcBorders>
          </w:tcPr>
          <w:p>
            <w:pPr>
              <w:ind w:left="60"/>
              <w:spacing w:after="0" w:line="250" w:lineRule="exact"/>
              <w:rPr>
                <w:sz w:val="20"/>
                <w:szCs w:val="20"/>
                <w:color w:val="auto"/>
              </w:rPr>
            </w:pPr>
            <w:r>
              <w:rPr>
                <w:rFonts w:ascii="Arial" w:cs="Arial" w:eastAsia="Arial" w:hAnsi="Arial"/>
                <w:sz w:val="14"/>
                <w:szCs w:val="14"/>
                <w:color w:val="auto"/>
              </w:rPr>
              <w:t>Patricia Mulroy</w:t>
            </w:r>
            <w:r>
              <w:rPr>
                <w:rFonts w:ascii="Arial" w:cs="Arial" w:eastAsia="Arial" w:hAnsi="Arial"/>
                <w:sz w:val="24"/>
                <w:szCs w:val="24"/>
                <w:color w:val="auto"/>
                <w:vertAlign w:val="superscript"/>
              </w:rPr>
              <w:t>(9)</w:t>
            </w:r>
          </w:p>
        </w:tc>
        <w:tc>
          <w:tcPr>
            <w:tcW w:w="2280" w:type="dxa"/>
            <w:vAlign w:val="bottom"/>
            <w:tcBorders>
              <w:bottom w:val="single" w:sz="8" w:color="D1CDCA"/>
            </w:tcBorders>
          </w:tcPr>
          <w:p>
            <w:pPr>
              <w:jc w:val="right"/>
              <w:ind w:right="448"/>
              <w:spacing w:after="0"/>
              <w:rPr>
                <w:sz w:val="20"/>
                <w:szCs w:val="20"/>
                <w:color w:val="auto"/>
              </w:rPr>
            </w:pPr>
            <w:r>
              <w:rPr>
                <w:rFonts w:ascii="Arial" w:cs="Arial" w:eastAsia="Arial" w:hAnsi="Arial"/>
                <w:sz w:val="14"/>
                <w:szCs w:val="14"/>
                <w:color w:val="auto"/>
              </w:rPr>
              <w:t>12,485</w:t>
            </w:r>
          </w:p>
        </w:tc>
        <w:tc>
          <w:tcPr>
            <w:tcW w:w="1900" w:type="dxa"/>
            <w:vAlign w:val="bottom"/>
            <w:tcBorders>
              <w:bottom w:val="single" w:sz="8" w:color="D1CDCA"/>
            </w:tcBorders>
          </w:tcPr>
          <w:p>
            <w:pPr>
              <w:jc w:val="right"/>
              <w:ind w:right="328"/>
              <w:spacing w:after="0"/>
              <w:rPr>
                <w:sz w:val="20"/>
                <w:szCs w:val="20"/>
                <w:color w:val="auto"/>
              </w:rPr>
            </w:pPr>
            <w:r>
              <w:rPr>
                <w:rFonts w:ascii="Arial" w:cs="Arial" w:eastAsia="Arial" w:hAnsi="Arial"/>
                <w:sz w:val="14"/>
                <w:szCs w:val="14"/>
                <w:color w:val="auto"/>
              </w:rPr>
              <w:t>*</w:t>
            </w:r>
          </w:p>
        </w:tc>
      </w:tr>
      <w:tr>
        <w:trPr>
          <w:trHeight w:val="255"/>
        </w:trPr>
        <w:tc>
          <w:tcPr>
            <w:tcW w:w="6840" w:type="dxa"/>
            <w:vAlign w:val="bottom"/>
            <w:tcBorders>
              <w:bottom w:val="single" w:sz="8" w:color="F7F7E5"/>
            </w:tcBorders>
            <w:shd w:val="clear" w:color="auto" w:fill="F7F7E5"/>
          </w:tcPr>
          <w:p>
            <w:pPr>
              <w:ind w:left="60"/>
              <w:spacing w:after="0"/>
              <w:rPr>
                <w:sz w:val="20"/>
                <w:szCs w:val="20"/>
                <w:color w:val="auto"/>
              </w:rPr>
            </w:pPr>
            <w:r>
              <w:rPr>
                <w:rFonts w:ascii="Arial" w:cs="Arial" w:eastAsia="Arial" w:hAnsi="Arial"/>
                <w:sz w:val="14"/>
                <w:szCs w:val="14"/>
                <w:color w:val="auto"/>
              </w:rPr>
              <w:t>Dee Dee Myers</w:t>
            </w:r>
          </w:p>
        </w:tc>
        <w:tc>
          <w:tcPr>
            <w:tcW w:w="2280" w:type="dxa"/>
            <w:vAlign w:val="bottom"/>
            <w:tcBorders>
              <w:bottom w:val="single" w:sz="8" w:color="F7F7E5"/>
            </w:tcBorders>
            <w:shd w:val="clear" w:color="auto" w:fill="F7F7E5"/>
          </w:tcPr>
          <w:p>
            <w:pPr>
              <w:jc w:val="right"/>
              <w:ind w:right="448"/>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F7F7E5"/>
            </w:tcBorders>
            <w:shd w:val="clear" w:color="auto" w:fill="F7F7E5"/>
          </w:tcPr>
          <w:p>
            <w:pPr>
              <w:jc w:val="right"/>
              <w:ind w:right="328"/>
              <w:spacing w:after="0"/>
              <w:rPr>
                <w:sz w:val="20"/>
                <w:szCs w:val="20"/>
                <w:color w:val="auto"/>
              </w:rPr>
            </w:pPr>
            <w:r>
              <w:rPr>
                <w:rFonts w:ascii="Arial" w:cs="Arial" w:eastAsia="Arial" w:hAnsi="Arial"/>
                <w:sz w:val="14"/>
                <w:szCs w:val="14"/>
                <w:color w:val="auto"/>
              </w:rPr>
              <w:t>0</w:t>
            </w:r>
          </w:p>
        </w:tc>
      </w:tr>
      <w:tr>
        <w:trPr>
          <w:trHeight w:val="250"/>
        </w:trPr>
        <w:tc>
          <w:tcPr>
            <w:tcW w:w="6840" w:type="dxa"/>
            <w:vAlign w:val="bottom"/>
            <w:tcBorders>
              <w:top w:val="single" w:sz="8" w:color="D1CDCA"/>
              <w:bottom w:val="single" w:sz="8" w:color="D1CDCA"/>
            </w:tcBorders>
          </w:tcPr>
          <w:p>
            <w:pPr>
              <w:ind w:left="60"/>
              <w:spacing w:after="0" w:line="250" w:lineRule="exact"/>
              <w:rPr>
                <w:sz w:val="20"/>
                <w:szCs w:val="20"/>
                <w:color w:val="auto"/>
              </w:rPr>
            </w:pPr>
            <w:r>
              <w:rPr>
                <w:rFonts w:ascii="Arial" w:cs="Arial" w:eastAsia="Arial" w:hAnsi="Arial"/>
                <w:sz w:val="14"/>
                <w:szCs w:val="14"/>
                <w:color w:val="auto"/>
              </w:rPr>
              <w:t>Clark T. Randt, Jr.</w:t>
            </w:r>
            <w:r>
              <w:rPr>
                <w:rFonts w:ascii="Arial" w:cs="Arial" w:eastAsia="Arial" w:hAnsi="Arial"/>
                <w:sz w:val="24"/>
                <w:szCs w:val="24"/>
                <w:color w:val="auto"/>
                <w:vertAlign w:val="superscript"/>
              </w:rPr>
              <w:t>(10)</w:t>
            </w:r>
          </w:p>
        </w:tc>
        <w:tc>
          <w:tcPr>
            <w:tcW w:w="2280" w:type="dxa"/>
            <w:vAlign w:val="bottom"/>
            <w:tcBorders>
              <w:top w:val="single" w:sz="8" w:color="D1CDCA"/>
              <w:bottom w:val="single" w:sz="8" w:color="D1CDCA"/>
            </w:tcBorders>
          </w:tcPr>
          <w:p>
            <w:pPr>
              <w:jc w:val="right"/>
              <w:ind w:right="448"/>
              <w:spacing w:after="0"/>
              <w:rPr>
                <w:sz w:val="20"/>
                <w:szCs w:val="20"/>
                <w:color w:val="auto"/>
              </w:rPr>
            </w:pPr>
            <w:r>
              <w:rPr>
                <w:rFonts w:ascii="Arial" w:cs="Arial" w:eastAsia="Arial" w:hAnsi="Arial"/>
                <w:sz w:val="14"/>
                <w:szCs w:val="14"/>
                <w:color w:val="auto"/>
              </w:rPr>
              <w:t>11,711</w:t>
            </w:r>
          </w:p>
        </w:tc>
        <w:tc>
          <w:tcPr>
            <w:tcW w:w="1900" w:type="dxa"/>
            <w:vAlign w:val="bottom"/>
            <w:tcBorders>
              <w:top w:val="single" w:sz="8" w:color="D1CDCA"/>
              <w:bottom w:val="single" w:sz="8" w:color="D1CDCA"/>
            </w:tcBorders>
          </w:tcPr>
          <w:p>
            <w:pPr>
              <w:jc w:val="right"/>
              <w:ind w:right="328"/>
              <w:spacing w:after="0"/>
              <w:rPr>
                <w:sz w:val="20"/>
                <w:szCs w:val="20"/>
                <w:color w:val="auto"/>
              </w:rPr>
            </w:pPr>
            <w:r>
              <w:rPr>
                <w:rFonts w:ascii="Arial" w:cs="Arial" w:eastAsia="Arial" w:hAnsi="Arial"/>
                <w:sz w:val="14"/>
                <w:szCs w:val="14"/>
                <w:color w:val="auto"/>
              </w:rPr>
              <w:t>*</w:t>
            </w:r>
          </w:p>
        </w:tc>
      </w:tr>
      <w:tr>
        <w:trPr>
          <w:trHeight w:val="250"/>
        </w:trPr>
        <w:tc>
          <w:tcPr>
            <w:tcW w:w="6840" w:type="dxa"/>
            <w:vAlign w:val="bottom"/>
            <w:tcBorders>
              <w:bottom w:val="single" w:sz="8" w:color="D1CDCA"/>
            </w:tcBorders>
            <w:shd w:val="clear" w:color="auto" w:fill="F7F7E5"/>
          </w:tcPr>
          <w:p>
            <w:pPr>
              <w:ind w:left="60"/>
              <w:spacing w:after="0" w:line="250" w:lineRule="exact"/>
              <w:rPr>
                <w:sz w:val="20"/>
                <w:szCs w:val="20"/>
                <w:color w:val="auto"/>
              </w:rPr>
            </w:pPr>
            <w:r>
              <w:rPr>
                <w:rFonts w:ascii="Arial" w:cs="Arial" w:eastAsia="Arial" w:hAnsi="Arial"/>
                <w:sz w:val="14"/>
                <w:szCs w:val="14"/>
                <w:color w:val="auto"/>
              </w:rPr>
              <w:t>Alvin V. Shoemaker</w:t>
            </w:r>
            <w:r>
              <w:rPr>
                <w:rFonts w:ascii="Arial" w:cs="Arial" w:eastAsia="Arial" w:hAnsi="Arial"/>
                <w:sz w:val="24"/>
                <w:szCs w:val="24"/>
                <w:color w:val="auto"/>
                <w:vertAlign w:val="superscript"/>
              </w:rPr>
              <w:t>(11)</w:t>
            </w:r>
          </w:p>
        </w:tc>
        <w:tc>
          <w:tcPr>
            <w:tcW w:w="2280" w:type="dxa"/>
            <w:vAlign w:val="bottom"/>
            <w:tcBorders>
              <w:bottom w:val="single" w:sz="8" w:color="D1CDCA"/>
            </w:tcBorders>
            <w:shd w:val="clear" w:color="auto" w:fill="F7F7E5"/>
          </w:tcPr>
          <w:p>
            <w:pPr>
              <w:jc w:val="right"/>
              <w:ind w:right="448"/>
              <w:spacing w:after="0"/>
              <w:rPr>
                <w:sz w:val="20"/>
                <w:szCs w:val="20"/>
                <w:color w:val="auto"/>
              </w:rPr>
            </w:pPr>
            <w:r>
              <w:rPr>
                <w:rFonts w:ascii="Arial" w:cs="Arial" w:eastAsia="Arial" w:hAnsi="Arial"/>
                <w:sz w:val="14"/>
                <w:szCs w:val="14"/>
                <w:color w:val="auto"/>
              </w:rPr>
              <w:t>29,977</w:t>
            </w:r>
          </w:p>
        </w:tc>
        <w:tc>
          <w:tcPr>
            <w:tcW w:w="1900" w:type="dxa"/>
            <w:vAlign w:val="bottom"/>
            <w:tcBorders>
              <w:bottom w:val="single" w:sz="8" w:color="D1CDCA"/>
            </w:tcBorders>
            <w:shd w:val="clear" w:color="auto" w:fill="F7F7E5"/>
          </w:tcPr>
          <w:p>
            <w:pPr>
              <w:jc w:val="right"/>
              <w:ind w:right="328"/>
              <w:spacing w:after="0"/>
              <w:rPr>
                <w:sz w:val="20"/>
                <w:szCs w:val="20"/>
                <w:color w:val="auto"/>
              </w:rPr>
            </w:pPr>
            <w:r>
              <w:rPr>
                <w:rFonts w:ascii="Arial" w:cs="Arial" w:eastAsia="Arial" w:hAnsi="Arial"/>
                <w:sz w:val="14"/>
                <w:szCs w:val="14"/>
                <w:color w:val="auto"/>
              </w:rPr>
              <w:t>*</w:t>
            </w:r>
          </w:p>
        </w:tc>
      </w:tr>
      <w:tr>
        <w:trPr>
          <w:trHeight w:val="250"/>
        </w:trPr>
        <w:tc>
          <w:tcPr>
            <w:tcW w:w="6840" w:type="dxa"/>
            <w:vAlign w:val="bottom"/>
            <w:tcBorders>
              <w:bottom w:val="single" w:sz="8" w:color="D1CDCA"/>
            </w:tcBorders>
          </w:tcPr>
          <w:p>
            <w:pPr>
              <w:ind w:left="60"/>
              <w:spacing w:after="0" w:line="250" w:lineRule="exact"/>
              <w:rPr>
                <w:sz w:val="20"/>
                <w:szCs w:val="20"/>
                <w:color w:val="auto"/>
              </w:rPr>
            </w:pPr>
            <w:r>
              <w:rPr>
                <w:rFonts w:ascii="Arial" w:cs="Arial" w:eastAsia="Arial" w:hAnsi="Arial"/>
                <w:sz w:val="14"/>
                <w:szCs w:val="14"/>
                <w:color w:val="auto"/>
              </w:rPr>
              <w:t>J. Edward Virtue</w:t>
            </w:r>
            <w:r>
              <w:rPr>
                <w:rFonts w:ascii="Arial" w:cs="Arial" w:eastAsia="Arial" w:hAnsi="Arial"/>
                <w:sz w:val="24"/>
                <w:szCs w:val="24"/>
                <w:color w:val="auto"/>
                <w:vertAlign w:val="superscript"/>
              </w:rPr>
              <w:t>(6)</w:t>
            </w:r>
          </w:p>
        </w:tc>
        <w:tc>
          <w:tcPr>
            <w:tcW w:w="2280" w:type="dxa"/>
            <w:vAlign w:val="bottom"/>
            <w:tcBorders>
              <w:bottom w:val="single" w:sz="8" w:color="D1CDCA"/>
            </w:tcBorders>
          </w:tcPr>
          <w:p>
            <w:pPr>
              <w:jc w:val="right"/>
              <w:ind w:right="448"/>
              <w:spacing w:after="0"/>
              <w:rPr>
                <w:sz w:val="20"/>
                <w:szCs w:val="20"/>
                <w:color w:val="auto"/>
              </w:rPr>
            </w:pPr>
            <w:r>
              <w:rPr>
                <w:rFonts w:ascii="Arial" w:cs="Arial" w:eastAsia="Arial" w:hAnsi="Arial"/>
                <w:sz w:val="14"/>
                <w:szCs w:val="14"/>
                <w:color w:val="auto"/>
              </w:rPr>
              <w:t>26,187</w:t>
            </w:r>
          </w:p>
        </w:tc>
        <w:tc>
          <w:tcPr>
            <w:tcW w:w="1900" w:type="dxa"/>
            <w:vAlign w:val="bottom"/>
            <w:tcBorders>
              <w:bottom w:val="single" w:sz="8" w:color="D1CDCA"/>
            </w:tcBorders>
          </w:tcPr>
          <w:p>
            <w:pPr>
              <w:jc w:val="right"/>
              <w:ind w:right="328"/>
              <w:spacing w:after="0"/>
              <w:rPr>
                <w:sz w:val="20"/>
                <w:szCs w:val="20"/>
                <w:color w:val="auto"/>
              </w:rPr>
            </w:pPr>
            <w:r>
              <w:rPr>
                <w:rFonts w:ascii="Arial" w:cs="Arial" w:eastAsia="Arial" w:hAnsi="Arial"/>
                <w:sz w:val="14"/>
                <w:szCs w:val="14"/>
                <w:color w:val="auto"/>
              </w:rPr>
              <w:t>*</w:t>
            </w:r>
          </w:p>
        </w:tc>
      </w:tr>
      <w:tr>
        <w:trPr>
          <w:trHeight w:val="250"/>
        </w:trPr>
        <w:tc>
          <w:tcPr>
            <w:tcW w:w="6840" w:type="dxa"/>
            <w:vAlign w:val="bottom"/>
            <w:tcBorders>
              <w:bottom w:val="single" w:sz="8" w:color="D1CDCA"/>
            </w:tcBorders>
            <w:shd w:val="clear" w:color="auto" w:fill="F7F7E5"/>
          </w:tcPr>
          <w:p>
            <w:pPr>
              <w:ind w:left="60"/>
              <w:spacing w:after="0" w:line="250" w:lineRule="exact"/>
              <w:rPr>
                <w:sz w:val="20"/>
                <w:szCs w:val="20"/>
                <w:color w:val="auto"/>
              </w:rPr>
            </w:pPr>
            <w:r>
              <w:rPr>
                <w:rFonts w:ascii="Arial" w:cs="Arial" w:eastAsia="Arial" w:hAnsi="Arial"/>
                <w:sz w:val="14"/>
                <w:szCs w:val="14"/>
                <w:color w:val="auto"/>
              </w:rPr>
              <w:t>D. Boone Wayson</w:t>
            </w:r>
            <w:r>
              <w:rPr>
                <w:rFonts w:ascii="Arial" w:cs="Arial" w:eastAsia="Arial" w:hAnsi="Arial"/>
                <w:sz w:val="24"/>
                <w:szCs w:val="24"/>
                <w:color w:val="auto"/>
                <w:vertAlign w:val="superscript"/>
              </w:rPr>
              <w:t>(8)</w:t>
            </w:r>
          </w:p>
        </w:tc>
        <w:tc>
          <w:tcPr>
            <w:tcW w:w="2280" w:type="dxa"/>
            <w:vAlign w:val="bottom"/>
            <w:tcBorders>
              <w:bottom w:val="single" w:sz="8" w:color="D1CDCA"/>
            </w:tcBorders>
            <w:shd w:val="clear" w:color="auto" w:fill="F7F7E5"/>
          </w:tcPr>
          <w:p>
            <w:pPr>
              <w:jc w:val="right"/>
              <w:ind w:right="448"/>
              <w:spacing w:after="0"/>
              <w:rPr>
                <w:sz w:val="20"/>
                <w:szCs w:val="20"/>
                <w:color w:val="auto"/>
              </w:rPr>
            </w:pPr>
            <w:r>
              <w:rPr>
                <w:rFonts w:ascii="Arial" w:cs="Arial" w:eastAsia="Arial" w:hAnsi="Arial"/>
                <w:sz w:val="14"/>
                <w:szCs w:val="14"/>
                <w:color w:val="auto"/>
              </w:rPr>
              <w:t>129,977</w:t>
            </w:r>
          </w:p>
        </w:tc>
        <w:tc>
          <w:tcPr>
            <w:tcW w:w="1900" w:type="dxa"/>
            <w:vAlign w:val="bottom"/>
            <w:tcBorders>
              <w:bottom w:val="single" w:sz="8" w:color="D1CDCA"/>
            </w:tcBorders>
            <w:shd w:val="clear" w:color="auto" w:fill="F7F7E5"/>
          </w:tcPr>
          <w:p>
            <w:pPr>
              <w:jc w:val="right"/>
              <w:ind w:right="328"/>
              <w:spacing w:after="0"/>
              <w:rPr>
                <w:sz w:val="20"/>
                <w:szCs w:val="20"/>
                <w:color w:val="auto"/>
              </w:rPr>
            </w:pPr>
            <w:r>
              <w:rPr>
                <w:rFonts w:ascii="Arial" w:cs="Arial" w:eastAsia="Arial" w:hAnsi="Arial"/>
                <w:sz w:val="14"/>
                <w:szCs w:val="14"/>
                <w:color w:val="auto"/>
              </w:rPr>
              <w:t>*</w:t>
            </w:r>
          </w:p>
        </w:tc>
      </w:tr>
      <w:tr>
        <w:trPr>
          <w:trHeight w:val="211"/>
        </w:trPr>
        <w:tc>
          <w:tcPr>
            <w:tcW w:w="6840" w:type="dxa"/>
            <w:vAlign w:val="bottom"/>
          </w:tcPr>
          <w:p>
            <w:pPr>
              <w:ind w:left="60"/>
              <w:spacing w:after="0"/>
              <w:rPr>
                <w:sz w:val="20"/>
                <w:szCs w:val="20"/>
                <w:color w:val="auto"/>
              </w:rPr>
            </w:pPr>
            <w:r>
              <w:rPr>
                <w:rFonts w:ascii="Arial" w:cs="Arial" w:eastAsia="Arial" w:hAnsi="Arial"/>
                <w:sz w:val="14"/>
                <w:szCs w:val="14"/>
                <w:color w:val="auto"/>
              </w:rPr>
              <w:t>Wendy Webb</w:t>
            </w:r>
          </w:p>
        </w:tc>
        <w:tc>
          <w:tcPr>
            <w:tcW w:w="2280" w:type="dxa"/>
            <w:vAlign w:val="bottom"/>
          </w:tcPr>
          <w:p>
            <w:pPr>
              <w:jc w:val="right"/>
              <w:ind w:right="448"/>
              <w:spacing w:after="0"/>
              <w:rPr>
                <w:sz w:val="20"/>
                <w:szCs w:val="20"/>
                <w:color w:val="auto"/>
              </w:rPr>
            </w:pPr>
            <w:r>
              <w:rPr>
                <w:rFonts w:ascii="Arial" w:cs="Arial" w:eastAsia="Arial" w:hAnsi="Arial"/>
                <w:sz w:val="14"/>
                <w:szCs w:val="14"/>
                <w:color w:val="auto"/>
              </w:rPr>
              <w:t>0</w:t>
            </w:r>
          </w:p>
        </w:tc>
        <w:tc>
          <w:tcPr>
            <w:tcW w:w="1900" w:type="dxa"/>
            <w:vAlign w:val="bottom"/>
          </w:tcPr>
          <w:p>
            <w:pPr>
              <w:jc w:val="right"/>
              <w:ind w:right="328"/>
              <w:spacing w:after="0"/>
              <w:rPr>
                <w:sz w:val="20"/>
                <w:szCs w:val="20"/>
                <w:color w:val="auto"/>
              </w:rPr>
            </w:pPr>
            <w:r>
              <w:rPr>
                <w:rFonts w:ascii="Arial" w:cs="Arial" w:eastAsia="Arial" w:hAnsi="Arial"/>
                <w:sz w:val="14"/>
                <w:szCs w:val="14"/>
                <w:color w:val="auto"/>
              </w:rPr>
              <w:t>0</w:t>
            </w:r>
          </w:p>
        </w:tc>
      </w:tr>
      <w:tr>
        <w:trPr>
          <w:trHeight w:val="39"/>
        </w:trPr>
        <w:tc>
          <w:tcPr>
            <w:tcW w:w="6840" w:type="dxa"/>
            <w:vAlign w:val="bottom"/>
            <w:tcBorders>
              <w:bottom w:val="single" w:sz="8" w:color="D1CDCA"/>
            </w:tcBorders>
          </w:tcPr>
          <w:p>
            <w:pPr>
              <w:spacing w:after="0"/>
              <w:rPr>
                <w:sz w:val="3"/>
                <w:szCs w:val="3"/>
                <w:color w:val="auto"/>
              </w:rPr>
            </w:pPr>
          </w:p>
        </w:tc>
        <w:tc>
          <w:tcPr>
            <w:tcW w:w="2280" w:type="dxa"/>
            <w:vAlign w:val="bottom"/>
            <w:tcBorders>
              <w:bottom w:val="single" w:sz="8" w:color="D1CDCA"/>
            </w:tcBorders>
          </w:tcPr>
          <w:p>
            <w:pPr>
              <w:spacing w:after="0"/>
              <w:rPr>
                <w:sz w:val="3"/>
                <w:szCs w:val="3"/>
                <w:color w:val="auto"/>
              </w:rPr>
            </w:pPr>
          </w:p>
        </w:tc>
        <w:tc>
          <w:tcPr>
            <w:tcW w:w="1900" w:type="dxa"/>
            <w:vAlign w:val="bottom"/>
            <w:tcBorders>
              <w:bottom w:val="single" w:sz="8" w:color="D1CDCA"/>
            </w:tcBorders>
          </w:tcPr>
          <w:p>
            <w:pPr>
              <w:spacing w:after="0"/>
              <w:rPr>
                <w:sz w:val="3"/>
                <w:szCs w:val="3"/>
                <w:color w:val="auto"/>
              </w:rPr>
            </w:pPr>
          </w:p>
        </w:tc>
      </w:tr>
      <w:tr>
        <w:trPr>
          <w:trHeight w:val="250"/>
        </w:trPr>
        <w:tc>
          <w:tcPr>
            <w:tcW w:w="6840" w:type="dxa"/>
            <w:vAlign w:val="bottom"/>
            <w:tcBorders>
              <w:bottom w:val="single" w:sz="8" w:color="D1CDCA"/>
            </w:tcBorders>
            <w:shd w:val="clear" w:color="auto" w:fill="F7F7E5"/>
          </w:tcPr>
          <w:p>
            <w:pPr>
              <w:ind w:left="60"/>
              <w:spacing w:after="0" w:line="250" w:lineRule="exact"/>
              <w:rPr>
                <w:sz w:val="20"/>
                <w:szCs w:val="20"/>
                <w:color w:val="auto"/>
              </w:rPr>
            </w:pPr>
            <w:r>
              <w:rPr>
                <w:rFonts w:ascii="Arial" w:cs="Arial" w:eastAsia="Arial" w:hAnsi="Arial"/>
                <w:sz w:val="14"/>
                <w:szCs w:val="14"/>
                <w:color w:val="auto"/>
              </w:rPr>
              <w:t>Matt Maddox</w:t>
            </w:r>
            <w:r>
              <w:rPr>
                <w:rFonts w:ascii="Arial" w:cs="Arial" w:eastAsia="Arial" w:hAnsi="Arial"/>
                <w:sz w:val="24"/>
                <w:szCs w:val="24"/>
                <w:color w:val="auto"/>
                <w:vertAlign w:val="superscript"/>
              </w:rPr>
              <w:t>(12)</w:t>
            </w:r>
          </w:p>
        </w:tc>
        <w:tc>
          <w:tcPr>
            <w:tcW w:w="2280" w:type="dxa"/>
            <w:vAlign w:val="bottom"/>
            <w:tcBorders>
              <w:bottom w:val="single" w:sz="8" w:color="D1CDCA"/>
            </w:tcBorders>
            <w:shd w:val="clear" w:color="auto" w:fill="F7F7E5"/>
          </w:tcPr>
          <w:p>
            <w:pPr>
              <w:jc w:val="right"/>
              <w:ind w:right="448"/>
              <w:spacing w:after="0"/>
              <w:rPr>
                <w:sz w:val="20"/>
                <w:szCs w:val="20"/>
                <w:color w:val="auto"/>
              </w:rPr>
            </w:pPr>
            <w:r>
              <w:rPr>
                <w:rFonts w:ascii="Arial" w:cs="Arial" w:eastAsia="Arial" w:hAnsi="Arial"/>
                <w:sz w:val="14"/>
                <w:szCs w:val="14"/>
                <w:color w:val="auto"/>
              </w:rPr>
              <w:t>389,654</w:t>
            </w:r>
          </w:p>
        </w:tc>
        <w:tc>
          <w:tcPr>
            <w:tcW w:w="1900" w:type="dxa"/>
            <w:vAlign w:val="bottom"/>
            <w:tcBorders>
              <w:bottom w:val="single" w:sz="8" w:color="D1CDCA"/>
            </w:tcBorders>
            <w:shd w:val="clear" w:color="auto" w:fill="F7F7E5"/>
          </w:tcPr>
          <w:p>
            <w:pPr>
              <w:jc w:val="right"/>
              <w:ind w:right="328"/>
              <w:spacing w:after="0"/>
              <w:rPr>
                <w:sz w:val="20"/>
                <w:szCs w:val="20"/>
                <w:color w:val="auto"/>
              </w:rPr>
            </w:pPr>
            <w:r>
              <w:rPr>
                <w:rFonts w:ascii="Arial" w:cs="Arial" w:eastAsia="Arial" w:hAnsi="Arial"/>
                <w:sz w:val="14"/>
                <w:szCs w:val="14"/>
                <w:color w:val="auto"/>
              </w:rPr>
              <w:t>*</w:t>
            </w:r>
          </w:p>
        </w:tc>
      </w:tr>
      <w:tr>
        <w:trPr>
          <w:trHeight w:val="250"/>
        </w:trPr>
        <w:tc>
          <w:tcPr>
            <w:tcW w:w="6840" w:type="dxa"/>
            <w:vAlign w:val="bottom"/>
            <w:tcBorders>
              <w:bottom w:val="single" w:sz="8" w:color="D1CDCA"/>
            </w:tcBorders>
          </w:tcPr>
          <w:p>
            <w:pPr>
              <w:ind w:left="60"/>
              <w:spacing w:after="0" w:line="250" w:lineRule="exact"/>
              <w:rPr>
                <w:sz w:val="20"/>
                <w:szCs w:val="20"/>
                <w:color w:val="auto"/>
              </w:rPr>
            </w:pPr>
            <w:r>
              <w:rPr>
                <w:rFonts w:ascii="Arial" w:cs="Arial" w:eastAsia="Arial" w:hAnsi="Arial"/>
                <w:sz w:val="14"/>
                <w:szCs w:val="14"/>
                <w:color w:val="auto"/>
              </w:rPr>
              <w:t>Kim Sinatra</w:t>
            </w:r>
            <w:r>
              <w:rPr>
                <w:rFonts w:ascii="Arial" w:cs="Arial" w:eastAsia="Arial" w:hAnsi="Arial"/>
                <w:sz w:val="24"/>
                <w:szCs w:val="24"/>
                <w:color w:val="auto"/>
                <w:vertAlign w:val="superscript"/>
              </w:rPr>
              <w:t>(13)</w:t>
            </w:r>
          </w:p>
        </w:tc>
        <w:tc>
          <w:tcPr>
            <w:tcW w:w="2280" w:type="dxa"/>
            <w:vAlign w:val="bottom"/>
            <w:tcBorders>
              <w:bottom w:val="single" w:sz="8" w:color="D1CDCA"/>
            </w:tcBorders>
          </w:tcPr>
          <w:p>
            <w:pPr>
              <w:jc w:val="right"/>
              <w:ind w:right="448"/>
              <w:spacing w:after="0"/>
              <w:rPr>
                <w:sz w:val="20"/>
                <w:szCs w:val="20"/>
                <w:color w:val="auto"/>
              </w:rPr>
            </w:pPr>
            <w:r>
              <w:rPr>
                <w:rFonts w:ascii="Arial" w:cs="Arial" w:eastAsia="Arial" w:hAnsi="Arial"/>
                <w:sz w:val="14"/>
                <w:szCs w:val="14"/>
                <w:color w:val="auto"/>
              </w:rPr>
              <w:t>260,334</w:t>
            </w:r>
          </w:p>
        </w:tc>
        <w:tc>
          <w:tcPr>
            <w:tcW w:w="1900" w:type="dxa"/>
            <w:vAlign w:val="bottom"/>
            <w:tcBorders>
              <w:bottom w:val="single" w:sz="8" w:color="D1CDCA"/>
            </w:tcBorders>
          </w:tcPr>
          <w:p>
            <w:pPr>
              <w:jc w:val="right"/>
              <w:ind w:right="328"/>
              <w:spacing w:after="0"/>
              <w:rPr>
                <w:sz w:val="20"/>
                <w:szCs w:val="20"/>
                <w:color w:val="auto"/>
              </w:rPr>
            </w:pPr>
            <w:r>
              <w:rPr>
                <w:rFonts w:ascii="Arial" w:cs="Arial" w:eastAsia="Arial" w:hAnsi="Arial"/>
                <w:sz w:val="14"/>
                <w:szCs w:val="14"/>
                <w:color w:val="auto"/>
              </w:rPr>
              <w:t>*</w:t>
            </w:r>
          </w:p>
        </w:tc>
      </w:tr>
      <w:tr>
        <w:trPr>
          <w:trHeight w:val="250"/>
        </w:trPr>
        <w:tc>
          <w:tcPr>
            <w:tcW w:w="6840" w:type="dxa"/>
            <w:vAlign w:val="bottom"/>
            <w:tcBorders>
              <w:bottom w:val="single" w:sz="8" w:color="D1CDCA"/>
            </w:tcBorders>
            <w:shd w:val="clear" w:color="auto" w:fill="F7F7E5"/>
          </w:tcPr>
          <w:p>
            <w:pPr>
              <w:ind w:left="60"/>
              <w:spacing w:after="0" w:line="250" w:lineRule="exact"/>
              <w:rPr>
                <w:sz w:val="20"/>
                <w:szCs w:val="20"/>
                <w:color w:val="auto"/>
              </w:rPr>
            </w:pPr>
            <w:r>
              <w:rPr>
                <w:rFonts w:ascii="Arial" w:cs="Arial" w:eastAsia="Arial" w:hAnsi="Arial"/>
                <w:sz w:val="14"/>
                <w:szCs w:val="14"/>
                <w:color w:val="auto"/>
              </w:rPr>
              <w:t>Craig Billings</w:t>
            </w:r>
            <w:r>
              <w:rPr>
                <w:rFonts w:ascii="Arial" w:cs="Arial" w:eastAsia="Arial" w:hAnsi="Arial"/>
                <w:sz w:val="24"/>
                <w:szCs w:val="24"/>
                <w:color w:val="auto"/>
                <w:vertAlign w:val="superscript"/>
              </w:rPr>
              <w:t>(14)</w:t>
            </w:r>
          </w:p>
        </w:tc>
        <w:tc>
          <w:tcPr>
            <w:tcW w:w="2280" w:type="dxa"/>
            <w:vAlign w:val="bottom"/>
            <w:tcBorders>
              <w:bottom w:val="single" w:sz="8" w:color="D1CDCA"/>
            </w:tcBorders>
            <w:shd w:val="clear" w:color="auto" w:fill="F7F7E5"/>
          </w:tcPr>
          <w:p>
            <w:pPr>
              <w:jc w:val="right"/>
              <w:ind w:right="448"/>
              <w:spacing w:after="0"/>
              <w:rPr>
                <w:sz w:val="20"/>
                <w:szCs w:val="20"/>
                <w:color w:val="auto"/>
              </w:rPr>
            </w:pPr>
            <w:r>
              <w:rPr>
                <w:rFonts w:ascii="Arial" w:cs="Arial" w:eastAsia="Arial" w:hAnsi="Arial"/>
                <w:sz w:val="14"/>
                <w:szCs w:val="14"/>
                <w:color w:val="auto"/>
              </w:rPr>
              <w:t>33,114</w:t>
            </w:r>
          </w:p>
        </w:tc>
        <w:tc>
          <w:tcPr>
            <w:tcW w:w="1900" w:type="dxa"/>
            <w:vAlign w:val="bottom"/>
            <w:tcBorders>
              <w:bottom w:val="single" w:sz="8" w:color="D1CDCA"/>
            </w:tcBorders>
            <w:shd w:val="clear" w:color="auto" w:fill="F7F7E5"/>
          </w:tcPr>
          <w:p>
            <w:pPr>
              <w:jc w:val="right"/>
              <w:ind w:right="328"/>
              <w:spacing w:after="0"/>
              <w:rPr>
                <w:sz w:val="20"/>
                <w:szCs w:val="20"/>
                <w:color w:val="auto"/>
              </w:rPr>
            </w:pPr>
            <w:r>
              <w:rPr>
                <w:rFonts w:ascii="Arial" w:cs="Arial" w:eastAsia="Arial" w:hAnsi="Arial"/>
                <w:sz w:val="14"/>
                <w:szCs w:val="14"/>
                <w:color w:val="auto"/>
              </w:rPr>
              <w:t>*</w:t>
            </w:r>
          </w:p>
        </w:tc>
      </w:tr>
      <w:tr>
        <w:trPr>
          <w:trHeight w:val="250"/>
        </w:trPr>
        <w:tc>
          <w:tcPr>
            <w:tcW w:w="6840" w:type="dxa"/>
            <w:vAlign w:val="bottom"/>
            <w:tcBorders>
              <w:bottom w:val="single" w:sz="8" w:color="D1CDCA"/>
            </w:tcBorders>
          </w:tcPr>
          <w:p>
            <w:pPr>
              <w:ind w:left="60"/>
              <w:spacing w:after="0" w:line="250" w:lineRule="exact"/>
              <w:rPr>
                <w:sz w:val="20"/>
                <w:szCs w:val="20"/>
                <w:color w:val="auto"/>
              </w:rPr>
            </w:pPr>
            <w:r>
              <w:rPr>
                <w:rFonts w:ascii="Arial" w:cs="Arial" w:eastAsia="Arial" w:hAnsi="Arial"/>
                <w:sz w:val="14"/>
                <w:szCs w:val="14"/>
                <w:color w:val="auto"/>
              </w:rPr>
              <w:t>Stephen A. Wynn</w:t>
            </w:r>
            <w:r>
              <w:rPr>
                <w:rFonts w:ascii="Arial" w:cs="Arial" w:eastAsia="Arial" w:hAnsi="Arial"/>
                <w:sz w:val="24"/>
                <w:szCs w:val="24"/>
                <w:color w:val="auto"/>
                <w:vertAlign w:val="superscript"/>
              </w:rPr>
              <w:t>(15)</w:t>
            </w:r>
          </w:p>
        </w:tc>
        <w:tc>
          <w:tcPr>
            <w:tcW w:w="2280" w:type="dxa"/>
            <w:vAlign w:val="bottom"/>
            <w:tcBorders>
              <w:bottom w:val="single" w:sz="8" w:color="D1CDCA"/>
            </w:tcBorders>
          </w:tcPr>
          <w:p>
            <w:pPr>
              <w:jc w:val="right"/>
              <w:ind w:right="448"/>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D1CDCA"/>
            </w:tcBorders>
          </w:tcPr>
          <w:p>
            <w:pPr>
              <w:jc w:val="right"/>
              <w:ind w:right="328"/>
              <w:spacing w:after="0"/>
              <w:rPr>
                <w:sz w:val="20"/>
                <w:szCs w:val="20"/>
                <w:color w:val="auto"/>
              </w:rPr>
            </w:pPr>
            <w:r>
              <w:rPr>
                <w:rFonts w:ascii="Arial" w:cs="Arial" w:eastAsia="Arial" w:hAnsi="Arial"/>
                <w:sz w:val="14"/>
                <w:szCs w:val="14"/>
                <w:color w:val="auto"/>
              </w:rPr>
              <w:t>0</w:t>
            </w:r>
          </w:p>
        </w:tc>
      </w:tr>
      <w:tr>
        <w:trPr>
          <w:trHeight w:val="250"/>
        </w:trPr>
        <w:tc>
          <w:tcPr>
            <w:tcW w:w="6840" w:type="dxa"/>
            <w:vAlign w:val="bottom"/>
            <w:tcBorders>
              <w:bottom w:val="single" w:sz="8" w:color="D1CDCA"/>
            </w:tcBorders>
            <w:shd w:val="clear" w:color="auto" w:fill="F7F7E5"/>
          </w:tcPr>
          <w:p>
            <w:pPr>
              <w:ind w:left="60"/>
              <w:spacing w:after="0" w:line="250" w:lineRule="exact"/>
              <w:rPr>
                <w:sz w:val="20"/>
                <w:szCs w:val="20"/>
                <w:color w:val="auto"/>
              </w:rPr>
            </w:pPr>
            <w:r>
              <w:rPr>
                <w:rFonts w:ascii="Arial" w:cs="Arial" w:eastAsia="Arial" w:hAnsi="Arial"/>
                <w:sz w:val="14"/>
                <w:szCs w:val="14"/>
                <w:color w:val="auto"/>
              </w:rPr>
              <w:t>Stephen Cootey</w:t>
            </w:r>
            <w:r>
              <w:rPr>
                <w:rFonts w:ascii="Arial" w:cs="Arial" w:eastAsia="Arial" w:hAnsi="Arial"/>
                <w:sz w:val="24"/>
                <w:szCs w:val="24"/>
                <w:color w:val="auto"/>
                <w:vertAlign w:val="superscript"/>
              </w:rPr>
              <w:t>(16)</w:t>
            </w:r>
          </w:p>
        </w:tc>
        <w:tc>
          <w:tcPr>
            <w:tcW w:w="2280" w:type="dxa"/>
            <w:vAlign w:val="bottom"/>
            <w:tcBorders>
              <w:bottom w:val="single" w:sz="8" w:color="D1CDCA"/>
            </w:tcBorders>
            <w:shd w:val="clear" w:color="auto" w:fill="F7F7E5"/>
          </w:tcPr>
          <w:p>
            <w:pPr>
              <w:jc w:val="right"/>
              <w:ind w:right="448"/>
              <w:spacing w:after="0"/>
              <w:rPr>
                <w:sz w:val="20"/>
                <w:szCs w:val="20"/>
                <w:color w:val="auto"/>
              </w:rPr>
            </w:pPr>
            <w:r>
              <w:rPr>
                <w:rFonts w:ascii="Arial" w:cs="Arial" w:eastAsia="Arial" w:hAnsi="Arial"/>
                <w:sz w:val="14"/>
                <w:szCs w:val="14"/>
                <w:color w:val="auto"/>
              </w:rPr>
              <w:t>7,276</w:t>
            </w:r>
          </w:p>
        </w:tc>
        <w:tc>
          <w:tcPr>
            <w:tcW w:w="1900" w:type="dxa"/>
            <w:vAlign w:val="bottom"/>
            <w:tcBorders>
              <w:bottom w:val="single" w:sz="8" w:color="D1CDCA"/>
            </w:tcBorders>
            <w:shd w:val="clear" w:color="auto" w:fill="F7F7E5"/>
          </w:tcPr>
          <w:p>
            <w:pPr>
              <w:jc w:val="right"/>
              <w:ind w:right="328"/>
              <w:spacing w:after="0"/>
              <w:rPr>
                <w:sz w:val="20"/>
                <w:szCs w:val="20"/>
                <w:color w:val="auto"/>
              </w:rPr>
            </w:pPr>
            <w:r>
              <w:rPr>
                <w:rFonts w:ascii="Arial" w:cs="Arial" w:eastAsia="Arial" w:hAnsi="Arial"/>
                <w:sz w:val="14"/>
                <w:szCs w:val="14"/>
                <w:color w:val="auto"/>
              </w:rPr>
              <w:t>*</w:t>
            </w:r>
          </w:p>
        </w:tc>
      </w:tr>
      <w:tr>
        <w:trPr>
          <w:trHeight w:val="250"/>
        </w:trPr>
        <w:tc>
          <w:tcPr>
            <w:tcW w:w="6840" w:type="dxa"/>
            <w:vAlign w:val="bottom"/>
            <w:tcBorders>
              <w:bottom w:val="single" w:sz="8" w:color="D1CDCA"/>
            </w:tcBorders>
          </w:tcPr>
          <w:p>
            <w:pPr>
              <w:ind w:left="60"/>
              <w:spacing w:after="0" w:line="250" w:lineRule="exact"/>
              <w:rPr>
                <w:sz w:val="20"/>
                <w:szCs w:val="20"/>
                <w:color w:val="auto"/>
              </w:rPr>
            </w:pPr>
            <w:r>
              <w:rPr>
                <w:rFonts w:ascii="Arial" w:cs="Arial" w:eastAsia="Arial" w:hAnsi="Arial"/>
                <w:sz w:val="14"/>
                <w:szCs w:val="14"/>
                <w:color w:val="auto"/>
              </w:rPr>
              <w:t>All Current Directors and Executive Officers as a Group (14 persons)</w:t>
            </w:r>
            <w:r>
              <w:rPr>
                <w:rFonts w:ascii="Arial" w:cs="Arial" w:eastAsia="Arial" w:hAnsi="Arial"/>
                <w:sz w:val="24"/>
                <w:szCs w:val="24"/>
                <w:color w:val="auto"/>
                <w:vertAlign w:val="superscript"/>
              </w:rPr>
              <w:t>(17)</w:t>
            </w:r>
          </w:p>
        </w:tc>
        <w:tc>
          <w:tcPr>
            <w:tcW w:w="2280" w:type="dxa"/>
            <w:vAlign w:val="bottom"/>
            <w:tcBorders>
              <w:bottom w:val="single" w:sz="8" w:color="D1CDCA"/>
            </w:tcBorders>
          </w:tcPr>
          <w:p>
            <w:pPr>
              <w:jc w:val="right"/>
              <w:ind w:right="448"/>
              <w:spacing w:after="0"/>
              <w:rPr>
                <w:sz w:val="20"/>
                <w:szCs w:val="20"/>
                <w:color w:val="auto"/>
              </w:rPr>
            </w:pPr>
            <w:r>
              <w:rPr>
                <w:rFonts w:ascii="Arial" w:cs="Arial" w:eastAsia="Arial" w:hAnsi="Arial"/>
                <w:sz w:val="14"/>
                <w:szCs w:val="14"/>
                <w:color w:val="auto"/>
              </w:rPr>
              <w:t>981,755</w:t>
            </w:r>
          </w:p>
        </w:tc>
        <w:tc>
          <w:tcPr>
            <w:tcW w:w="1900" w:type="dxa"/>
            <w:vAlign w:val="bottom"/>
            <w:tcBorders>
              <w:bottom w:val="single" w:sz="8" w:color="D1CDCA"/>
            </w:tcBorders>
          </w:tcPr>
          <w:p>
            <w:pPr>
              <w:jc w:val="right"/>
              <w:ind w:right="328"/>
              <w:spacing w:after="0"/>
              <w:rPr>
                <w:sz w:val="20"/>
                <w:szCs w:val="20"/>
                <w:color w:val="auto"/>
              </w:rPr>
            </w:pPr>
            <w:r>
              <w:rPr>
                <w:rFonts w:ascii="Arial" w:cs="Arial" w:eastAsia="Arial" w:hAnsi="Arial"/>
                <w:sz w:val="14"/>
                <w:szCs w:val="14"/>
                <w:color w:val="auto"/>
              </w:rPr>
              <w:t>*</w:t>
            </w: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Less than one percent</w:t>
      </w:r>
    </w:p>
    <w:p>
      <w:pPr>
        <w:spacing w:after="0" w:line="55" w:lineRule="exact"/>
        <w:rPr>
          <w:sz w:val="20"/>
          <w:szCs w:val="20"/>
          <w:color w:val="auto"/>
        </w:rPr>
      </w:pPr>
    </w:p>
    <w:p>
      <w:pPr>
        <w:ind w:left="360" w:right="40" w:hanging="148"/>
        <w:spacing w:after="0" w:line="234" w:lineRule="auto"/>
        <w:rPr>
          <w:sz w:val="20"/>
          <w:szCs w:val="20"/>
          <w:color w:val="auto"/>
        </w:rPr>
      </w:pPr>
      <w:r>
        <w:rPr>
          <w:rFonts w:ascii="Arial" w:cs="Arial" w:eastAsia="Arial" w:hAnsi="Arial"/>
          <w:sz w:val="12"/>
          <w:szCs w:val="12"/>
          <w:color w:val="auto"/>
        </w:rPr>
        <w:t>(1)</w:t>
      </w:r>
      <w:r>
        <w:rPr>
          <w:rFonts w:ascii="Arial" w:cs="Arial" w:eastAsia="Arial" w:hAnsi="Arial"/>
          <w:sz w:val="14"/>
          <w:szCs w:val="14"/>
          <w:color w:val="auto"/>
        </w:rPr>
        <w:t>This table is based upon information supplied by officers, directors and nominees for director, and contained in Schedules 13D and 13G filed with the SEC. Unless otherwise indicated in</w:t>
      </w:r>
      <w:r>
        <w:rPr>
          <w:rFonts w:ascii="Arial" w:cs="Arial" w:eastAsia="Arial" w:hAnsi="Arial"/>
          <w:sz w:val="12"/>
          <w:szCs w:val="12"/>
          <w:color w:val="auto"/>
        </w:rPr>
        <w:t xml:space="preserve"> </w:t>
      </w:r>
      <w:r>
        <w:rPr>
          <w:rFonts w:ascii="Arial" w:cs="Arial" w:eastAsia="Arial" w:hAnsi="Arial"/>
          <w:sz w:val="14"/>
          <w:szCs w:val="14"/>
          <w:color w:val="auto"/>
        </w:rPr>
        <w:t>the footnotes to this table and subject to community property laws, where applicable, the Company believes each of the shareholders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(2)</w:t>
      </w:r>
      <w:r>
        <w:rPr>
          <w:rFonts w:ascii="Arial" w:cs="Arial" w:eastAsia="Arial" w:hAnsi="Arial"/>
          <w:sz w:val="14"/>
          <w:szCs w:val="14"/>
          <w:color w:val="auto"/>
        </w:rPr>
        <w:t>Unless otherwise indicated, the address of each of the named parties in this table is: c/o Wynn Resorts, Limited, 3131 Las Vegas Boulevard South, Las Vegas, Nevada 89109.</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(3)</w:t>
      </w:r>
      <w:r>
        <w:rPr>
          <w:rFonts w:ascii="Arial" w:cs="Arial" w:eastAsia="Arial" w:hAnsi="Arial"/>
          <w:sz w:val="14"/>
          <w:szCs w:val="14"/>
          <w:color w:val="auto"/>
        </w:rPr>
        <w:t>The information provided is based upon a Schedule 13D/A, dated March 14, 2018, filed by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106680</wp:posOffset>
            </wp:positionV>
            <wp:extent cx="6997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8860"/>
        <w:spacing w:after="0"/>
        <w:tabs>
          <w:tab w:leader="none" w:pos="10840" w:val="left"/>
          <w:tab w:leader="none" w:pos="110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46</w:t>
      </w:r>
    </w:p>
    <w:p>
      <w:pPr>
        <w:sectPr>
          <w:pgSz w:w="11900" w:h="16838" w:orient="portrait"/>
          <w:cols w:equalWidth="0" w:num="1">
            <w:col w:w="11240"/>
          </w:cols>
          <w:pgMar w:left="240" w:top="459" w:right="41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SECURITY OWNERSHIP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(4)</w:t>
      </w:r>
      <w:r>
        <w:rPr>
          <w:rFonts w:ascii="Arial" w:cs="Arial" w:eastAsia="Arial" w:hAnsi="Arial"/>
          <w:sz w:val="13"/>
          <w:szCs w:val="13"/>
          <w:color w:val="auto"/>
        </w:rPr>
        <w:t>The Vanguard Group (“Vanguard”) has beneficial ownership of these shares as of December 31, 2017. Vanguard has sole dispositive power as to 8,728,359 shares, sole voting power as to</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116,637 shares, shared voting power as to 19,075 shares and shared dispositive power as to 130,135 shares. The information provided is based upon a Schedule 13G/A filed on February 9,</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2018 by Vanguard. The number of common shares beneficially owned by the Vanguard Group may have changed since the filing of the Schedule 13G/A.</w:t>
      </w:r>
    </w:p>
    <w:p>
      <w:pPr>
        <w:spacing w:after="0" w:line="43" w:lineRule="exact"/>
        <w:rPr>
          <w:sz w:val="20"/>
          <w:szCs w:val="20"/>
          <w:color w:val="auto"/>
        </w:rPr>
      </w:pPr>
    </w:p>
    <w:p>
      <w:pPr>
        <w:ind w:left="360" w:right="60" w:hanging="148"/>
        <w:spacing w:after="0" w:line="238" w:lineRule="auto"/>
        <w:rPr>
          <w:sz w:val="20"/>
          <w:szCs w:val="20"/>
          <w:color w:val="auto"/>
        </w:rPr>
      </w:pPr>
      <w:r>
        <w:rPr>
          <w:rFonts w:ascii="Arial" w:cs="Arial" w:eastAsia="Arial" w:hAnsi="Arial"/>
          <w:sz w:val="12"/>
          <w:szCs w:val="12"/>
          <w:color w:val="auto"/>
        </w:rPr>
        <w:t>(5)</w:t>
      </w:r>
      <w:r>
        <w:rPr>
          <w:rFonts w:ascii="Arial" w:cs="Arial" w:eastAsia="Arial" w:hAnsi="Arial"/>
          <w:sz w:val="14"/>
          <w:szCs w:val="14"/>
          <w:color w:val="auto"/>
        </w:rPr>
        <w:t>Northern Cross LLC (“Northern Cross”) has beneficial ownership of these shares as of December 31, 2017. Northern Cross has sole dispositive power as to 7,102,470 shares, sole voting</w:t>
      </w:r>
      <w:r>
        <w:rPr>
          <w:rFonts w:ascii="Arial" w:cs="Arial" w:eastAsia="Arial" w:hAnsi="Arial"/>
          <w:sz w:val="12"/>
          <w:szCs w:val="12"/>
          <w:color w:val="auto"/>
        </w:rPr>
        <w:t xml:space="preserve"> </w:t>
      </w:r>
      <w:r>
        <w:rPr>
          <w:rFonts w:ascii="Arial" w:cs="Arial" w:eastAsia="Arial" w:hAnsi="Arial"/>
          <w:sz w:val="14"/>
          <w:szCs w:val="14"/>
          <w:color w:val="auto"/>
        </w:rPr>
        <w:t>power as to 452,037 shares and shared voting power as to 6,650,433 shares. The information provided is based upon a Schedule 13G/A, filed on February 12, 2018 by Northern Cross. The number of common shares beneficially owned by Northern Cross may have changed since the filing of the Schedule 13G/A.</w:t>
      </w:r>
    </w:p>
    <w:p>
      <w:pPr>
        <w:spacing w:after="0" w:line="34" w:lineRule="exact"/>
        <w:rPr>
          <w:sz w:val="20"/>
          <w:szCs w:val="20"/>
          <w:color w:val="auto"/>
        </w:rPr>
      </w:pPr>
    </w:p>
    <w:p>
      <w:pPr>
        <w:ind w:left="360" w:right="140" w:hanging="148"/>
        <w:spacing w:after="0" w:line="253" w:lineRule="auto"/>
        <w:rPr>
          <w:sz w:val="20"/>
          <w:szCs w:val="20"/>
          <w:color w:val="auto"/>
        </w:rPr>
      </w:pPr>
      <w:r>
        <w:rPr>
          <w:rFonts w:ascii="Arial" w:cs="Arial" w:eastAsia="Arial" w:hAnsi="Arial"/>
          <w:sz w:val="12"/>
          <w:szCs w:val="12"/>
          <w:color w:val="auto"/>
        </w:rPr>
        <w:t>(6)</w:t>
      </w:r>
      <w:r>
        <w:rPr>
          <w:rFonts w:ascii="Arial" w:cs="Arial" w:eastAsia="Arial" w:hAnsi="Arial"/>
          <w:sz w:val="14"/>
          <w:szCs w:val="14"/>
          <w:color w:val="auto"/>
        </w:rPr>
        <w:t>Includes (i) 5,048 shares of unvested restricted stock subject to vesting in accordance with a Restricted Stock Agreement and (ii) 19,525 shares subject to immediately exercisable options</w:t>
      </w:r>
      <w:r>
        <w:rPr>
          <w:rFonts w:ascii="Arial" w:cs="Arial" w:eastAsia="Arial" w:hAnsi="Arial"/>
          <w:sz w:val="12"/>
          <w:szCs w:val="12"/>
          <w:color w:val="auto"/>
        </w:rPr>
        <w:t xml:space="preserve"> </w:t>
      </w:r>
      <w:r>
        <w:rPr>
          <w:rFonts w:ascii="Arial" w:cs="Arial" w:eastAsia="Arial" w:hAnsi="Arial"/>
          <w:sz w:val="14"/>
          <w:szCs w:val="14"/>
          <w:color w:val="auto"/>
        </w:rPr>
        <w:t>to purchase Wynn Resorts’ Common Stock.</w:t>
      </w:r>
    </w:p>
    <w:p>
      <w:pPr>
        <w:spacing w:after="0" w:line="25" w:lineRule="exact"/>
        <w:rPr>
          <w:sz w:val="20"/>
          <w:szCs w:val="20"/>
          <w:color w:val="auto"/>
        </w:rPr>
      </w:pPr>
    </w:p>
    <w:p>
      <w:pPr>
        <w:ind w:left="400" w:right="100" w:hanging="196"/>
        <w:spacing w:after="0" w:line="253" w:lineRule="auto"/>
        <w:tabs>
          <w:tab w:leader="none" w:pos="400" w:val="left"/>
        </w:tabs>
        <w:numPr>
          <w:ilvl w:val="0"/>
          <w:numId w:val="90"/>
        </w:numPr>
        <w:rPr>
          <w:rFonts w:ascii="Arial" w:cs="Arial" w:eastAsia="Arial" w:hAnsi="Arial"/>
          <w:sz w:val="12"/>
          <w:szCs w:val="12"/>
          <w:color w:val="auto"/>
        </w:rPr>
      </w:pPr>
      <w:r>
        <w:rPr>
          <w:rFonts w:ascii="Arial" w:cs="Arial" w:eastAsia="Arial" w:hAnsi="Arial"/>
          <w:sz w:val="14"/>
          <w:szCs w:val="14"/>
          <w:color w:val="auto"/>
        </w:rPr>
        <w:t>Includes (i) 2,152 shares of unvested restricted stock subject to vesting in accordance with a Restricted Stock Agreement and (ii) 10,000 shares subject to immediately exercisable options to purchase Wynn Resorts’ Common Stock.</w:t>
      </w:r>
    </w:p>
    <w:p>
      <w:pPr>
        <w:spacing w:after="0" w:line="25" w:lineRule="exact"/>
        <w:rPr>
          <w:rFonts w:ascii="Arial" w:cs="Arial" w:eastAsia="Arial" w:hAnsi="Arial"/>
          <w:sz w:val="12"/>
          <w:szCs w:val="12"/>
          <w:color w:val="auto"/>
        </w:rPr>
      </w:pPr>
    </w:p>
    <w:p>
      <w:pPr>
        <w:ind w:left="400" w:right="100" w:hanging="196"/>
        <w:spacing w:after="0" w:line="253" w:lineRule="auto"/>
        <w:tabs>
          <w:tab w:leader="none" w:pos="400" w:val="left"/>
        </w:tabs>
        <w:numPr>
          <w:ilvl w:val="0"/>
          <w:numId w:val="90"/>
        </w:numPr>
        <w:rPr>
          <w:rFonts w:ascii="Arial" w:cs="Arial" w:eastAsia="Arial" w:hAnsi="Arial"/>
          <w:sz w:val="12"/>
          <w:szCs w:val="12"/>
          <w:color w:val="auto"/>
        </w:rPr>
      </w:pPr>
      <w:r>
        <w:rPr>
          <w:rFonts w:ascii="Arial" w:cs="Arial" w:eastAsia="Arial" w:hAnsi="Arial"/>
          <w:sz w:val="14"/>
          <w:szCs w:val="14"/>
          <w:color w:val="auto"/>
        </w:rPr>
        <w:t>Includes (i) 5,048 shares of unvested restricted stock subject to vesting in accordance with a Restricted Stock Agreement and (ii) 35,815 shares subject to immediately exercisable options to purchase Wynn Resorts’ Common Stock.</w:t>
      </w:r>
    </w:p>
    <w:p>
      <w:pPr>
        <w:spacing w:after="0" w:line="25" w:lineRule="exact"/>
        <w:rPr>
          <w:rFonts w:ascii="Arial" w:cs="Arial" w:eastAsia="Arial" w:hAnsi="Arial"/>
          <w:sz w:val="12"/>
          <w:szCs w:val="12"/>
          <w:color w:val="auto"/>
        </w:rPr>
      </w:pPr>
    </w:p>
    <w:p>
      <w:pPr>
        <w:ind w:left="400" w:right="20" w:hanging="196"/>
        <w:spacing w:after="0" w:line="253" w:lineRule="auto"/>
        <w:tabs>
          <w:tab w:leader="none" w:pos="400" w:val="left"/>
        </w:tabs>
        <w:numPr>
          <w:ilvl w:val="0"/>
          <w:numId w:val="90"/>
        </w:numPr>
        <w:rPr>
          <w:rFonts w:ascii="Arial" w:cs="Arial" w:eastAsia="Arial" w:hAnsi="Arial"/>
          <w:sz w:val="12"/>
          <w:szCs w:val="12"/>
          <w:color w:val="auto"/>
        </w:rPr>
      </w:pPr>
      <w:r>
        <w:rPr>
          <w:rFonts w:ascii="Arial" w:cs="Arial" w:eastAsia="Arial" w:hAnsi="Arial"/>
          <w:sz w:val="14"/>
          <w:szCs w:val="14"/>
          <w:color w:val="auto"/>
        </w:rPr>
        <w:t>Includes (i) 4,072 shares of unvested restricted stock subject to vesting in accordance with a Restricted Stock Agreement and (ii) 6,700 shares subject to immediately exercisable options to purchase Wynn Resorts’ Common Stock.</w:t>
      </w:r>
    </w:p>
    <w:p>
      <w:pPr>
        <w:spacing w:after="0" w:line="25" w:lineRule="exact"/>
        <w:rPr>
          <w:rFonts w:ascii="Arial" w:cs="Arial" w:eastAsia="Arial" w:hAnsi="Arial"/>
          <w:sz w:val="12"/>
          <w:szCs w:val="12"/>
          <w:color w:val="auto"/>
        </w:rPr>
      </w:pPr>
    </w:p>
    <w:p>
      <w:pPr>
        <w:ind w:left="440" w:right="120" w:hanging="236"/>
        <w:spacing w:after="0" w:line="253" w:lineRule="auto"/>
        <w:tabs>
          <w:tab w:leader="none" w:pos="440" w:val="left"/>
        </w:tabs>
        <w:numPr>
          <w:ilvl w:val="0"/>
          <w:numId w:val="90"/>
        </w:numPr>
        <w:rPr>
          <w:rFonts w:ascii="Arial" w:cs="Arial" w:eastAsia="Arial" w:hAnsi="Arial"/>
          <w:sz w:val="12"/>
          <w:szCs w:val="12"/>
          <w:color w:val="auto"/>
        </w:rPr>
      </w:pPr>
      <w:r>
        <w:rPr>
          <w:rFonts w:ascii="Arial" w:cs="Arial" w:eastAsia="Arial" w:hAnsi="Arial"/>
          <w:sz w:val="14"/>
          <w:szCs w:val="14"/>
          <w:color w:val="auto"/>
        </w:rPr>
        <w:t>Includes (i) 4,072 shares of unvested restricted stock subject to vesting in accordance with a Restricted Stock Agreement and (ii) 7,000 shares subject to immediately exercisable options to purchase Wynn Resorts’ Common Stock.</w:t>
      </w:r>
    </w:p>
    <w:p>
      <w:pPr>
        <w:spacing w:after="0" w:line="25" w:lineRule="exact"/>
        <w:rPr>
          <w:rFonts w:ascii="Arial" w:cs="Arial" w:eastAsia="Arial" w:hAnsi="Arial"/>
          <w:sz w:val="12"/>
          <w:szCs w:val="12"/>
          <w:color w:val="auto"/>
        </w:rPr>
      </w:pPr>
    </w:p>
    <w:p>
      <w:pPr>
        <w:ind w:left="440" w:right="40" w:hanging="236"/>
        <w:spacing w:after="0" w:line="253" w:lineRule="auto"/>
        <w:tabs>
          <w:tab w:leader="none" w:pos="440" w:val="left"/>
        </w:tabs>
        <w:numPr>
          <w:ilvl w:val="0"/>
          <w:numId w:val="90"/>
        </w:numPr>
        <w:rPr>
          <w:rFonts w:ascii="Arial" w:cs="Arial" w:eastAsia="Arial" w:hAnsi="Arial"/>
          <w:sz w:val="12"/>
          <w:szCs w:val="12"/>
          <w:color w:val="auto"/>
        </w:rPr>
      </w:pPr>
      <w:r>
        <w:rPr>
          <w:rFonts w:ascii="Arial" w:cs="Arial" w:eastAsia="Arial" w:hAnsi="Arial"/>
          <w:sz w:val="14"/>
          <w:szCs w:val="14"/>
          <w:color w:val="auto"/>
        </w:rPr>
        <w:t>Includes (i) 5,048 shares of unvested restricted stock subject to vesting in accordance with a Restricted Stock Agreement and (ii) 20,815 shares subject to immediately exercisable options to purchase Wynn Resorts’ Common Stock.</w:t>
      </w:r>
    </w:p>
    <w:p>
      <w:pPr>
        <w:spacing w:after="0" w:line="25" w:lineRule="exact"/>
        <w:rPr>
          <w:rFonts w:ascii="Arial" w:cs="Arial" w:eastAsia="Arial" w:hAnsi="Arial"/>
          <w:sz w:val="12"/>
          <w:szCs w:val="12"/>
          <w:color w:val="auto"/>
        </w:rPr>
      </w:pPr>
    </w:p>
    <w:p>
      <w:pPr>
        <w:ind w:left="440" w:hanging="236"/>
        <w:spacing w:after="0" w:line="291" w:lineRule="auto"/>
        <w:tabs>
          <w:tab w:leader="none" w:pos="440" w:val="left"/>
        </w:tabs>
        <w:numPr>
          <w:ilvl w:val="0"/>
          <w:numId w:val="90"/>
        </w:numPr>
        <w:rPr>
          <w:rFonts w:ascii="Arial" w:cs="Arial" w:eastAsia="Arial" w:hAnsi="Arial"/>
          <w:sz w:val="11"/>
          <w:szCs w:val="11"/>
          <w:color w:val="auto"/>
        </w:rPr>
      </w:pPr>
      <w:r>
        <w:rPr>
          <w:rFonts w:ascii="Arial" w:cs="Arial" w:eastAsia="Arial" w:hAnsi="Arial"/>
          <w:sz w:val="13"/>
          <w:szCs w:val="13"/>
          <w:color w:val="auto"/>
        </w:rPr>
        <w:t>Includes (i) 200,000 shares of unvested restricted stock subject to vesting in accordance with a Restricted Stock Agreement (ii) 25,000 shares subject to immediately exercisable options to purchase Wynn Resorts’ Common Stock and (iii) 30,000 shares subject to options to purchase Wynn Resorts’ Common Stock that become exercisable on May 6, 2018.</w:t>
      </w:r>
    </w:p>
    <w:p>
      <w:pPr>
        <w:spacing w:after="0" w:line="2" w:lineRule="exact"/>
        <w:rPr>
          <w:rFonts w:ascii="Arial" w:cs="Arial" w:eastAsia="Arial" w:hAnsi="Arial"/>
          <w:sz w:val="11"/>
          <w:szCs w:val="11"/>
          <w:color w:val="auto"/>
        </w:rPr>
      </w:pPr>
    </w:p>
    <w:p>
      <w:pPr>
        <w:ind w:left="440" w:hanging="236"/>
        <w:spacing w:after="0" w:line="291" w:lineRule="auto"/>
        <w:tabs>
          <w:tab w:leader="none" w:pos="440" w:val="left"/>
        </w:tabs>
        <w:numPr>
          <w:ilvl w:val="0"/>
          <w:numId w:val="90"/>
        </w:numPr>
        <w:rPr>
          <w:rFonts w:ascii="Arial" w:cs="Arial" w:eastAsia="Arial" w:hAnsi="Arial"/>
          <w:sz w:val="11"/>
          <w:szCs w:val="11"/>
          <w:color w:val="auto"/>
        </w:rPr>
      </w:pPr>
      <w:r>
        <w:rPr>
          <w:rFonts w:ascii="Arial" w:cs="Arial" w:eastAsia="Arial" w:hAnsi="Arial"/>
          <w:sz w:val="13"/>
          <w:szCs w:val="13"/>
          <w:color w:val="auto"/>
        </w:rPr>
        <w:t>Includes (i) 100,000 shares of unvested restricted stock subject to vesting in accordance with a Restricted Stock Agreement (ii) 25,000 shares subject to immediately exercisable options to purchase Wynn Resorts’ Common Stock and (iii) 25,000 shares subject to options to purchase Wynn Resorts’ Common Stock that become exercisable on May 6, 2018.</w:t>
      </w:r>
    </w:p>
    <w:p>
      <w:pPr>
        <w:spacing w:after="0" w:line="2" w:lineRule="exact"/>
        <w:rPr>
          <w:rFonts w:ascii="Arial" w:cs="Arial" w:eastAsia="Arial" w:hAnsi="Arial"/>
          <w:sz w:val="11"/>
          <w:szCs w:val="11"/>
          <w:color w:val="auto"/>
        </w:rPr>
      </w:pPr>
    </w:p>
    <w:p>
      <w:pPr>
        <w:ind w:left="440" w:hanging="236"/>
        <w:spacing w:after="0"/>
        <w:tabs>
          <w:tab w:leader="none" w:pos="440" w:val="left"/>
        </w:tabs>
        <w:numPr>
          <w:ilvl w:val="0"/>
          <w:numId w:val="90"/>
        </w:numPr>
        <w:rPr>
          <w:rFonts w:ascii="Arial" w:cs="Arial" w:eastAsia="Arial" w:hAnsi="Arial"/>
          <w:sz w:val="12"/>
          <w:szCs w:val="12"/>
          <w:color w:val="auto"/>
        </w:rPr>
      </w:pPr>
      <w:r>
        <w:rPr>
          <w:rFonts w:ascii="Arial" w:cs="Arial" w:eastAsia="Arial" w:hAnsi="Arial"/>
          <w:sz w:val="14"/>
          <w:szCs w:val="14"/>
          <w:color w:val="auto"/>
        </w:rPr>
        <w:t>Includes 24,000 shares of unvested restricted stock subject to vesting in accordance with a Restricted Stock Agreement.</w:t>
      </w:r>
    </w:p>
    <w:p>
      <w:pPr>
        <w:spacing w:after="0" w:line="55" w:lineRule="exact"/>
        <w:rPr>
          <w:rFonts w:ascii="Arial" w:cs="Arial" w:eastAsia="Arial" w:hAnsi="Arial"/>
          <w:sz w:val="12"/>
          <w:szCs w:val="12"/>
          <w:color w:val="auto"/>
        </w:rPr>
      </w:pPr>
    </w:p>
    <w:p>
      <w:pPr>
        <w:ind w:left="440" w:hanging="236"/>
        <w:spacing w:after="0" w:line="229" w:lineRule="auto"/>
        <w:tabs>
          <w:tab w:leader="none" w:pos="440" w:val="left"/>
        </w:tabs>
        <w:numPr>
          <w:ilvl w:val="0"/>
          <w:numId w:val="90"/>
        </w:numPr>
        <w:rPr>
          <w:rFonts w:ascii="Arial" w:cs="Arial" w:eastAsia="Arial" w:hAnsi="Arial"/>
          <w:sz w:val="12"/>
          <w:szCs w:val="12"/>
          <w:color w:val="auto"/>
        </w:rPr>
      </w:pPr>
      <w:r>
        <w:rPr>
          <w:rFonts w:ascii="Arial" w:cs="Arial" w:eastAsia="Arial" w:hAnsi="Arial"/>
          <w:sz w:val="14"/>
          <w:szCs w:val="14"/>
          <w:color w:val="auto"/>
        </w:rPr>
        <w:t>The information provided is based upon Schedules 13D/A, dated March 21 and March 22, 2018, filed by Mr. Wynn and Wynn Family Limited Partnership (“WFLP” and together with Mr. Wynn, the “Selling Shareholder”). The Selling Shareholder reported that on March 21, 2018, it sold an aggregate of 4,104,999 shares of Common Stock at a price of $180.00 per share in open market transactions pursuant to Rule 144 under the Securities Act of 1933, as amended, and that on March 22, 2018, the Selling Shareholder entered into stock purchase agreements pursuant to which it agreed to sell 3,026,708 shares of Common Stock at a price of $175.00 per share to T. Rowe Price Associates, Inc. and 5,000,000 shares of Common Stock at a price of $175.00 per share to certain funds managed or advised by Capital Research and Management Company. Upon completion of these sales, the Selling Shareholder had no remaining holdings of Common Stock.</w:t>
      </w:r>
    </w:p>
    <w:p>
      <w:pPr>
        <w:spacing w:after="0" w:line="37" w:lineRule="exact"/>
        <w:rPr>
          <w:rFonts w:ascii="Arial" w:cs="Arial" w:eastAsia="Arial" w:hAnsi="Arial"/>
          <w:sz w:val="12"/>
          <w:szCs w:val="12"/>
          <w:color w:val="auto"/>
        </w:rPr>
      </w:pPr>
    </w:p>
    <w:p>
      <w:pPr>
        <w:ind w:left="440" w:hanging="236"/>
        <w:spacing w:after="0"/>
        <w:tabs>
          <w:tab w:leader="none" w:pos="440" w:val="left"/>
        </w:tabs>
        <w:numPr>
          <w:ilvl w:val="0"/>
          <w:numId w:val="90"/>
        </w:numPr>
        <w:rPr>
          <w:rFonts w:ascii="Arial" w:cs="Arial" w:eastAsia="Arial" w:hAnsi="Arial"/>
          <w:sz w:val="12"/>
          <w:szCs w:val="12"/>
          <w:color w:val="auto"/>
        </w:rPr>
      </w:pPr>
      <w:r>
        <w:rPr>
          <w:rFonts w:ascii="Arial" w:cs="Arial" w:eastAsia="Arial" w:hAnsi="Arial"/>
          <w:sz w:val="14"/>
          <w:szCs w:val="14"/>
          <w:color w:val="auto"/>
        </w:rPr>
        <w:t>Mr. Cootey left the Company on March 1, 2017. The information provided is based upon the Company’s record as of March 1, 2017.</w:t>
      </w:r>
    </w:p>
    <w:p>
      <w:pPr>
        <w:spacing w:after="0" w:line="55" w:lineRule="exact"/>
        <w:rPr>
          <w:rFonts w:ascii="Arial" w:cs="Arial" w:eastAsia="Arial" w:hAnsi="Arial"/>
          <w:sz w:val="12"/>
          <w:szCs w:val="12"/>
          <w:color w:val="auto"/>
        </w:rPr>
      </w:pPr>
    </w:p>
    <w:p>
      <w:pPr>
        <w:ind w:left="440" w:right="320" w:hanging="236"/>
        <w:spacing w:after="0" w:line="253" w:lineRule="auto"/>
        <w:tabs>
          <w:tab w:leader="none" w:pos="440" w:val="left"/>
        </w:tabs>
        <w:numPr>
          <w:ilvl w:val="0"/>
          <w:numId w:val="90"/>
        </w:numPr>
        <w:rPr>
          <w:rFonts w:ascii="Arial" w:cs="Arial" w:eastAsia="Arial" w:hAnsi="Arial"/>
          <w:sz w:val="12"/>
          <w:szCs w:val="12"/>
          <w:color w:val="auto"/>
        </w:rPr>
      </w:pPr>
      <w:r>
        <w:rPr>
          <w:rFonts w:ascii="Arial" w:cs="Arial" w:eastAsia="Arial" w:hAnsi="Arial"/>
          <w:sz w:val="14"/>
          <w:szCs w:val="14"/>
          <w:color w:val="auto"/>
        </w:rPr>
        <w:t>Includes 205,195 shares subject to immediately exercisable stock options to purchase Wynn Resorts’ Common Stock and 55,000 shares subject to options to purchase Wynn Resorts’ Common Stock that become exercisable on May 6, 2018.</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SECTION 16(a) BENEFICIAL OWNERSHIP REPORTING COMPLIANCE</w:t>
      </w:r>
    </w:p>
    <w:p>
      <w:pPr>
        <w:spacing w:after="0" w:line="124" w:lineRule="exact"/>
        <w:rPr>
          <w:sz w:val="20"/>
          <w:szCs w:val="20"/>
          <w:color w:val="auto"/>
        </w:rPr>
      </w:pPr>
    </w:p>
    <w:p>
      <w:pPr>
        <w:ind w:left="200" w:right="240"/>
        <w:spacing w:after="0" w:line="250" w:lineRule="auto"/>
        <w:rPr>
          <w:sz w:val="20"/>
          <w:szCs w:val="20"/>
          <w:color w:val="auto"/>
        </w:rPr>
      </w:pPr>
      <w:r>
        <w:rPr>
          <w:rFonts w:ascii="Arial" w:cs="Arial" w:eastAsia="Arial" w:hAnsi="Arial"/>
          <w:sz w:val="16"/>
          <w:szCs w:val="16"/>
          <w:color w:val="auto"/>
        </w:rPr>
        <w:t>Section 16(a) of the Exchange Act requires the Company’s executive officers and directors and persons who own more than 10% of the Company’s Common Stock to file reports of ownership on Forms 3, 4 and 5 with the SEC. Executive officers, directors and greater than 10% beneficial owners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102235</wp:posOffset>
            </wp:positionV>
            <wp:extent cx="6997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205105</wp:posOffset>
            </wp:positionV>
            <wp:extent cx="608965" cy="274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08"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47</w:t>
        <w:tab/>
        <w:t>|</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89445" cy="8027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89445" cy="802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Arial" w:cs="Arial" w:eastAsia="Arial" w:hAnsi="Arial"/>
          <w:sz w:val="41"/>
          <w:szCs w:val="41"/>
          <w:b w:val="1"/>
          <w:bCs w:val="1"/>
          <w:color w:val="665B4F"/>
        </w:rPr>
        <w:t>ITEMS TO BE VOTED ON</w:t>
      </w:r>
    </w:p>
    <w:p>
      <w:pPr>
        <w:spacing w:after="0" w:line="200" w:lineRule="exact"/>
        <w:rPr>
          <w:sz w:val="20"/>
          <w:szCs w:val="20"/>
          <w:color w:val="auto"/>
        </w:rPr>
      </w:pPr>
    </w:p>
    <w:p>
      <w:pPr>
        <w:spacing w:after="0" w:line="254"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PROPOSAL 1: ELECTION OF DIRECTORS</w:t>
      </w:r>
    </w:p>
    <w:p>
      <w:pPr>
        <w:spacing w:after="0" w:line="232" w:lineRule="exact"/>
        <w:rPr>
          <w:sz w:val="20"/>
          <w:szCs w:val="20"/>
          <w:color w:val="auto"/>
        </w:rPr>
      </w:pPr>
    </w:p>
    <w:p>
      <w:pPr>
        <w:ind w:left="3620" w:right="40"/>
        <w:spacing w:after="0" w:line="260" w:lineRule="auto"/>
        <w:rPr>
          <w:sz w:val="20"/>
          <w:szCs w:val="20"/>
          <w:color w:val="auto"/>
        </w:rPr>
      </w:pPr>
      <w:r>
        <w:rPr>
          <w:rFonts w:ascii="Arial" w:cs="Arial" w:eastAsia="Arial" w:hAnsi="Arial"/>
          <w:sz w:val="16"/>
          <w:szCs w:val="16"/>
          <w:color w:val="auto"/>
        </w:rPr>
        <w:t>At the recommendation of the Company’s Corporate Governance Committee, the Board is nominating the following individuals for election as Class I directors:</w:t>
      </w:r>
    </w:p>
    <w:p>
      <w:pPr>
        <w:spacing w:after="0" w:line="101" w:lineRule="exact"/>
        <w:rPr>
          <w:sz w:val="20"/>
          <w:szCs w:val="20"/>
          <w:color w:val="auto"/>
        </w:rPr>
      </w:pPr>
    </w:p>
    <w:p>
      <w:pPr>
        <w:ind w:left="3940" w:hanging="212"/>
        <w:spacing w:after="0"/>
        <w:tabs>
          <w:tab w:leader="none" w:pos="3940" w:val="left"/>
        </w:tabs>
        <w:numPr>
          <w:ilvl w:val="0"/>
          <w:numId w:val="91"/>
        </w:numPr>
        <w:rPr>
          <w:rFonts w:ascii="Arial" w:cs="Arial" w:eastAsia="Arial" w:hAnsi="Arial"/>
          <w:sz w:val="16"/>
          <w:szCs w:val="16"/>
          <w:color w:val="665B4F"/>
        </w:rPr>
      </w:pPr>
      <w:r>
        <w:rPr>
          <w:rFonts w:ascii="Arial" w:cs="Arial" w:eastAsia="Arial" w:hAnsi="Arial"/>
          <w:sz w:val="16"/>
          <w:szCs w:val="16"/>
          <w:color w:val="auto"/>
        </w:rPr>
        <w:t>Betsy Atkins</w:t>
      </w:r>
    </w:p>
    <w:p>
      <w:pPr>
        <w:spacing w:after="0" w:line="140" w:lineRule="exact"/>
        <w:rPr>
          <w:rFonts w:ascii="Arial" w:cs="Arial" w:eastAsia="Arial" w:hAnsi="Arial"/>
          <w:sz w:val="16"/>
          <w:szCs w:val="16"/>
          <w:color w:val="665B4F"/>
        </w:rPr>
      </w:pPr>
    </w:p>
    <w:p>
      <w:pPr>
        <w:ind w:left="3940" w:hanging="212"/>
        <w:spacing w:after="0"/>
        <w:tabs>
          <w:tab w:leader="none" w:pos="3940" w:val="left"/>
        </w:tabs>
        <w:numPr>
          <w:ilvl w:val="0"/>
          <w:numId w:val="91"/>
        </w:numPr>
        <w:rPr>
          <w:rFonts w:ascii="Arial" w:cs="Arial" w:eastAsia="Arial" w:hAnsi="Arial"/>
          <w:sz w:val="16"/>
          <w:szCs w:val="16"/>
          <w:color w:val="665B4F"/>
        </w:rPr>
      </w:pPr>
      <w:r>
        <w:rPr>
          <w:rFonts w:ascii="Arial" w:cs="Arial" w:eastAsia="Arial" w:hAnsi="Arial"/>
          <w:sz w:val="16"/>
          <w:szCs w:val="16"/>
          <w:color w:val="auto"/>
        </w:rPr>
        <w:t>John J. Hagenbuch</w:t>
      </w:r>
    </w:p>
    <w:p>
      <w:pPr>
        <w:spacing w:after="0" w:line="140" w:lineRule="exact"/>
        <w:rPr>
          <w:rFonts w:ascii="Arial" w:cs="Arial" w:eastAsia="Arial" w:hAnsi="Arial"/>
          <w:sz w:val="16"/>
          <w:szCs w:val="16"/>
          <w:color w:val="665B4F"/>
        </w:rPr>
      </w:pPr>
    </w:p>
    <w:p>
      <w:pPr>
        <w:ind w:left="3940" w:hanging="212"/>
        <w:spacing w:after="0"/>
        <w:tabs>
          <w:tab w:leader="none" w:pos="3940" w:val="left"/>
        </w:tabs>
        <w:numPr>
          <w:ilvl w:val="0"/>
          <w:numId w:val="91"/>
        </w:numPr>
        <w:rPr>
          <w:rFonts w:ascii="Arial" w:cs="Arial" w:eastAsia="Arial" w:hAnsi="Arial"/>
          <w:sz w:val="16"/>
          <w:szCs w:val="16"/>
          <w:color w:val="665B4F"/>
        </w:rPr>
      </w:pPr>
      <w:r>
        <w:rPr>
          <w:rFonts w:ascii="Arial" w:cs="Arial" w:eastAsia="Arial" w:hAnsi="Arial"/>
          <w:sz w:val="16"/>
          <w:szCs w:val="16"/>
          <w:color w:val="auto"/>
        </w:rPr>
        <w:t>Patricia Mulroy</w:t>
      </w:r>
    </w:p>
    <w:p>
      <w:pPr>
        <w:spacing w:after="0" w:line="235" w:lineRule="exact"/>
        <w:rPr>
          <w:sz w:val="20"/>
          <w:szCs w:val="20"/>
          <w:color w:val="auto"/>
        </w:rPr>
      </w:pPr>
    </w:p>
    <w:p>
      <w:pPr>
        <w:ind w:left="3620" w:right="80"/>
        <w:spacing w:after="0" w:line="248" w:lineRule="auto"/>
        <w:rPr>
          <w:sz w:val="20"/>
          <w:szCs w:val="20"/>
          <w:color w:val="auto"/>
        </w:rPr>
      </w:pPr>
      <w:r>
        <w:rPr>
          <w:rFonts w:ascii="Arial" w:cs="Arial" w:eastAsia="Arial" w:hAnsi="Arial"/>
          <w:sz w:val="16"/>
          <w:szCs w:val="16"/>
          <w:color w:val="auto"/>
        </w:rPr>
        <w:t>The Board has nominated the three individuals listed above to serve as Class I directors for terms that commence upon election at the 2018 Annual Meeting. If elected at the 2018 Annual Meeting, each nominee would serve until the 2021 Annual Meeting and until his or her successor has been duly elected and qualified, or until his or her earlier death, resignation, removal or retirement. The persons designated as proxies will have discretion to cast votes for other persons in the event any nominee for director is unable to serve, or the Board may choose to reduce the size of the Board. At present, it is not anticipated that any nominee will be unable to serve. Biographical and other information for our nominees and our current directors is provided in the “Director Biographies”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4435475</wp:posOffset>
            </wp:positionV>
            <wp:extent cx="48196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1965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267970</wp:posOffset>
            </wp:positionV>
            <wp:extent cx="4185285" cy="5314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000000"/>
                        </a:clrFrom>
                        <a:clrTo>
                          <a:srgbClr val="000000">
                            <a:alpha val="0"/>
                          </a:srgbClr>
                        </a:clrTo>
                      </a:clrChange>
                      <a:extLst>
                        <a:ext uri="{28A0092B-C50C-407E-A947-70E740481C1C}"/>
                      </a:extLst>
                    </a:blip>
                    <a:srcRect/>
                    <a:stretch>
                      <a:fillRect/>
                    </a:stretch>
                  </pic:blipFill>
                  <pic:spPr bwMode="auto">
                    <a:xfrm>
                      <a:off x="0" y="0"/>
                      <a:ext cx="4185285" cy="531495"/>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267970</wp:posOffset>
            </wp:positionV>
            <wp:extent cx="4185285" cy="5314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4185285" cy="53149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860"/>
        <w:spacing w:after="0"/>
        <w:tabs>
          <w:tab w:leader="none" w:pos="10840" w:val="left"/>
          <w:tab w:leader="none" w:pos="110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48</w:t>
      </w:r>
    </w:p>
    <w:p>
      <w:pPr>
        <w:sectPr>
          <w:pgSz w:w="11900" w:h="16838" w:orient="portrait"/>
          <w:cols w:equalWidth="0" w:num="1">
            <w:col w:w="11220"/>
          </w:cols>
          <w:pgMar w:left="240" w:top="459" w:right="4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ITEMS TO BE VOTED ON</w:t>
      </w: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PROPOSAL 2: RATIFICATION OF APPOINTMENT OF INDEPENDENT AUDITORS</w:t>
      </w:r>
    </w:p>
    <w:p>
      <w:pPr>
        <w:spacing w:after="0" w:line="124" w:lineRule="exact"/>
        <w:rPr>
          <w:sz w:val="20"/>
          <w:szCs w:val="20"/>
          <w:color w:val="auto"/>
        </w:rPr>
      </w:pPr>
    </w:p>
    <w:p>
      <w:pPr>
        <w:ind w:left="200" w:right="300"/>
        <w:spacing w:after="0" w:line="251" w:lineRule="auto"/>
        <w:rPr>
          <w:sz w:val="20"/>
          <w:szCs w:val="20"/>
          <w:color w:val="auto"/>
        </w:rPr>
      </w:pPr>
      <w:r>
        <w:rPr>
          <w:rFonts w:ascii="Arial" w:cs="Arial" w:eastAsia="Arial" w:hAnsi="Arial"/>
          <w:sz w:val="16"/>
          <w:szCs w:val="16"/>
          <w:color w:val="auto"/>
        </w:rPr>
        <w:t>The Audit Committee of the Board has selected Ernst &amp; Young LLP, a registered public accounting firm, as our independent auditors to examine and report to our shareholders on the consolidated financial statements of our Company and its subsidiaries for the fiscal year ending December 31, 2018. Representatives of Ernst &amp; Young LLP will be present at the Annual Meeting and will be given an opportunity to make a statement. They also will be available to respond to appropriate questions.</w:t>
      </w:r>
    </w:p>
    <w:p>
      <w:pPr>
        <w:spacing w:after="0" w:line="203" w:lineRule="exact"/>
        <w:rPr>
          <w:sz w:val="20"/>
          <w:szCs w:val="20"/>
          <w:color w:val="auto"/>
        </w:rPr>
      </w:pPr>
    </w:p>
    <w:p>
      <w:pPr>
        <w:ind w:left="200" w:right="60"/>
        <w:spacing w:after="0" w:line="248" w:lineRule="auto"/>
        <w:rPr>
          <w:sz w:val="20"/>
          <w:szCs w:val="20"/>
          <w:color w:val="auto"/>
        </w:rPr>
      </w:pPr>
      <w:r>
        <w:rPr>
          <w:rFonts w:ascii="Arial" w:cs="Arial" w:eastAsia="Arial" w:hAnsi="Arial"/>
          <w:sz w:val="16"/>
          <w:szCs w:val="16"/>
          <w:color w:val="auto"/>
        </w:rPr>
        <w:t>As a matter of good corporate governance, the Audit Committee has determined to seek shareholder ratification of its selection of Ernst &amp; Young LLP as the Company’s independent auditors, although this is not required under Nevada law the Company’s Articles or Bylaws, SEC rules or applicable listing standards. If the shareholders do not ratify the selection of Ernst &amp; Young LLP as the Company’s independent auditors for 2018, the Audit Committee will evaluate what would be in the best interests of the Company and its shareholders and consider whether to select new independent auditors. Even if the shareholders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shareholders.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AUDIT AND OTHER FEES</w:t>
      </w:r>
    </w:p>
    <w:p>
      <w:pPr>
        <w:spacing w:after="0" w:line="128" w:lineRule="exact"/>
        <w:rPr>
          <w:sz w:val="20"/>
          <w:szCs w:val="20"/>
          <w:color w:val="auto"/>
        </w:rPr>
      </w:pPr>
    </w:p>
    <w:p>
      <w:pPr>
        <w:ind w:left="200" w:right="220"/>
        <w:spacing w:after="0" w:line="260" w:lineRule="auto"/>
        <w:rPr>
          <w:sz w:val="20"/>
          <w:szCs w:val="20"/>
          <w:color w:val="auto"/>
        </w:rPr>
      </w:pPr>
      <w:r>
        <w:rPr>
          <w:rFonts w:ascii="Arial" w:cs="Arial" w:eastAsia="Arial" w:hAnsi="Arial"/>
          <w:sz w:val="16"/>
          <w:szCs w:val="16"/>
          <w:color w:val="auto"/>
        </w:rPr>
        <w:t>The following table presents the aggregate fees billed (or expected to be billed) to the Company for audit and other services provided by Ernst &amp; Young LLP, the Company’s independent auditor for each of the fiscal years ended December 31, 2017, and December 31, 2016:</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0"/>
        </w:trPr>
        <w:tc>
          <w:tcPr>
            <w:tcW w:w="8800" w:type="dxa"/>
            <w:vAlign w:val="bottom"/>
            <w:tcBorders>
              <w:top w:val="single" w:sz="8" w:color="665B4F"/>
            </w:tcBorders>
          </w:tcPr>
          <w:p>
            <w:pPr>
              <w:spacing w:after="0"/>
              <w:rPr>
                <w:sz w:val="17"/>
                <w:szCs w:val="17"/>
                <w:color w:val="auto"/>
              </w:rPr>
            </w:pPr>
          </w:p>
        </w:tc>
        <w:tc>
          <w:tcPr>
            <w:tcW w:w="420" w:type="dxa"/>
            <w:vAlign w:val="bottom"/>
            <w:tcBorders>
              <w:top w:val="single" w:sz="8" w:color="665B4F"/>
              <w:bottom w:val="single" w:sz="8" w:color="D1CDCA"/>
            </w:tcBorders>
          </w:tcPr>
          <w:p>
            <w:pPr>
              <w:spacing w:after="0"/>
              <w:rPr>
                <w:sz w:val="17"/>
                <w:szCs w:val="17"/>
                <w:color w:val="auto"/>
              </w:rPr>
            </w:pPr>
          </w:p>
        </w:tc>
        <w:tc>
          <w:tcPr>
            <w:tcW w:w="1800" w:type="dxa"/>
            <w:vAlign w:val="bottom"/>
            <w:tcBorders>
              <w:top w:val="single" w:sz="8" w:color="665B4F"/>
              <w:bottom w:val="single" w:sz="8" w:color="D1CDCA"/>
            </w:tcBorders>
            <w:gridSpan w:val="3"/>
          </w:tcPr>
          <w:p>
            <w:pPr>
              <w:jc w:val="right"/>
              <w:ind w:right="48"/>
              <w:spacing w:after="0"/>
              <w:rPr>
                <w:sz w:val="20"/>
                <w:szCs w:val="20"/>
                <w:color w:val="auto"/>
              </w:rPr>
            </w:pPr>
            <w:r>
              <w:rPr>
                <w:rFonts w:ascii="Arial" w:cs="Arial" w:eastAsia="Arial" w:hAnsi="Arial"/>
                <w:sz w:val="14"/>
                <w:szCs w:val="14"/>
                <w:b w:val="1"/>
                <w:bCs w:val="1"/>
                <w:color w:val="665B4F"/>
              </w:rPr>
              <w:t>AGGREGATE FEES</w:t>
            </w:r>
          </w:p>
        </w:tc>
      </w:tr>
      <w:tr>
        <w:trPr>
          <w:trHeight w:val="145"/>
        </w:trPr>
        <w:tc>
          <w:tcPr>
            <w:tcW w:w="8800" w:type="dxa"/>
            <w:vAlign w:val="bottom"/>
            <w:tcBorders>
              <w:bottom w:val="single" w:sz="8" w:color="D1CDCA"/>
            </w:tcBorders>
          </w:tcPr>
          <w:p>
            <w:pPr>
              <w:ind w:left="60"/>
              <w:spacing w:after="0" w:line="145" w:lineRule="exact"/>
              <w:rPr>
                <w:sz w:val="20"/>
                <w:szCs w:val="20"/>
                <w:color w:val="auto"/>
              </w:rPr>
            </w:pPr>
            <w:r>
              <w:rPr>
                <w:rFonts w:ascii="Arial" w:cs="Arial" w:eastAsia="Arial" w:hAnsi="Arial"/>
                <w:sz w:val="14"/>
                <w:szCs w:val="14"/>
                <w:b w:val="1"/>
                <w:bCs w:val="1"/>
                <w:color w:val="665B4F"/>
              </w:rPr>
              <w:t>CATEGORY</w:t>
            </w:r>
          </w:p>
        </w:tc>
        <w:tc>
          <w:tcPr>
            <w:tcW w:w="420" w:type="dxa"/>
            <w:vAlign w:val="bottom"/>
            <w:tcBorders>
              <w:bottom w:val="single" w:sz="8" w:color="D1CDCA"/>
            </w:tcBorders>
          </w:tcPr>
          <w:p>
            <w:pPr>
              <w:spacing w:after="0"/>
              <w:rPr>
                <w:sz w:val="12"/>
                <w:szCs w:val="12"/>
                <w:color w:val="auto"/>
              </w:rPr>
            </w:pPr>
          </w:p>
        </w:tc>
        <w:tc>
          <w:tcPr>
            <w:tcW w:w="780" w:type="dxa"/>
            <w:vAlign w:val="bottom"/>
            <w:tcBorders>
              <w:bottom w:val="single" w:sz="8" w:color="D1CDCA"/>
            </w:tcBorders>
          </w:tcPr>
          <w:p>
            <w:pPr>
              <w:jc w:val="right"/>
              <w:ind w:right="68"/>
              <w:spacing w:after="0" w:line="145" w:lineRule="exact"/>
              <w:rPr>
                <w:sz w:val="20"/>
                <w:szCs w:val="20"/>
                <w:color w:val="auto"/>
              </w:rPr>
            </w:pPr>
            <w:r>
              <w:rPr>
                <w:rFonts w:ascii="Arial" w:cs="Arial" w:eastAsia="Arial" w:hAnsi="Arial"/>
                <w:sz w:val="14"/>
                <w:szCs w:val="14"/>
                <w:b w:val="1"/>
                <w:bCs w:val="1"/>
                <w:color w:val="665B4F"/>
              </w:rPr>
              <w:t>2017</w:t>
            </w:r>
          </w:p>
        </w:tc>
        <w:tc>
          <w:tcPr>
            <w:tcW w:w="240" w:type="dxa"/>
            <w:vAlign w:val="bottom"/>
            <w:tcBorders>
              <w:bottom w:val="single" w:sz="8" w:color="D1CDCA"/>
            </w:tcBorders>
          </w:tcPr>
          <w:p>
            <w:pPr>
              <w:spacing w:after="0"/>
              <w:rPr>
                <w:sz w:val="12"/>
                <w:szCs w:val="12"/>
                <w:color w:val="auto"/>
              </w:rPr>
            </w:pPr>
          </w:p>
        </w:tc>
        <w:tc>
          <w:tcPr>
            <w:tcW w:w="780" w:type="dxa"/>
            <w:vAlign w:val="bottom"/>
            <w:tcBorders>
              <w:bottom w:val="single" w:sz="8" w:color="D1CDCA"/>
            </w:tcBorders>
          </w:tcPr>
          <w:p>
            <w:pPr>
              <w:jc w:val="right"/>
              <w:ind w:right="48"/>
              <w:spacing w:after="0" w:line="145" w:lineRule="exact"/>
              <w:rPr>
                <w:sz w:val="20"/>
                <w:szCs w:val="20"/>
                <w:color w:val="auto"/>
              </w:rPr>
            </w:pPr>
            <w:r>
              <w:rPr>
                <w:rFonts w:ascii="Arial" w:cs="Arial" w:eastAsia="Arial" w:hAnsi="Arial"/>
                <w:sz w:val="14"/>
                <w:szCs w:val="14"/>
                <w:b w:val="1"/>
                <w:bCs w:val="1"/>
                <w:color w:val="665B4F"/>
              </w:rPr>
              <w:t>2016</w:t>
            </w:r>
          </w:p>
        </w:tc>
      </w:tr>
      <w:tr>
        <w:trPr>
          <w:trHeight w:val="190"/>
        </w:trPr>
        <w:tc>
          <w:tcPr>
            <w:tcW w:w="880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Audit fees</w:t>
            </w:r>
          </w:p>
        </w:tc>
        <w:tc>
          <w:tcPr>
            <w:tcW w:w="420" w:type="dxa"/>
            <w:vAlign w:val="bottom"/>
            <w:tcBorders>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1CDCA"/>
            </w:tcBorders>
            <w:shd w:val="clear" w:color="auto" w:fill="F7F7E5"/>
          </w:tcPr>
          <w:p>
            <w:pPr>
              <w:jc w:val="right"/>
              <w:ind w:right="68"/>
              <w:spacing w:after="0"/>
              <w:rPr>
                <w:sz w:val="20"/>
                <w:szCs w:val="20"/>
                <w:color w:val="auto"/>
              </w:rPr>
            </w:pPr>
            <w:r>
              <w:rPr>
                <w:rFonts w:ascii="Arial" w:cs="Arial" w:eastAsia="Arial" w:hAnsi="Arial"/>
                <w:sz w:val="14"/>
                <w:szCs w:val="14"/>
                <w:color w:val="auto"/>
                <w:w w:val="99"/>
              </w:rPr>
              <w:t>2,912,000</w:t>
            </w:r>
          </w:p>
        </w:tc>
        <w:tc>
          <w:tcPr>
            <w:tcW w:w="240" w:type="dxa"/>
            <w:vAlign w:val="bottom"/>
            <w:tcBorders>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1CDCA"/>
            </w:tcBorders>
            <w:shd w:val="clear" w:color="auto" w:fill="F7F7E5"/>
          </w:tcPr>
          <w:p>
            <w:pPr>
              <w:jc w:val="right"/>
              <w:ind w:right="48"/>
              <w:spacing w:after="0"/>
              <w:rPr>
                <w:sz w:val="20"/>
                <w:szCs w:val="20"/>
                <w:color w:val="auto"/>
              </w:rPr>
            </w:pPr>
            <w:r>
              <w:rPr>
                <w:rFonts w:ascii="Arial" w:cs="Arial" w:eastAsia="Arial" w:hAnsi="Arial"/>
                <w:sz w:val="14"/>
                <w:szCs w:val="14"/>
                <w:color w:val="auto"/>
              </w:rPr>
              <w:t>2,746,000</w:t>
            </w:r>
          </w:p>
        </w:tc>
      </w:tr>
      <w:tr>
        <w:trPr>
          <w:trHeight w:val="196"/>
        </w:trPr>
        <w:tc>
          <w:tcPr>
            <w:tcW w:w="880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Audit-related fees</w:t>
            </w:r>
          </w:p>
        </w:tc>
        <w:tc>
          <w:tcPr>
            <w:tcW w:w="420" w:type="dxa"/>
            <w:vAlign w:val="bottom"/>
            <w:tcBorders>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1CDCA"/>
            </w:tcBorders>
          </w:tcPr>
          <w:p>
            <w:pPr>
              <w:jc w:val="right"/>
              <w:ind w:right="48"/>
              <w:spacing w:after="0"/>
              <w:rPr>
                <w:sz w:val="20"/>
                <w:szCs w:val="20"/>
                <w:color w:val="auto"/>
              </w:rPr>
            </w:pPr>
            <w:r>
              <w:rPr>
                <w:rFonts w:ascii="Arial" w:cs="Arial" w:eastAsia="Arial" w:hAnsi="Arial"/>
                <w:sz w:val="14"/>
                <w:szCs w:val="14"/>
                <w:color w:val="auto"/>
              </w:rPr>
              <w:t>42,000</w:t>
            </w:r>
          </w:p>
        </w:tc>
        <w:tc>
          <w:tcPr>
            <w:tcW w:w="240" w:type="dxa"/>
            <w:vAlign w:val="bottom"/>
            <w:tcBorders>
              <w:bottom w:val="single" w:sz="8" w:color="D1CDC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1CDCA"/>
            </w:tcBorders>
          </w:tcPr>
          <w:p>
            <w:pPr>
              <w:jc w:val="right"/>
              <w:ind w:right="48"/>
              <w:spacing w:after="0"/>
              <w:rPr>
                <w:sz w:val="20"/>
                <w:szCs w:val="20"/>
                <w:color w:val="auto"/>
              </w:rPr>
            </w:pPr>
            <w:r>
              <w:rPr>
                <w:rFonts w:ascii="Arial" w:cs="Arial" w:eastAsia="Arial" w:hAnsi="Arial"/>
                <w:sz w:val="14"/>
                <w:szCs w:val="14"/>
                <w:color w:val="auto"/>
              </w:rPr>
              <w:t>36,000</w:t>
            </w:r>
          </w:p>
        </w:tc>
      </w:tr>
      <w:tr>
        <w:trPr>
          <w:trHeight w:val="196"/>
        </w:trPr>
        <w:tc>
          <w:tcPr>
            <w:tcW w:w="8800" w:type="dxa"/>
            <w:vAlign w:val="bottom"/>
            <w:tcBorders>
              <w:bottom w:val="single" w:sz="8" w:color="D1CDCA"/>
            </w:tcBorders>
            <w:shd w:val="clear" w:color="auto" w:fill="F7F7E5"/>
          </w:tcPr>
          <w:p>
            <w:pPr>
              <w:ind w:left="60"/>
              <w:spacing w:after="0"/>
              <w:rPr>
                <w:sz w:val="20"/>
                <w:szCs w:val="20"/>
                <w:color w:val="auto"/>
              </w:rPr>
            </w:pPr>
            <w:r>
              <w:rPr>
                <w:rFonts w:ascii="Arial" w:cs="Arial" w:eastAsia="Arial" w:hAnsi="Arial"/>
                <w:sz w:val="14"/>
                <w:szCs w:val="14"/>
                <w:color w:val="auto"/>
              </w:rPr>
              <w:t>Tax fees</w:t>
            </w:r>
          </w:p>
        </w:tc>
        <w:tc>
          <w:tcPr>
            <w:tcW w:w="420" w:type="dxa"/>
            <w:vAlign w:val="bottom"/>
            <w:tcBorders>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1CDCA"/>
            </w:tcBorders>
            <w:shd w:val="clear" w:color="auto" w:fill="F7F7E5"/>
          </w:tcPr>
          <w:p>
            <w:pPr>
              <w:jc w:val="right"/>
              <w:ind w:right="68"/>
              <w:spacing w:after="0"/>
              <w:rPr>
                <w:sz w:val="20"/>
                <w:szCs w:val="20"/>
                <w:color w:val="auto"/>
              </w:rPr>
            </w:pPr>
            <w:r>
              <w:rPr>
                <w:rFonts w:ascii="Arial" w:cs="Arial" w:eastAsia="Arial" w:hAnsi="Arial"/>
                <w:sz w:val="14"/>
                <w:szCs w:val="14"/>
                <w:color w:val="auto"/>
              </w:rPr>
              <w:t>323,000</w:t>
            </w:r>
          </w:p>
        </w:tc>
        <w:tc>
          <w:tcPr>
            <w:tcW w:w="240" w:type="dxa"/>
            <w:vAlign w:val="bottom"/>
            <w:tcBorders>
              <w:bottom w:val="single" w:sz="8" w:color="D1CDCA"/>
            </w:tcBorders>
            <w:shd w:val="clear" w:color="auto" w:fill="F7F7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1CDCA"/>
            </w:tcBorders>
            <w:shd w:val="clear" w:color="auto" w:fill="F7F7E5"/>
          </w:tcPr>
          <w:p>
            <w:pPr>
              <w:jc w:val="right"/>
              <w:ind w:right="48"/>
              <w:spacing w:after="0"/>
              <w:rPr>
                <w:sz w:val="20"/>
                <w:szCs w:val="20"/>
                <w:color w:val="auto"/>
              </w:rPr>
            </w:pPr>
            <w:r>
              <w:rPr>
                <w:rFonts w:ascii="Arial" w:cs="Arial" w:eastAsia="Arial" w:hAnsi="Arial"/>
                <w:sz w:val="14"/>
                <w:szCs w:val="14"/>
                <w:color w:val="auto"/>
              </w:rPr>
              <w:t>91,000</w:t>
            </w:r>
          </w:p>
        </w:tc>
      </w:tr>
      <w:tr>
        <w:trPr>
          <w:trHeight w:val="196"/>
        </w:trPr>
        <w:tc>
          <w:tcPr>
            <w:tcW w:w="8800" w:type="dxa"/>
            <w:vAlign w:val="bottom"/>
            <w:tcBorders>
              <w:bottom w:val="single" w:sz="8" w:color="D1CDCA"/>
            </w:tcBorders>
          </w:tcPr>
          <w:p>
            <w:pPr>
              <w:ind w:left="60"/>
              <w:spacing w:after="0"/>
              <w:rPr>
                <w:sz w:val="20"/>
                <w:szCs w:val="20"/>
                <w:color w:val="auto"/>
              </w:rPr>
            </w:pPr>
            <w:r>
              <w:rPr>
                <w:rFonts w:ascii="Arial" w:cs="Arial" w:eastAsia="Arial" w:hAnsi="Arial"/>
                <w:sz w:val="14"/>
                <w:szCs w:val="14"/>
                <w:color w:val="auto"/>
              </w:rPr>
              <w:t>All other fees</w:t>
            </w:r>
          </w:p>
        </w:tc>
        <w:tc>
          <w:tcPr>
            <w:tcW w:w="420" w:type="dxa"/>
            <w:vAlign w:val="bottom"/>
            <w:tcBorders>
              <w:bottom w:val="single" w:sz="8" w:color="D1CDCA"/>
            </w:tcBorders>
          </w:tcPr>
          <w:p>
            <w:pPr>
              <w:spacing w:after="0"/>
              <w:rPr>
                <w:sz w:val="17"/>
                <w:szCs w:val="17"/>
                <w:color w:val="auto"/>
              </w:rPr>
            </w:pPr>
          </w:p>
        </w:tc>
        <w:tc>
          <w:tcPr>
            <w:tcW w:w="780" w:type="dxa"/>
            <w:vAlign w:val="bottom"/>
            <w:tcBorders>
              <w:bottom w:val="single" w:sz="8" w:color="D1CDCA"/>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1CDCA"/>
            </w:tcBorders>
          </w:tcPr>
          <w:p>
            <w:pPr>
              <w:spacing w:after="0"/>
              <w:rPr>
                <w:sz w:val="17"/>
                <w:szCs w:val="17"/>
                <w:color w:val="auto"/>
              </w:rPr>
            </w:pPr>
          </w:p>
        </w:tc>
        <w:tc>
          <w:tcPr>
            <w:tcW w:w="780" w:type="dxa"/>
            <w:vAlign w:val="bottom"/>
            <w:tcBorders>
              <w:bottom w:val="single" w:sz="8" w:color="D1CDCA"/>
            </w:tcBorders>
          </w:tcPr>
          <w:p>
            <w:pPr>
              <w:jc w:val="right"/>
              <w:ind w:right="48"/>
              <w:spacing w:after="0"/>
              <w:rPr>
                <w:sz w:val="20"/>
                <w:szCs w:val="20"/>
                <w:color w:val="auto"/>
              </w:rPr>
            </w:pPr>
            <w:r>
              <w:rPr>
                <w:rFonts w:ascii="Arial" w:cs="Arial" w:eastAsia="Arial" w:hAnsi="Arial"/>
                <w:sz w:val="14"/>
                <w:szCs w:val="14"/>
                <w:color w:val="auto"/>
              </w:rPr>
              <w:t>—</w:t>
            </w:r>
          </w:p>
        </w:tc>
      </w:tr>
    </w:tbl>
    <w:p>
      <w:pPr>
        <w:spacing w:after="0" w:line="218" w:lineRule="exact"/>
        <w:rPr>
          <w:sz w:val="20"/>
          <w:szCs w:val="20"/>
          <w:color w:val="auto"/>
        </w:rPr>
      </w:pPr>
    </w:p>
    <w:p>
      <w:pPr>
        <w:ind w:left="200" w:right="200"/>
        <w:spacing w:after="0" w:line="249" w:lineRule="auto"/>
        <w:rPr>
          <w:sz w:val="20"/>
          <w:szCs w:val="20"/>
          <w:color w:val="auto"/>
        </w:rPr>
      </w:pPr>
      <w:r>
        <w:rPr>
          <w:rFonts w:ascii="Arial" w:cs="Arial" w:eastAsia="Arial" w:hAnsi="Arial"/>
          <w:sz w:val="16"/>
          <w:szCs w:val="16"/>
          <w:color w:val="auto"/>
        </w:rPr>
        <w:t>“Audit fees” includes the aggregate fees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2017 and 2016, and for the audit of our internal controls over financial reporting as of December 31, 2017 and 2016. “Audit fees” also include fees for services provided in connection with securities offerings, audit-related accounting consultations and statutory audits of certain subsidiaries of the Company. “Audit-related fees” include the aggregate fees for the audit of the Company’s defined contribution employee benefit plan. “Tax fees” include fees for domestic tax planning and other research.</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PRE-APPROVAL POLICY</w:t>
      </w:r>
    </w:p>
    <w:p>
      <w:pPr>
        <w:spacing w:after="0" w:line="128" w:lineRule="exact"/>
        <w:rPr>
          <w:sz w:val="20"/>
          <w:szCs w:val="20"/>
          <w:color w:val="auto"/>
        </w:rPr>
      </w:pPr>
    </w:p>
    <w:p>
      <w:pPr>
        <w:ind w:left="200" w:right="40"/>
        <w:spacing w:after="0" w:line="250" w:lineRule="auto"/>
        <w:rPr>
          <w:sz w:val="20"/>
          <w:szCs w:val="20"/>
          <w:color w:val="auto"/>
        </w:rPr>
      </w:pPr>
      <w:r>
        <w:rPr>
          <w:rFonts w:ascii="Arial" w:cs="Arial" w:eastAsia="Arial" w:hAnsi="Arial"/>
          <w:sz w:val="16"/>
          <w:szCs w:val="16"/>
          <w:color w:val="auto"/>
        </w:rPr>
        <w:t>The Audit Committee’s policy is to pre-approve all audit and non-audit services provided by the independent registered public accountants by pre-approving certain types of services at usual and customary rates. These services may include audit services, audit-related services, tax services and other permissible non-audit services. The pre-approval authority details the particular service or category of service that the independent registered public accountants will perform. Management reports to the Audit Committee on the actual fees charged by the independent registered public accountants for each category of service.</w:t>
      </w:r>
    </w:p>
    <w:p>
      <w:pPr>
        <w:spacing w:after="0" w:line="203"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auto"/>
        </w:rPr>
        <w:t>During the year, circumstances may arise when it becomes necessary to engage the independent registered public accountants for additional services not contemplated in the original pre-approval authority. In those instances, management submits a request to the Audit Committee describing a specific project at a specific fee or rate and, if deemed appropriate and necessary, the Audit Committee approves the services before we engage the independent registered public accountants.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Audit Committee pre-approved all fees related to services provided by Ernst &amp; Young LLP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113665</wp:posOffset>
            </wp:positionV>
            <wp:extent cx="6997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216535</wp:posOffset>
            </wp:positionV>
            <wp:extent cx="608965" cy="274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26"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49</w:t>
        <w:tab/>
        <w:t>|</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5B4F"/>
        </w:rPr>
        <w:t>ITEMS TO BE VOTED ON</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REPORT OF THE AUDIT COMMITTEE</w:t>
      </w:r>
    </w:p>
    <w:p>
      <w:pPr>
        <w:spacing w:after="0" w:line="128" w:lineRule="exact"/>
        <w:rPr>
          <w:sz w:val="20"/>
          <w:szCs w:val="20"/>
          <w:color w:val="auto"/>
        </w:rPr>
      </w:pPr>
    </w:p>
    <w:p>
      <w:pPr>
        <w:ind w:left="200" w:right="220"/>
        <w:spacing w:after="0" w:line="251" w:lineRule="auto"/>
        <w:rPr>
          <w:sz w:val="20"/>
          <w:szCs w:val="20"/>
          <w:color w:val="auto"/>
        </w:rPr>
      </w:pPr>
      <w:r>
        <w:rPr>
          <w:rFonts w:ascii="Arial" w:cs="Arial" w:eastAsia="Arial" w:hAnsi="Arial"/>
          <w:sz w:val="16"/>
          <w:szCs w:val="16"/>
          <w:color w:val="auto"/>
        </w:rPr>
        <w:t>The Audit Committee is comprised of the four members named below. As required by our committee charter, each member of the Audit Committee has been determined to be an independent director, as defined under the Nasdaq listing rules and the rules of SEC. In addition, the Board has determined that three of the four committee members (Messrs. Hagenbuch, Shoemaker and Wayson) are Audit Committee financial experts, as defined by SEC rules.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2017, we held eight full committee meetings.</w:t>
      </w:r>
    </w:p>
    <w:p>
      <w:pPr>
        <w:spacing w:after="0" w:line="221" w:lineRule="exact"/>
        <w:rPr>
          <w:sz w:val="20"/>
          <w:szCs w:val="20"/>
          <w:color w:val="auto"/>
        </w:rPr>
      </w:pPr>
    </w:p>
    <w:p>
      <w:pPr>
        <w:jc w:val="both"/>
        <w:ind w:left="200" w:right="180"/>
        <w:spacing w:after="0" w:line="251" w:lineRule="auto"/>
        <w:rPr>
          <w:sz w:val="20"/>
          <w:szCs w:val="20"/>
          <w:color w:val="auto"/>
        </w:rPr>
      </w:pPr>
      <w:r>
        <w:rPr>
          <w:rFonts w:ascii="Arial" w:cs="Arial" w:eastAsia="Arial" w:hAnsi="Arial"/>
          <w:sz w:val="16"/>
          <w:szCs w:val="16"/>
          <w:color w:val="auto"/>
        </w:rPr>
        <w:t>Our purpose and responsibilities are set forth in our committee charter, which is approved and adopted by the Board and is available on the Company’s website at http://www.wynnresorts.com under the heading “Corporate Governance” on the Company Information page. The Audit Committee charter is reviewed and updated, as appropriate, to address changes in regulatory requirements, authoritative guidance, evolving oversight practices and investor feedback.</w:t>
      </w:r>
    </w:p>
    <w:p>
      <w:pPr>
        <w:spacing w:after="0" w:line="203"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Our role is to oversee, on behalf of the Board, the accounting and financial reporting processes of the Company and the audits of the Company’s financial statements, including review of the Company’s guidelines and policies with respect to risk assessment and risk management related to financial reporting and internal controls, major financial risk exposures of the Company and the steps the Company’s management has taken to monitor and control such exposures.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208"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In fulfilling our oversight duties, at each regular quarterly meeting of the Audit Committee, we met separately in executive session with Ernst &amp; Young LLP, our independent registered public accountants, as well with each of the Company’s General Counsel, Chief Audit Executive (who heads internal audit), Chief Financial Officer and Compliance Officer. During these meetings, we discussed the quality of the Company’s accounting and financial reporting processes and the adequacy and effectiveness of its internal controls and procedures; reviewed significant audit findings prepared by each of the independent registered public accountants and internal audit department, together with management’s responses; reviewed the overall scope and plans for the audits by the internal audit department and the independent registered public accountants; reviewed critical accounting policies and the significant estimates and judgments management used in preparing the financial statements and their appropriateness for the Company’s business and current circumstances; and reviewed each Company press release concerning Company earnings prior to its release.</w:t>
      </w:r>
    </w:p>
    <w:p>
      <w:pPr>
        <w:spacing w:after="0" w:line="208"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auto"/>
        </w:rPr>
        <w:t>Ernst &amp; Young LLP has served as the Company’s independent registered public accountants since 2006. In evaluating and selecting the Company’s independent registered public accounting firm, we consider, among other things, the historical and recent performance of our current firm, the firm’s global reach, external data on audit quality and performance, including Public Company Accounting Oversight Board (“PCAOB”) reports, industry experience, audit fee revenues, firm capabilities and audit approach, and the independence and tenure of the accounting firm. As discussed above, we have engaged Ernst &amp; Young LLP to serve as our independent registered public accountants for the year ending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102235</wp:posOffset>
            </wp:positionV>
            <wp:extent cx="6997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8" w:lineRule="exact"/>
        <w:rPr>
          <w:sz w:val="20"/>
          <w:szCs w:val="20"/>
          <w:color w:val="auto"/>
        </w:rPr>
      </w:pPr>
    </w:p>
    <w:p>
      <w:pPr>
        <w:jc w:val="right"/>
        <w:spacing w:after="0"/>
        <w:tabs>
          <w:tab w:leader="none" w:pos="340" w:val="left"/>
          <w:tab w:leader="none" w:pos="1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50</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ITEMS TO BE VOTED ON</w:t>
      </w:r>
    </w:p>
    <w:p>
      <w:pPr>
        <w:spacing w:after="0" w:line="200" w:lineRule="exact"/>
        <w:rPr>
          <w:sz w:val="20"/>
          <w:szCs w:val="20"/>
          <w:color w:val="auto"/>
        </w:rPr>
      </w:pPr>
    </w:p>
    <w:p>
      <w:pPr>
        <w:spacing w:after="0" w:line="329"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In addition to the activities discussed above, prior to the Company’s filing of its Annual Report on Form 10-K for the year ended December 31, 2017 with the SEC, we reviewed and discussed with management the Company’s audited financial statements for the year ended December 31, 2017. We discussed with the independent registered public accounting firm the matters required to be discussed by the applicable standards of the PCAOB, including the quality, not just the acceptability, of the accounting principles, the reasonableness of significant judgments and the clarity of the disclosures in the financial statements. We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discussions described in this report, we recommended to the Board that the audited financial statements referred to above be included in the Company’s Annual Report on Form 10-K for the year ended December 31, 2017, filed with the SEC.</w:t>
      </w:r>
    </w:p>
    <w:p>
      <w:pPr>
        <w:spacing w:after="0" w:line="207"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 Committee</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John J. Hagenbuch, Chairman</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Robert J. Miller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Alvin V. Shoemaker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 Boone Wayson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1099820</wp:posOffset>
            </wp:positionV>
            <wp:extent cx="6997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276225</wp:posOffset>
            </wp:positionV>
            <wp:extent cx="5582920" cy="7118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82920" cy="71183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1202690</wp:posOffset>
            </wp:positionV>
            <wp:extent cx="608965" cy="274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51</w:t>
        <w:tab/>
        <w:t>|</w:t>
      </w:r>
    </w:p>
    <w:p>
      <w:pPr>
        <w:sectPr>
          <w:pgSz w:w="11900" w:h="16838" w:orient="portrait"/>
          <w:cols w:equalWidth="0" w:num="1">
            <w:col w:w="11080"/>
          </w:cols>
          <w:pgMar w:left="240" w:top="459" w:right="5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5B4F"/>
        </w:rPr>
        <w:t>ITEMS TO BE VOTED ON</w:t>
      </w: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PROPOSAL 3: ADVISORY VOTE TO APPROVE THE COMPENSATION OF NAMED EXECUTIVE OFFICERS</w:t>
      </w:r>
    </w:p>
    <w:p>
      <w:pPr>
        <w:spacing w:after="0" w:line="124" w:lineRule="exact"/>
        <w:rPr>
          <w:sz w:val="20"/>
          <w:szCs w:val="20"/>
          <w:color w:val="auto"/>
        </w:rPr>
      </w:pPr>
    </w:p>
    <w:p>
      <w:pPr>
        <w:ind w:left="200" w:right="140"/>
        <w:spacing w:after="0" w:line="251" w:lineRule="auto"/>
        <w:rPr>
          <w:sz w:val="20"/>
          <w:szCs w:val="20"/>
          <w:color w:val="auto"/>
        </w:rPr>
      </w:pPr>
      <w:r>
        <w:rPr>
          <w:rFonts w:ascii="Arial" w:cs="Arial" w:eastAsia="Arial" w:hAnsi="Arial"/>
          <w:sz w:val="16"/>
          <w:szCs w:val="16"/>
          <w:color w:val="auto"/>
        </w:rPr>
        <w:t>In accordance with Section 14A of the Exchange Act (which was added by the Dodd-Frank Wall Street Reform and Consumer Protection Act (the “Dodd Frank Act”)) and the related rules of the SEC, the Company will present a resolution at the Annual Meeting to enable our stockholders to approve, on an advisory and non-binding basis, the compensation of our NEOs as disclosed in the Compensation Discussion and Analysis, the accompanying compensation tables and the related narrative disclosure in this Proxy Statement.</w:t>
      </w:r>
    </w:p>
    <w:p>
      <w:pPr>
        <w:spacing w:after="0" w:line="203" w:lineRule="exact"/>
        <w:rPr>
          <w:sz w:val="20"/>
          <w:szCs w:val="20"/>
          <w:color w:val="auto"/>
        </w:rPr>
      </w:pPr>
    </w:p>
    <w:p>
      <w:pPr>
        <w:ind w:left="200" w:right="80"/>
        <w:spacing w:after="0" w:line="251" w:lineRule="auto"/>
        <w:rPr>
          <w:sz w:val="20"/>
          <w:szCs w:val="20"/>
          <w:color w:val="auto"/>
        </w:rPr>
      </w:pPr>
      <w:r>
        <w:rPr>
          <w:rFonts w:ascii="Arial" w:cs="Arial" w:eastAsia="Arial" w:hAnsi="Arial"/>
          <w:sz w:val="16"/>
          <w:szCs w:val="16"/>
          <w:color w:val="auto"/>
        </w:rPr>
        <w:t>This proposal, commonly known as a “Say-on-Pay” proposal, allows our stockholders the opportunity to express their views on our NEOs’ compensation. In considering this proposal, we urge shareholders to read the Compensation Discussion and Analysis, the accompanying compensation tables and the related narrative disclosure. Although this vote is advisory only, and therefore non-binding, the Board and the Compensation Committee will review and evaluate the voting result when considering future executive compensation decisions.</w:t>
      </w:r>
    </w:p>
    <w:p>
      <w:pPr>
        <w:spacing w:after="0" w:line="203" w:lineRule="exact"/>
        <w:rPr>
          <w:sz w:val="20"/>
          <w:szCs w:val="20"/>
          <w:color w:val="auto"/>
        </w:rPr>
      </w:pPr>
    </w:p>
    <w:p>
      <w:pPr>
        <w:ind w:left="200" w:right="80"/>
        <w:spacing w:after="0" w:line="249" w:lineRule="auto"/>
        <w:rPr>
          <w:sz w:val="20"/>
          <w:szCs w:val="20"/>
          <w:color w:val="auto"/>
        </w:rPr>
      </w:pPr>
      <w:r>
        <w:rPr>
          <w:rFonts w:ascii="Arial" w:cs="Arial" w:eastAsia="Arial" w:hAnsi="Arial"/>
          <w:sz w:val="16"/>
          <w:szCs w:val="16"/>
          <w:color w:val="auto"/>
        </w:rPr>
        <w:t>As discussed in the Compensation Discussion and Analysis, the Company last held a Say-on-Pay vote at its 2017 Annual Meeting. Following consideration of the shareholder vote at that meeting on a proposal regarding the frequency of future votes on Say-on-Pay proposals, the Company’s Board of Directors determined to hold an advisory vote on executive compensation every three years. Accordingly, the next Say-on-Pay vote was scheduled to occur at our 2020 Annual Meeting. However, as the Company begins its transition from a compensation program oriented around a founder whose long-term focus was aligned with shareholders through extensive stock ownership, to a more traditional compensation program, the Board has determined to hold an annual Say-on-Pay vote commencing at this year’s Annual Meeting to further our engagement with shareholders.</w:t>
      </w:r>
    </w:p>
    <w:p>
      <w:pPr>
        <w:spacing w:after="0" w:line="205" w:lineRule="exact"/>
        <w:rPr>
          <w:sz w:val="20"/>
          <w:szCs w:val="20"/>
          <w:color w:val="auto"/>
        </w:rPr>
      </w:pPr>
    </w:p>
    <w:p>
      <w:pPr>
        <w:ind w:left="200" w:right="60"/>
        <w:spacing w:after="0" w:line="250" w:lineRule="auto"/>
        <w:rPr>
          <w:sz w:val="20"/>
          <w:szCs w:val="20"/>
          <w:color w:val="auto"/>
        </w:rPr>
      </w:pPr>
      <w:r>
        <w:rPr>
          <w:rFonts w:ascii="Arial" w:cs="Arial" w:eastAsia="Arial" w:hAnsi="Arial"/>
          <w:sz w:val="16"/>
          <w:szCs w:val="16"/>
          <w:color w:val="auto"/>
        </w:rPr>
        <w:t>As described in detail in the Compensation Discussion and Analysis, we take a multi-decade investment approach to our business that focuses on rewarding strong near-term performance and the creation of long-term shareholder value. Because product quality and service excellence are at the core of our strategy, we use annually focused, operations-based pay to highlight the critical importance of performing well each year for each customer. With our balance of base salary, performance-based bonuses and equity awards, our executive compensation program is designed to encourage and reward sustained performance that is aligned with long-term shareholder interests.</w:t>
      </w:r>
    </w:p>
    <w:p>
      <w:pPr>
        <w:spacing w:after="0" w:line="203" w:lineRule="exact"/>
        <w:rPr>
          <w:sz w:val="20"/>
          <w:szCs w:val="20"/>
          <w:color w:val="auto"/>
        </w:rPr>
      </w:pPr>
    </w:p>
    <w:p>
      <w:pPr>
        <w:ind w:left="200" w:right="200"/>
        <w:spacing w:after="0" w:line="260" w:lineRule="auto"/>
        <w:rPr>
          <w:sz w:val="20"/>
          <w:szCs w:val="20"/>
          <w:color w:val="auto"/>
        </w:rPr>
      </w:pPr>
      <w:r>
        <w:rPr>
          <w:rFonts w:ascii="Arial" w:cs="Arial" w:eastAsia="Arial" w:hAnsi="Arial"/>
          <w:sz w:val="16"/>
          <w:szCs w:val="16"/>
          <w:color w:val="auto"/>
        </w:rPr>
        <w:t>Therefore, in accordance with Section 14A of the Exchange Act and as a matter of good corporate governance, we are asking shareholders to approve the following advisory resolution at the Annual Meeting:</w:t>
      </w:r>
    </w:p>
    <w:p>
      <w:pPr>
        <w:spacing w:after="0" w:line="196" w:lineRule="exact"/>
        <w:rPr>
          <w:sz w:val="20"/>
          <w:szCs w:val="20"/>
          <w:color w:val="auto"/>
        </w:rPr>
      </w:pPr>
    </w:p>
    <w:p>
      <w:pPr>
        <w:ind w:left="200" w:right="60"/>
        <w:spacing w:after="0" w:line="253" w:lineRule="auto"/>
        <w:rPr>
          <w:sz w:val="20"/>
          <w:szCs w:val="20"/>
          <w:color w:val="auto"/>
        </w:rPr>
      </w:pPr>
      <w:r>
        <w:rPr>
          <w:rFonts w:ascii="Arial" w:cs="Arial" w:eastAsia="Arial" w:hAnsi="Arial"/>
          <w:sz w:val="16"/>
          <w:szCs w:val="16"/>
          <w:color w:val="auto"/>
        </w:rPr>
        <w:t>“RESOLVED, that the shareholders of Wynn Resorts, Limited (the “Company”) approve, on an advisory basis, the compensation of the Company’s named executive officers as disclosed in the Compensation Discussion and Analysis and the tabular disclosure regarding each named executive officer’s compensation (together with the accompanying narrative disclosure) in the Proxy Statement for the 2018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967105</wp:posOffset>
            </wp:positionV>
            <wp:extent cx="6997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144145</wp:posOffset>
            </wp:positionV>
            <wp:extent cx="5582920" cy="7118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8292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tabs>
          <w:tab w:leader="none" w:pos="340" w:val="left"/>
          <w:tab w:leader="none" w:pos="1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52</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ITEMS TO BE VOTED ON</w:t>
      </w: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PROPOSAL 4: SHAREHOLDER PROPOSAL REQUESTING A POLITICAL CONTRIBUTIONS REPORT</w:t>
      </w:r>
    </w:p>
    <w:p>
      <w:pPr>
        <w:spacing w:after="0" w:line="124" w:lineRule="exact"/>
        <w:rPr>
          <w:sz w:val="20"/>
          <w:szCs w:val="20"/>
          <w:color w:val="auto"/>
        </w:rPr>
      </w:pPr>
    </w:p>
    <w:p>
      <w:pPr>
        <w:ind w:left="200" w:right="260"/>
        <w:spacing w:after="0" w:line="260" w:lineRule="auto"/>
        <w:rPr>
          <w:sz w:val="20"/>
          <w:szCs w:val="20"/>
          <w:color w:val="auto"/>
        </w:rPr>
      </w:pPr>
      <w:r>
        <w:rPr>
          <w:rFonts w:ascii="Arial" w:cs="Arial" w:eastAsia="Arial" w:hAnsi="Arial"/>
          <w:sz w:val="16"/>
          <w:szCs w:val="16"/>
          <w:color w:val="auto"/>
        </w:rPr>
        <w:t>The Company has been advised that the New York State Common Retirement Fund, 59 Maiden Lane, 30th Floor, New York, NY 10038, the beneficial owner of 206,000 shares as of October 25, 2017, intends to submit the following proposal for consideration at the Annual Meeting:</w:t>
      </w:r>
    </w:p>
    <w:p>
      <w:pPr>
        <w:spacing w:after="0" w:line="196" w:lineRule="exact"/>
        <w:rPr>
          <w:sz w:val="20"/>
          <w:szCs w:val="20"/>
          <w:color w:val="auto"/>
        </w:rPr>
      </w:pPr>
    </w:p>
    <w:p>
      <w:pPr>
        <w:ind w:left="200" w:right="120"/>
        <w:spacing w:after="0" w:line="260" w:lineRule="auto"/>
        <w:rPr>
          <w:sz w:val="20"/>
          <w:szCs w:val="20"/>
          <w:color w:val="auto"/>
        </w:rPr>
      </w:pPr>
      <w:r>
        <w:rPr>
          <w:rFonts w:ascii="Arial" w:cs="Arial" w:eastAsia="Arial" w:hAnsi="Arial"/>
          <w:sz w:val="16"/>
          <w:szCs w:val="16"/>
          <w:color w:val="auto"/>
        </w:rPr>
        <w:t>“Resolved, that the shareholders of Wynn Resorts Ltd. (‘Wynn’ or ‘Company’) hereby request that the Company provide a report, updated semiannually, disclosing the Company’s:</w:t>
      </w:r>
    </w:p>
    <w:p>
      <w:pPr>
        <w:spacing w:after="0" w:line="196" w:lineRule="exact"/>
        <w:rPr>
          <w:sz w:val="20"/>
          <w:szCs w:val="20"/>
          <w:color w:val="auto"/>
        </w:rPr>
      </w:pPr>
    </w:p>
    <w:p>
      <w:pPr>
        <w:ind w:left="200" w:right="140" w:firstLine="4"/>
        <w:spacing w:after="0" w:line="253" w:lineRule="auto"/>
        <w:tabs>
          <w:tab w:leader="none" w:pos="3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201" w:lineRule="exact"/>
        <w:rPr>
          <w:rFonts w:ascii="Arial" w:cs="Arial" w:eastAsia="Arial" w:hAnsi="Arial"/>
          <w:sz w:val="16"/>
          <w:szCs w:val="16"/>
          <w:color w:val="auto"/>
        </w:rPr>
      </w:pPr>
    </w:p>
    <w:p>
      <w:pPr>
        <w:ind w:left="380" w:hanging="176"/>
        <w:spacing w:after="0"/>
        <w:tabs>
          <w:tab w:leader="none" w:pos="3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Monetary and non-monetary contributions and expenditures (direct and indirect) used in the manner described in section 1 above, including:</w:t>
      </w:r>
    </w:p>
    <w:p>
      <w:pPr>
        <w:spacing w:after="0" w:line="113" w:lineRule="exact"/>
        <w:rPr>
          <w:rFonts w:ascii="Arial" w:cs="Arial" w:eastAsia="Arial" w:hAnsi="Arial"/>
          <w:sz w:val="16"/>
          <w:szCs w:val="16"/>
          <w:color w:val="auto"/>
        </w:rPr>
      </w:pPr>
    </w:p>
    <w:p>
      <w:pPr>
        <w:ind w:left="720" w:hanging="186"/>
        <w:spacing w:after="0"/>
        <w:tabs>
          <w:tab w:leader="none" w:pos="7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identity of the recipient as well as the amount paid to each; and</w:t>
      </w:r>
    </w:p>
    <w:p>
      <w:pPr>
        <w:spacing w:after="0" w:line="113" w:lineRule="exact"/>
        <w:rPr>
          <w:rFonts w:ascii="Arial" w:cs="Arial" w:eastAsia="Arial" w:hAnsi="Arial"/>
          <w:sz w:val="16"/>
          <w:szCs w:val="16"/>
          <w:color w:val="auto"/>
        </w:rPr>
      </w:pPr>
    </w:p>
    <w:p>
      <w:pPr>
        <w:ind w:left="720" w:hanging="186"/>
        <w:spacing w:after="0"/>
        <w:tabs>
          <w:tab w:leader="none" w:pos="7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title(s) of the person(s) in the Company responsible for decision-making.</w:t>
      </w:r>
    </w:p>
    <w:p>
      <w:pPr>
        <w:spacing w:after="0" w:line="221"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The report shall be presented to the board of directors or relevant board committee and posted on the Company’s website within 12 months from the date of the annual meeting. This proposal does not encompass lobbying spending.”</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SUPPORTING STATEMENT OF THE NEW YORK STATE COMMON RETIREMENT FUND</w:t>
      </w:r>
    </w:p>
    <w:p>
      <w:pPr>
        <w:spacing w:after="0" w:line="128" w:lineRule="exact"/>
        <w:rPr>
          <w:sz w:val="20"/>
          <w:szCs w:val="20"/>
          <w:color w:val="auto"/>
        </w:rPr>
      </w:pPr>
    </w:p>
    <w:p>
      <w:pPr>
        <w:ind w:left="200" w:right="280"/>
        <w:spacing w:after="0" w:line="253" w:lineRule="auto"/>
        <w:rPr>
          <w:sz w:val="20"/>
          <w:szCs w:val="20"/>
          <w:color w:val="auto"/>
        </w:rPr>
      </w:pPr>
      <w:r>
        <w:rPr>
          <w:rFonts w:ascii="Arial" w:cs="Arial" w:eastAsia="Arial" w:hAnsi="Arial"/>
          <w:sz w:val="16"/>
          <w:szCs w:val="16"/>
          <w:color w:val="auto"/>
        </w:rPr>
        <w:t>“As long-term shareholders of Wynn, we support transparency and accountability in corporate political spending. This includes any activity considered intervention in a political campaign under the Internal Revenue Code, such as direct and indirect contributions to political candidates, parties, or organizations, and independent expenditures or electioneering communications on behalf of federal, state, or local candidates.</w:t>
      </w:r>
    </w:p>
    <w:p>
      <w:pPr>
        <w:spacing w:after="0" w:line="185" w:lineRule="exact"/>
        <w:rPr>
          <w:sz w:val="20"/>
          <w:szCs w:val="20"/>
          <w:color w:val="auto"/>
        </w:rPr>
      </w:pPr>
    </w:p>
    <w:p>
      <w:pPr>
        <w:ind w:left="200" w:right="240"/>
        <w:spacing w:after="0" w:line="264" w:lineRule="auto"/>
        <w:rPr>
          <w:sz w:val="20"/>
          <w:szCs w:val="20"/>
          <w:color w:val="auto"/>
        </w:rPr>
      </w:pPr>
      <w:r>
        <w:rPr>
          <w:rFonts w:ascii="Arial" w:cs="Arial" w:eastAsia="Arial" w:hAnsi="Arial"/>
          <w:sz w:val="16"/>
          <w:szCs w:val="16"/>
          <w:color w:val="auto"/>
        </w:rPr>
        <w:t xml:space="preserve">Disclosure is in the best interest of the company and its shareholders. The Supreme Court recognized this in its 2010 </w:t>
      </w:r>
      <w:r>
        <w:rPr>
          <w:rFonts w:ascii="Arial" w:cs="Arial" w:eastAsia="Arial" w:hAnsi="Arial"/>
          <w:sz w:val="16"/>
          <w:szCs w:val="16"/>
          <w:i w:val="1"/>
          <w:iCs w:val="1"/>
          <w:color w:val="auto"/>
        </w:rPr>
        <w:t>Citizens United</w:t>
      </w:r>
      <w:r>
        <w:rPr>
          <w:rFonts w:ascii="Arial" w:cs="Arial" w:eastAsia="Arial" w:hAnsi="Arial"/>
          <w:sz w:val="16"/>
          <w:szCs w:val="16"/>
          <w:color w:val="auto"/>
        </w:rPr>
        <w:t xml:space="preserve"> decision: ‘[D]isclosure permits citizens and shareholders to react to the speech of corporate entities in a proper way. This transparency enables the electorate to make informed decisions and give proper weight to different speakers and messages.’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Publicly available records show Wynn has contributed at least $7.5 million in corporate funds since the 2010 election cycle. (CQ: </w:t>
      </w:r>
      <w:r>
        <w:rPr>
          <w:rFonts w:ascii="Arial" w:cs="Arial" w:eastAsia="Arial" w:hAnsi="Arial"/>
          <w:sz w:val="16"/>
          <w:szCs w:val="16"/>
          <w:u w:val="single" w:color="auto"/>
          <w:color w:val="auto"/>
        </w:rPr>
        <w:t>http://moneyline.cq.com</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and National Institute on Money in State Politics: </w:t>
      </w:r>
      <w:r>
        <w:rPr>
          <w:rFonts w:ascii="Arial" w:cs="Arial" w:eastAsia="Arial" w:hAnsi="Arial"/>
          <w:sz w:val="16"/>
          <w:szCs w:val="16"/>
          <w:u w:val="single" w:color="auto"/>
          <w:color w:val="auto"/>
        </w:rPr>
        <w:t>http://www.followthemoney.org</w:t>
      </w:r>
      <w:r>
        <w:rPr>
          <w:rFonts w:ascii="Arial" w:cs="Arial" w:eastAsia="Arial" w:hAnsi="Arial"/>
          <w:sz w:val="16"/>
          <w:szCs w:val="16"/>
          <w:color w:val="auto"/>
        </w:rPr>
        <w:t>)</w:t>
      </w:r>
    </w:p>
    <w:p>
      <w:pPr>
        <w:spacing w:after="0" w:line="221" w:lineRule="exact"/>
        <w:rPr>
          <w:sz w:val="20"/>
          <w:szCs w:val="20"/>
          <w:color w:val="auto"/>
        </w:rPr>
      </w:pPr>
    </w:p>
    <w:p>
      <w:pPr>
        <w:ind w:left="200" w:right="200"/>
        <w:spacing w:after="0" w:line="250" w:lineRule="auto"/>
        <w:rPr>
          <w:sz w:val="20"/>
          <w:szCs w:val="20"/>
          <w:color w:val="auto"/>
        </w:rPr>
      </w:pPr>
      <w:r>
        <w:rPr>
          <w:rFonts w:ascii="Arial" w:cs="Arial" w:eastAsia="Arial" w:hAnsi="Arial"/>
          <w:sz w:val="16"/>
          <w:szCs w:val="16"/>
          <w:color w:val="auto"/>
        </w:rPr>
        <w:t>However, relying on publicly available data does not provide a complete picture of the Company’s political spending. For example, the Company’s payments to trade associations that may be used for election-related activities are undisclosed and unknown. This proposal asks the Company to disclose all of its political spending, including payments to trade associations and other tax exempt organizations, which may be used for political purposes. This would bring our Company in line with a growing number of leading companies, including Darden Restaurants and Marriott International, which present this information on their websites.</w:t>
      </w:r>
    </w:p>
    <w:p>
      <w:pPr>
        <w:spacing w:after="0" w:line="203" w:lineRule="exact"/>
        <w:rPr>
          <w:sz w:val="20"/>
          <w:szCs w:val="20"/>
          <w:color w:val="auto"/>
        </w:rPr>
      </w:pPr>
    </w:p>
    <w:p>
      <w:pPr>
        <w:ind w:left="200" w:right="140"/>
        <w:spacing w:after="0" w:line="260" w:lineRule="auto"/>
        <w:rPr>
          <w:sz w:val="20"/>
          <w:szCs w:val="20"/>
          <w:color w:val="auto"/>
        </w:rPr>
      </w:pPr>
      <w:r>
        <w:rPr>
          <w:rFonts w:ascii="Arial" w:cs="Arial" w:eastAsia="Arial" w:hAnsi="Arial"/>
          <w:sz w:val="16"/>
          <w:szCs w:val="16"/>
          <w:color w:val="auto"/>
        </w:rPr>
        <w:t>The Company’s board and shareholders need comprehensive disclosure to fully evaluate the political use of corporate assets. We urge your support for this critical governance reform.”</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THE BOARD OF DIRECTORS’ STATEMENT IN OPPOSITION</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After careful consideration, the Board of Directors recommends that shareholders vote AGAINST this proposal for the following reasons:</w:t>
      </w:r>
    </w:p>
    <w:p>
      <w:pPr>
        <w:spacing w:after="0" w:line="221" w:lineRule="exact"/>
        <w:rPr>
          <w:sz w:val="20"/>
          <w:szCs w:val="20"/>
          <w:color w:val="auto"/>
        </w:rPr>
      </w:pPr>
    </w:p>
    <w:p>
      <w:pPr>
        <w:jc w:val="both"/>
        <w:ind w:left="200" w:right="180"/>
        <w:spacing w:after="0" w:line="253" w:lineRule="auto"/>
        <w:rPr>
          <w:sz w:val="20"/>
          <w:szCs w:val="20"/>
          <w:color w:val="auto"/>
        </w:rPr>
      </w:pPr>
      <w:r>
        <w:rPr>
          <w:rFonts w:ascii="Arial" w:cs="Arial" w:eastAsia="Arial" w:hAnsi="Arial"/>
          <w:sz w:val="16"/>
          <w:szCs w:val="16"/>
          <w:color w:val="auto"/>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shareholders’ interests. The Company is committed to participating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100965</wp:posOffset>
            </wp:positionV>
            <wp:extent cx="6997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203835</wp:posOffset>
            </wp:positionV>
            <wp:extent cx="608965" cy="274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06"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53</w:t>
        <w:tab/>
        <w:t>|</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5B4F"/>
        </w:rPr>
        <w:t>ITEMS TO BE VOTED ON</w:t>
      </w:r>
    </w:p>
    <w:p>
      <w:pPr>
        <w:spacing w:after="0" w:line="200" w:lineRule="exact"/>
        <w:rPr>
          <w:sz w:val="20"/>
          <w:szCs w:val="20"/>
          <w:color w:val="auto"/>
        </w:rPr>
      </w:pPr>
    </w:p>
    <w:p>
      <w:pPr>
        <w:spacing w:after="0" w:line="329" w:lineRule="exact"/>
        <w:rPr>
          <w:sz w:val="20"/>
          <w:szCs w:val="20"/>
          <w:color w:val="auto"/>
        </w:rPr>
      </w:pPr>
    </w:p>
    <w:p>
      <w:pPr>
        <w:ind w:left="200" w:right="220"/>
        <w:spacing w:after="0" w:line="250" w:lineRule="auto"/>
        <w:rPr>
          <w:sz w:val="20"/>
          <w:szCs w:val="20"/>
          <w:color w:val="auto"/>
        </w:rPr>
      </w:pPr>
      <w:r>
        <w:rPr>
          <w:rFonts w:ascii="Arial" w:cs="Arial" w:eastAsia="Arial" w:hAnsi="Arial"/>
          <w:sz w:val="16"/>
          <w:szCs w:val="16"/>
          <w:color w:val="auto"/>
        </w:rPr>
        <w:t>in the political process as a good corporate citizen, in full compliance with applicable laws. Accordingly, the Company has adopted the Political Contributions Policy (the “Policy”), which is available on our investor relations website at https://wynnresortslimited.gcs-web.com/political-contributions-policy. In addition to the Company’s Code of Business Conduct and Ethics, the Policy governs the Company’s consideration of political activities, including the Company’s political contributions at the federal, state, and local levels, and the Company’s membership in trade associations.</w:t>
      </w:r>
    </w:p>
    <w:p>
      <w:pPr>
        <w:spacing w:after="0" w:line="395"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auto"/>
        </w:rPr>
        <w:t>Under the Policy, the Company’s political contributions at the federal, state, and local levels are subject to extensive internal review and oversight to confirm their compliance with applicable contribution limits and regulations.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shareholders. In addition, the Company reports to the Audit Committee on its political contributions on a periodic basis.</w:t>
      </w:r>
    </w:p>
    <w:p>
      <w:pPr>
        <w:spacing w:after="0" w:line="203"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auto"/>
        </w:rPr>
        <w:t>The Company also believes that it provides sufficient transparency with respect to its political contributions. The Company’s participation in political activities includes contributions to federal elections through Wynn Resorts Limited Initiative for Public Policy, a separate, segregated fund for the purposes of soliciting and accepting political contributions (“Wynn PAC”). In compliance with federal law, Wynn PAC files regular reports with the Federal Election Commission (the “FEC”) to disclose political contributions by Wynn PAC. These reports are publicly available on the FEC website</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reports regarding the Company’s specific political contributions in various jurisdictions are publicly available at each jurisdiction’s official website.</w:t>
      </w:r>
    </w:p>
    <w:p>
      <w:pPr>
        <w:spacing w:after="0" w:line="203" w:lineRule="exact"/>
        <w:rPr>
          <w:sz w:val="20"/>
          <w:szCs w:val="20"/>
          <w:color w:val="auto"/>
        </w:rPr>
      </w:pPr>
    </w:p>
    <w:p>
      <w:pPr>
        <w:ind w:left="200" w:right="80"/>
        <w:spacing w:after="0" w:line="250" w:lineRule="auto"/>
        <w:rPr>
          <w:sz w:val="20"/>
          <w:szCs w:val="20"/>
          <w:color w:val="auto"/>
        </w:rPr>
      </w:pPr>
      <w:r>
        <w:rPr>
          <w:rFonts w:ascii="Arial" w:cs="Arial" w:eastAsia="Arial" w:hAnsi="Arial"/>
          <w:sz w:val="16"/>
          <w:szCs w:val="16"/>
          <w:color w:val="auto"/>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trade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shareholders.</w:t>
      </w:r>
    </w:p>
    <w:p>
      <w:pPr>
        <w:spacing w:after="0" w:line="203" w:lineRule="exact"/>
        <w:rPr>
          <w:sz w:val="20"/>
          <w:szCs w:val="20"/>
          <w:color w:val="auto"/>
        </w:rPr>
      </w:pPr>
    </w:p>
    <w:p>
      <w:pPr>
        <w:ind w:left="200" w:right="140"/>
        <w:spacing w:after="0" w:line="251" w:lineRule="auto"/>
        <w:rPr>
          <w:sz w:val="20"/>
          <w:szCs w:val="20"/>
          <w:color w:val="auto"/>
        </w:rPr>
      </w:pPr>
      <w:r>
        <w:rPr>
          <w:rFonts w:ascii="Arial" w:cs="Arial" w:eastAsia="Arial" w:hAnsi="Arial"/>
          <w:sz w:val="16"/>
          <w:szCs w:val="16"/>
          <w:color w:val="auto"/>
        </w:rPr>
        <w:t>In sum, the Company already discloses sufficient information regarding its political contributions and already has an appropriate system of oversight in place, including the Policy, to confirm that the Company’s political contributions comply with applicable law and are in the best, long-term interests of the Company and its shareholders. Accordingly, the Board believes that preparing an additional report as requested by the proposal would be an unnecessary and imprudent use of the Company’s time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1087755</wp:posOffset>
            </wp:positionV>
            <wp:extent cx="6997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264795</wp:posOffset>
            </wp:positionV>
            <wp:extent cx="5582920" cy="7118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8292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tabs>
          <w:tab w:leader="none" w:pos="340" w:val="left"/>
          <w:tab w:leader="none" w:pos="1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54</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3" w:lineRule="exact"/>
        <w:rPr>
          <w:sz w:val="20"/>
          <w:szCs w:val="20"/>
          <w:color w:val="auto"/>
        </w:rPr>
      </w:pPr>
    </w:p>
    <w:p>
      <w:pPr>
        <w:ind w:left="200"/>
        <w:spacing w:after="0"/>
        <w:rPr>
          <w:sz w:val="20"/>
          <w:szCs w:val="20"/>
          <w:color w:val="auto"/>
        </w:rPr>
      </w:pPr>
      <w:r>
        <w:rPr>
          <w:rFonts w:ascii="Arial" w:cs="Arial" w:eastAsia="Arial" w:hAnsi="Arial"/>
          <w:sz w:val="41"/>
          <w:szCs w:val="41"/>
          <w:b w:val="1"/>
          <w:bCs w:val="1"/>
          <w:color w:val="665B4F"/>
        </w:rPr>
        <w:t>GENERAL INFORMATION</w:t>
      </w: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OUR 2018 ANNUAL MEETING OF SHAREHOLDERS</w:t>
      </w:r>
    </w:p>
    <w:p>
      <w:pPr>
        <w:spacing w:after="0" w:line="124" w:lineRule="exact"/>
        <w:rPr>
          <w:sz w:val="20"/>
          <w:szCs w:val="20"/>
          <w:color w:val="auto"/>
        </w:rPr>
      </w:pPr>
    </w:p>
    <w:p>
      <w:pPr>
        <w:ind w:left="200" w:right="100"/>
        <w:spacing w:after="0" w:line="250" w:lineRule="auto"/>
        <w:rPr>
          <w:sz w:val="20"/>
          <w:szCs w:val="20"/>
          <w:color w:val="auto"/>
        </w:rPr>
      </w:pPr>
      <w:r>
        <w:rPr>
          <w:rFonts w:ascii="Arial" w:cs="Arial" w:eastAsia="Arial" w:hAnsi="Arial"/>
          <w:sz w:val="16"/>
          <w:szCs w:val="16"/>
          <w:color w:val="auto"/>
        </w:rPr>
        <w:t>This Proxy Statement is furnished to the shareholders of Wynn Resorts in connection with the solicitation by the Board of proxies for its 2018 Annual Meeting of Shareholders (the “Annual Meeting”) to be held on May 16, 2018, at the Encore Theater at Wynn Las Vegas, 3131 Las Vegas Boulevard South, Las Vegas, Nevada, at 9:00 am (local time), and at any adjournments or postponements thereof. Our principal executive offices are 3131 Las Vegas Boulevard South, Las Vegas, Nevada 89109. Matters to be considered and acted upon at the Annual Meeting are set forth in the Notice of Annual Meeting of Shareholders accompanying this Proxy Statement and are more fully described herein.</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Board recommends a vote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156210</wp:posOffset>
            </wp:positionV>
            <wp:extent cx="6997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980" w:type="dxa"/>
            <w:vAlign w:val="bottom"/>
          </w:tcPr>
          <w:p>
            <w:pPr>
              <w:ind w:left="60"/>
              <w:spacing w:after="0"/>
              <w:rPr>
                <w:sz w:val="20"/>
                <w:szCs w:val="20"/>
                <w:color w:val="auto"/>
              </w:rPr>
            </w:pPr>
            <w:r>
              <w:rPr>
                <w:rFonts w:ascii="Arial" w:cs="Arial" w:eastAsia="Arial" w:hAnsi="Arial"/>
                <w:sz w:val="14"/>
                <w:szCs w:val="14"/>
                <w:b w:val="1"/>
                <w:bCs w:val="1"/>
                <w:color w:val="665B4F"/>
              </w:rPr>
              <w:t>PROPOSAL</w:t>
            </w:r>
          </w:p>
        </w:tc>
        <w:tc>
          <w:tcPr>
            <w:tcW w:w="8260" w:type="dxa"/>
            <w:vAlign w:val="bottom"/>
            <w:vMerge w:val="restart"/>
          </w:tcPr>
          <w:p>
            <w:pPr>
              <w:ind w:left="160"/>
              <w:spacing w:after="0"/>
              <w:rPr>
                <w:sz w:val="20"/>
                <w:szCs w:val="20"/>
                <w:color w:val="auto"/>
              </w:rPr>
            </w:pPr>
            <w:r>
              <w:rPr>
                <w:rFonts w:ascii="Arial" w:cs="Arial" w:eastAsia="Arial" w:hAnsi="Arial"/>
                <w:sz w:val="14"/>
                <w:szCs w:val="14"/>
                <w:b w:val="1"/>
                <w:bCs w:val="1"/>
                <w:color w:val="665B4F"/>
              </w:rPr>
              <w:t>PROPOSAL</w:t>
            </w:r>
          </w:p>
        </w:tc>
        <w:tc>
          <w:tcPr>
            <w:tcW w:w="1780" w:type="dxa"/>
            <w:vAlign w:val="bottom"/>
          </w:tcPr>
          <w:p>
            <w:pPr>
              <w:ind w:left="260"/>
              <w:spacing w:after="0"/>
              <w:rPr>
                <w:sz w:val="20"/>
                <w:szCs w:val="20"/>
                <w:color w:val="auto"/>
              </w:rPr>
            </w:pPr>
            <w:r>
              <w:rPr>
                <w:rFonts w:ascii="Arial" w:cs="Arial" w:eastAsia="Arial" w:hAnsi="Arial"/>
                <w:sz w:val="14"/>
                <w:szCs w:val="14"/>
                <w:b w:val="1"/>
                <w:bCs w:val="1"/>
                <w:color w:val="665B4F"/>
              </w:rPr>
              <w:t>BOARD</w:t>
            </w:r>
          </w:p>
        </w:tc>
        <w:tc>
          <w:tcPr>
            <w:tcW w:w="0" w:type="dxa"/>
            <w:vAlign w:val="bottom"/>
          </w:tcPr>
          <w:p>
            <w:pPr>
              <w:spacing w:after="0"/>
              <w:rPr>
                <w:sz w:val="1"/>
                <w:szCs w:val="1"/>
                <w:color w:val="auto"/>
              </w:rPr>
            </w:pPr>
          </w:p>
        </w:tc>
      </w:tr>
      <w:tr>
        <w:trPr>
          <w:trHeight w:val="186"/>
        </w:trPr>
        <w:tc>
          <w:tcPr>
            <w:tcW w:w="980" w:type="dxa"/>
            <w:vAlign w:val="bottom"/>
          </w:tcPr>
          <w:p>
            <w:pPr>
              <w:ind w:left="60"/>
              <w:spacing w:after="0"/>
              <w:rPr>
                <w:sz w:val="20"/>
                <w:szCs w:val="20"/>
                <w:color w:val="auto"/>
              </w:rPr>
            </w:pPr>
            <w:r>
              <w:rPr>
                <w:rFonts w:ascii="Arial" w:cs="Arial" w:eastAsia="Arial" w:hAnsi="Arial"/>
                <w:sz w:val="14"/>
                <w:szCs w:val="14"/>
                <w:b w:val="1"/>
                <w:bCs w:val="1"/>
                <w:color w:val="665B4F"/>
              </w:rPr>
              <w:t>NUMBER</w:t>
            </w:r>
          </w:p>
        </w:tc>
        <w:tc>
          <w:tcPr>
            <w:tcW w:w="8260" w:type="dxa"/>
            <w:vAlign w:val="bottom"/>
            <w:vMerge w:val="continue"/>
          </w:tcPr>
          <w:p>
            <w:pPr>
              <w:spacing w:after="0"/>
              <w:rPr>
                <w:sz w:val="16"/>
                <w:szCs w:val="16"/>
                <w:color w:val="auto"/>
              </w:rPr>
            </w:pPr>
          </w:p>
        </w:tc>
        <w:tc>
          <w:tcPr>
            <w:tcW w:w="1780" w:type="dxa"/>
            <w:vAlign w:val="bottom"/>
          </w:tcPr>
          <w:p>
            <w:pPr>
              <w:ind w:left="260"/>
              <w:spacing w:after="0"/>
              <w:rPr>
                <w:sz w:val="20"/>
                <w:szCs w:val="20"/>
                <w:color w:val="auto"/>
              </w:rPr>
            </w:pPr>
            <w:r>
              <w:rPr>
                <w:rFonts w:ascii="Arial" w:cs="Arial" w:eastAsia="Arial" w:hAnsi="Arial"/>
                <w:sz w:val="14"/>
                <w:szCs w:val="14"/>
                <w:b w:val="1"/>
                <w:bCs w:val="1"/>
                <w:color w:val="665B4F"/>
              </w:rPr>
              <w:t>RECOMMENDATION</w:t>
            </w:r>
          </w:p>
        </w:tc>
        <w:tc>
          <w:tcPr>
            <w:tcW w:w="0" w:type="dxa"/>
            <w:vAlign w:val="bottom"/>
          </w:tcPr>
          <w:p>
            <w:pPr>
              <w:spacing w:after="0"/>
              <w:rPr>
                <w:sz w:val="1"/>
                <w:szCs w:val="1"/>
                <w:color w:val="auto"/>
              </w:rPr>
            </w:pPr>
          </w:p>
        </w:tc>
      </w:tr>
      <w:tr>
        <w:trPr>
          <w:trHeight w:val="66"/>
        </w:trPr>
        <w:tc>
          <w:tcPr>
            <w:tcW w:w="980" w:type="dxa"/>
            <w:vAlign w:val="bottom"/>
            <w:tcBorders>
              <w:bottom w:val="single" w:sz="8" w:color="D1CDCA"/>
            </w:tcBorders>
          </w:tcPr>
          <w:p>
            <w:pPr>
              <w:spacing w:after="0"/>
              <w:rPr>
                <w:sz w:val="5"/>
                <w:szCs w:val="5"/>
                <w:color w:val="auto"/>
              </w:rPr>
            </w:pPr>
          </w:p>
        </w:tc>
        <w:tc>
          <w:tcPr>
            <w:tcW w:w="8260" w:type="dxa"/>
            <w:vAlign w:val="bottom"/>
            <w:tcBorders>
              <w:bottom w:val="single" w:sz="8" w:color="D1CDCA"/>
            </w:tcBorders>
          </w:tcPr>
          <w:p>
            <w:pPr>
              <w:spacing w:after="0"/>
              <w:rPr>
                <w:sz w:val="5"/>
                <w:szCs w:val="5"/>
                <w:color w:val="auto"/>
              </w:rPr>
            </w:pPr>
          </w:p>
        </w:tc>
        <w:tc>
          <w:tcPr>
            <w:tcW w:w="1780" w:type="dxa"/>
            <w:vAlign w:val="bottom"/>
            <w:tcBorders>
              <w:bottom w:val="single" w:sz="8" w:color="D1CDCA"/>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F7F7E5"/>
          </w:tcPr>
          <w:p>
            <w:pPr>
              <w:ind w:left="60"/>
              <w:spacing w:after="0"/>
              <w:rPr>
                <w:sz w:val="20"/>
                <w:szCs w:val="20"/>
                <w:color w:val="auto"/>
              </w:rPr>
            </w:pPr>
            <w:r>
              <w:rPr>
                <w:rFonts w:ascii="Arial" w:cs="Arial" w:eastAsia="Arial" w:hAnsi="Arial"/>
                <w:sz w:val="14"/>
                <w:szCs w:val="14"/>
                <w:color w:val="auto"/>
              </w:rPr>
              <w:t>1</w:t>
            </w:r>
          </w:p>
        </w:tc>
        <w:tc>
          <w:tcPr>
            <w:tcW w:w="8260" w:type="dxa"/>
            <w:vAlign w:val="bottom"/>
            <w:shd w:val="clear" w:color="auto" w:fill="F7F7E5"/>
          </w:tcPr>
          <w:p>
            <w:pPr>
              <w:ind w:left="160"/>
              <w:spacing w:after="0"/>
              <w:rPr>
                <w:sz w:val="20"/>
                <w:szCs w:val="20"/>
                <w:color w:val="auto"/>
              </w:rPr>
            </w:pPr>
            <w:r>
              <w:rPr>
                <w:rFonts w:ascii="Arial" w:cs="Arial" w:eastAsia="Arial" w:hAnsi="Arial"/>
                <w:sz w:val="14"/>
                <w:szCs w:val="14"/>
                <w:color w:val="auto"/>
              </w:rPr>
              <w:t>Election of the three Class I director nominees named in this Proxy Statement to serve until the 2021 Annual Meeting of</w:t>
            </w:r>
          </w:p>
        </w:tc>
        <w:tc>
          <w:tcPr>
            <w:tcW w:w="1780" w:type="dxa"/>
            <w:vAlign w:val="bottom"/>
            <w:shd w:val="clear" w:color="auto" w:fill="F7F7E5"/>
          </w:tcPr>
          <w:p>
            <w:pPr>
              <w:ind w:left="260"/>
              <w:spacing w:after="0"/>
              <w:rPr>
                <w:sz w:val="20"/>
                <w:szCs w:val="20"/>
                <w:color w:val="auto"/>
              </w:rPr>
            </w:pPr>
            <w:r>
              <w:rPr>
                <w:rFonts w:ascii="Arial" w:cs="Arial" w:eastAsia="Arial" w:hAnsi="Arial"/>
                <w:sz w:val="14"/>
                <w:szCs w:val="14"/>
                <w:color w:val="auto"/>
              </w:rPr>
              <w:t>“FOR” each nominee</w:t>
            </w:r>
          </w:p>
        </w:tc>
        <w:tc>
          <w:tcPr>
            <w:tcW w:w="0" w:type="dxa"/>
            <w:vAlign w:val="bottom"/>
          </w:tcPr>
          <w:p>
            <w:pPr>
              <w:spacing w:after="0"/>
              <w:rPr>
                <w:sz w:val="1"/>
                <w:szCs w:val="1"/>
                <w:color w:val="auto"/>
              </w:rPr>
            </w:pPr>
          </w:p>
        </w:tc>
      </w:tr>
      <w:tr>
        <w:trPr>
          <w:trHeight w:val="157"/>
        </w:trPr>
        <w:tc>
          <w:tcPr>
            <w:tcW w:w="980" w:type="dxa"/>
            <w:vAlign w:val="bottom"/>
            <w:tcBorders>
              <w:bottom w:val="single" w:sz="8" w:color="D1CDCA"/>
            </w:tcBorders>
            <w:shd w:val="clear" w:color="auto" w:fill="F7F7E5"/>
          </w:tcPr>
          <w:p>
            <w:pPr>
              <w:spacing w:after="0"/>
              <w:rPr>
                <w:sz w:val="13"/>
                <w:szCs w:val="13"/>
                <w:color w:val="auto"/>
              </w:rPr>
            </w:pPr>
          </w:p>
        </w:tc>
        <w:tc>
          <w:tcPr>
            <w:tcW w:w="8260" w:type="dxa"/>
            <w:vAlign w:val="bottom"/>
            <w:tcBorders>
              <w:bottom w:val="single" w:sz="8" w:color="D1CDCA"/>
            </w:tcBorders>
            <w:shd w:val="clear" w:color="auto" w:fill="F7F7E5"/>
          </w:tcPr>
          <w:p>
            <w:pPr>
              <w:ind w:left="160"/>
              <w:spacing w:after="0" w:line="157" w:lineRule="exact"/>
              <w:rPr>
                <w:sz w:val="20"/>
                <w:szCs w:val="20"/>
                <w:color w:val="auto"/>
              </w:rPr>
            </w:pPr>
            <w:r>
              <w:rPr>
                <w:rFonts w:ascii="Arial" w:cs="Arial" w:eastAsia="Arial" w:hAnsi="Arial"/>
                <w:sz w:val="14"/>
                <w:szCs w:val="14"/>
                <w:color w:val="auto"/>
              </w:rPr>
              <w:t>Shareholders</w:t>
            </w:r>
          </w:p>
        </w:tc>
        <w:tc>
          <w:tcPr>
            <w:tcW w:w="1780" w:type="dxa"/>
            <w:vAlign w:val="bottom"/>
            <w:tcBorders>
              <w:bottom w:val="single" w:sz="8" w:color="D1CDCA"/>
            </w:tcBorders>
            <w:shd w:val="clear" w:color="auto" w:fill="F7F7E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60"/>
              <w:spacing w:after="0"/>
              <w:rPr>
                <w:sz w:val="20"/>
                <w:szCs w:val="20"/>
                <w:color w:val="auto"/>
              </w:rPr>
            </w:pPr>
            <w:r>
              <w:rPr>
                <w:rFonts w:ascii="Arial" w:cs="Arial" w:eastAsia="Arial" w:hAnsi="Arial"/>
                <w:sz w:val="14"/>
                <w:szCs w:val="14"/>
                <w:color w:val="auto"/>
              </w:rPr>
              <w:t>2</w:t>
            </w:r>
          </w:p>
        </w:tc>
        <w:tc>
          <w:tcPr>
            <w:tcW w:w="8260" w:type="dxa"/>
            <w:vAlign w:val="bottom"/>
          </w:tcPr>
          <w:p>
            <w:pPr>
              <w:ind w:left="160"/>
              <w:spacing w:after="0"/>
              <w:rPr>
                <w:sz w:val="20"/>
                <w:szCs w:val="20"/>
                <w:color w:val="auto"/>
              </w:rPr>
            </w:pPr>
            <w:r>
              <w:rPr>
                <w:rFonts w:ascii="Arial" w:cs="Arial" w:eastAsia="Arial" w:hAnsi="Arial"/>
                <w:sz w:val="14"/>
                <w:szCs w:val="14"/>
                <w:color w:val="auto"/>
              </w:rPr>
              <w:t>Ratification of the appointment of Ernst &amp; Young LLP as our independent registered public accounting firm for the fiscal year</w:t>
            </w:r>
          </w:p>
        </w:tc>
        <w:tc>
          <w:tcPr>
            <w:tcW w:w="1780" w:type="dxa"/>
            <w:vAlign w:val="bottom"/>
          </w:tcPr>
          <w:p>
            <w:pPr>
              <w:ind w:left="260"/>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157"/>
        </w:trPr>
        <w:tc>
          <w:tcPr>
            <w:tcW w:w="980" w:type="dxa"/>
            <w:vAlign w:val="bottom"/>
            <w:tcBorders>
              <w:bottom w:val="single" w:sz="8" w:color="D1CDCA"/>
            </w:tcBorders>
          </w:tcPr>
          <w:p>
            <w:pPr>
              <w:spacing w:after="0"/>
              <w:rPr>
                <w:sz w:val="13"/>
                <w:szCs w:val="13"/>
                <w:color w:val="auto"/>
              </w:rPr>
            </w:pPr>
          </w:p>
        </w:tc>
        <w:tc>
          <w:tcPr>
            <w:tcW w:w="8260" w:type="dxa"/>
            <w:vAlign w:val="bottom"/>
            <w:tcBorders>
              <w:bottom w:val="single" w:sz="8" w:color="D1CDCA"/>
            </w:tcBorders>
          </w:tcPr>
          <w:p>
            <w:pPr>
              <w:ind w:left="160"/>
              <w:spacing w:after="0" w:line="157" w:lineRule="exact"/>
              <w:rPr>
                <w:sz w:val="20"/>
                <w:szCs w:val="20"/>
                <w:color w:val="auto"/>
              </w:rPr>
            </w:pPr>
            <w:r>
              <w:rPr>
                <w:rFonts w:ascii="Arial" w:cs="Arial" w:eastAsia="Arial" w:hAnsi="Arial"/>
                <w:sz w:val="14"/>
                <w:szCs w:val="14"/>
                <w:color w:val="auto"/>
              </w:rPr>
              <w:t>ending December 31, 2018</w:t>
            </w:r>
          </w:p>
        </w:tc>
        <w:tc>
          <w:tcPr>
            <w:tcW w:w="1780" w:type="dxa"/>
            <w:vAlign w:val="bottom"/>
            <w:tcBorders>
              <w:bottom w:val="single" w:sz="8" w:color="D1CDCA"/>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F7F7E5"/>
          </w:tcPr>
          <w:p>
            <w:pPr>
              <w:ind w:left="60"/>
              <w:spacing w:after="0"/>
              <w:rPr>
                <w:sz w:val="20"/>
                <w:szCs w:val="20"/>
                <w:color w:val="auto"/>
              </w:rPr>
            </w:pPr>
            <w:r>
              <w:rPr>
                <w:rFonts w:ascii="Arial" w:cs="Arial" w:eastAsia="Arial" w:hAnsi="Arial"/>
                <w:sz w:val="14"/>
                <w:szCs w:val="14"/>
                <w:color w:val="auto"/>
              </w:rPr>
              <w:t>3</w:t>
            </w:r>
          </w:p>
        </w:tc>
        <w:tc>
          <w:tcPr>
            <w:tcW w:w="8260" w:type="dxa"/>
            <w:vAlign w:val="bottom"/>
            <w:shd w:val="clear" w:color="auto" w:fill="F7F7E5"/>
          </w:tcPr>
          <w:p>
            <w:pPr>
              <w:ind w:left="160"/>
              <w:spacing w:after="0"/>
              <w:rPr>
                <w:sz w:val="20"/>
                <w:szCs w:val="20"/>
                <w:color w:val="auto"/>
              </w:rPr>
            </w:pPr>
            <w:r>
              <w:rPr>
                <w:rFonts w:ascii="Arial" w:cs="Arial" w:eastAsia="Arial" w:hAnsi="Arial"/>
                <w:sz w:val="14"/>
                <w:szCs w:val="14"/>
                <w:color w:val="auto"/>
              </w:rPr>
              <w:t>Approval, on a non-binding advisory basis, of the compensation of our named executive officers as described in this Proxy</w:t>
            </w:r>
          </w:p>
        </w:tc>
        <w:tc>
          <w:tcPr>
            <w:tcW w:w="1780" w:type="dxa"/>
            <w:vAlign w:val="bottom"/>
            <w:shd w:val="clear" w:color="auto" w:fill="F7F7E5"/>
          </w:tcPr>
          <w:p>
            <w:pPr>
              <w:ind w:left="260"/>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157"/>
        </w:trPr>
        <w:tc>
          <w:tcPr>
            <w:tcW w:w="980" w:type="dxa"/>
            <w:vAlign w:val="bottom"/>
            <w:tcBorders>
              <w:bottom w:val="single" w:sz="8" w:color="D1CDCA"/>
            </w:tcBorders>
            <w:shd w:val="clear" w:color="auto" w:fill="F7F7E5"/>
          </w:tcPr>
          <w:p>
            <w:pPr>
              <w:spacing w:after="0"/>
              <w:rPr>
                <w:sz w:val="13"/>
                <w:szCs w:val="13"/>
                <w:color w:val="auto"/>
              </w:rPr>
            </w:pPr>
          </w:p>
        </w:tc>
        <w:tc>
          <w:tcPr>
            <w:tcW w:w="8260" w:type="dxa"/>
            <w:vAlign w:val="bottom"/>
            <w:tcBorders>
              <w:bottom w:val="single" w:sz="8" w:color="D1CDCA"/>
            </w:tcBorders>
            <w:shd w:val="clear" w:color="auto" w:fill="F7F7E5"/>
          </w:tcPr>
          <w:p>
            <w:pPr>
              <w:ind w:left="160"/>
              <w:spacing w:after="0" w:line="157" w:lineRule="exact"/>
              <w:rPr>
                <w:sz w:val="20"/>
                <w:szCs w:val="20"/>
                <w:color w:val="auto"/>
              </w:rPr>
            </w:pPr>
            <w:r>
              <w:rPr>
                <w:rFonts w:ascii="Arial" w:cs="Arial" w:eastAsia="Arial" w:hAnsi="Arial"/>
                <w:sz w:val="14"/>
                <w:szCs w:val="14"/>
                <w:color w:val="auto"/>
              </w:rPr>
              <w:t>Statement</w:t>
            </w:r>
          </w:p>
        </w:tc>
        <w:tc>
          <w:tcPr>
            <w:tcW w:w="1780" w:type="dxa"/>
            <w:vAlign w:val="bottom"/>
            <w:tcBorders>
              <w:bottom w:val="single" w:sz="8" w:color="D1CDCA"/>
            </w:tcBorders>
            <w:shd w:val="clear" w:color="auto" w:fill="F7F7E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Borders>
              <w:bottom w:val="single" w:sz="8" w:color="D1CDCA"/>
            </w:tcBorders>
          </w:tcPr>
          <w:p>
            <w:pPr>
              <w:ind w:left="60"/>
              <w:spacing w:after="0" w:line="155" w:lineRule="exact"/>
              <w:rPr>
                <w:sz w:val="20"/>
                <w:szCs w:val="20"/>
                <w:color w:val="auto"/>
              </w:rPr>
            </w:pPr>
            <w:r>
              <w:rPr>
                <w:rFonts w:ascii="Arial" w:cs="Arial" w:eastAsia="Arial" w:hAnsi="Arial"/>
                <w:sz w:val="14"/>
                <w:szCs w:val="14"/>
                <w:color w:val="auto"/>
              </w:rPr>
              <w:t>4</w:t>
            </w:r>
          </w:p>
        </w:tc>
        <w:tc>
          <w:tcPr>
            <w:tcW w:w="8260" w:type="dxa"/>
            <w:vAlign w:val="bottom"/>
            <w:tcBorders>
              <w:bottom w:val="single" w:sz="8" w:color="D1CDCA"/>
            </w:tcBorders>
          </w:tcPr>
          <w:p>
            <w:pPr>
              <w:ind w:left="160"/>
              <w:spacing w:after="0" w:line="155" w:lineRule="exact"/>
              <w:rPr>
                <w:sz w:val="20"/>
                <w:szCs w:val="20"/>
                <w:color w:val="auto"/>
              </w:rPr>
            </w:pPr>
            <w:r>
              <w:rPr>
                <w:rFonts w:ascii="Arial" w:cs="Arial" w:eastAsia="Arial" w:hAnsi="Arial"/>
                <w:sz w:val="14"/>
                <w:szCs w:val="14"/>
                <w:color w:val="auto"/>
              </w:rPr>
              <w:t>Vote on a shareholder proposal requesting a political contributions report, if properly presented</w:t>
            </w:r>
          </w:p>
        </w:tc>
        <w:tc>
          <w:tcPr>
            <w:tcW w:w="1780" w:type="dxa"/>
            <w:vAlign w:val="bottom"/>
            <w:tcBorders>
              <w:bottom w:val="single" w:sz="8" w:color="D1CDCA"/>
            </w:tcBorders>
          </w:tcPr>
          <w:p>
            <w:pPr>
              <w:ind w:left="260"/>
              <w:spacing w:after="0" w:line="155" w:lineRule="exact"/>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VOTING AND SOLICITATION</w:t>
      </w:r>
    </w:p>
    <w:p>
      <w:pPr>
        <w:spacing w:after="0" w:line="124" w:lineRule="exact"/>
        <w:rPr>
          <w:sz w:val="20"/>
          <w:szCs w:val="20"/>
          <w:color w:val="auto"/>
        </w:rPr>
      </w:pPr>
    </w:p>
    <w:p>
      <w:pPr>
        <w:ind w:left="200" w:right="40"/>
        <w:spacing w:after="0" w:line="251" w:lineRule="auto"/>
        <w:rPr>
          <w:sz w:val="20"/>
          <w:szCs w:val="20"/>
          <w:color w:val="auto"/>
        </w:rPr>
      </w:pPr>
      <w:r>
        <w:rPr>
          <w:rFonts w:ascii="Arial" w:cs="Arial" w:eastAsia="Arial" w:hAnsi="Arial"/>
          <w:sz w:val="16"/>
          <w:szCs w:val="16"/>
          <w:color w:val="auto"/>
        </w:rPr>
        <w:t>Only holders of record of shares of the Company’s common stock, par value $0.01 (“Common Stock”), as of the close of business on March 19, 2018, the record date fixed by the Board (the “Record Date”), are entitled to notice of, and to vote at, the Annual Meeting and at any adjournments or postponements thereof. As of the Record Date, there were 103,202,045 shares of Common Stock outstanding. Each shareholder is entitled to one vote for each share of Common Stock held as of the Record Date on all matters presented at the Annual Meeting.</w:t>
      </w:r>
    </w:p>
    <w:p>
      <w:pPr>
        <w:spacing w:after="0" w:line="203" w:lineRule="exact"/>
        <w:rPr>
          <w:sz w:val="20"/>
          <w:szCs w:val="20"/>
          <w:color w:val="auto"/>
        </w:rPr>
      </w:pPr>
    </w:p>
    <w:p>
      <w:pPr>
        <w:jc w:val="both"/>
        <w:ind w:left="200" w:right="120"/>
        <w:spacing w:after="0" w:line="253" w:lineRule="auto"/>
        <w:rPr>
          <w:sz w:val="20"/>
          <w:szCs w:val="20"/>
          <w:color w:val="auto"/>
        </w:rPr>
      </w:pPr>
      <w:r>
        <w:rPr>
          <w:rFonts w:ascii="Arial" w:cs="Arial" w:eastAsia="Arial" w:hAnsi="Arial"/>
          <w:sz w:val="16"/>
          <w:szCs w:val="16"/>
          <w:color w:val="auto"/>
        </w:rPr>
        <w:t>At least a majority of the outstanding shares of Common Stock must be represented at the Annual Meeting, in person or by proxy, to constitute a quorum and to transact business at the Annual Meeting. Abstentions, broker non-votes and “withhold” votes are counted for purposes determining whether there is a quorum.</w:t>
      </w:r>
    </w:p>
    <w:p>
      <w:pPr>
        <w:spacing w:after="0" w:line="201" w:lineRule="exact"/>
        <w:rPr>
          <w:sz w:val="20"/>
          <w:szCs w:val="20"/>
          <w:color w:val="auto"/>
        </w:rPr>
      </w:pPr>
    </w:p>
    <w:p>
      <w:pPr>
        <w:ind w:left="200" w:right="640"/>
        <w:spacing w:after="0" w:line="260" w:lineRule="auto"/>
        <w:rPr>
          <w:sz w:val="20"/>
          <w:szCs w:val="20"/>
          <w:color w:val="auto"/>
        </w:rPr>
      </w:pPr>
      <w:r>
        <w:rPr>
          <w:rFonts w:ascii="Arial" w:cs="Arial" w:eastAsia="Arial" w:hAnsi="Arial"/>
          <w:sz w:val="16"/>
          <w:szCs w:val="16"/>
          <w:color w:val="auto"/>
        </w:rPr>
        <w:t>A plurality of the votes cast in person or by proxy at the Annual Meeting is required for the election of the director nominees. Shares as to which a shareholder withholds voting authority and broker non-votes, which are described below, will not affect the outcome of the election.</w:t>
      </w:r>
    </w:p>
    <w:p>
      <w:pPr>
        <w:spacing w:after="0" w:line="196" w:lineRule="exact"/>
        <w:rPr>
          <w:sz w:val="20"/>
          <w:szCs w:val="20"/>
          <w:color w:val="auto"/>
        </w:rPr>
      </w:pPr>
    </w:p>
    <w:p>
      <w:pPr>
        <w:ind w:left="200" w:right="40"/>
        <w:spacing w:after="0" w:line="249" w:lineRule="auto"/>
        <w:rPr>
          <w:sz w:val="20"/>
          <w:szCs w:val="20"/>
          <w:color w:val="auto"/>
        </w:rPr>
      </w:pPr>
      <w:r>
        <w:rPr>
          <w:rFonts w:ascii="Arial" w:cs="Arial" w:eastAsia="Arial" w:hAnsi="Arial"/>
          <w:sz w:val="16"/>
          <w:szCs w:val="16"/>
          <w:color w:val="auto"/>
        </w:rPr>
        <w:t>For each other item to be acted upon at the Annual Meeting (Proposals 2, 3 and 4), the item will be approved if the number of votes cast in favor of the item by the shareholders entitled to vote exceeds the number of votes cast in opposition to the item. Abstentions and broker non-votes will not be counted as votes cast on an item and, therefore, will not affect the outcome of these proposals. Shares represented by properly executed and unrevoked proxies will be voted at the Annual Meeting in accordance with the directions of shareholders indicated in their proxies. If no specification is made, shares represented by properly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394" w:lineRule="exact"/>
        <w:rPr>
          <w:sz w:val="20"/>
          <w:szCs w:val="20"/>
          <w:color w:val="auto"/>
        </w:rPr>
      </w:pPr>
    </w:p>
    <w:p>
      <w:pPr>
        <w:ind w:left="200" w:right="40"/>
        <w:spacing w:after="0" w:line="249" w:lineRule="auto"/>
        <w:rPr>
          <w:sz w:val="20"/>
          <w:szCs w:val="20"/>
          <w:color w:val="auto"/>
        </w:rPr>
      </w:pPr>
      <w:r>
        <w:rPr>
          <w:rFonts w:ascii="Arial" w:cs="Arial" w:eastAsia="Arial" w:hAnsi="Arial"/>
          <w:sz w:val="16"/>
          <w:szCs w:val="16"/>
          <w:color w:val="auto"/>
        </w:rPr>
        <w:t xml:space="preserve">For a shareholder who holds his or her shares through an intermediary, such as a broker, bank or other nominee (referred to as “beneficial owners”), such intermediary will not be permitted to vote on Proposal 1 (the election of directors), Proposal 3 (approval of the compensation of our named executive officers (known as a “say-on-pay” vote)) or Proposal 4 (the shareholder proposal) if the shareholder does not provide the intermediary with applicable voting instructions (this situation is called a “broker non-vote”). </w:t>
      </w:r>
      <w:r>
        <w:rPr>
          <w:rFonts w:ascii="Arial" w:cs="Arial" w:eastAsia="Arial" w:hAnsi="Arial"/>
          <w:sz w:val="16"/>
          <w:szCs w:val="16"/>
          <w:b w:val="1"/>
          <w:bCs w:val="1"/>
          <w:color w:val="auto"/>
        </w:rPr>
        <w:t>Accordingly, we encourage you to vote your shares on all matters being considered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at the Annual Meeting. </w:t>
      </w:r>
      <w:r>
        <w:rPr>
          <w:rFonts w:ascii="Arial" w:cs="Arial" w:eastAsia="Arial" w:hAnsi="Arial"/>
          <w:sz w:val="16"/>
          <w:szCs w:val="16"/>
          <w:color w:val="auto"/>
        </w:rPr>
        <w:t>Notwithstanding the occurrence of a broker non-vote, the intermediary may still vote the shareholder’s shares on Proposal 2</w:t>
      </w:r>
      <w:r>
        <w:rPr>
          <w:rFonts w:ascii="Arial" w:cs="Arial" w:eastAsia="Arial" w:hAnsi="Arial"/>
          <w:sz w:val="16"/>
          <w:szCs w:val="16"/>
          <w:b w:val="1"/>
          <w:bCs w:val="1"/>
          <w:color w:val="auto"/>
        </w:rPr>
        <w:t xml:space="preserve"> </w:t>
      </w:r>
      <w:r>
        <w:rPr>
          <w:rFonts w:ascii="Arial" w:cs="Arial" w:eastAsia="Arial" w:hAnsi="Arial"/>
          <w:sz w:val="16"/>
          <w:szCs w:val="16"/>
          <w:color w:val="auto"/>
        </w:rPr>
        <w:t>(ratification of Ernst &amp; Young LLP as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206375</wp:posOffset>
            </wp:positionV>
            <wp:extent cx="608965" cy="274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10"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55</w:t>
        <w:tab/>
        <w:t>|</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960"/>
        <w:spacing w:after="0"/>
        <w:rPr>
          <w:sz w:val="20"/>
          <w:szCs w:val="20"/>
          <w:color w:val="auto"/>
        </w:rPr>
      </w:pPr>
      <w:r>
        <w:rPr>
          <w:rFonts w:ascii="Arial" w:cs="Arial" w:eastAsia="Arial" w:hAnsi="Arial"/>
          <w:sz w:val="18"/>
          <w:szCs w:val="18"/>
          <w:b w:val="1"/>
          <w:bCs w:val="1"/>
          <w:color w:val="665B4F"/>
        </w:rPr>
        <w:t>GENERAL INFORMATION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voting requirements to elect directors and to approve each of the proposals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156210</wp:posOffset>
            </wp:positionV>
            <wp:extent cx="6997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160" w:type="dxa"/>
            <w:vAlign w:val="bottom"/>
          </w:tcPr>
          <w:p>
            <w:pPr>
              <w:ind w:left="60"/>
              <w:spacing w:after="0"/>
              <w:rPr>
                <w:sz w:val="20"/>
                <w:szCs w:val="20"/>
                <w:color w:val="auto"/>
              </w:rPr>
            </w:pPr>
            <w:r>
              <w:rPr>
                <w:rFonts w:ascii="Arial" w:cs="Arial" w:eastAsia="Arial" w:hAnsi="Arial"/>
                <w:sz w:val="14"/>
                <w:szCs w:val="14"/>
                <w:b w:val="1"/>
                <w:bCs w:val="1"/>
                <w:color w:val="665B4F"/>
              </w:rPr>
              <w:t>PROPOSAL</w:t>
            </w:r>
          </w:p>
        </w:tc>
        <w:tc>
          <w:tcPr>
            <w:tcW w:w="4000" w:type="dxa"/>
            <w:vAlign w:val="bottom"/>
            <w:vMerge w:val="restart"/>
          </w:tcPr>
          <w:p>
            <w:pPr>
              <w:ind w:left="320"/>
              <w:spacing w:after="0"/>
              <w:rPr>
                <w:sz w:val="20"/>
                <w:szCs w:val="20"/>
                <w:color w:val="auto"/>
              </w:rPr>
            </w:pPr>
            <w:r>
              <w:rPr>
                <w:rFonts w:ascii="Arial" w:cs="Arial" w:eastAsia="Arial" w:hAnsi="Arial"/>
                <w:sz w:val="14"/>
                <w:szCs w:val="14"/>
                <w:b w:val="1"/>
                <w:bCs w:val="1"/>
                <w:color w:val="665B4F"/>
              </w:rPr>
              <w:t>PROPOSAL</w:t>
            </w:r>
          </w:p>
        </w:tc>
        <w:tc>
          <w:tcPr>
            <w:tcW w:w="3780" w:type="dxa"/>
            <w:vAlign w:val="bottom"/>
            <w:vMerge w:val="restart"/>
          </w:tcPr>
          <w:p>
            <w:pPr>
              <w:ind w:left="320"/>
              <w:spacing w:after="0"/>
              <w:rPr>
                <w:sz w:val="20"/>
                <w:szCs w:val="20"/>
                <w:color w:val="auto"/>
              </w:rPr>
            </w:pPr>
            <w:r>
              <w:rPr>
                <w:rFonts w:ascii="Arial" w:cs="Arial" w:eastAsia="Arial" w:hAnsi="Arial"/>
                <w:sz w:val="14"/>
                <w:szCs w:val="14"/>
                <w:b w:val="1"/>
                <w:bCs w:val="1"/>
                <w:color w:val="665B4F"/>
              </w:rPr>
              <w:t>VOTE REQUIRED</w:t>
            </w:r>
          </w:p>
        </w:tc>
        <w:tc>
          <w:tcPr>
            <w:tcW w:w="2080" w:type="dxa"/>
            <w:vAlign w:val="bottom"/>
          </w:tcPr>
          <w:p>
            <w:pPr>
              <w:ind w:left="180"/>
              <w:spacing w:after="0"/>
              <w:rPr>
                <w:sz w:val="20"/>
                <w:szCs w:val="20"/>
                <w:color w:val="auto"/>
              </w:rPr>
            </w:pPr>
            <w:r>
              <w:rPr>
                <w:rFonts w:ascii="Arial" w:cs="Arial" w:eastAsia="Arial" w:hAnsi="Arial"/>
                <w:sz w:val="14"/>
                <w:szCs w:val="14"/>
                <w:b w:val="1"/>
                <w:bCs w:val="1"/>
                <w:color w:val="665B4F"/>
              </w:rPr>
              <w:t>BROKER DISCRETIONARY</w:t>
            </w:r>
          </w:p>
        </w:tc>
        <w:tc>
          <w:tcPr>
            <w:tcW w:w="0" w:type="dxa"/>
            <w:vAlign w:val="bottom"/>
          </w:tcPr>
          <w:p>
            <w:pPr>
              <w:spacing w:after="0"/>
              <w:rPr>
                <w:sz w:val="1"/>
                <w:szCs w:val="1"/>
                <w:color w:val="auto"/>
              </w:rPr>
            </w:pPr>
          </w:p>
        </w:tc>
      </w:tr>
      <w:tr>
        <w:trPr>
          <w:trHeight w:val="186"/>
        </w:trPr>
        <w:tc>
          <w:tcPr>
            <w:tcW w:w="1160" w:type="dxa"/>
            <w:vAlign w:val="bottom"/>
          </w:tcPr>
          <w:p>
            <w:pPr>
              <w:ind w:left="60"/>
              <w:spacing w:after="0"/>
              <w:rPr>
                <w:sz w:val="20"/>
                <w:szCs w:val="20"/>
                <w:color w:val="auto"/>
              </w:rPr>
            </w:pPr>
            <w:r>
              <w:rPr>
                <w:rFonts w:ascii="Arial" w:cs="Arial" w:eastAsia="Arial" w:hAnsi="Arial"/>
                <w:sz w:val="14"/>
                <w:szCs w:val="14"/>
                <w:b w:val="1"/>
                <w:bCs w:val="1"/>
                <w:color w:val="665B4F"/>
              </w:rPr>
              <w:t>NUMBER</w:t>
            </w:r>
          </w:p>
        </w:tc>
        <w:tc>
          <w:tcPr>
            <w:tcW w:w="4000" w:type="dxa"/>
            <w:vAlign w:val="bottom"/>
            <w:vMerge w:val="continue"/>
          </w:tcPr>
          <w:p>
            <w:pPr>
              <w:spacing w:after="0"/>
              <w:rPr>
                <w:sz w:val="16"/>
                <w:szCs w:val="16"/>
                <w:color w:val="auto"/>
              </w:rPr>
            </w:pPr>
          </w:p>
        </w:tc>
        <w:tc>
          <w:tcPr>
            <w:tcW w:w="3780" w:type="dxa"/>
            <w:vAlign w:val="bottom"/>
            <w:vMerge w:val="continue"/>
          </w:tcPr>
          <w:p>
            <w:pPr>
              <w:spacing w:after="0"/>
              <w:rPr>
                <w:sz w:val="16"/>
                <w:szCs w:val="16"/>
                <w:color w:val="auto"/>
              </w:rPr>
            </w:pPr>
          </w:p>
        </w:tc>
        <w:tc>
          <w:tcPr>
            <w:tcW w:w="2080" w:type="dxa"/>
            <w:vAlign w:val="bottom"/>
          </w:tcPr>
          <w:p>
            <w:pPr>
              <w:ind w:left="180"/>
              <w:spacing w:after="0"/>
              <w:rPr>
                <w:sz w:val="20"/>
                <w:szCs w:val="20"/>
                <w:color w:val="auto"/>
              </w:rPr>
            </w:pPr>
            <w:r>
              <w:rPr>
                <w:rFonts w:ascii="Arial" w:cs="Arial" w:eastAsia="Arial" w:hAnsi="Arial"/>
                <w:sz w:val="14"/>
                <w:szCs w:val="14"/>
                <w:b w:val="1"/>
                <w:bCs w:val="1"/>
                <w:color w:val="665B4F"/>
              </w:rPr>
              <w:t>VOTING ALLOWED</w:t>
            </w:r>
          </w:p>
        </w:tc>
        <w:tc>
          <w:tcPr>
            <w:tcW w:w="0" w:type="dxa"/>
            <w:vAlign w:val="bottom"/>
          </w:tcPr>
          <w:p>
            <w:pPr>
              <w:spacing w:after="0"/>
              <w:rPr>
                <w:sz w:val="1"/>
                <w:szCs w:val="1"/>
                <w:color w:val="auto"/>
              </w:rPr>
            </w:pPr>
          </w:p>
        </w:tc>
      </w:tr>
      <w:tr>
        <w:trPr>
          <w:trHeight w:val="66"/>
        </w:trPr>
        <w:tc>
          <w:tcPr>
            <w:tcW w:w="1160" w:type="dxa"/>
            <w:vAlign w:val="bottom"/>
            <w:tcBorders>
              <w:bottom w:val="single" w:sz="8" w:color="D1CDCA"/>
            </w:tcBorders>
          </w:tcPr>
          <w:p>
            <w:pPr>
              <w:spacing w:after="0"/>
              <w:rPr>
                <w:sz w:val="5"/>
                <w:szCs w:val="5"/>
                <w:color w:val="auto"/>
              </w:rPr>
            </w:pPr>
          </w:p>
        </w:tc>
        <w:tc>
          <w:tcPr>
            <w:tcW w:w="4000" w:type="dxa"/>
            <w:vAlign w:val="bottom"/>
            <w:tcBorders>
              <w:bottom w:val="single" w:sz="8" w:color="D1CDCA"/>
            </w:tcBorders>
          </w:tcPr>
          <w:p>
            <w:pPr>
              <w:spacing w:after="0"/>
              <w:rPr>
                <w:sz w:val="5"/>
                <w:szCs w:val="5"/>
                <w:color w:val="auto"/>
              </w:rPr>
            </w:pPr>
          </w:p>
        </w:tc>
        <w:tc>
          <w:tcPr>
            <w:tcW w:w="3780" w:type="dxa"/>
            <w:vAlign w:val="bottom"/>
            <w:tcBorders>
              <w:bottom w:val="single" w:sz="8" w:color="D1CDCA"/>
            </w:tcBorders>
          </w:tcPr>
          <w:p>
            <w:pPr>
              <w:spacing w:after="0"/>
              <w:rPr>
                <w:sz w:val="5"/>
                <w:szCs w:val="5"/>
                <w:color w:val="auto"/>
              </w:rPr>
            </w:pPr>
          </w:p>
        </w:tc>
        <w:tc>
          <w:tcPr>
            <w:tcW w:w="2080" w:type="dxa"/>
            <w:vAlign w:val="bottom"/>
            <w:tcBorders>
              <w:bottom w:val="single" w:sz="8" w:color="D1CDCA"/>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160" w:type="dxa"/>
            <w:vAlign w:val="bottom"/>
            <w:tcBorders>
              <w:bottom w:val="single" w:sz="8" w:color="D1CDCA"/>
            </w:tcBorders>
            <w:shd w:val="clear" w:color="auto" w:fill="F7F7E5"/>
          </w:tcPr>
          <w:p>
            <w:pPr>
              <w:ind w:left="60"/>
              <w:spacing w:after="0" w:line="155" w:lineRule="exact"/>
              <w:rPr>
                <w:sz w:val="20"/>
                <w:szCs w:val="20"/>
                <w:color w:val="auto"/>
              </w:rPr>
            </w:pPr>
            <w:r>
              <w:rPr>
                <w:rFonts w:ascii="Arial" w:cs="Arial" w:eastAsia="Arial" w:hAnsi="Arial"/>
                <w:sz w:val="14"/>
                <w:szCs w:val="14"/>
                <w:color w:val="auto"/>
              </w:rPr>
              <w:t>1</w:t>
            </w:r>
          </w:p>
        </w:tc>
        <w:tc>
          <w:tcPr>
            <w:tcW w:w="4000" w:type="dxa"/>
            <w:vAlign w:val="bottom"/>
            <w:tcBorders>
              <w:bottom w:val="single" w:sz="8" w:color="D1CDCA"/>
            </w:tcBorders>
            <w:shd w:val="clear" w:color="auto" w:fill="F7F7E5"/>
          </w:tcPr>
          <w:p>
            <w:pPr>
              <w:ind w:left="320"/>
              <w:spacing w:after="0" w:line="155" w:lineRule="exact"/>
              <w:rPr>
                <w:sz w:val="20"/>
                <w:szCs w:val="20"/>
                <w:color w:val="auto"/>
              </w:rPr>
            </w:pPr>
            <w:r>
              <w:rPr>
                <w:rFonts w:ascii="Arial" w:cs="Arial" w:eastAsia="Arial" w:hAnsi="Arial"/>
                <w:sz w:val="14"/>
                <w:szCs w:val="14"/>
                <w:color w:val="auto"/>
              </w:rPr>
              <w:t>Election of the three Class I directors</w:t>
            </w:r>
          </w:p>
        </w:tc>
        <w:tc>
          <w:tcPr>
            <w:tcW w:w="3780" w:type="dxa"/>
            <w:vAlign w:val="bottom"/>
            <w:tcBorders>
              <w:bottom w:val="single" w:sz="8" w:color="D1CDCA"/>
            </w:tcBorders>
            <w:shd w:val="clear" w:color="auto" w:fill="F7F7E5"/>
          </w:tcPr>
          <w:p>
            <w:pPr>
              <w:ind w:left="320"/>
              <w:spacing w:after="0" w:line="155" w:lineRule="exact"/>
              <w:rPr>
                <w:sz w:val="20"/>
                <w:szCs w:val="20"/>
                <w:color w:val="auto"/>
              </w:rPr>
            </w:pPr>
            <w:r>
              <w:rPr>
                <w:rFonts w:ascii="Arial" w:cs="Arial" w:eastAsia="Arial" w:hAnsi="Arial"/>
                <w:sz w:val="14"/>
                <w:szCs w:val="14"/>
                <w:color w:val="auto"/>
              </w:rPr>
              <w:t>Plurality of votes cast</w:t>
            </w:r>
          </w:p>
        </w:tc>
        <w:tc>
          <w:tcPr>
            <w:tcW w:w="2080" w:type="dxa"/>
            <w:vAlign w:val="bottom"/>
            <w:tcBorders>
              <w:bottom w:val="single" w:sz="8" w:color="D1CDCA"/>
            </w:tcBorders>
            <w:shd w:val="clear" w:color="auto" w:fill="F7F7E5"/>
          </w:tcPr>
          <w:p>
            <w:pPr>
              <w:ind w:left="180"/>
              <w:spacing w:after="0" w:line="155" w:lineRule="exact"/>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60"/>
        </w:trPr>
        <w:tc>
          <w:tcPr>
            <w:tcW w:w="1160" w:type="dxa"/>
            <w:vAlign w:val="bottom"/>
          </w:tcPr>
          <w:p>
            <w:pPr>
              <w:ind w:left="60"/>
              <w:spacing w:after="0"/>
              <w:rPr>
                <w:sz w:val="20"/>
                <w:szCs w:val="20"/>
                <w:color w:val="auto"/>
              </w:rPr>
            </w:pPr>
            <w:r>
              <w:rPr>
                <w:rFonts w:ascii="Arial" w:cs="Arial" w:eastAsia="Arial" w:hAnsi="Arial"/>
                <w:sz w:val="14"/>
                <w:szCs w:val="14"/>
                <w:color w:val="auto"/>
              </w:rPr>
              <w:t>2</w:t>
            </w:r>
          </w:p>
        </w:tc>
        <w:tc>
          <w:tcPr>
            <w:tcW w:w="4000" w:type="dxa"/>
            <w:vAlign w:val="bottom"/>
          </w:tcPr>
          <w:p>
            <w:pPr>
              <w:ind w:left="320"/>
              <w:spacing w:after="0"/>
              <w:rPr>
                <w:sz w:val="20"/>
                <w:szCs w:val="20"/>
                <w:color w:val="auto"/>
              </w:rPr>
            </w:pPr>
            <w:r>
              <w:rPr>
                <w:rFonts w:ascii="Arial" w:cs="Arial" w:eastAsia="Arial" w:hAnsi="Arial"/>
                <w:sz w:val="14"/>
                <w:szCs w:val="14"/>
                <w:color w:val="auto"/>
              </w:rPr>
              <w:t>Ratification of Ernst &amp; Young LLP</w:t>
            </w:r>
          </w:p>
        </w:tc>
        <w:tc>
          <w:tcPr>
            <w:tcW w:w="3780" w:type="dxa"/>
            <w:vAlign w:val="bottom"/>
          </w:tcPr>
          <w:p>
            <w:pPr>
              <w:ind w:left="320"/>
              <w:spacing w:after="0"/>
              <w:rPr>
                <w:sz w:val="20"/>
                <w:szCs w:val="20"/>
                <w:color w:val="auto"/>
              </w:rPr>
            </w:pPr>
            <w:r>
              <w:rPr>
                <w:rFonts w:ascii="Arial" w:cs="Arial" w:eastAsia="Arial" w:hAnsi="Arial"/>
                <w:sz w:val="14"/>
                <w:szCs w:val="14"/>
                <w:color w:val="auto"/>
              </w:rPr>
              <w:t>Majority of shares represented at meeting in person</w:t>
            </w:r>
          </w:p>
        </w:tc>
        <w:tc>
          <w:tcPr>
            <w:tcW w:w="2080" w:type="dxa"/>
            <w:vAlign w:val="bottom"/>
          </w:tcPr>
          <w:p>
            <w:pPr>
              <w:ind w:left="180"/>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157"/>
        </w:trPr>
        <w:tc>
          <w:tcPr>
            <w:tcW w:w="1160" w:type="dxa"/>
            <w:vAlign w:val="bottom"/>
            <w:tcBorders>
              <w:bottom w:val="single" w:sz="8" w:color="D1CDCA"/>
            </w:tcBorders>
          </w:tcPr>
          <w:p>
            <w:pPr>
              <w:spacing w:after="0"/>
              <w:rPr>
                <w:sz w:val="13"/>
                <w:szCs w:val="13"/>
                <w:color w:val="auto"/>
              </w:rPr>
            </w:pPr>
          </w:p>
        </w:tc>
        <w:tc>
          <w:tcPr>
            <w:tcW w:w="4000" w:type="dxa"/>
            <w:vAlign w:val="bottom"/>
            <w:tcBorders>
              <w:bottom w:val="single" w:sz="8" w:color="D1CDCA"/>
            </w:tcBorders>
          </w:tcPr>
          <w:p>
            <w:pPr>
              <w:spacing w:after="0"/>
              <w:rPr>
                <w:sz w:val="13"/>
                <w:szCs w:val="13"/>
                <w:color w:val="auto"/>
              </w:rPr>
            </w:pPr>
          </w:p>
        </w:tc>
        <w:tc>
          <w:tcPr>
            <w:tcW w:w="3780" w:type="dxa"/>
            <w:vAlign w:val="bottom"/>
            <w:tcBorders>
              <w:bottom w:val="single" w:sz="8" w:color="D1CDCA"/>
            </w:tcBorders>
          </w:tcPr>
          <w:p>
            <w:pPr>
              <w:ind w:left="320"/>
              <w:spacing w:after="0" w:line="157" w:lineRule="exact"/>
              <w:rPr>
                <w:sz w:val="20"/>
                <w:szCs w:val="20"/>
                <w:color w:val="auto"/>
              </w:rPr>
            </w:pPr>
            <w:r>
              <w:rPr>
                <w:rFonts w:ascii="Arial" w:cs="Arial" w:eastAsia="Arial" w:hAnsi="Arial"/>
                <w:sz w:val="14"/>
                <w:szCs w:val="14"/>
                <w:color w:val="auto"/>
              </w:rPr>
              <w:t>or by proxy and entitled to vote</w:t>
            </w:r>
          </w:p>
        </w:tc>
        <w:tc>
          <w:tcPr>
            <w:tcW w:w="2080" w:type="dxa"/>
            <w:vAlign w:val="bottom"/>
            <w:tcBorders>
              <w:bottom w:val="single" w:sz="8" w:color="D1CDCA"/>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60" w:type="dxa"/>
            <w:vAlign w:val="bottom"/>
            <w:shd w:val="clear" w:color="auto" w:fill="F7F7E5"/>
          </w:tcPr>
          <w:p>
            <w:pPr>
              <w:ind w:left="60"/>
              <w:spacing w:after="0"/>
              <w:rPr>
                <w:sz w:val="20"/>
                <w:szCs w:val="20"/>
                <w:color w:val="auto"/>
              </w:rPr>
            </w:pPr>
            <w:r>
              <w:rPr>
                <w:rFonts w:ascii="Arial" w:cs="Arial" w:eastAsia="Arial" w:hAnsi="Arial"/>
                <w:sz w:val="14"/>
                <w:szCs w:val="14"/>
                <w:color w:val="auto"/>
              </w:rPr>
              <w:t>3</w:t>
            </w:r>
          </w:p>
        </w:tc>
        <w:tc>
          <w:tcPr>
            <w:tcW w:w="4000" w:type="dxa"/>
            <w:vAlign w:val="bottom"/>
            <w:shd w:val="clear" w:color="auto" w:fill="F7F7E5"/>
          </w:tcPr>
          <w:p>
            <w:pPr>
              <w:ind w:left="320"/>
              <w:spacing w:after="0"/>
              <w:rPr>
                <w:sz w:val="20"/>
                <w:szCs w:val="20"/>
                <w:color w:val="auto"/>
              </w:rPr>
            </w:pPr>
            <w:r>
              <w:rPr>
                <w:rFonts w:ascii="Arial" w:cs="Arial" w:eastAsia="Arial" w:hAnsi="Arial"/>
                <w:sz w:val="14"/>
                <w:szCs w:val="14"/>
                <w:color w:val="auto"/>
              </w:rPr>
              <w:t>Advisory Vote to Approve the Compensation of</w:t>
            </w:r>
          </w:p>
        </w:tc>
        <w:tc>
          <w:tcPr>
            <w:tcW w:w="3780" w:type="dxa"/>
            <w:vAlign w:val="bottom"/>
            <w:shd w:val="clear" w:color="auto" w:fill="F7F7E5"/>
          </w:tcPr>
          <w:p>
            <w:pPr>
              <w:ind w:left="320"/>
              <w:spacing w:after="0"/>
              <w:rPr>
                <w:sz w:val="20"/>
                <w:szCs w:val="20"/>
                <w:color w:val="auto"/>
              </w:rPr>
            </w:pPr>
            <w:r>
              <w:rPr>
                <w:rFonts w:ascii="Arial" w:cs="Arial" w:eastAsia="Arial" w:hAnsi="Arial"/>
                <w:sz w:val="14"/>
                <w:szCs w:val="14"/>
                <w:color w:val="auto"/>
              </w:rPr>
              <w:t>Majority of shares represented at meeting in person</w:t>
            </w:r>
          </w:p>
        </w:tc>
        <w:tc>
          <w:tcPr>
            <w:tcW w:w="2080" w:type="dxa"/>
            <w:vAlign w:val="bottom"/>
            <w:shd w:val="clear" w:color="auto" w:fill="F7F7E5"/>
          </w:tcPr>
          <w:p>
            <w:pPr>
              <w:ind w:left="18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57"/>
        </w:trPr>
        <w:tc>
          <w:tcPr>
            <w:tcW w:w="1160" w:type="dxa"/>
            <w:vAlign w:val="bottom"/>
            <w:tcBorders>
              <w:bottom w:val="single" w:sz="8" w:color="D1CDCA"/>
            </w:tcBorders>
            <w:shd w:val="clear" w:color="auto" w:fill="F7F7E5"/>
          </w:tcPr>
          <w:p>
            <w:pPr>
              <w:spacing w:after="0"/>
              <w:rPr>
                <w:sz w:val="13"/>
                <w:szCs w:val="13"/>
                <w:color w:val="auto"/>
              </w:rPr>
            </w:pPr>
          </w:p>
        </w:tc>
        <w:tc>
          <w:tcPr>
            <w:tcW w:w="4000" w:type="dxa"/>
            <w:vAlign w:val="bottom"/>
            <w:tcBorders>
              <w:bottom w:val="single" w:sz="8" w:color="D1CDCA"/>
            </w:tcBorders>
            <w:shd w:val="clear" w:color="auto" w:fill="F7F7E5"/>
          </w:tcPr>
          <w:p>
            <w:pPr>
              <w:ind w:left="320"/>
              <w:spacing w:after="0" w:line="157" w:lineRule="exact"/>
              <w:rPr>
                <w:sz w:val="20"/>
                <w:szCs w:val="20"/>
                <w:color w:val="auto"/>
              </w:rPr>
            </w:pPr>
            <w:r>
              <w:rPr>
                <w:rFonts w:ascii="Arial" w:cs="Arial" w:eastAsia="Arial" w:hAnsi="Arial"/>
                <w:sz w:val="14"/>
                <w:szCs w:val="14"/>
                <w:color w:val="auto"/>
              </w:rPr>
              <w:t>Named Executive Officers</w:t>
            </w:r>
          </w:p>
        </w:tc>
        <w:tc>
          <w:tcPr>
            <w:tcW w:w="3780" w:type="dxa"/>
            <w:vAlign w:val="bottom"/>
            <w:tcBorders>
              <w:bottom w:val="single" w:sz="8" w:color="D1CDCA"/>
            </w:tcBorders>
            <w:shd w:val="clear" w:color="auto" w:fill="F7F7E5"/>
          </w:tcPr>
          <w:p>
            <w:pPr>
              <w:ind w:left="320"/>
              <w:spacing w:after="0" w:line="157" w:lineRule="exact"/>
              <w:rPr>
                <w:sz w:val="20"/>
                <w:szCs w:val="20"/>
                <w:color w:val="auto"/>
              </w:rPr>
            </w:pPr>
            <w:r>
              <w:rPr>
                <w:rFonts w:ascii="Arial" w:cs="Arial" w:eastAsia="Arial" w:hAnsi="Arial"/>
                <w:sz w:val="14"/>
                <w:szCs w:val="14"/>
                <w:color w:val="auto"/>
              </w:rPr>
              <w:t>or by proxy and entitled to vote</w:t>
            </w:r>
          </w:p>
        </w:tc>
        <w:tc>
          <w:tcPr>
            <w:tcW w:w="2080" w:type="dxa"/>
            <w:vAlign w:val="bottom"/>
            <w:tcBorders>
              <w:bottom w:val="single" w:sz="8" w:color="D1CDCA"/>
            </w:tcBorders>
            <w:shd w:val="clear" w:color="auto" w:fill="F7F7E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60" w:type="dxa"/>
            <w:vAlign w:val="bottom"/>
          </w:tcPr>
          <w:p>
            <w:pPr>
              <w:ind w:left="60"/>
              <w:spacing w:after="0"/>
              <w:rPr>
                <w:sz w:val="20"/>
                <w:szCs w:val="20"/>
                <w:color w:val="auto"/>
              </w:rPr>
            </w:pPr>
            <w:r>
              <w:rPr>
                <w:rFonts w:ascii="Arial" w:cs="Arial" w:eastAsia="Arial" w:hAnsi="Arial"/>
                <w:sz w:val="14"/>
                <w:szCs w:val="14"/>
                <w:color w:val="auto"/>
              </w:rPr>
              <w:t>4</w:t>
            </w:r>
          </w:p>
        </w:tc>
        <w:tc>
          <w:tcPr>
            <w:tcW w:w="4000" w:type="dxa"/>
            <w:vAlign w:val="bottom"/>
          </w:tcPr>
          <w:p>
            <w:pPr>
              <w:ind w:left="320"/>
              <w:spacing w:after="0"/>
              <w:rPr>
                <w:sz w:val="20"/>
                <w:szCs w:val="20"/>
                <w:color w:val="auto"/>
              </w:rPr>
            </w:pPr>
            <w:r>
              <w:rPr>
                <w:rFonts w:ascii="Arial" w:cs="Arial" w:eastAsia="Arial" w:hAnsi="Arial"/>
                <w:sz w:val="14"/>
                <w:szCs w:val="14"/>
                <w:color w:val="auto"/>
              </w:rPr>
              <w:t>Vote on a shareholder proposal requesting a political</w:t>
            </w:r>
          </w:p>
        </w:tc>
        <w:tc>
          <w:tcPr>
            <w:tcW w:w="3780" w:type="dxa"/>
            <w:vAlign w:val="bottom"/>
          </w:tcPr>
          <w:p>
            <w:pPr>
              <w:ind w:left="320"/>
              <w:spacing w:after="0"/>
              <w:rPr>
                <w:sz w:val="20"/>
                <w:szCs w:val="20"/>
                <w:color w:val="auto"/>
              </w:rPr>
            </w:pPr>
            <w:r>
              <w:rPr>
                <w:rFonts w:ascii="Arial" w:cs="Arial" w:eastAsia="Arial" w:hAnsi="Arial"/>
                <w:sz w:val="14"/>
                <w:szCs w:val="14"/>
                <w:color w:val="auto"/>
              </w:rPr>
              <w:t>Majority of shares represented at meeting in person</w:t>
            </w:r>
          </w:p>
        </w:tc>
        <w:tc>
          <w:tcPr>
            <w:tcW w:w="2080" w:type="dxa"/>
            <w:vAlign w:val="bottom"/>
          </w:tcPr>
          <w:p>
            <w:pPr>
              <w:ind w:left="18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57"/>
        </w:trPr>
        <w:tc>
          <w:tcPr>
            <w:tcW w:w="1160" w:type="dxa"/>
            <w:vAlign w:val="bottom"/>
            <w:tcBorders>
              <w:bottom w:val="single" w:sz="8" w:color="D1CDCA"/>
            </w:tcBorders>
          </w:tcPr>
          <w:p>
            <w:pPr>
              <w:spacing w:after="0"/>
              <w:rPr>
                <w:sz w:val="13"/>
                <w:szCs w:val="13"/>
                <w:color w:val="auto"/>
              </w:rPr>
            </w:pPr>
          </w:p>
        </w:tc>
        <w:tc>
          <w:tcPr>
            <w:tcW w:w="4000" w:type="dxa"/>
            <w:vAlign w:val="bottom"/>
            <w:tcBorders>
              <w:bottom w:val="single" w:sz="8" w:color="D1CDCA"/>
            </w:tcBorders>
          </w:tcPr>
          <w:p>
            <w:pPr>
              <w:ind w:left="320"/>
              <w:spacing w:after="0" w:line="157" w:lineRule="exact"/>
              <w:rPr>
                <w:sz w:val="20"/>
                <w:szCs w:val="20"/>
                <w:color w:val="auto"/>
              </w:rPr>
            </w:pPr>
            <w:r>
              <w:rPr>
                <w:rFonts w:ascii="Arial" w:cs="Arial" w:eastAsia="Arial" w:hAnsi="Arial"/>
                <w:sz w:val="14"/>
                <w:szCs w:val="14"/>
                <w:color w:val="auto"/>
              </w:rPr>
              <w:t>contributions report, if properly presented</w:t>
            </w:r>
          </w:p>
        </w:tc>
        <w:tc>
          <w:tcPr>
            <w:tcW w:w="3780" w:type="dxa"/>
            <w:vAlign w:val="bottom"/>
            <w:tcBorders>
              <w:bottom w:val="single" w:sz="8" w:color="D1CDCA"/>
            </w:tcBorders>
          </w:tcPr>
          <w:p>
            <w:pPr>
              <w:ind w:left="320"/>
              <w:spacing w:after="0" w:line="157" w:lineRule="exact"/>
              <w:rPr>
                <w:sz w:val="20"/>
                <w:szCs w:val="20"/>
                <w:color w:val="auto"/>
              </w:rPr>
            </w:pPr>
            <w:r>
              <w:rPr>
                <w:rFonts w:ascii="Arial" w:cs="Arial" w:eastAsia="Arial" w:hAnsi="Arial"/>
                <w:sz w:val="14"/>
                <w:szCs w:val="14"/>
                <w:color w:val="auto"/>
              </w:rPr>
              <w:t>or by proxy and entitled to vote</w:t>
            </w:r>
          </w:p>
        </w:tc>
        <w:tc>
          <w:tcPr>
            <w:tcW w:w="2080" w:type="dxa"/>
            <w:vAlign w:val="bottom"/>
            <w:tcBorders>
              <w:bottom w:val="single" w:sz="8" w:color="D1CDC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HOW YOU CAN VOTE</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Shareholders of Record. </w:t>
      </w:r>
      <w:r>
        <w:rPr>
          <w:rFonts w:ascii="Arial" w:cs="Arial" w:eastAsia="Arial" w:hAnsi="Arial"/>
          <w:sz w:val="16"/>
          <w:szCs w:val="16"/>
          <w:color w:val="auto"/>
        </w:rPr>
        <w:t>For shareholders of record, there are four different ways you can vote:</w:t>
      </w:r>
    </w:p>
    <w:p>
      <w:pPr>
        <w:spacing w:after="0" w:line="127" w:lineRule="exact"/>
        <w:rPr>
          <w:sz w:val="20"/>
          <w:szCs w:val="20"/>
          <w:color w:val="auto"/>
        </w:rPr>
      </w:pPr>
    </w:p>
    <w:p>
      <w:pPr>
        <w:ind w:left="520" w:hanging="208"/>
        <w:spacing w:after="0"/>
        <w:tabs>
          <w:tab w:leader="none" w:pos="520" w:val="left"/>
        </w:tabs>
        <w:numPr>
          <w:ilvl w:val="0"/>
          <w:numId w:val="93"/>
        </w:numPr>
        <w:rPr>
          <w:rFonts w:ascii="Arial" w:cs="Arial" w:eastAsia="Arial" w:hAnsi="Arial"/>
          <w:sz w:val="16"/>
          <w:szCs w:val="16"/>
          <w:color w:val="665B4F"/>
        </w:rPr>
      </w:pPr>
      <w:r>
        <w:rPr>
          <w:rFonts w:ascii="Arial" w:cs="Arial" w:eastAsia="Arial" w:hAnsi="Arial"/>
          <w:sz w:val="16"/>
          <w:szCs w:val="16"/>
          <w:b w:val="1"/>
          <w:bCs w:val="1"/>
          <w:color w:val="auto"/>
        </w:rPr>
        <w:t>By Internet</w:t>
      </w:r>
      <w:r>
        <w:rPr>
          <w:rFonts w:ascii="Arial" w:cs="Arial" w:eastAsia="Arial" w:hAnsi="Arial"/>
          <w:sz w:val="16"/>
          <w:szCs w:val="16"/>
          <w:color w:val="auto"/>
        </w:rPr>
        <w:t>. To vote via the Internet, use the website on the enclosed proxy card.</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93"/>
        </w:numPr>
        <w:rPr>
          <w:rFonts w:ascii="Arial" w:cs="Arial" w:eastAsia="Arial" w:hAnsi="Arial"/>
          <w:sz w:val="16"/>
          <w:szCs w:val="16"/>
          <w:color w:val="665B4F"/>
        </w:rPr>
      </w:pPr>
      <w:r>
        <w:rPr>
          <w:rFonts w:ascii="Arial" w:cs="Arial" w:eastAsia="Arial" w:hAnsi="Arial"/>
          <w:sz w:val="16"/>
          <w:szCs w:val="16"/>
          <w:b w:val="1"/>
          <w:bCs w:val="1"/>
          <w:color w:val="auto"/>
        </w:rPr>
        <w:t>By Telephone</w:t>
      </w:r>
      <w:r>
        <w:rPr>
          <w:rFonts w:ascii="Arial" w:cs="Arial" w:eastAsia="Arial" w:hAnsi="Arial"/>
          <w:sz w:val="16"/>
          <w:szCs w:val="16"/>
          <w:color w:val="auto"/>
        </w:rPr>
        <w:t>. To vote by telephone, call the toll-free number on the enclosed proxy card.</w:t>
      </w:r>
    </w:p>
    <w:p>
      <w:pPr>
        <w:spacing w:after="0" w:line="140" w:lineRule="exact"/>
        <w:rPr>
          <w:rFonts w:ascii="Arial" w:cs="Arial" w:eastAsia="Arial" w:hAnsi="Arial"/>
          <w:sz w:val="16"/>
          <w:szCs w:val="16"/>
          <w:color w:val="665B4F"/>
        </w:rPr>
      </w:pPr>
    </w:p>
    <w:p>
      <w:pPr>
        <w:ind w:left="520" w:hanging="208"/>
        <w:spacing w:after="0"/>
        <w:tabs>
          <w:tab w:leader="none" w:pos="520" w:val="left"/>
        </w:tabs>
        <w:numPr>
          <w:ilvl w:val="0"/>
          <w:numId w:val="93"/>
        </w:numPr>
        <w:rPr>
          <w:rFonts w:ascii="Arial" w:cs="Arial" w:eastAsia="Arial" w:hAnsi="Arial"/>
          <w:sz w:val="16"/>
          <w:szCs w:val="16"/>
          <w:color w:val="665B4F"/>
        </w:rPr>
      </w:pPr>
      <w:r>
        <w:rPr>
          <w:rFonts w:ascii="Arial" w:cs="Arial" w:eastAsia="Arial" w:hAnsi="Arial"/>
          <w:sz w:val="16"/>
          <w:szCs w:val="16"/>
          <w:b w:val="1"/>
          <w:bCs w:val="1"/>
          <w:color w:val="auto"/>
        </w:rPr>
        <w:t>By Mail</w:t>
      </w:r>
      <w:r>
        <w:rPr>
          <w:rFonts w:ascii="Arial" w:cs="Arial" w:eastAsia="Arial" w:hAnsi="Arial"/>
          <w:sz w:val="16"/>
          <w:szCs w:val="16"/>
          <w:color w:val="auto"/>
        </w:rPr>
        <w:t>. To vote by mail, follow the instructions on the enclosed proxy card.</w:t>
      </w:r>
    </w:p>
    <w:p>
      <w:pPr>
        <w:spacing w:after="0" w:line="140" w:lineRule="exact"/>
        <w:rPr>
          <w:rFonts w:ascii="Arial" w:cs="Arial" w:eastAsia="Arial" w:hAnsi="Arial"/>
          <w:sz w:val="16"/>
          <w:szCs w:val="16"/>
          <w:color w:val="665B4F"/>
        </w:rPr>
      </w:pPr>
    </w:p>
    <w:p>
      <w:pPr>
        <w:ind w:left="520" w:right="80" w:hanging="208"/>
        <w:spacing w:after="0" w:line="286" w:lineRule="auto"/>
        <w:tabs>
          <w:tab w:leader="none" w:pos="520" w:val="left"/>
        </w:tabs>
        <w:numPr>
          <w:ilvl w:val="0"/>
          <w:numId w:val="93"/>
        </w:numPr>
        <w:rPr>
          <w:rFonts w:ascii="Arial" w:cs="Arial" w:eastAsia="Arial" w:hAnsi="Arial"/>
          <w:sz w:val="16"/>
          <w:szCs w:val="16"/>
          <w:color w:val="665B4F"/>
        </w:rPr>
      </w:pPr>
      <w:r>
        <w:rPr>
          <w:rFonts w:ascii="Arial" w:cs="Arial" w:eastAsia="Arial" w:hAnsi="Arial"/>
          <w:sz w:val="16"/>
          <w:szCs w:val="16"/>
          <w:b w:val="1"/>
          <w:bCs w:val="1"/>
          <w:color w:val="auto"/>
        </w:rPr>
        <w:t>In Person</w:t>
      </w:r>
      <w:r>
        <w:rPr>
          <w:rFonts w:ascii="Arial" w:cs="Arial" w:eastAsia="Arial" w:hAnsi="Arial"/>
          <w:sz w:val="16"/>
          <w:szCs w:val="16"/>
          <w:color w:val="auto"/>
        </w:rPr>
        <w:t>. To vote in person, you must attend the Annual Meeting as instructed below and follow the procedures for voting announced at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w:t>
      </w:r>
    </w:p>
    <w:p>
      <w:pPr>
        <w:spacing w:after="0" w:line="176" w:lineRule="exact"/>
        <w:rPr>
          <w:sz w:val="20"/>
          <w:szCs w:val="20"/>
          <w:color w:val="auto"/>
        </w:rPr>
      </w:pPr>
    </w:p>
    <w:p>
      <w:pPr>
        <w:ind w:left="200" w:right="160"/>
        <w:spacing w:after="0" w:line="251" w:lineRule="auto"/>
        <w:rPr>
          <w:sz w:val="20"/>
          <w:szCs w:val="20"/>
          <w:color w:val="auto"/>
        </w:rPr>
      </w:pPr>
      <w:r>
        <w:rPr>
          <w:rFonts w:ascii="Arial" w:cs="Arial" w:eastAsia="Arial" w:hAnsi="Arial"/>
          <w:sz w:val="16"/>
          <w:szCs w:val="16"/>
          <w:color w:val="auto"/>
        </w:rPr>
        <w:t xml:space="preserve">The Internet and telephone voting procedures are designed to authenticate your identity, to allow you to vote your shares and to confirm that your voting instructions have been properly recorded. Specific instructions are set forth on the enclosed proxy card. In order to be timely processed, an Internet or telephone vote must be received by </w:t>
      </w:r>
      <w:r>
        <w:rPr>
          <w:rFonts w:ascii="Arial" w:cs="Arial" w:eastAsia="Arial" w:hAnsi="Arial"/>
          <w:sz w:val="16"/>
          <w:szCs w:val="16"/>
          <w:b w:val="1"/>
          <w:bCs w:val="1"/>
          <w:color w:val="auto"/>
        </w:rPr>
        <w:t>11:59 p.m. Eastern Time on May 15, 2018</w:t>
      </w:r>
      <w:r>
        <w:rPr>
          <w:rFonts w:ascii="Arial" w:cs="Arial" w:eastAsia="Arial" w:hAnsi="Arial"/>
          <w:sz w:val="16"/>
          <w:szCs w:val="16"/>
          <w:color w:val="auto"/>
        </w:rPr>
        <w:t>. Regardless of the method you choose, your vote is important. Please vote by following the specific instructions on your proxy card.</w:t>
      </w:r>
    </w:p>
    <w:p>
      <w:pPr>
        <w:spacing w:after="0" w:line="183" w:lineRule="exact"/>
        <w:rPr>
          <w:sz w:val="20"/>
          <w:szCs w:val="20"/>
          <w:color w:val="auto"/>
        </w:rPr>
      </w:pPr>
    </w:p>
    <w:p>
      <w:pPr>
        <w:ind w:left="200" w:right="20"/>
        <w:spacing w:after="0" w:line="266" w:lineRule="auto"/>
        <w:rPr>
          <w:sz w:val="20"/>
          <w:szCs w:val="20"/>
          <w:color w:val="auto"/>
        </w:rPr>
      </w:pPr>
      <w:r>
        <w:rPr>
          <w:rFonts w:ascii="Arial" w:cs="Arial" w:eastAsia="Arial" w:hAnsi="Arial"/>
          <w:sz w:val="16"/>
          <w:szCs w:val="16"/>
          <w:b w:val="1"/>
          <w:bCs w:val="1"/>
          <w:color w:val="auto"/>
        </w:rPr>
        <w:t xml:space="preserve">Beneficial Shareholders. </w:t>
      </w:r>
      <w:r>
        <w:rPr>
          <w:rFonts w:ascii="Arial" w:cs="Arial" w:eastAsia="Arial" w:hAnsi="Arial"/>
          <w:sz w:val="16"/>
          <w:szCs w:val="16"/>
          <w:color w:val="auto"/>
        </w:rPr>
        <w:t>For shareholders who own shares of the Company’s Common Stock through an intermediary, such as a broker, bank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nominee, the ultimate intermediary is the shareholder of record but will vote your shares in accordance with your instructions. In order to have your shares voted, you will need to follow the instructions for voting provided by your broker, bank or other nominee.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REVOCABILITY OF PROXIES</w:t>
      </w:r>
    </w:p>
    <w:p>
      <w:pPr>
        <w:spacing w:after="0" w:line="104" w:lineRule="exact"/>
        <w:rPr>
          <w:sz w:val="20"/>
          <w:szCs w:val="20"/>
          <w:color w:val="auto"/>
        </w:rPr>
      </w:pPr>
    </w:p>
    <w:p>
      <w:pPr>
        <w:ind w:left="200" w:right="60"/>
        <w:spacing w:after="0" w:line="259" w:lineRule="auto"/>
        <w:rPr>
          <w:sz w:val="20"/>
          <w:szCs w:val="20"/>
          <w:color w:val="auto"/>
        </w:rPr>
      </w:pPr>
      <w:r>
        <w:rPr>
          <w:rFonts w:ascii="Arial" w:cs="Arial" w:eastAsia="Arial" w:hAnsi="Arial"/>
          <w:sz w:val="16"/>
          <w:szCs w:val="16"/>
          <w:b w:val="1"/>
          <w:bCs w:val="1"/>
          <w:color w:val="auto"/>
        </w:rPr>
        <w:t xml:space="preserve">Shareholders of Record. </w:t>
      </w:r>
      <w:r>
        <w:rPr>
          <w:rFonts w:ascii="Arial" w:cs="Arial" w:eastAsia="Arial" w:hAnsi="Arial"/>
          <w:sz w:val="16"/>
          <w:szCs w:val="16"/>
          <w:color w:val="auto"/>
        </w:rPr>
        <w:t>If you are a shareholder of record and you deliver a proxy pursuant to this solicitation, you may revoke that proxy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before it is voted by (a) giving written notice to our Corporate Secretary at the address set forth below, (b) delivering to our Corporate Secretary a later dated proxy, (c) submitting another proxy by telephone or over the Internet (your latest telephone or Internet voting instructions are followed), or (d) voting in person at the Annual Meeting. Written notice of revocation or subsequent proxy should be sent to:</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Wynn Resorts, Limited</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 Corporate Secretary</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3131 Las Vegas Boulevard South</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Las Vegas, Nevada 89109</w:t>
      </w:r>
    </w:p>
    <w:p>
      <w:pPr>
        <w:spacing w:after="0" w:line="201" w:lineRule="exact"/>
        <w:rPr>
          <w:sz w:val="20"/>
          <w:szCs w:val="20"/>
          <w:color w:val="auto"/>
        </w:rPr>
      </w:pPr>
    </w:p>
    <w:p>
      <w:pPr>
        <w:ind w:left="200" w:right="140"/>
        <w:spacing w:after="0" w:line="286" w:lineRule="auto"/>
        <w:rPr>
          <w:sz w:val="20"/>
          <w:szCs w:val="20"/>
          <w:color w:val="auto"/>
        </w:rPr>
      </w:pPr>
      <w:r>
        <w:rPr>
          <w:rFonts w:ascii="Arial" w:cs="Arial" w:eastAsia="Arial" w:hAnsi="Arial"/>
          <w:sz w:val="16"/>
          <w:szCs w:val="16"/>
          <w:b w:val="1"/>
          <w:bCs w:val="1"/>
          <w:color w:val="auto"/>
        </w:rPr>
        <w:t xml:space="preserve">Beneficial Shareholders. </w:t>
      </w:r>
      <w:r>
        <w:rPr>
          <w:rFonts w:ascii="Arial" w:cs="Arial" w:eastAsia="Arial" w:hAnsi="Arial"/>
          <w:sz w:val="16"/>
          <w:szCs w:val="16"/>
          <w:color w:val="auto"/>
        </w:rPr>
        <w:t>If your shares are held through an intermediary, such as a bank, broker or other nominee, you must contact that person if you</w:t>
      </w:r>
      <w:r>
        <w:rPr>
          <w:rFonts w:ascii="Arial" w:cs="Arial" w:eastAsia="Arial" w:hAnsi="Arial"/>
          <w:sz w:val="16"/>
          <w:szCs w:val="16"/>
          <w:b w:val="1"/>
          <w:bCs w:val="1"/>
          <w:color w:val="auto"/>
        </w:rPr>
        <w:t xml:space="preserve"> </w:t>
      </w:r>
      <w:r>
        <w:rPr>
          <w:rFonts w:ascii="Arial" w:cs="Arial" w:eastAsia="Arial" w:hAnsi="Arial"/>
          <w:sz w:val="16"/>
          <w:szCs w:val="16"/>
          <w:color w:val="auto"/>
        </w:rPr>
        <w:t>wish to revoke previously given voting instructions. In this case, attendance at the Annual Meeting, in and of itself, does not revoke a prior proxy.</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ATTENDING THE ANNUAL MEETING</w:t>
      </w:r>
    </w:p>
    <w:p>
      <w:pPr>
        <w:spacing w:after="0" w:line="104" w:lineRule="exact"/>
        <w:rPr>
          <w:sz w:val="20"/>
          <w:szCs w:val="20"/>
          <w:color w:val="auto"/>
        </w:rPr>
      </w:pPr>
    </w:p>
    <w:p>
      <w:pPr>
        <w:ind w:left="200" w:right="140"/>
        <w:spacing w:after="0" w:line="286" w:lineRule="auto"/>
        <w:rPr>
          <w:sz w:val="20"/>
          <w:szCs w:val="20"/>
          <w:color w:val="auto"/>
        </w:rPr>
      </w:pPr>
      <w:r>
        <w:rPr>
          <w:rFonts w:ascii="Arial" w:cs="Arial" w:eastAsia="Arial" w:hAnsi="Arial"/>
          <w:sz w:val="16"/>
          <w:szCs w:val="16"/>
          <w:b w:val="1"/>
          <w:bCs w:val="1"/>
          <w:color w:val="auto"/>
        </w:rPr>
        <w:t xml:space="preserve">Shareholders of Record. </w:t>
      </w:r>
      <w:r>
        <w:rPr>
          <w:rFonts w:ascii="Arial" w:cs="Arial" w:eastAsia="Arial" w:hAnsi="Arial"/>
          <w:sz w:val="16"/>
          <w:szCs w:val="16"/>
          <w:color w:val="auto"/>
        </w:rPr>
        <w:t>For shareholders of record, a government-issued photo identification that matches the shareholder’s name on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stock ledger as of the close of business on the Record Date must be presented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84455</wp:posOffset>
            </wp:positionV>
            <wp:extent cx="6997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0" w:lineRule="exact"/>
        <w:rPr>
          <w:sz w:val="20"/>
          <w:szCs w:val="20"/>
          <w:color w:val="auto"/>
        </w:rPr>
      </w:pPr>
    </w:p>
    <w:p>
      <w:pPr>
        <w:jc w:val="right"/>
        <w:ind w:right="20"/>
        <w:spacing w:after="0"/>
        <w:tabs>
          <w:tab w:leader="none" w:pos="360" w:val="left"/>
          <w:tab w:leader="none" w:pos="16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56</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665B4F"/>
        </w:rPr>
        <w:t>GENERAL INFORMATION</w:t>
      </w:r>
    </w:p>
    <w:p>
      <w:pPr>
        <w:spacing w:after="0" w:line="158" w:lineRule="exact"/>
        <w:rPr>
          <w:sz w:val="20"/>
          <w:szCs w:val="20"/>
          <w:color w:val="auto"/>
        </w:rPr>
      </w:pPr>
    </w:p>
    <w:p>
      <w:pPr>
        <w:ind w:left="200" w:right="80"/>
        <w:spacing w:after="0" w:line="256" w:lineRule="auto"/>
        <w:rPr>
          <w:sz w:val="20"/>
          <w:szCs w:val="20"/>
          <w:color w:val="auto"/>
        </w:rPr>
      </w:pPr>
      <w:r>
        <w:rPr>
          <w:rFonts w:ascii="Arial" w:cs="Arial" w:eastAsia="Arial" w:hAnsi="Arial"/>
          <w:sz w:val="16"/>
          <w:szCs w:val="16"/>
          <w:b w:val="1"/>
          <w:bCs w:val="1"/>
          <w:color w:val="auto"/>
        </w:rPr>
        <w:t xml:space="preserve">Beneficial Shareholders. </w:t>
      </w:r>
      <w:r>
        <w:rPr>
          <w:rFonts w:ascii="Arial" w:cs="Arial" w:eastAsia="Arial" w:hAnsi="Arial"/>
          <w:sz w:val="16"/>
          <w:szCs w:val="16"/>
          <w:color w:val="auto"/>
        </w:rPr>
        <w:t>For shareholders who own shares of the Company’s Common Stock through an intermediary, such as a broker, bank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nominee, satisfactory proof of ownership of the Company’s Common Stock as of the close of business on the Record Date must be presented to attend the Annual Meeting. Satisfactory proof of ownership consists of a government-issued photo identification and a document that includes the shareholder’s name and confirms ownership as of the Record Date, such as (a) a copy of a voting instruction form that was mailed to the shareholder or (b) a valid, legal proxy signed by the record holder.</w:t>
      </w:r>
    </w:p>
    <w:p>
      <w:pPr>
        <w:spacing w:after="0" w:line="200" w:lineRule="exact"/>
        <w:rPr>
          <w:sz w:val="20"/>
          <w:szCs w:val="20"/>
          <w:color w:val="auto"/>
        </w:rPr>
      </w:pPr>
    </w:p>
    <w:p>
      <w:pPr>
        <w:ind w:left="200" w:right="280"/>
        <w:spacing w:after="0" w:line="260" w:lineRule="auto"/>
        <w:rPr>
          <w:sz w:val="20"/>
          <w:szCs w:val="20"/>
          <w:color w:val="auto"/>
        </w:rPr>
      </w:pPr>
      <w:r>
        <w:rPr>
          <w:rFonts w:ascii="Arial" w:cs="Arial" w:eastAsia="Arial" w:hAnsi="Arial"/>
          <w:sz w:val="16"/>
          <w:szCs w:val="16"/>
          <w:color w:val="auto"/>
        </w:rPr>
        <w:t>Persons who are not shareholders will be entitled to admission only if they have a valid legal proxy from a record holder and government-issued photo identification. Each shareholder may appoint only one proxyholder to attend on his or her behalf.</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PROXY PROCEDURE AND EXPENSES OF SOLICITATION</w:t>
      </w:r>
    </w:p>
    <w:p>
      <w:pPr>
        <w:spacing w:after="0" w:line="124"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auto"/>
        </w:rPr>
        <w:t>We will retain an independent tabulator to receive and tabulate the proxies and an inspector of elections will certify the results. In addition, we have engaged Innisfree M&amp;A Incorporated (“Innisfree“), a professional proxy solicitation firm, to assist in the solicitation of proxies for the Annual Meeting. The Company has agreed to pay Innisfree a fee of $17,500, plus reimbursement for out of pocket expenses. The address of Innisfree is 501 Madison Avenue, 20th Floor, New York, New York 10022. If you need assistance in completing your proxy card or have questions regarding the Annual Meeting, please contact Innisfree toll-free at (888) 750-5834.</w:t>
      </w:r>
    </w:p>
    <w:p>
      <w:pPr>
        <w:spacing w:after="0" w:line="203"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auto"/>
        </w:rPr>
        <w:t>All expenses incurred in connection with the solicitation of proxies will be borne by us. We will also reimburse banks, brokers and other nominees for their expenses in forwarding proxy materials to beneficial owners of Common Stock held in their names.</w:t>
      </w:r>
    </w:p>
    <w:p>
      <w:pPr>
        <w:spacing w:after="0" w:line="196" w:lineRule="exact"/>
        <w:rPr>
          <w:sz w:val="20"/>
          <w:szCs w:val="20"/>
          <w:color w:val="auto"/>
        </w:rPr>
      </w:pPr>
    </w:p>
    <w:p>
      <w:pPr>
        <w:ind w:left="200" w:right="580"/>
        <w:spacing w:after="0" w:line="260" w:lineRule="auto"/>
        <w:rPr>
          <w:sz w:val="20"/>
          <w:szCs w:val="20"/>
          <w:color w:val="auto"/>
        </w:rPr>
      </w:pPr>
      <w:r>
        <w:rPr>
          <w:rFonts w:ascii="Arial" w:cs="Arial" w:eastAsia="Arial" w:hAnsi="Arial"/>
          <w:sz w:val="16"/>
          <w:szCs w:val="16"/>
          <w:color w:val="auto"/>
        </w:rPr>
        <w:t>Solicitation may be undertaken by mail, telephone, personal contact or other similar means by directors, officers and employees without additional compensation.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SHAREHOLDER PROPOSALS</w:t>
      </w:r>
    </w:p>
    <w:p>
      <w:pPr>
        <w:spacing w:after="0" w:line="124" w:lineRule="exact"/>
        <w:rPr>
          <w:sz w:val="20"/>
          <w:szCs w:val="20"/>
          <w:color w:val="auto"/>
        </w:rPr>
      </w:pPr>
    </w:p>
    <w:p>
      <w:pPr>
        <w:ind w:left="200" w:right="160"/>
        <w:spacing w:after="0" w:line="251" w:lineRule="auto"/>
        <w:rPr>
          <w:sz w:val="20"/>
          <w:szCs w:val="20"/>
          <w:color w:val="auto"/>
        </w:rPr>
      </w:pPr>
      <w:r>
        <w:rPr>
          <w:rFonts w:ascii="Arial" w:cs="Arial" w:eastAsia="Arial" w:hAnsi="Arial"/>
          <w:sz w:val="16"/>
          <w:szCs w:val="16"/>
          <w:color w:val="auto"/>
        </w:rPr>
        <w:t>Shareholders intending to present a proposal at the 2019 Annual Meeting of Shareholders for inclusion in our proxy statement for that meeting pursuant to Rule 14a-8 of the Exchange Act must submit the proposal in writing to Wynn Resorts, Limited, Attention: Corporate Secretary, 3131 Las Vegas Boulevard South, Las Vegas, Nevada 89109. Such proposals must comply with the requirements of Rule 14a-8 of the Exchange Act and must be received by the Company no later than December 19, 2018.</w:t>
      </w:r>
    </w:p>
    <w:p>
      <w:pPr>
        <w:spacing w:after="0" w:line="203"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In addition, our Bylaws provide notice procedures for shareholders to nominate a person as a director and to propose business to be considered by shareholders at a meeting when nomination and/or the other business are not submitted for inclusion in the Company’s proxy statement. Generally, notice of a nomination or proposal not submitted pursuant to Rule 14a-8 must be delivered to us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209" w:lineRule="exact"/>
        <w:rPr>
          <w:sz w:val="20"/>
          <w:szCs w:val="20"/>
          <w:color w:val="auto"/>
        </w:rPr>
      </w:pPr>
    </w:p>
    <w:p>
      <w:pPr>
        <w:ind w:left="200" w:right="100"/>
        <w:spacing w:after="0" w:line="250" w:lineRule="auto"/>
        <w:rPr>
          <w:sz w:val="20"/>
          <w:szCs w:val="20"/>
          <w:color w:val="auto"/>
        </w:rPr>
      </w:pPr>
      <w:r>
        <w:rPr>
          <w:rFonts w:ascii="Arial" w:cs="Arial" w:eastAsia="Arial" w:hAnsi="Arial"/>
          <w:sz w:val="16"/>
          <w:szCs w:val="16"/>
          <w:color w:val="auto"/>
        </w:rPr>
        <w:t>Accordingly, for our 2019 Annual Meeting, notice of a nomination or proposal must be delivered to us no later than February 15, 2019 and no earlier than January 16, 2019. Nominations and proposals also must satisfy other requirements set forth in the Bylaws. If a shareholder complies with the forgoing notice provisions and with certain additional procedural requirements in the Bylaws and SEC rules, the Company will have authority to vote shares under proxies we solicit when and if the nomination or proposal is raised at the Annual Meeting. The Chairman of the Board may refuse to acknowledge the introduction of any shareholder proposal not made in compliance with the foregoing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102235</wp:posOffset>
            </wp:positionV>
            <wp:extent cx="6997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205105</wp:posOffset>
            </wp:positionV>
            <wp:extent cx="608965" cy="274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308"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4"/>
          <w:szCs w:val="14"/>
          <w:color w:val="auto"/>
        </w:rPr>
        <w:t>57</w:t>
        <w:tab/>
        <w:t>|</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5B4F"/>
        </w:rPr>
        <w:t>GENERAL INFORMATION</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ANNUAL REPORT</w:t>
      </w:r>
    </w:p>
    <w:p>
      <w:pPr>
        <w:spacing w:after="0" w:line="104" w:lineRule="exact"/>
        <w:rPr>
          <w:sz w:val="20"/>
          <w:szCs w:val="20"/>
          <w:color w:val="auto"/>
        </w:rPr>
      </w:pPr>
    </w:p>
    <w:p>
      <w:pPr>
        <w:ind w:left="200" w:right="100"/>
        <w:spacing w:after="0" w:line="254" w:lineRule="auto"/>
        <w:rPr>
          <w:sz w:val="20"/>
          <w:szCs w:val="20"/>
          <w:color w:val="auto"/>
        </w:rPr>
      </w:pPr>
      <w:r>
        <w:rPr>
          <w:rFonts w:ascii="Arial" w:cs="Arial" w:eastAsia="Arial" w:hAnsi="Arial"/>
          <w:sz w:val="16"/>
          <w:szCs w:val="16"/>
          <w:b w:val="1"/>
          <w:bCs w:val="1"/>
          <w:color w:val="auto"/>
        </w:rPr>
        <w:t>Our financial statements for the year ended December 31, 2017, are included in our 2017 Annual Report to Shareholders, which we are providing to our shareholders at the same time as this Proxy Statement. Our Annual Report and this Proxy Statement are also posted on the Internet at http://www.wynnresorts.com. on the Company Information page under the “Annual Meeting” heading. If you would 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HOUSEHOLDING</w:t>
      </w:r>
    </w:p>
    <w:p>
      <w:pPr>
        <w:spacing w:after="0" w:line="124"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auto"/>
        </w:rPr>
        <w:t>Shareholders who are beneficial owners, but not the record holders, of the Company’s securities and share a single address may receive only one copy of the Company’s proxy materials, unless the broker, bank or other nominee delivering the materials has received contrary instructions from one or more of the shareholders. The Company will deliver promptly, upon written or oral request, a separate copy of the proxy materials to a shareholder at a shared address to which a single copy of the document was delivered. A shareholder who wishes to receive a separate copy of the proxy materials, now or in the future, should submit his or her request to the Company by telephone at (702) 770-7555 or by submitting a written request to Wynn Resorts, Limited, c/o Investor Relations, 3131 Las Vegas Boulevard South, Las Vegas, Nevada 89109. Beneficial owners sharing an address who are receiving multiple copies of the proxy materials and wish to receive a single copy of such materials in the future will need to contact their broker, bank or other nominee to request that only a single copy be mailed to all shareholders at the shared address in the future.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OTHER BUSINESS</w:t>
      </w:r>
    </w:p>
    <w:p>
      <w:pPr>
        <w:spacing w:after="0" w:line="124" w:lineRule="exact"/>
        <w:rPr>
          <w:sz w:val="20"/>
          <w:szCs w:val="20"/>
          <w:color w:val="auto"/>
        </w:rPr>
      </w:pPr>
    </w:p>
    <w:p>
      <w:pPr>
        <w:ind w:left="200" w:right="400"/>
        <w:spacing w:after="0" w:line="260" w:lineRule="auto"/>
        <w:rPr>
          <w:sz w:val="20"/>
          <w:szCs w:val="20"/>
          <w:color w:val="auto"/>
        </w:rPr>
      </w:pPr>
      <w:r>
        <w:rPr>
          <w:rFonts w:ascii="Arial" w:cs="Arial" w:eastAsia="Arial" w:hAnsi="Arial"/>
          <w:sz w:val="16"/>
          <w:szCs w:val="16"/>
          <w:color w:val="auto"/>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97155</wp:posOffset>
            </wp:positionV>
            <wp:extent cx="6997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0" w:lineRule="exact"/>
        <w:rPr>
          <w:sz w:val="20"/>
          <w:szCs w:val="20"/>
          <w:color w:val="auto"/>
        </w:rPr>
      </w:pPr>
    </w:p>
    <w:p>
      <w:pPr>
        <w:jc w:val="right"/>
        <w:spacing w:after="0"/>
        <w:tabs>
          <w:tab w:leader="none" w:pos="340" w:val="left"/>
          <w:tab w:leader="none" w:pos="140" w:val="left"/>
        </w:tabs>
        <w:rPr>
          <w:sz w:val="20"/>
          <w:szCs w:val="20"/>
          <w:color w:val="auto"/>
        </w:rPr>
      </w:pPr>
      <w:r>
        <w:rPr>
          <w:rFonts w:ascii="Arial" w:cs="Arial" w:eastAsia="Arial" w:hAnsi="Arial"/>
          <w:sz w:val="14"/>
          <w:szCs w:val="14"/>
          <w:b w:val="1"/>
          <w:bCs w:val="1"/>
          <w:color w:val="auto"/>
        </w:rPr>
        <w:t xml:space="preserve">Wynn </w:t>
      </w:r>
      <w:r>
        <w:rPr>
          <w:rFonts w:ascii="Arial" w:cs="Arial" w:eastAsia="Arial" w:hAnsi="Arial"/>
          <w:sz w:val="14"/>
          <w:szCs w:val="14"/>
          <w:color w:val="auto"/>
        </w:rPr>
        <w:t>2018 Proxy Statement</w:t>
      </w:r>
      <w:r>
        <w:rPr>
          <w:sz w:val="20"/>
          <w:szCs w:val="20"/>
          <w:color w:val="auto"/>
        </w:rPr>
        <w:tab/>
      </w:r>
      <w:r>
        <w:rPr>
          <w:rFonts w:ascii="Arial" w:cs="Arial" w:eastAsia="Arial" w:hAnsi="Arial"/>
          <w:sz w:val="14"/>
          <w:szCs w:val="14"/>
          <w:color w:val="auto"/>
        </w:rPr>
        <w:t>|</w:t>
        <w:tab/>
        <w:t>58</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220345</wp:posOffset>
            </wp:positionV>
            <wp:extent cx="7031990" cy="71266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31990" cy="712660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220345</wp:posOffset>
            </wp:positionV>
            <wp:extent cx="7031990" cy="6869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31990" cy="686943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220345</wp:posOffset>
            </wp:positionV>
            <wp:extent cx="7031990" cy="90989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220345</wp:posOffset>
            </wp:positionV>
            <wp:extent cx="7031990" cy="90989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lvl w:ilvl="1">
      <w:lvlJc w:val="left"/>
      <w:lvlText w:val="(%2)"/>
      <w:numFmt w:val="decimal"/>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1."/>
      <w:numFmt w:val="decimal"/>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5"/>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7"/>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1)"/>
      <w:numFmt w:val="lowerRoman"/>
      <w:start w:val="3"/>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decimal"/>
      <w:start w:val="4"/>
    </w:lvl>
  </w:abstractNum>
  <w:abstractNum w:abstractNumId="52">
    <w:nsid w:val="1EBA5D23"/>
    <w:multiLevelType w:val="hybridMultilevel"/>
    <w:lvl w:ilvl="0">
      <w:lvlJc w:val="left"/>
      <w:lvlText w:val="(%1)"/>
      <w:numFmt w:val="decimal"/>
      <w:start w:val="7"/>
    </w:lvl>
  </w:abstractNum>
  <w:abstractNum w:abstractNumId="53">
    <w:nsid w:val="661E3F1E"/>
    <w:multiLevelType w:val="hybridMultilevel"/>
    <w:lvl w:ilvl="0">
      <w:lvlJc w:val="left"/>
      <w:lvlText w:val="•"/>
      <w:numFmt w:val="bullet"/>
      <w:start w:val="1"/>
    </w:lvl>
    <w:lvl w:ilvl="1">
      <w:lvlJc w:val="left"/>
      <w:lvlText w:val="\endash "/>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lvl w:ilvl="1">
      <w:lvlJc w:val="left"/>
      <w:lvlText w:val="\endash "/>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1)"/>
      <w:numFmt w:val="decimal"/>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1)"/>
      <w:numFmt w:val="decimal"/>
      <w:start w:val="2"/>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1)"/>
      <w:numFmt w:val="lowerRoman"/>
      <w:start w:val="1"/>
    </w:lvl>
  </w:abstractNum>
  <w:abstractNum w:abstractNumId="82">
    <w:nsid w:val="1716703B"/>
    <w:multiLevelType w:val="hybridMultilevel"/>
    <w:lvl w:ilvl="0">
      <w:lvlJc w:val="left"/>
      <w:lvlText w:val="(%1)"/>
      <w:numFmt w:val="lowerRoman"/>
      <w:start w:val="1"/>
    </w:lvl>
  </w:abstractNum>
  <w:abstractNum w:abstractNumId="83">
    <w:nsid w:val="14E17E33"/>
    <w:multiLevelType w:val="hybridMultilevel"/>
    <w:lvl w:ilvl="0">
      <w:lvlJc w:val="left"/>
      <w:lvlText w:val="(%1)"/>
      <w:numFmt w:val="lowerRoman"/>
      <w:start w:val="1"/>
    </w:lvl>
  </w:abstractNum>
  <w:abstractNum w:abstractNumId="84">
    <w:nsid w:val="3222E7CD"/>
    <w:multiLevelType w:val="hybridMultilevel"/>
    <w:lvl w:ilvl="0">
      <w:lvlJc w:val="left"/>
      <w:lvlText w:val="(%1)"/>
      <w:numFmt w:val="lowerRoman"/>
      <w:start w:val="1"/>
    </w:lvl>
  </w:abstractNum>
  <w:abstractNum w:abstractNumId="85">
    <w:nsid w:val="74DE0EE3"/>
    <w:multiLevelType w:val="hybridMultilevel"/>
    <w:lvl w:ilvl="0">
      <w:lvlJc w:val="left"/>
      <w:lvlText w:val="(%1)"/>
      <w:numFmt w:val="decimal"/>
      <w:start w:val="3"/>
    </w:lvl>
  </w:abstractNum>
  <w:abstractNum w:abstractNumId="86">
    <w:nsid w:val="68EBC550"/>
    <w:multiLevelType w:val="hybridMultilevel"/>
    <w:lvl w:ilvl="0">
      <w:lvlJc w:val="left"/>
      <w:lvlText w:val="(%1)"/>
      <w:numFmt w:val="decimal"/>
      <w:start w:val="6"/>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1)"/>
      <w:numFmt w:val="lowerRoman"/>
      <w:start w:val="2"/>
    </w:lvl>
  </w:abstractNum>
  <w:abstractNum w:abstractNumId="89">
    <w:nsid w:val="4A2AC315"/>
    <w:multiLevelType w:val="hybridMultilevel"/>
    <w:lvl w:ilvl="0">
      <w:lvlJc w:val="left"/>
      <w:lvlText w:val="(%1)"/>
      <w:numFmt w:val="decimal"/>
      <w:start w:val="7"/>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2019-12-06T20:52:11Z</dcterms:created>
  <dcterms:modified xsi:type="dcterms:W3CDTF">2019-12-06T20:52:11Z</dcterms:modified>
</cp:coreProperties>
</file>