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13D/A</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 (Amendment No.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320040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WYNN RESORTS, LIMITED</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983134 10 7</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76" w:lineRule="exact"/>
        <w:rPr>
          <w:sz w:val="24"/>
          <w:szCs w:val="24"/>
          <w:color w:val="auto"/>
        </w:rPr>
      </w:pPr>
    </w:p>
    <w:tbl>
      <w:tblPr>
        <w:tblLayout w:type="fixed"/>
        <w:tblInd w:w="1100" w:type="dxa"/>
        <w:tblCellMar>
          <w:top w:w="0" w:type="dxa"/>
          <w:left w:w="0" w:type="dxa"/>
          <w:bottom w:w="0" w:type="dxa"/>
          <w:right w:w="0" w:type="dxa"/>
        </w:tblCellMar>
      </w:tblPr>
      <w:tr>
        <w:trPr>
          <w:trHeight w:val="216"/>
        </w:trPr>
        <w:tc>
          <w:tcPr>
            <w:tcW w:w="4980" w:type="dxa"/>
            <w:vAlign w:val="bottom"/>
          </w:tcPr>
          <w:p>
            <w:pPr>
              <w:jc w:val="center"/>
              <w:ind w:right="1310"/>
              <w:spacing w:after="0"/>
              <w:rPr>
                <w:sz w:val="20"/>
                <w:szCs w:val="20"/>
                <w:color w:val="auto"/>
              </w:rPr>
            </w:pPr>
            <w:r>
              <w:rPr>
                <w:rFonts w:ascii="Arial" w:cs="Arial" w:eastAsia="Arial" w:hAnsi="Arial"/>
                <w:sz w:val="18"/>
                <w:szCs w:val="18"/>
                <w:b w:val="1"/>
                <w:bCs w:val="1"/>
                <w:color w:val="auto"/>
                <w:w w:val="93"/>
              </w:rPr>
              <w:t>Kim Sinatra</w:t>
            </w:r>
          </w:p>
        </w:tc>
        <w:tc>
          <w:tcPr>
            <w:tcW w:w="3720" w:type="dxa"/>
            <w:vAlign w:val="bottom"/>
          </w:tcPr>
          <w:p>
            <w:pPr>
              <w:jc w:val="center"/>
              <w:ind w:left="1330"/>
              <w:spacing w:after="0"/>
              <w:rPr>
                <w:sz w:val="20"/>
                <w:szCs w:val="20"/>
                <w:color w:val="auto"/>
              </w:rPr>
            </w:pPr>
            <w:r>
              <w:rPr>
                <w:rFonts w:ascii="Arial" w:cs="Arial" w:eastAsia="Arial" w:hAnsi="Arial"/>
                <w:sz w:val="18"/>
                <w:szCs w:val="18"/>
                <w:b w:val="1"/>
                <w:bCs w:val="1"/>
                <w:color w:val="auto"/>
                <w:w w:val="92"/>
              </w:rPr>
              <w:t>Brett J. Rodda</w:t>
            </w:r>
          </w:p>
        </w:tc>
      </w:tr>
      <w:tr>
        <w:trPr>
          <w:trHeight w:val="216"/>
        </w:trPr>
        <w:tc>
          <w:tcPr>
            <w:tcW w:w="4980" w:type="dxa"/>
            <w:vAlign w:val="bottom"/>
          </w:tcPr>
          <w:p>
            <w:pPr>
              <w:jc w:val="center"/>
              <w:ind w:right="1310"/>
              <w:spacing w:after="0"/>
              <w:rPr>
                <w:sz w:val="20"/>
                <w:szCs w:val="20"/>
                <w:color w:val="auto"/>
              </w:rPr>
            </w:pPr>
            <w:r>
              <w:rPr>
                <w:rFonts w:ascii="Arial" w:cs="Arial" w:eastAsia="Arial" w:hAnsi="Arial"/>
                <w:sz w:val="18"/>
                <w:szCs w:val="18"/>
                <w:b w:val="1"/>
                <w:bCs w:val="1"/>
                <w:color w:val="auto"/>
                <w:w w:val="89"/>
              </w:rPr>
              <w:t>Executive Vice President and General Counsel</w:t>
            </w:r>
          </w:p>
        </w:tc>
        <w:tc>
          <w:tcPr>
            <w:tcW w:w="3720" w:type="dxa"/>
            <w:vAlign w:val="bottom"/>
          </w:tcPr>
          <w:p>
            <w:pPr>
              <w:jc w:val="center"/>
              <w:ind w:left="1330"/>
              <w:spacing w:after="0"/>
              <w:rPr>
                <w:sz w:val="20"/>
                <w:szCs w:val="20"/>
                <w:color w:val="auto"/>
              </w:rPr>
            </w:pPr>
            <w:r>
              <w:rPr>
                <w:rFonts w:ascii="Arial" w:cs="Arial" w:eastAsia="Arial" w:hAnsi="Arial"/>
                <w:sz w:val="18"/>
                <w:szCs w:val="18"/>
                <w:b w:val="1"/>
                <w:bCs w:val="1"/>
                <w:color w:val="auto"/>
                <w:w w:val="92"/>
              </w:rPr>
              <w:t>Munger, Tolles &amp; Olson LLP</w:t>
            </w:r>
          </w:p>
        </w:tc>
      </w:tr>
      <w:tr>
        <w:trPr>
          <w:trHeight w:val="216"/>
        </w:trPr>
        <w:tc>
          <w:tcPr>
            <w:tcW w:w="4980" w:type="dxa"/>
            <w:vAlign w:val="bottom"/>
          </w:tcPr>
          <w:p>
            <w:pPr>
              <w:jc w:val="center"/>
              <w:ind w:right="1310"/>
              <w:spacing w:after="0"/>
              <w:rPr>
                <w:sz w:val="20"/>
                <w:szCs w:val="20"/>
                <w:color w:val="auto"/>
              </w:rPr>
            </w:pPr>
            <w:r>
              <w:rPr>
                <w:rFonts w:ascii="Arial" w:cs="Arial" w:eastAsia="Arial" w:hAnsi="Arial"/>
                <w:sz w:val="18"/>
                <w:szCs w:val="18"/>
                <w:b w:val="1"/>
                <w:bCs w:val="1"/>
                <w:color w:val="auto"/>
                <w:w w:val="91"/>
              </w:rPr>
              <w:t>Wynn Resorts, Limited</w:t>
            </w:r>
          </w:p>
        </w:tc>
        <w:tc>
          <w:tcPr>
            <w:tcW w:w="3720" w:type="dxa"/>
            <w:vAlign w:val="bottom"/>
          </w:tcPr>
          <w:p>
            <w:pPr>
              <w:jc w:val="center"/>
              <w:ind w:left="1330"/>
              <w:spacing w:after="0"/>
              <w:rPr>
                <w:sz w:val="20"/>
                <w:szCs w:val="20"/>
                <w:color w:val="auto"/>
              </w:rPr>
            </w:pPr>
            <w:r>
              <w:rPr>
                <w:rFonts w:ascii="Arial" w:cs="Arial" w:eastAsia="Arial" w:hAnsi="Arial"/>
                <w:sz w:val="18"/>
                <w:szCs w:val="18"/>
                <w:b w:val="1"/>
                <w:bCs w:val="1"/>
                <w:color w:val="auto"/>
                <w:w w:val="90"/>
              </w:rPr>
              <w:t>355 South Grand Avenue</w:t>
            </w:r>
          </w:p>
        </w:tc>
      </w:tr>
      <w:tr>
        <w:trPr>
          <w:trHeight w:val="216"/>
        </w:trPr>
        <w:tc>
          <w:tcPr>
            <w:tcW w:w="4980" w:type="dxa"/>
            <w:vAlign w:val="bottom"/>
          </w:tcPr>
          <w:p>
            <w:pPr>
              <w:jc w:val="center"/>
              <w:ind w:right="1310"/>
              <w:spacing w:after="0"/>
              <w:rPr>
                <w:sz w:val="20"/>
                <w:szCs w:val="20"/>
                <w:color w:val="auto"/>
              </w:rPr>
            </w:pPr>
            <w:r>
              <w:rPr>
                <w:rFonts w:ascii="Arial" w:cs="Arial" w:eastAsia="Arial" w:hAnsi="Arial"/>
                <w:sz w:val="18"/>
                <w:szCs w:val="18"/>
                <w:b w:val="1"/>
                <w:bCs w:val="1"/>
                <w:color w:val="auto"/>
                <w:w w:val="88"/>
              </w:rPr>
              <w:t>3131 Las Vegas Boulevard South</w:t>
            </w:r>
          </w:p>
        </w:tc>
        <w:tc>
          <w:tcPr>
            <w:tcW w:w="3720" w:type="dxa"/>
            <w:vAlign w:val="bottom"/>
          </w:tcPr>
          <w:p>
            <w:pPr>
              <w:jc w:val="center"/>
              <w:ind w:left="1330"/>
              <w:spacing w:after="0"/>
              <w:rPr>
                <w:sz w:val="20"/>
                <w:szCs w:val="20"/>
                <w:color w:val="auto"/>
              </w:rPr>
            </w:pPr>
            <w:r>
              <w:rPr>
                <w:rFonts w:ascii="Arial" w:cs="Arial" w:eastAsia="Arial" w:hAnsi="Arial"/>
                <w:sz w:val="18"/>
                <w:szCs w:val="18"/>
                <w:b w:val="1"/>
                <w:bCs w:val="1"/>
                <w:color w:val="auto"/>
                <w:w w:val="94"/>
              </w:rPr>
              <w:t>35th Floor</w:t>
            </w:r>
          </w:p>
        </w:tc>
      </w:tr>
      <w:tr>
        <w:trPr>
          <w:trHeight w:val="216"/>
        </w:trPr>
        <w:tc>
          <w:tcPr>
            <w:tcW w:w="4980" w:type="dxa"/>
            <w:vAlign w:val="bottom"/>
          </w:tcPr>
          <w:p>
            <w:pPr>
              <w:jc w:val="center"/>
              <w:ind w:right="1310"/>
              <w:spacing w:after="0"/>
              <w:rPr>
                <w:sz w:val="20"/>
                <w:szCs w:val="20"/>
                <w:color w:val="auto"/>
              </w:rPr>
            </w:pPr>
            <w:r>
              <w:rPr>
                <w:rFonts w:ascii="Arial" w:cs="Arial" w:eastAsia="Arial" w:hAnsi="Arial"/>
                <w:sz w:val="18"/>
                <w:szCs w:val="18"/>
                <w:b w:val="1"/>
                <w:bCs w:val="1"/>
                <w:color w:val="auto"/>
                <w:w w:val="88"/>
              </w:rPr>
              <w:t>Las Vegas, Nevada 89109</w:t>
            </w:r>
          </w:p>
        </w:tc>
        <w:tc>
          <w:tcPr>
            <w:tcW w:w="3720" w:type="dxa"/>
            <w:vAlign w:val="bottom"/>
          </w:tcPr>
          <w:p>
            <w:pPr>
              <w:jc w:val="center"/>
              <w:ind w:left="1330"/>
              <w:spacing w:after="0"/>
              <w:rPr>
                <w:sz w:val="20"/>
                <w:szCs w:val="20"/>
                <w:color w:val="auto"/>
              </w:rPr>
            </w:pPr>
            <w:r>
              <w:rPr>
                <w:rFonts w:ascii="Arial" w:cs="Arial" w:eastAsia="Arial" w:hAnsi="Arial"/>
                <w:sz w:val="18"/>
                <w:szCs w:val="18"/>
                <w:b w:val="1"/>
                <w:bCs w:val="1"/>
                <w:color w:val="auto"/>
                <w:w w:val="90"/>
              </w:rPr>
              <w:t>Los Angeles, California 90071</w:t>
            </w:r>
          </w:p>
        </w:tc>
      </w:tr>
      <w:tr>
        <w:trPr>
          <w:trHeight w:val="234"/>
        </w:trPr>
        <w:tc>
          <w:tcPr>
            <w:tcW w:w="4980" w:type="dxa"/>
            <w:vAlign w:val="bottom"/>
          </w:tcPr>
          <w:p>
            <w:pPr>
              <w:jc w:val="center"/>
              <w:ind w:right="1310"/>
              <w:spacing w:after="0"/>
              <w:rPr>
                <w:sz w:val="20"/>
                <w:szCs w:val="20"/>
                <w:color w:val="auto"/>
              </w:rPr>
            </w:pPr>
            <w:r>
              <w:rPr>
                <w:rFonts w:ascii="Arial" w:cs="Arial" w:eastAsia="Arial" w:hAnsi="Arial"/>
                <w:sz w:val="18"/>
                <w:szCs w:val="18"/>
                <w:b w:val="1"/>
                <w:bCs w:val="1"/>
                <w:color w:val="auto"/>
                <w:w w:val="89"/>
              </w:rPr>
              <w:t>(702) 770-2112</w:t>
            </w:r>
          </w:p>
        </w:tc>
        <w:tc>
          <w:tcPr>
            <w:tcW w:w="3720" w:type="dxa"/>
            <w:vAlign w:val="bottom"/>
          </w:tcPr>
          <w:p>
            <w:pPr>
              <w:jc w:val="center"/>
              <w:ind w:left="1330"/>
              <w:spacing w:after="0"/>
              <w:rPr>
                <w:sz w:val="20"/>
                <w:szCs w:val="20"/>
                <w:color w:val="auto"/>
              </w:rPr>
            </w:pPr>
            <w:r>
              <w:rPr>
                <w:rFonts w:ascii="Arial" w:cs="Arial" w:eastAsia="Arial" w:hAnsi="Arial"/>
                <w:sz w:val="18"/>
                <w:szCs w:val="18"/>
                <w:b w:val="1"/>
                <w:bCs w:val="1"/>
                <w:color w:val="auto"/>
                <w:w w:val="92"/>
              </w:rPr>
              <w:t>(213) 683-9100</w:t>
            </w:r>
          </w:p>
        </w:tc>
      </w:tr>
    </w:tbl>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November 3, 2015</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4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ind w:right="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4"/>
          <w:szCs w:val="24"/>
          <w:color w:val="auto"/>
        </w:rPr>
      </w:pPr>
    </w:p>
    <w:p>
      <w:pPr>
        <w:ind w:left="460" w:right="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983134 10 7</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011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601154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Stephen A. Wynn</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3"/>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spacing w:after="0"/>
              <w:rPr>
                <w:sz w:val="20"/>
                <w:szCs w:val="20"/>
                <w:color w:val="auto"/>
              </w:rPr>
            </w:pPr>
          </w:p>
        </w:tc>
        <w:tc>
          <w:tcPr>
            <w:tcW w:w="9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N/A</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109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98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United States of America</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20" w:type="dxa"/>
            <w:vAlign w:val="bottom"/>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3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9820" w:type="dxa"/>
            <w:vAlign w:val="bottom"/>
          </w:tcPr>
          <w:p>
            <w:pPr>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19,605,100*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87"/>
              </w:rPr>
              <w:t>Each</w:t>
            </w:r>
          </w:p>
        </w:tc>
        <w:tc>
          <w:tcPr>
            <w:tcW w:w="3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6"/>
                <w:szCs w:val="6"/>
                <w:color w:val="auto"/>
              </w:rPr>
            </w:pPr>
          </w:p>
        </w:tc>
        <w:tc>
          <w:tcPr>
            <w:tcW w:w="98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right w:val="single" w:sz="8" w:color="auto"/>
            </w:tcBorders>
            <w:gridSpan w:val="3"/>
            <w:vMerge w:val="continue"/>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right w:val="single" w:sz="8" w:color="auto"/>
            </w:tcBorders>
          </w:tcPr>
          <w:p>
            <w:pPr>
              <w:jc w:val="center"/>
              <w:ind w:right="224"/>
              <w:spacing w:after="0" w:line="203" w:lineRule="exact"/>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19,605,100*</w:t>
            </w:r>
          </w:p>
        </w:tc>
        <w:tc>
          <w:tcPr>
            <w:tcW w:w="0" w:type="dxa"/>
            <w:vAlign w:val="bottom"/>
          </w:tcPr>
          <w:p>
            <w:pPr>
              <w:spacing w:after="0"/>
              <w:rPr>
                <w:sz w:val="1"/>
                <w:szCs w:val="1"/>
                <w:color w:val="auto"/>
              </w:rPr>
            </w:pPr>
          </w:p>
        </w:tc>
      </w:tr>
      <w:tr>
        <w:trPr>
          <w:trHeight w:val="226"/>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5"/>
              </w:rPr>
              <w:t>19,605,100</w:t>
            </w: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109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9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19.31% *</w:t>
            </w: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40" w:hanging="212"/>
        <w:spacing w:after="0" w:line="255"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10,066,023 shares (the “SAW Shares”) indirectly held by Stephen A. Wynn (“Mr. Wynn”) through Wynn Family Limited Partnership (“WFLP”), and 9,539,077 shares (the “EW Shares”) held by Elaine P. Wynn (“Ms. Wynn” and, together with Mr. Wynn and WFLP, the “Reporting Persons”). The EW Shares were previously held as community property by Mr. Wynn and Ms. Wynn and they were transferred to Ms. Wynn pursuant to a divorce settlement on January 6, 2010. The EW Shares may be deemed to be beneficially owned by Mr. Wynn under the amended and restated stockholders agreement, dated as of January 6, 2010, among Mr. Wynn, Ms. Wynn and Aruze USA, Inc. (“Aruze USA”) (the “Amended and Restated Stockholders Agreement”). Mr. Wynn disclaims beneficial ownership of the EW Shares.</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983134 10 7</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011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601154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Elaine P. Wynn</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3"/>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spacing w:after="0"/>
              <w:rPr>
                <w:sz w:val="20"/>
                <w:szCs w:val="20"/>
                <w:color w:val="auto"/>
              </w:rPr>
            </w:pPr>
          </w:p>
        </w:tc>
        <w:tc>
          <w:tcPr>
            <w:tcW w:w="9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N/A</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109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98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United States of America</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20" w:type="dxa"/>
            <w:vAlign w:val="bottom"/>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3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9820" w:type="dxa"/>
            <w:vAlign w:val="bottom"/>
          </w:tcPr>
          <w:p>
            <w:pPr>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19,605,100*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87"/>
              </w:rPr>
              <w:t>Each</w:t>
            </w:r>
          </w:p>
        </w:tc>
        <w:tc>
          <w:tcPr>
            <w:tcW w:w="3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6"/>
                <w:szCs w:val="6"/>
                <w:color w:val="auto"/>
              </w:rPr>
            </w:pPr>
          </w:p>
        </w:tc>
        <w:tc>
          <w:tcPr>
            <w:tcW w:w="98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right w:val="single" w:sz="8" w:color="auto"/>
            </w:tcBorders>
            <w:gridSpan w:val="3"/>
            <w:vMerge w:val="continue"/>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right w:val="single" w:sz="8" w:color="auto"/>
            </w:tcBorders>
          </w:tcPr>
          <w:p>
            <w:pPr>
              <w:jc w:val="center"/>
              <w:ind w:right="224"/>
              <w:spacing w:after="0" w:line="203" w:lineRule="exact"/>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19,605,100*</w:t>
            </w:r>
          </w:p>
        </w:tc>
        <w:tc>
          <w:tcPr>
            <w:tcW w:w="0" w:type="dxa"/>
            <w:vAlign w:val="bottom"/>
          </w:tcPr>
          <w:p>
            <w:pPr>
              <w:spacing w:after="0"/>
              <w:rPr>
                <w:sz w:val="1"/>
                <w:szCs w:val="1"/>
                <w:color w:val="auto"/>
              </w:rPr>
            </w:pPr>
          </w:p>
        </w:tc>
      </w:tr>
      <w:tr>
        <w:trPr>
          <w:trHeight w:val="226"/>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89"/>
              </w:rPr>
              <w:t>19,605,100*</w:t>
            </w: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109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9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19.31% *</w:t>
            </w: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52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the EW Shares and the SAW Shares held by Mr. Wynn that may be deemed to be beneficially owned by Ms. Wynn under the Amended and Restated Stockholders Agreement. Ms. Wynn disclaims beneficial ownership of the SAW Shares.</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274"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983134 10 7</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011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601154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Wynn Family Limited Partnership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3"/>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spacing w:after="0"/>
              <w:rPr>
                <w:sz w:val="20"/>
                <w:szCs w:val="20"/>
                <w:color w:val="auto"/>
              </w:rPr>
            </w:pPr>
          </w:p>
        </w:tc>
        <w:tc>
          <w:tcPr>
            <w:tcW w:w="9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N/A</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109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98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20" w:type="dxa"/>
            <w:vAlign w:val="bottom"/>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3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9820" w:type="dxa"/>
            <w:vAlign w:val="bottom"/>
          </w:tcPr>
          <w:p>
            <w:pPr>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19,605,100*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87"/>
              </w:rPr>
              <w:t>Each</w:t>
            </w:r>
          </w:p>
        </w:tc>
        <w:tc>
          <w:tcPr>
            <w:tcW w:w="3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6"/>
                <w:szCs w:val="6"/>
                <w:color w:val="auto"/>
              </w:rPr>
            </w:pPr>
          </w:p>
        </w:tc>
        <w:tc>
          <w:tcPr>
            <w:tcW w:w="98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right w:val="single" w:sz="8" w:color="auto"/>
            </w:tcBorders>
            <w:gridSpan w:val="3"/>
            <w:vMerge w:val="continue"/>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right w:val="single" w:sz="8" w:color="auto"/>
            </w:tcBorders>
          </w:tcPr>
          <w:p>
            <w:pPr>
              <w:jc w:val="center"/>
              <w:ind w:right="224"/>
              <w:spacing w:after="0" w:line="203" w:lineRule="exact"/>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19,605,100*</w:t>
            </w:r>
          </w:p>
        </w:tc>
        <w:tc>
          <w:tcPr>
            <w:tcW w:w="0" w:type="dxa"/>
            <w:vAlign w:val="bottom"/>
          </w:tcPr>
          <w:p>
            <w:pPr>
              <w:spacing w:after="0"/>
              <w:rPr>
                <w:sz w:val="1"/>
                <w:szCs w:val="1"/>
                <w:color w:val="auto"/>
              </w:rPr>
            </w:pPr>
          </w:p>
        </w:tc>
      </w:tr>
      <w:tr>
        <w:trPr>
          <w:trHeight w:val="226"/>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5"/>
              </w:rPr>
              <w:t>19,605,100</w:t>
            </w: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109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9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19.31% *</w:t>
            </w: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320" w:hanging="212"/>
        <w:spacing w:after="0" w:line="279" w:lineRule="auto"/>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Includes the SAW Shares indirectly held by Mr. Wynn, in his capacity as trustee of the Stephen A. Wynn Revocable Trust U/D/T dated June 24, 2010 (“Revocable Trust”), through WFLP and the EW Shares. Mr. Wynn, in his capacity as trustee of the Revocable Trust, is the sole manager of Wynn GP, LLC (“Wynn GP”), which is the general partner of WFLP. The EW Shares may be deemed to be beneficially owned by WFLP under the Amended and Restated Stockholders Agreement. WFLP disclaims beneficial ownership of the EW Shares.</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40"/>
          </w:cols>
          <w:pgMar w:left="240" w:top="274" w:right="219" w:bottom="1440" w:gutter="0" w:footer="0" w:header="0"/>
        </w:sectPr>
      </w:pPr>
    </w:p>
    <w:bookmarkStart w:id="4" w:name="page5"/>
    <w:bookmarkEnd w:id="4"/>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11 hereby amends and supplements the Schedule 13D filed by Mr. Wynn with the Securities and Exchange Commission (the “Commission”) on November 13, 2002 (the “Original Schedule 13D”), as amended by the Schedule 13D/A filed by Mr. Wynn and Ms. Wynn (the “Original Reporting Persons”) with the Commission on April 21, 2003 (“Amendment No. 1”), as amended by the Schedule 13D/A filed by the Original Reporting Persons with the Commission on September 22, 2003 (“Amendment No. 2”), as amended by the Schedule 13D/A filed by the Original Reporting Persons with the Commission on November 13, 2006 (“Amendment No. 3”), as amended by the Schedule 13D/A filed by the Original Reporting Persons with the Commission on August 3, 2009 (“Amendment No. 4”), as amended by the Schedule 13D/A filed by the Original Reporting Persons with the Commission on August 18, 2009 (“Amendment No. 5”), as amended by the Schedule 13D/A filed by the Original Reporting Persons with the Commission on January 6, 2010 (“Amendment No. 6”), as amended by the Schedule 13D/A filed by the Original Reporting Persons with the Commission on December 3, 2010 (“Amendment No. 7”), as amended by the Schedule 13D/A filed by the Original Reporting Persons with the Commission on December 20, 2010 (“Amendment No. 8”), as amended by the Schedule 13D/A filed by the Original Reporting Persons with the Commission on March 5, 2012 (“Amendment No. 9”) and as amended by the Schedule 13D/A filed by the Original Reporting Persons with the Commission on March 23, 2015 (“Amendment No. 10” and, collectively with the Original Schedule 13D, Amendment No. 1, Amendment No. 2, Amendment No. 3, Amendment No. 4, Amendment No. 5, Amendment No. 6, Amendment No. 7, Amendment No. 8 and Amendment No. 9, the “Schedule 13D”). Capitalized terms used but not defined herein shall have the respective meanings set forth in the Schedule 13D.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response set forth in Item 2 of the Schedule 13D, as previously amended, is hereby supplemented with the following information:</w:t>
      </w:r>
    </w:p>
    <w:p>
      <w:pPr>
        <w:spacing w:after="0" w:line="225" w:lineRule="exact"/>
        <w:rPr>
          <w:sz w:val="20"/>
          <w:szCs w:val="20"/>
          <w:color w:val="auto"/>
        </w:rPr>
      </w:pPr>
    </w:p>
    <w:p>
      <w:pPr>
        <w:ind w:right="60" w:firstLine="8"/>
        <w:spacing w:after="0" w:line="276" w:lineRule="auto"/>
        <w:tabs>
          <w:tab w:leader="none" w:pos="24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Amendment No. 11 is being filed to add WFLP as an additional reporting person insofar as it may be deemed to share beneficial ownership of shares with Mr. Wynn and Ms. Wynn. WFLP is a holding company through which Mr. Wynn, in his capacity as trustee of the Revocable Trust, holds shares of the Company’s common stock, par value $0.01 (the “Common Stock”). Mr. Wynn, in his capacity as trustee of the Revocable Trust, is the sole manager of Wynn GP, which is the general partner of WFLP. Upon receipt of shares of the Common Stock in connection with the September 28, 2012 merger of a predecessor of WFLP with and into WFLP, WFLP became a party to the Amended and Restated Stockholders Agreement.</w:t>
      </w:r>
    </w:p>
    <w:p>
      <w:pPr>
        <w:spacing w:after="0" w:line="172" w:lineRule="exact"/>
        <w:rPr>
          <w:rFonts w:ascii="Arial" w:cs="Arial" w:eastAsia="Arial" w:hAnsi="Arial"/>
          <w:sz w:val="17"/>
          <w:szCs w:val="17"/>
          <w:color w:val="auto"/>
        </w:rPr>
      </w:pPr>
    </w:p>
    <w:p>
      <w:pPr>
        <w:ind w:left="260" w:hanging="252"/>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address of the principal business office of WFLP is c/o Wynn Resorts, Limited, 3131 Las Vegas Boulevard South, Las Vegas, NV 89109.</w:t>
      </w:r>
    </w:p>
    <w:p>
      <w:pPr>
        <w:spacing w:after="0" w:line="236" w:lineRule="exact"/>
        <w:rPr>
          <w:rFonts w:ascii="Arial" w:cs="Arial" w:eastAsia="Arial" w:hAnsi="Arial"/>
          <w:sz w:val="17"/>
          <w:szCs w:val="17"/>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principal business of WFLP is to hold the Common Stock of the Company.</w:t>
      </w:r>
    </w:p>
    <w:p>
      <w:pPr>
        <w:spacing w:after="0" w:line="225" w:lineRule="exact"/>
        <w:rPr>
          <w:rFonts w:ascii="Arial" w:cs="Arial" w:eastAsia="Arial" w:hAnsi="Arial"/>
          <w:sz w:val="18"/>
          <w:szCs w:val="18"/>
          <w:color w:val="auto"/>
        </w:rPr>
      </w:pPr>
    </w:p>
    <w:p>
      <w:pPr>
        <w:ind w:right="18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last five years, neither WFLP nor any of the persons controlling WFLP has been convicted in a criminal proceeding in either case of the type specified in Items 2(d) or (e) of Schedule 13D.</w:t>
      </w:r>
    </w:p>
    <w:p>
      <w:pPr>
        <w:spacing w:after="0" w:line="170" w:lineRule="exact"/>
        <w:rPr>
          <w:rFonts w:ascii="Arial" w:cs="Arial" w:eastAsia="Arial" w:hAnsi="Arial"/>
          <w:sz w:val="18"/>
          <w:szCs w:val="18"/>
          <w:color w:val="auto"/>
        </w:rPr>
      </w:pPr>
    </w:p>
    <w:p>
      <w:pPr>
        <w:ind w:right="320" w:firstLine="8"/>
        <w:spacing w:after="0" w:line="277"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last five years, neither of WFLP, nor, to the knowledge of WFLP, any of the persons controlling WFLP, was a party to a civil proceeding in either case of the type specified in Items 2(d) or (e) of Schedule 13D.</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WFLP is a Delaware limited partnership.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 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response set forth in Item 4 of the Schedule 13D, as previously amended, is hereby supplemented with the following information:</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WFLP is a holding company through which Mr. Wynn, in his capacity as trustee of the Revocable Trust, holds shares of Common Stock. In the event that Mr. Wynn acquires shares of Common Stock or other securities in the future, he may elect to contribute such property to WFLP.</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Nothing contained in this Schedule 13D/A shall be construed as a waiver or an admission by any Reporting Person with respect to any right, claim or agreement, nor shall the contents of, execution of or filing of the Schedule 13D/A be used as, or be deemed to be, evidence of any such waiver or admission in any manner, including in any future proceeding relating to any such right, claim or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response set forth in Item 5 of the Schedule 13D, as previously amended, is hereby supplemented with the following information:</w:t>
      </w:r>
    </w:p>
    <w:p>
      <w:pPr>
        <w:spacing w:after="0" w:line="225" w:lineRule="exact"/>
        <w:rPr>
          <w:sz w:val="20"/>
          <w:szCs w:val="20"/>
          <w:color w:val="auto"/>
        </w:rPr>
      </w:pPr>
    </w:p>
    <w:p>
      <w:pPr>
        <w:ind w:firstLine="8"/>
        <w:spacing w:after="0" w:line="312" w:lineRule="auto"/>
        <w:tabs>
          <w:tab w:leader="none" w:pos="245"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items 11 and 13 on the cover pages to this Schedule 13D/A for the aggregate number of shares and the percentage of the Company’s Common Stock owned by the Reporting Persons. All percentages in this Amendment No. 11 assume there to be 101,536,779 shares of Common Stock outstanding, as reported in the Company’s quarterly report on Form 10-Q for the quarter ended June 30, 2015, filed with the Commission on August 7, 2015.</w:t>
      </w:r>
    </w:p>
    <w:p>
      <w:pPr>
        <w:spacing w:after="0" w:line="146" w:lineRule="exact"/>
        <w:rPr>
          <w:rFonts w:ascii="Arial" w:cs="Arial" w:eastAsia="Arial" w:hAnsi="Arial"/>
          <w:sz w:val="16"/>
          <w:szCs w:val="16"/>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items 7 through 10 on the cover pages to this Schedule 13D/A.</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There have been no transactions in the Common Stock effected by the Reporting Persons within sixty (60) days preceding the date hereof.</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response set forth in Item 6 of the Schedule 13D, as previously amended, is hereby supplemented with the following information:</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Upon receipt of Common Stock in connection with the merger of a predecessor of WFLP with and into WFLP, WFLP became a party to the Amended and Restated Stockholders Agreement.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270" w:right="399" w:bottom="1440" w:gutter="0" w:footer="0" w:header="0"/>
        </w:sectPr>
      </w:pPr>
    </w:p>
    <w:bookmarkStart w:id="6" w:name="page7"/>
    <w:bookmarkEnd w:id="6"/>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ectPr>
          <w:pgSz w:w="11900" w:h="16838" w:orient="portrait"/>
          <w:cols w:equalWidth="0" w:num="1">
            <w:col w:w="10920"/>
          </w:cols>
          <w:pgMar w:left="240" w:top="270" w:right="739" w:bottom="1440" w:gutter="0" w:footer="0" w:header="0"/>
        </w:sectPr>
      </w:pPr>
    </w:p>
    <w:bookmarkStart w:id="7" w:name="page8"/>
    <w:bookmarkEnd w:id="7"/>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ELAINE P. WYNN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Elaine P. Wynn</w:t>
      </w:r>
    </w:p>
    <w:p>
      <w:pPr>
        <w:sectPr>
          <w:pgSz w:w="11900" w:h="16838" w:orient="portrait"/>
          <w:cols w:equalWidth="0" w:num="1">
            <w:col w:w="10920"/>
          </w:cols>
          <w:pgMar w:left="240" w:top="270" w:right="739" w:bottom="1440" w:gutter="0" w:footer="0" w:header="0"/>
        </w:sectPr>
      </w:pPr>
    </w:p>
    <w:bookmarkStart w:id="8" w:name="page9"/>
    <w:bookmarkEnd w:id="8"/>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FAMILY LIMITED PARTNERSHIP</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GP, LLC, its general partner</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Stephen A. Wynn Revocable Trust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U/D/T/ Dated June 24, 2010, its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Stephen A. Wynn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Trustee</w:t>
      </w:r>
    </w:p>
    <w:p>
      <w:pPr>
        <w:sectPr>
          <w:pgSz w:w="11900" w:h="16838" w:orient="portrait"/>
          <w:cols w:equalWidth="0" w:num="1">
            <w:col w:w="10920"/>
          </w:cols>
          <w:pgMar w:left="240" w:top="270" w:right="739" w:bottom="1440" w:gutter="0" w:footer="0" w:header="0"/>
        </w:sectPr>
      </w:pPr>
    </w:p>
    <w:bookmarkStart w:id="9" w:name="page10"/>
    <w:bookmarkEnd w:id="9"/>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2" w:lineRule="exact"/>
        <w:rPr>
          <w:sz w:val="20"/>
          <w:szCs w:val="20"/>
          <w:color w:val="auto"/>
        </w:rPr>
      </w:pPr>
    </w:p>
    <w:p>
      <w:pPr>
        <w:ind w:left="12"/>
        <w:spacing w:after="0"/>
        <w:tabs>
          <w:tab w:leader="none" w:pos="1192"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113" w:lineRule="exact"/>
        <w:rPr>
          <w:sz w:val="20"/>
          <w:szCs w:val="20"/>
          <w:color w:val="auto"/>
        </w:rPr>
      </w:pPr>
    </w:p>
    <w:p>
      <w:pPr>
        <w:ind w:left="1212" w:hanging="1212"/>
        <w:spacing w:after="0" w:line="264" w:lineRule="auto"/>
        <w:tabs>
          <w:tab w:leader="none" w:pos="1212" w:val="left"/>
        </w:tabs>
        <w:numPr>
          <w:ilvl w:val="0"/>
          <w:numId w:val="7"/>
        </w:numPr>
        <w:rPr>
          <w:rFonts w:ascii="Arial" w:cs="Arial" w:eastAsia="Arial" w:hAnsi="Arial"/>
          <w:sz w:val="18"/>
          <w:szCs w:val="18"/>
          <w:color w:val="auto"/>
        </w:rPr>
      </w:pPr>
      <w:r>
        <w:rPr>
          <w:rFonts w:ascii="Arial" w:cs="Arial" w:eastAsia="Arial" w:hAnsi="Arial"/>
          <w:sz w:val="18"/>
          <w:szCs w:val="18"/>
          <w:color w:val="auto"/>
        </w:rPr>
        <w:t>Joint Filing Agreement, dated April 21, 2003, between Stephen A. Wynn and Elaine P. Wynn (previously filed as Exhibit (g) to the Schedule 13D/A of Stephen A. Wynn and Elaine P. Wynn, Commission File No. 005-78590, filed on April 21, 2003 and incorporated herein by reference).</w:t>
      </w:r>
    </w:p>
    <w:sectPr>
      <w:pgSz w:w="11900" w:h="16838" w:orient="portrait"/>
      <w:cols w:equalWidth="0" w:num="1">
        <w:col w:w="11332"/>
      </w:cols>
      <w:pgMar w:left="248" w:top="2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2019-12-08T01:08:46Z</dcterms:created>
  <dcterms:modified xsi:type="dcterms:W3CDTF">2019-12-08T01:08:46Z</dcterms:modified>
</cp:coreProperties>
</file>