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tabs>
          <w:tab w:leader="none" w:pos="500" w:val="left"/>
          <w:tab w:leader="none" w:pos="1040" w:val="left"/>
          <w:tab w:leader="none" w:pos="1560" w:val="left"/>
        </w:tabs>
        <w:rPr>
          <w:sz w:val="20"/>
          <w:szCs w:val="20"/>
          <w:color w:val="auto"/>
        </w:rPr>
      </w:pPr>
      <w:r>
        <w:rPr>
          <w:rFonts w:ascii="Arial" w:cs="Arial" w:eastAsia="Arial" w:hAnsi="Arial"/>
          <w:sz w:val="22"/>
          <w:szCs w:val="22"/>
          <w:color w:val="FFFFFF"/>
        </w:rPr>
        <w:t>2</w:t>
      </w:r>
      <w:r>
        <w:rPr>
          <w:sz w:val="20"/>
          <w:szCs w:val="20"/>
          <w:color w:val="auto"/>
        </w:rPr>
        <w:tab/>
      </w:r>
      <w:r>
        <w:rPr>
          <w:rFonts w:ascii="Arial" w:cs="Arial" w:eastAsia="Arial" w:hAnsi="Arial"/>
          <w:sz w:val="22"/>
          <w:szCs w:val="22"/>
          <w:color w:val="FFFFFF"/>
        </w:rPr>
        <w:t>0</w:t>
      </w:r>
      <w:r>
        <w:rPr>
          <w:sz w:val="20"/>
          <w:szCs w:val="20"/>
          <w:color w:val="auto"/>
        </w:rPr>
        <w:tab/>
      </w:r>
      <w:r>
        <w:rPr>
          <w:rFonts w:ascii="Arial" w:cs="Arial" w:eastAsia="Arial" w:hAnsi="Arial"/>
          <w:sz w:val="22"/>
          <w:szCs w:val="22"/>
          <w:color w:val="FFFFFF"/>
        </w:rPr>
        <w:t>2</w:t>
      </w:r>
      <w:r>
        <w:rPr>
          <w:sz w:val="20"/>
          <w:szCs w:val="20"/>
          <w:color w:val="auto"/>
        </w:rPr>
        <w:tab/>
      </w:r>
      <w:r>
        <w:rPr>
          <w:rFonts w:ascii="Arial" w:cs="Arial" w:eastAsia="Arial" w:hAnsi="Arial"/>
          <w:sz w:val="21"/>
          <w:szCs w:val="21"/>
          <w:color w:val="FFFFFF"/>
        </w:rPr>
        <w:t>4</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62"/>
          <w:szCs w:val="62"/>
          <w:color w:val="FFFFFF"/>
        </w:rPr>
        <w:t xml:space="preserve">Annual </w:t>
      </w:r>
      <w:r>
        <w:rPr>
          <w:rFonts w:ascii="Times New Roman" w:cs="Times New Roman" w:eastAsia="Times New Roman" w:hAnsi="Times New Roman"/>
          <w:sz w:val="62"/>
          <w:szCs w:val="62"/>
          <w:i w:val="1"/>
          <w:iCs w:val="1"/>
          <w:color w:val="FFFFFF"/>
        </w:rPr>
        <w:t>Report</w:t>
      </w:r>
    </w:p>
    <w:p>
      <w:pPr>
        <w:sectPr>
          <w:pgSz w:w="11880" w:h="15480" w:orient="portrait"/>
          <w:cols w:equalWidth="0" w:num="1">
            <w:col w:w="9160"/>
          </w:cols>
          <w:pgMar w:left="128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jc w:val="center"/>
        <w:spacing w:after="0" w:line="208" w:lineRule="auto"/>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1790700</wp:posOffset>
                </wp:positionH>
                <wp:positionV relativeFrom="paragraph">
                  <wp:posOffset>107315</wp:posOffset>
                </wp:positionV>
                <wp:extent cx="3352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2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pt,8.45pt" to="405pt,8.45pt" o:allowincell="f" strokecolor="#000000" strokeweight="1pt"/>
            </w:pict>
          </mc:Fallback>
        </mc:AlternateConten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ind w:left="400" w:hanging="400"/>
        <w:spacing w:after="0" w:line="226" w:lineRule="auto"/>
        <w:tabs>
          <w:tab w:leader="none" w:pos="40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w:t>
            </w:r>
          </w:p>
        </w:tc>
        <w:tc>
          <w:tcPr>
            <w:tcW w:w="720" w:type="dxa"/>
            <w:vAlign w:val="bottom"/>
          </w:tcPr>
          <w:p>
            <w:pPr>
              <w:spacing w:after="0"/>
              <w:rPr>
                <w:sz w:val="17"/>
                <w:szCs w:val="17"/>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78"/>
        </w:trPr>
        <w:tc>
          <w:tcPr>
            <w:tcW w:w="19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Commission File No. 000-50028</w:t>
            </w:r>
          </w:p>
        </w:tc>
      </w:tr>
    </w:tbl>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WYNN RESORTS, LIMITED</w:t>
      </w:r>
    </w:p>
    <w:p>
      <w:pPr>
        <w:jc w:val="center"/>
        <w:spacing w:after="0" w:line="187"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jc w:val="center"/>
              <w:ind w:left="1733"/>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46-0484987</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4"/>
        </w:trPr>
        <w:tc>
          <w:tcPr>
            <w:tcW w:w="7680" w:type="dxa"/>
            <w:vAlign w:val="bottom"/>
            <w:gridSpan w:val="5"/>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1660" w:type="dxa"/>
            <w:vAlign w:val="bottom"/>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0"/>
        </w:trPr>
        <w:tc>
          <w:tcPr>
            <w:tcW w:w="7680" w:type="dxa"/>
            <w:vAlign w:val="bottom"/>
            <w:gridSpan w:val="5"/>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660" w:type="dxa"/>
            <w:vAlign w:val="bottom"/>
          </w:tcPr>
          <w:p>
            <w:pPr>
              <w:jc w:val="center"/>
              <w:ind w:right="316"/>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34"/>
        </w:trPr>
        <w:tc>
          <w:tcPr>
            <w:tcW w:w="9340" w:type="dxa"/>
            <w:vAlign w:val="bottom"/>
            <w:gridSpan w:val="6"/>
          </w:tcPr>
          <w:p>
            <w:pPr>
              <w:jc w:val="center"/>
              <w:ind w:left="1493"/>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3640" w:type="dxa"/>
            <w:vAlign w:val="bottom"/>
          </w:tcPr>
          <w:p>
            <w:pPr>
              <w:spacing w:after="0"/>
              <w:rPr>
                <w:sz w:val="16"/>
                <w:szCs w:val="16"/>
                <w:color w:val="auto"/>
              </w:rPr>
            </w:pPr>
          </w:p>
        </w:tc>
        <w:tc>
          <w:tcPr>
            <w:tcW w:w="40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80"/>
        </w:trPr>
        <w:tc>
          <w:tcPr>
            <w:tcW w:w="3640" w:type="dxa"/>
            <w:vAlign w:val="bottom"/>
          </w:tcPr>
          <w:p>
            <w:pPr>
              <w:spacing w:after="0"/>
              <w:rPr>
                <w:sz w:val="24"/>
                <w:szCs w:val="24"/>
                <w:color w:val="auto"/>
              </w:rPr>
            </w:pPr>
          </w:p>
        </w:tc>
        <w:tc>
          <w:tcPr>
            <w:tcW w:w="3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3640" w:type="dxa"/>
            <w:vAlign w:val="bottom"/>
          </w:tcPr>
          <w:p>
            <w:pPr>
              <w:spacing w:after="0"/>
              <w:rPr>
                <w:sz w:val="17"/>
                <w:szCs w:val="17"/>
                <w:color w:val="auto"/>
              </w:rPr>
            </w:pPr>
          </w:p>
        </w:tc>
        <w:tc>
          <w:tcPr>
            <w:tcW w:w="40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78"/>
        </w:trPr>
        <w:tc>
          <w:tcPr>
            <w:tcW w:w="7680" w:type="dxa"/>
            <w:vAlign w:val="bottom"/>
            <w:gridSpan w:val="5"/>
          </w:tcPr>
          <w:p>
            <w:pPr>
              <w:jc w:val="center"/>
              <w:ind w:left="3153"/>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8"/>
        </w:trPr>
        <w:tc>
          <w:tcPr>
            <w:tcW w:w="3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18"/>
                <w:szCs w:val="18"/>
                <w:color w:val="auto"/>
              </w:rPr>
            </w:pPr>
          </w:p>
        </w:tc>
        <w:tc>
          <w:tcPr>
            <w:tcW w:w="38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40" w:type="dxa"/>
            <w:vAlign w:val="bottom"/>
            <w:gridSpan w:val="4"/>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6"/>
        </w:trPr>
        <w:tc>
          <w:tcPr>
            <w:tcW w:w="3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40" w:type="dxa"/>
            <w:vAlign w:val="bottom"/>
          </w:tcPr>
          <w:p>
            <w:pPr>
              <w:spacing w:after="0"/>
              <w:rPr>
                <w:sz w:val="22"/>
                <w:szCs w:val="22"/>
                <w:color w:val="auto"/>
              </w:rPr>
            </w:pPr>
          </w:p>
        </w:tc>
        <w:tc>
          <w:tcPr>
            <w:tcW w:w="38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WYNN</w:t>
            </w:r>
          </w:p>
        </w:tc>
        <w:tc>
          <w:tcPr>
            <w:tcW w:w="2880" w:type="dxa"/>
            <w:vAlign w:val="bottom"/>
            <w:gridSpan w:val="3"/>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360" w:type="dxa"/>
            <w:vAlign w:val="bottom"/>
          </w:tcPr>
          <w:p>
            <w:pPr>
              <w:spacing w:after="0"/>
              <w:rPr>
                <w:sz w:val="22"/>
                <w:szCs w:val="22"/>
                <w:color w:val="auto"/>
              </w:rPr>
            </w:pPr>
          </w:p>
        </w:tc>
      </w:tr>
      <w:tr>
        <w:trPr>
          <w:trHeight w:val="274"/>
        </w:trPr>
        <w:tc>
          <w:tcPr>
            <w:tcW w:w="7680" w:type="dxa"/>
            <w:vAlign w:val="bottom"/>
            <w:gridSpan w:val="5"/>
          </w:tcPr>
          <w:p>
            <w:pPr>
              <w:jc w:val="center"/>
              <w:ind w:left="315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1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44"/>
        </w:trPr>
        <w:tc>
          <w:tcPr>
            <w:tcW w:w="3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0" w:type="dxa"/>
            <w:vAlign w:val="bottom"/>
            <w:gridSpan w:val="3"/>
          </w:tcPr>
          <w:p>
            <w:pPr>
              <w:jc w:val="center"/>
              <w:ind w:right="640"/>
              <w:spacing w:after="0"/>
              <w:rPr>
                <w:sz w:val="20"/>
                <w:szCs w:val="20"/>
                <w:color w:val="auto"/>
              </w:rPr>
            </w:pPr>
            <w:r>
              <w:rPr>
                <w:rFonts w:ascii="Times New Roman" w:cs="Times New Roman" w:eastAsia="Times New Roman" w:hAnsi="Times New Roman"/>
                <w:sz w:val="20"/>
                <w:szCs w:val="20"/>
                <w:b w:val="1"/>
                <w:bCs w:val="1"/>
                <w:color w:val="auto"/>
                <w:w w:val="98"/>
              </w:rPr>
              <w:t>None</w:t>
            </w:r>
          </w:p>
        </w:tc>
        <w:tc>
          <w:tcPr>
            <w:tcW w:w="1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8"/>
        </w:trPr>
        <w:tc>
          <w:tcPr>
            <w:tcW w:w="934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760" w:type="dxa"/>
            <w:vAlign w:val="bottom"/>
          </w:tcPr>
          <w:p>
            <w:pPr>
              <w:ind w:left="20"/>
              <w:spacing w:after="0"/>
              <w:rPr>
                <w:sz w:val="20"/>
                <w:szCs w:val="20"/>
                <w:color w:val="auto"/>
              </w:rPr>
            </w:pPr>
            <w:r>
              <w:rPr>
                <w:rFonts w:ascii="Arial" w:cs="Arial" w:eastAsia="Arial" w:hAnsi="Arial"/>
                <w:sz w:val="18"/>
                <w:szCs w:val="18"/>
                <w:color w:val="auto"/>
              </w:rPr>
              <w:t xml:space="preserve">È  </w:t>
            </w:r>
            <w:r>
              <w:rPr>
                <w:rFonts w:ascii="Times New Roman" w:cs="Times New Roman" w:eastAsia="Times New Roman" w:hAnsi="Times New Roman"/>
                <w:sz w:val="18"/>
                <w:szCs w:val="18"/>
                <w:color w:val="auto"/>
              </w:rPr>
              <w:t>No</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4"/>
        </w:trPr>
        <w:tc>
          <w:tcPr>
            <w:tcW w:w="934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2"/>
              </w:rPr>
              <w:t>Yes</w:t>
            </w:r>
          </w:p>
        </w:tc>
        <w:tc>
          <w:tcPr>
            <w:tcW w:w="760" w:type="dxa"/>
            <w:vAlign w:val="bottom"/>
          </w:tcPr>
          <w:p>
            <w:pPr>
              <w:ind w:left="18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No</w:t>
            </w:r>
          </w:p>
        </w:tc>
        <w:tc>
          <w:tcPr>
            <w:tcW w:w="360" w:type="dxa"/>
            <w:vAlign w:val="bottom"/>
          </w:tcPr>
          <w:p>
            <w:pPr>
              <w:jc w:val="right"/>
              <w:spacing w:after="0"/>
              <w:rPr>
                <w:sz w:val="20"/>
                <w:szCs w:val="20"/>
                <w:color w:val="auto"/>
              </w:rPr>
            </w:pPr>
            <w:r>
              <w:rPr>
                <w:rFonts w:ascii="Arial" w:cs="Arial" w:eastAsia="Arial" w:hAnsi="Arial"/>
                <w:sz w:val="18"/>
                <w:szCs w:val="18"/>
                <w:color w:val="auto"/>
              </w:rPr>
              <w:t>È</w:t>
            </w:r>
          </w:p>
        </w:tc>
      </w:tr>
    </w:tbl>
    <w:p>
      <w:pPr>
        <w:spacing w:after="0" w:line="7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È</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7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È</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74"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jc w:val="right"/>
              <w:ind w:right="3290"/>
              <w:spacing w:after="0"/>
              <w:rPr>
                <w:sz w:val="20"/>
                <w:szCs w:val="20"/>
                <w:color w:val="auto"/>
              </w:rPr>
            </w:pPr>
            <w:r>
              <w:rPr>
                <w:rFonts w:ascii="Arial" w:cs="Arial" w:eastAsia="Arial" w:hAnsi="Arial"/>
                <w:sz w:val="18"/>
                <w:szCs w:val="18"/>
                <w:color w:val="auto"/>
              </w:rPr>
              <w:t>È</w:t>
            </w:r>
          </w:p>
        </w:tc>
        <w:tc>
          <w:tcPr>
            <w:tcW w:w="54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2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jc w:val="right"/>
              <w:ind w:right="3290"/>
              <w:spacing w:after="0"/>
              <w:rPr>
                <w:sz w:val="20"/>
                <w:szCs w:val="20"/>
                <w:color w:val="auto"/>
              </w:rPr>
            </w:pPr>
            <w:r>
              <w:rPr>
                <w:rFonts w:ascii="Arial" w:cs="Arial" w:eastAsia="Arial" w:hAnsi="Arial"/>
                <w:sz w:val="18"/>
                <w:szCs w:val="18"/>
                <w:color w:val="auto"/>
              </w:rPr>
              <w:t>‘</w:t>
            </w:r>
          </w:p>
        </w:tc>
        <w:tc>
          <w:tcPr>
            <w:tcW w:w="54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20"/>
        </w:trPr>
        <w:tc>
          <w:tcPr>
            <w:tcW w:w="1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40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w:t>
      </w:r>
    </w:p>
    <w:p>
      <w:pPr>
        <w:spacing w:after="0" w:line="7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w:cs="Arial" w:eastAsia="Arial" w:hAnsi="Arial"/>
          <w:sz w:val="18"/>
          <w:szCs w:val="18"/>
          <w:color w:val="auto"/>
        </w:rPr>
        <w:t>È</w:t>
      </w:r>
    </w:p>
    <w:p>
      <w:pPr>
        <w:spacing w:after="0" w:line="74"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auto"/>
        </w:rPr>
        <w:t>‘</w:t>
      </w: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w:t>
      </w:r>
    </w:p>
    <w:p>
      <w:pPr>
        <w:sectPr>
          <w:pgSz w:w="11880" w:h="15480" w:orient="portrait"/>
          <w:cols w:equalWidth="0" w:num="1">
            <w:col w:w="10920"/>
          </w:cols>
          <w:pgMar w:left="480" w:top="566" w:right="480" w:bottom="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received by any of the registrant’s executive officers during the relevant recovery period pursuant to § 240.10D-1(b)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7" w:lineRule="exact"/>
        <w:rPr>
          <w:sz w:val="20"/>
          <w:szCs w:val="20"/>
          <w:color w:val="auto"/>
        </w:rPr>
      </w:pPr>
    </w:p>
    <w:p>
      <w:pPr>
        <w:sectPr>
          <w:pgSz w:w="11880" w:h="15480" w:orient="portrait"/>
          <w:cols w:equalWidth="0" w:num="2">
            <w:col w:w="9420" w:space="200"/>
            <w:col w:w="1300"/>
          </w:cols>
          <w:pgMar w:left="480" w:top="566" w:right="480" w:bottom="0" w:gutter="0" w:footer="0" w:header="0"/>
          <w:type w:val="continuous"/>
        </w:sectPr>
      </w:pP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È</w:t>
      </w:r>
    </w:p>
    <w:p>
      <w:pPr>
        <w:spacing w:after="0" w:line="90" w:lineRule="exact"/>
        <w:rPr>
          <w:sz w:val="20"/>
          <w:szCs w:val="20"/>
          <w:color w:val="auto"/>
        </w:rPr>
      </w:pPr>
    </w:p>
    <w:p>
      <w:pPr>
        <w:sectPr>
          <w:pgSz w:w="11880" w:h="15480" w:orient="portrait"/>
          <w:cols w:equalWidth="0" w:num="5">
            <w:col w:w="8900" w:space="180"/>
            <w:col w:w="280" w:space="180"/>
            <w:col w:w="180" w:space="180"/>
            <w:col w:w="220" w:space="180"/>
            <w:col w:w="620"/>
          </w:cols>
          <w:pgMar w:left="480" w:top="566" w:right="480" w:bottom="0" w:gutter="0" w:footer="0" w:header="0"/>
          <w:type w:val="continuous"/>
        </w:sectPr>
      </w:pPr>
    </w:p>
    <w:p>
      <w:pPr>
        <w:ind w:firstLine="720"/>
        <w:spacing w:after="0" w:line="24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price per share as reported on the Nasdaq Global Select Market on June 30, 2024 was approximately $9.06 billion.</w:t>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February 4, 2025, 106,401,372 shares of the registrant’s Common Stock, $0.01 par value, were outstanding.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1"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Shareholders to be filed not later than 120 days after the end of the fiscal year covered by this report are incorporated by reference into Part III of this Form 10-K.</w:t>
      </w:r>
    </w:p>
    <w:p>
      <w:pPr>
        <w:sectPr>
          <w:pgSz w:w="11880" w:h="15480" w:orient="portrait"/>
          <w:cols w:equalWidth="0" w:num="1">
            <w:col w:w="10920"/>
          </w:cols>
          <w:pgMar w:left="480" w:top="566" w:right="480" w:bottom="0"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080" w:type="dxa"/>
            <w:vAlign w:val="bottom"/>
          </w:tcPr>
          <w:p>
            <w:pPr>
              <w:jc w:val="right"/>
              <w:ind w:right="4580"/>
              <w:spacing w:after="0"/>
              <w:rPr>
                <w:sz w:val="20"/>
                <w:szCs w:val="20"/>
                <w:color w:val="auto"/>
              </w:rPr>
            </w:pPr>
            <w:r>
              <w:rPr>
                <w:rFonts w:ascii="Times New Roman" w:cs="Times New Roman" w:eastAsia="Times New Roman" w:hAnsi="Times New Roman"/>
                <w:sz w:val="20"/>
                <w:szCs w:val="20"/>
                <w:b w:val="1"/>
                <w:bCs w:val="1"/>
                <w:color w:val="auto"/>
              </w:rPr>
              <w:t>PART I</w:t>
            </w:r>
          </w:p>
        </w:tc>
      </w:tr>
      <w:tr>
        <w:trPr>
          <w:trHeight w:val="29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Business</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Risk Factors</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Cybersecurity</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Properties</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Legal Proceedings</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3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Mine Safety Disclosures</w:t>
            </w:r>
          </w:p>
        </w:tc>
        <w:tc>
          <w:tcPr>
            <w:tcW w:w="6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8640" w:type="dxa"/>
            <w:vAlign w:val="bottom"/>
          </w:tcPr>
          <w:p>
            <w:pPr>
              <w:ind w:left="384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600" w:type="dxa"/>
            <w:vAlign w:val="bottom"/>
          </w:tcPr>
          <w:p>
            <w:pPr>
              <w:spacing w:after="0"/>
              <w:rPr>
                <w:sz w:val="19"/>
                <w:szCs w:val="19"/>
                <w:color w:val="auto"/>
              </w:rPr>
            </w:pPr>
          </w:p>
        </w:tc>
      </w:tr>
      <w:tr>
        <w:trPr>
          <w:trHeight w:val="29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600" w:type="dxa"/>
            <w:vAlign w:val="bottom"/>
          </w:tcPr>
          <w:p>
            <w:pPr>
              <w:spacing w:after="0"/>
              <w:rPr>
                <w:sz w:val="24"/>
                <w:szCs w:val="24"/>
                <w:color w:val="auto"/>
              </w:rPr>
            </w:pPr>
          </w:p>
        </w:tc>
      </w:tr>
      <w:tr>
        <w:trPr>
          <w:trHeight w:val="240"/>
        </w:trPr>
        <w:tc>
          <w:tcPr>
            <w:tcW w:w="8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8620" w:type="dxa"/>
            <w:vAlign w:val="bottom"/>
          </w:tcPr>
          <w:p>
            <w:pPr>
              <w:ind w:left="382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640" w:type="dxa"/>
            <w:vAlign w:val="bottom"/>
          </w:tcPr>
          <w:p>
            <w:pPr>
              <w:spacing w:after="0"/>
              <w:rPr>
                <w:sz w:val="19"/>
                <w:szCs w:val="19"/>
                <w:color w:val="auto"/>
              </w:rPr>
            </w:pPr>
          </w:p>
        </w:tc>
      </w:tr>
      <w:tr>
        <w:trPr>
          <w:trHeight w:val="29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500" w:type="dxa"/>
            <w:vAlign w:val="bottom"/>
          </w:tcPr>
          <w:p>
            <w:pPr>
              <w:jc w:val="right"/>
              <w:ind w:right="4520"/>
              <w:spacing w:after="0"/>
              <w:rPr>
                <w:sz w:val="20"/>
                <w:szCs w:val="20"/>
                <w:color w:val="auto"/>
              </w:rPr>
            </w:pPr>
            <w:r>
              <w:rPr>
                <w:rFonts w:ascii="Times New Roman" w:cs="Times New Roman" w:eastAsia="Times New Roman" w:hAnsi="Times New Roman"/>
                <w:sz w:val="20"/>
                <w:szCs w:val="20"/>
                <w:b w:val="1"/>
                <w:bCs w:val="1"/>
                <w:color w:val="auto"/>
              </w:rPr>
              <w:t>PART IV</w:t>
            </w:r>
          </w:p>
        </w:tc>
      </w:tr>
      <w:tr>
        <w:trPr>
          <w:trHeight w:val="29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3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30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3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30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368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bl>
    <w:p>
      <w:pPr>
        <w:spacing w:after="0" w:line="200" w:lineRule="exact"/>
        <w:rPr>
          <w:sz w:val="20"/>
          <w:szCs w:val="20"/>
          <w:color w:val="auto"/>
        </w:rPr>
      </w:pPr>
    </w:p>
    <w:p>
      <w:pPr>
        <w:sectPr>
          <w:pgSz w:w="11880" w:h="15480" w:orient="portrait"/>
          <w:cols w:equalWidth="0" w:num="1">
            <w:col w:w="10120"/>
          </w:cols>
          <w:pgMar w:left="840" w:top="664" w:right="92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120"/>
          </w:cols>
          <w:pgMar w:left="840" w:top="664" w:right="920" w:bottom="3"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24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Resorts, Limited (“Wynn Resorts,” “Wynn,”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24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In Everett, Massachusetts, we operate Encore Boston Harbor, an integrated resort. Additionally, the Company has a 40% equity interest in Island 3 AMI FZ-LLC, an unconsolidated affiliate, which is constructing an integrated resort property (“Wynn Al Marjan Island”) in Ras Al Khaimah, United Arab Emirates.</w:t>
      </w:r>
    </w:p>
    <w:p>
      <w:pPr>
        <w:spacing w:after="0" w:line="2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Our annual reports on Form 10-K, quarterly reports on Form 10-Q, current reports on Form 8-K and all other reports and any amendments of such reports filed with or furnished to the Securities and Exchange Commission (“SEC”) are available, without charge, at the SEC’s website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xml:space="preserve">. In addition, through our corporate website at </w:t>
      </w:r>
      <w:r>
        <w:rPr>
          <w:rFonts w:ascii="Times New Roman" w:cs="Times New Roman" w:eastAsia="Times New Roman" w:hAnsi="Times New Roman"/>
          <w:sz w:val="20"/>
          <w:szCs w:val="20"/>
          <w:u w:val="single" w:color="auto"/>
          <w:color w:val="auto"/>
        </w:rPr>
        <w:t>www.wynnresorts.com</w:t>
      </w:r>
      <w:r>
        <w:rPr>
          <w:rFonts w:ascii="Times New Roman" w:cs="Times New Roman" w:eastAsia="Times New Roman" w:hAnsi="Times New Roman"/>
          <w:sz w:val="20"/>
          <w:szCs w:val="20"/>
          <w:color w:val="auto"/>
        </w:rPr>
        <w:t>, Wynn Resorts provides a hyperlink to a third-party SEC filing website which makes available all such reports and amendments as soon as reasonably practicable after filing with, or furnishing to the SEC, without charge. The information found on or linked through our website is not incorporated by reference into this Annual Report on Form 10-K, nor does it form a part of this Annual Report on Form 10-K or any other report we file with or furnish to the SEC.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25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Part of this strategy includes leveraging our marketing team across various branch offices located internationally to connect and build relationships with our customers. We continually evaluate our offerings and service levels, and as a result, have made and expect to continue to make enhancements and refinements to our resorts.</w:t>
      </w:r>
    </w:p>
    <w:p>
      <w:pPr>
        <w:spacing w:after="0" w:line="2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Our Values</w:t>
      </w:r>
    </w:p>
    <w:p>
      <w:pPr>
        <w:spacing w:after="0" w:line="25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Wynn Resorts thrives in the luxury hospitality industry because of our employees, who exhibit our values at every level within the Company. Our values are embodied by the following concepts:</w:t>
      </w:r>
    </w:p>
    <w:p>
      <w:pPr>
        <w:spacing w:after="0" w:line="252" w:lineRule="exact"/>
        <w:rPr>
          <w:sz w:val="20"/>
          <w:szCs w:val="20"/>
          <w:color w:val="auto"/>
        </w:rPr>
      </w:pPr>
    </w:p>
    <w:p>
      <w:pPr>
        <w:ind w:left="800" w:hanging="300"/>
        <w:spacing w:after="0" w:line="238" w:lineRule="auto"/>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Service-Driven</w:t>
      </w:r>
      <w:r>
        <w:rPr>
          <w:rFonts w:ascii="Times New Roman" w:cs="Times New Roman" w:eastAsia="Times New Roman" w:hAnsi="Times New Roman"/>
          <w:sz w:val="20"/>
          <w:szCs w:val="20"/>
          <w:color w:val="auto"/>
        </w:rPr>
        <w:t>. We foster a culture of respect, gratitude and meticulous attention to detail that makes service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guests our life’s work.</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200"/>
          </w:cols>
          <w:pgMar w:left="840" w:top="664" w:right="840" w:bottom="3" w:gutter="0" w:footer="0" w:header="0"/>
          <w:type w:val="continuous"/>
        </w:sectPr>
      </w:pPr>
    </w:p>
    <w:bookmarkStart w:id="5" w:name="page6"/>
    <w:bookmarkEnd w:id="5"/>
    <w:p>
      <w:pPr>
        <w:ind w:left="800" w:hanging="300"/>
        <w:spacing w:after="0" w:line="238"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Excellence</w:t>
      </w:r>
      <w:r>
        <w:rPr>
          <w:rFonts w:ascii="Times New Roman" w:cs="Times New Roman" w:eastAsia="Times New Roman" w:hAnsi="Times New Roman"/>
          <w:sz w:val="20"/>
          <w:szCs w:val="20"/>
          <w:color w:val="auto"/>
        </w:rPr>
        <w:t>. Our singular focus on being the best celebrates the inherent connection between employee and guest,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community.</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Artistry</w:t>
      </w:r>
      <w:r>
        <w:rPr>
          <w:rFonts w:ascii="Times New Roman" w:cs="Times New Roman" w:eastAsia="Times New Roman" w:hAnsi="Times New Roman"/>
          <w:sz w:val="20"/>
          <w:szCs w:val="20"/>
          <w:color w:val="auto"/>
        </w:rPr>
        <w:t>. We provide a collection of guest experiences that prize artistry and championship craftsmanship, resulting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Wynn Resorts being the highest ranked hotel company in the world.</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Progressive</w:t>
      </w:r>
      <w:r>
        <w:rPr>
          <w:rFonts w:ascii="Times New Roman" w:cs="Times New Roman" w:eastAsia="Times New Roman" w:hAnsi="Times New Roman"/>
          <w:sz w:val="20"/>
          <w:szCs w:val="20"/>
          <w:color w:val="auto"/>
        </w:rPr>
        <w:t>. Our commitment to innovation enables us to continue evolving what it means to create and operate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world-class resort destinations.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Our Commitment to Corporate Social Responsibility</w:t>
      </w:r>
    </w:p>
    <w:p>
      <w:pPr>
        <w:spacing w:after="0" w:line="306"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We are committed to our people, our communities, and our planet. Executing on our commitment to corporate social responsibility includes:</w:t>
      </w:r>
    </w:p>
    <w:p>
      <w:pPr>
        <w:spacing w:after="0" w:line="294" w:lineRule="exact"/>
        <w:rPr>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five-star workplace.</w:t>
      </w:r>
    </w:p>
    <w:p>
      <w:pPr>
        <w:spacing w:after="0" w:line="57"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Investing in the growth and well-being of our people.</w:t>
      </w:r>
    </w:p>
    <w:p>
      <w:pPr>
        <w:spacing w:after="0" w:line="57"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Furthering social impact initiatives in our communities.</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Minimizing the consumption and maximizing the benefit on our environment by sourcing renewable energy and utilizing it responsibly.</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Elevating our corporate governance practices to ensure they appropriately support the long-term interests of our stakeholders.</w:t>
      </w:r>
    </w:p>
    <w:p>
      <w:pPr>
        <w:spacing w:after="0" w:line="30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North America, we have taken a leading role in the hospitality industry’s transition to clean and sustainable sources of energy. Our investments in low-carbon energy, including on-site solar arrays and notably, a 160-acre solar facility in northern Nevada, have earned us a place in the U.S. Environmental Protection Agency’s Green Power Partnership. We voluntarily use green power to reduce carbon emissions and drive toward our corporate sustainability goals.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Resorts Foundation, which fosters charitable giving and volunteerism among Wynn employees and community partners.</w:t>
      </w:r>
    </w:p>
    <w:p>
      <w:pPr>
        <w:spacing w:after="0" w:line="30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Executing on Our Strategy</w:t>
      </w:r>
    </w:p>
    <w:p>
      <w:pPr>
        <w:spacing w:after="0" w:line="1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Reflecting our strategic focus, our values, and our commitment to delivering world-class, five-star service within luxury integrated resorts, the Company has received the following recognition:</w:t>
      </w:r>
    </w:p>
    <w:p>
      <w:pPr>
        <w:spacing w:after="0" w:line="307" w:lineRule="exact"/>
        <w:rPr>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Collectively, Wynn Resorts earned 19 Forbes Travel Guide (“FTG”) Five-Star awards in 2025 and holds the most FTG Five-Star awards of any independent hotel company in the world.</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Wynn Resorts was once again included on FORTUNE Magazine’s 2025 World’s Most Admired Companies list in the hotel, casino, and resort category.</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Wynn Las Vegas has received the distinction of Four Green Globes, the highest achievement for energy-efficient and sustainable buildings from the Green Building Initiative.</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Encore Boston Harbor has been certified LEED Platinum, the U.S. Green Building Council’s highest level of certification.</w:t>
      </w:r>
    </w:p>
    <w:p>
      <w:pPr>
        <w:spacing w:after="0" w:line="70"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Wynn Palace and Wynn Macau collectively earned 12 FTG Five-Star awards in 2025, with Wynn Palace maintaining its status as the largest FTG Five-Star resort in the world.</w:t>
      </w:r>
    </w:p>
    <w:p>
      <w:pPr>
        <w:sectPr>
          <w:pgSz w:w="11880" w:h="15480" w:orient="portrait"/>
          <w:cols w:equalWidth="0" w:num="1">
            <w:col w:w="10200"/>
          </w:cols>
          <w:pgMar w:left="840" w:top="675" w:right="840" w:bottom="3"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200"/>
          </w:cols>
          <w:pgMar w:left="840" w:top="675" w:right="840" w:bottom="3"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Our Resorts</w:t>
      </w:r>
    </w:p>
    <w:p>
      <w:pPr>
        <w:spacing w:after="0" w:line="29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Wynn Palace</w:t>
      </w:r>
    </w:p>
    <w:p>
      <w:pPr>
        <w:spacing w:after="0" w:line="29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opened Wynn Palace in August 2016, on Macau’s Cotai Strip, conveniently located minutes from both Macau International Airport and the Macau Taipa Ferry Terminal and directly adjacent to a stop serviced by Macau’s light rail system. The property features approximately 468,000 square feet of casino space with 303 table games and 598 slot machines, as well as private gaming salons and sky casinos. Wynn Palace also features a luxury hotel tower with a total of 1,706 guest rooms, suites, and villas, offering a health club, spa, salon, and pool. In addition, Wynn Palace offers 14 food and beverage outlets, approximately 107,000 square feet of high-end, brand-name retail space, and approximately 37,000 square feet of meeting and convention space. The property’s signature public attractions and entertainment offerings include a performance lake, an immersive entertainment center, Western and Asian art displays, and a gondola ride offering convenient street-level access.</w:t>
      </w:r>
    </w:p>
    <w:p>
      <w:pPr>
        <w:spacing w:after="0" w:line="200" w:lineRule="exact"/>
        <w:rPr>
          <w:sz w:val="20"/>
          <w:szCs w:val="20"/>
          <w:color w:val="auto"/>
        </w:rPr>
      </w:pPr>
    </w:p>
    <w:p>
      <w:pPr>
        <w:spacing w:after="0" w:line="33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are in the design stages of developing the next phase of Wynn Palace. We currently expect that the next phase at Wynn Palace will incorporate an array of amenities such as theater and expanded event space, food and beverage features, and other non-gaming offerings.</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Wynn Macau</w:t>
      </w:r>
    </w:p>
    <w:p>
      <w:pPr>
        <w:spacing w:after="0" w:line="29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opened Wynn Macau in September 2006, and Encore, an expansion of Wynn Macau, in April 2010. Located in the heart of downtown Macau, the property features approximately 294,000 square feet of casino space with 257 table games and 696 slot machines, as well as private gaming salons, sky casinos, and a poker room. Wynn Macau also features two luxury hotel towers with a total of 1,010 guest rooms and suites, offering two health clubs, two spas, a salon and a pool. In addition, Wynn Macau offers 12 food and beverage outlets, approximately 64,500 square feet of high-end, brand-name retail space, and approximately 31,000 square feet of meeting and convention space. Wynn Macau’s signature attractions include offerings such as the performance lake and a rotunda show featuring a Chinese zodiac-inspired ceiling along with the gold “tree of prosperity” show.</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Las Vegas Operations</w:t>
      </w:r>
    </w:p>
    <w:p>
      <w:pPr>
        <w:spacing w:after="0" w:line="29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195,000 square feet of casino space with 223 table games and 1,577 slot machines, as well as private gaming salons, a sky casino, a poker room, and a race and sports book. Wynn Las Vegas also features two luxury hotel towers with a total of 4,748 guest rooms, suites, and villas, which offer swimming pools, private cabanas, two full service spas and salons, and a wedding chapel. In addition, Wynn Las Vegas offers 34 food and beverage outlets, approximately 178,000 square feet of high-end, brand-name retail space, approximately 513,000 square feet of meeting and convention space, and a golf course. Our nightlife and entertainment offerings at Wynn Las Vegas include two nightclubs and a beach club, and two theaters presenting an exclusive theatrical production and various headliner entertainment act.</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Encore Boston Harbor</w:t>
      </w:r>
    </w:p>
    <w:p>
      <w:pPr>
        <w:spacing w:after="0" w:line="29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June 23, 2019, we opened Encore Boston Harbor, an integrated resort in Everett, Massachusetts, adjacent to Boston along the Mystic River. The property features approximately 210,000 square feet of casino space with 172 table games, 24 poker tables and approximately 2,724 slot machines, private and high-limit gaming areas, and a sports book. Encore Boston Harbor also features a luxury hotel tower with a total of 671 guest rooms and suites, which offers a spa and salon. In addition, Encore Boston Harbor offers 16 food and beverage outlets and a nightclub, approximately 8,186 square feet of retail space, and approximately 71,000 square feet of meeting and convention space. Public attractions include a waterfront park, floral displays, and water shuttle service to downtown Boston.</w:t>
      </w:r>
    </w:p>
    <w:p>
      <w:pPr>
        <w:sectPr>
          <w:pgSz w:w="11880" w:h="15480" w:orient="portrait"/>
          <w:cols w:equalWidth="0" w:num="1">
            <w:col w:w="10200"/>
          </w:cols>
          <w:pgMar w:left="840" w:top="664" w:right="840" w:bottom="3"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200"/>
          </w:cols>
          <w:pgMar w:left="840" w:top="664" w:right="840" w:bottom="3" w:gutter="0" w:footer="0" w:header="0"/>
          <w:type w:val="continuous"/>
        </w:sectPr>
      </w:pPr>
    </w:p>
    <w:bookmarkStart w:id="7" w:name="page8"/>
    <w:bookmarkEnd w:id="7"/>
    <w:p>
      <w:pPr>
        <w:ind w:left="200"/>
        <w:spacing w:after="0"/>
        <w:rPr>
          <w:sz w:val="20"/>
          <w:szCs w:val="20"/>
          <w:color w:val="auto"/>
        </w:rPr>
      </w:pPr>
      <w:r>
        <w:rPr>
          <w:rFonts w:ascii="Times New Roman" w:cs="Times New Roman" w:eastAsia="Times New Roman" w:hAnsi="Times New Roman"/>
          <w:sz w:val="20"/>
          <w:szCs w:val="20"/>
          <w:i w:val="1"/>
          <w:iCs w:val="1"/>
          <w:color w:val="auto"/>
        </w:rPr>
        <w:t>Future Development Projects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January 2022, we, along with Island 3 AMI FZ-LLC and RAK HH IR FZ-LLC, announced plans for the development and management of Wynn Al Marjan Island, a destination integrated resort property in the Emirate of Ras Al Khaimah, United Arab Emirates. Wynn Al Marjan Island, which is currently under construction, is anticipated to be completed and open to the public in 2027, featuring an over 1,500-room hotel, luxury villas, a high-end shopping mall, a state-of-the-art meeting and convention facility, an exclusive spa, more than 20 restaurants and lounges, 225,000 square feet of gaming area, a wide array of entertainment choices including a nightclub and a beach club, and other amenities. The planned integrated resort will leverage Wynn Resorts’ expertise in developing and operating luxury hospitality destinations, and is expected to create substantial value to the local economy by accelerating tourism, creating jobs, and contributing to the growth of related sectors.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Competition</w:t>
      </w:r>
    </w:p>
    <w:p>
      <w:pPr>
        <w:spacing w:after="0" w:line="27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casino resort industry is highly competitive. We compete with other high-quality resorts on the basis of the range of amenities, level of service, price, location, entertainment, themes and size, among other factors. We seek to differentiate our integrated resorts by delivering superior design and customer service.</w:t>
      </w: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Macau</w:t>
      </w:r>
    </w:p>
    <w:p>
      <w:pPr>
        <w:spacing w:after="0" w:line="27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Macau, located in the Greater Bay Area, is governed as a special administrative region of China and is located approximately 37 miles southwest of Hong Kong. The journey between Macau and Hong Kong takes approximately 15 minutes by helicopter, 30 minutes by road via the Hong Kong-Zhuhai-Macau Bridge, and one hour by jetfoil ferry. Macau, which has been a casino destination for more than 60 years, consists principally of a peninsula on mainland China and two neighboring islands, Taipa and Coloane, between which the Cotai area is located. In addition to Wynn Resorts (Macau) S.A. (“Wynn Macau SA”), SJM Resorts, S.A. (“SJM”), Galaxy Casino, S.A. (“Galaxy”), Venetian Macau, S.A. (“Venetian Macau”), Melco Resorts (Macau) Limited (“Melco”), and MGM Grand Paradise Limited (“MGM Macau”) are permitted to operate casinos in Macau, with a total of 30 casinos currently in operation.</w:t>
      </w:r>
    </w:p>
    <w:p>
      <w:pPr>
        <w:spacing w:after="0" w:line="26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Both the Macau gaming market and visitation to Macau grew significantly from liberalization in 2002 up until the outbreak of COVID-19, and then fell meaningfully from early 2020 to December 2022 due to certain border control and other travel related restrictions as a result of the pandemic. Over the course of December 2022 and January 2023, Macau authorities eliminated these COVID-19 related protective measures and the gaming market resumed a period of growth. According to the Macau Statistics and Census Service Monthly Bulletin of Statistics, visitation to Macau in 2024 increased 23.8% and 512.7% and decreased 11.4% as compared to 2023, 2022, and 2019, respectively.</w:t>
      </w:r>
    </w:p>
    <w:p>
      <w:pPr>
        <w:spacing w:after="0" w:line="26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believe that the Macau region hosts one of the world’s largest concentrations of potential gaming and tourism customers. According to Macau Statistical Information, annual gaming revenues were $36.5 billion in 2019, before falling to $7.6 billion in 2020, $10.8 billion in 2021, and $5.3 billion in 2022, due to various quarantine measures and travel and entry restrictions and conditions since the outbreak of COVID-19, and increased to $22.7 billion in 2023 and $28.4 billion in 2024, respectively, due to Macau authorities eliminating COVID-19 related protective measures over the course of December 2022 and January 2023. We continue to believe that Macau’s stated goal of becoming a world-class tourism destination will continue to drive additional visitation to the market and create future opportunities for us to invest and grow.</w:t>
      </w:r>
    </w:p>
    <w:p>
      <w:pPr>
        <w:spacing w:after="0" w:line="26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Las Vegas</w:t>
      </w:r>
    </w:p>
    <w:p>
      <w:pPr>
        <w:spacing w:after="0" w:line="27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Las Vegas is the largest gaming market in the United States. The Las Vegas gaming market is highly competitive and is largely dependent on tourist arrivals and meeting- and convention-related visitation. According to statistics published by the Nevada Gaming Control Board, Las Vegas Strip total gaming win was $8.8 billion in 2024, a 1.0% decrease from $8.9 billion in 2023. According to the Las Vegas Convention and Visitors Authority, overall Las Vegas visitor volume was 41.7 million in 2024, a 2.1% increase from 40.8 million in 2023. Occupancy on the Las Vegas Strip was relatively flat at 86.4%, compared to 86.2% in 2023.</w:t>
      </w:r>
    </w:p>
    <w:p>
      <w:pPr>
        <w:sectPr>
          <w:pgSz w:w="11880" w:h="15480" w:orient="portrait"/>
          <w:cols w:equalWidth="0" w:num="1">
            <w:col w:w="10200"/>
          </w:cols>
          <w:pgMar w:left="840" w:top="662" w:right="840" w:bottom="3"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00"/>
          </w:cols>
          <w:pgMar w:left="840" w:top="662" w:right="840" w:bottom="3" w:gutter="0" w:footer="0" w:header="0"/>
          <w:type w:val="continuous"/>
        </w:sectPr>
      </w:pPr>
    </w:p>
    <w:bookmarkStart w:id="8" w:name="page9"/>
    <w:bookmarkEnd w:id="8"/>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Las Vegas Operations are located on the Las Vegas Strip and compete with other high-quality resorts and hotel casinos in Las Vegas. There are several recently completed large-scale integrated resort projects in the vicinity of our Las Vegas Operations, which may present increased competition in the future. Our Las Vegas Operations also compete, to some extent, with other casino resorts throughout the United States and elsewhere in the world.</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Massachusetts</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Massachusetts and its neighboring states of Connecticut and Rhode Island are host to a large, established casino market. The greater Boston metropolitan area is the largest population center in New England, with a population of approximately 5 million residents.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Licensing</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Macau</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December 16, 2022,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a casino concessionaire, Wynn Macau SA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Laws and Administrative Regulations, form the framework for the regulation of the activities of the concessionaire.</w:t>
      </w:r>
    </w:p>
    <w:p>
      <w:pPr>
        <w:spacing w:after="0" w:line="25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00"/>
          </w:cols>
          <w:pgMar w:left="840" w:top="675" w:right="840" w:bottom="3" w:gutter="0" w:footer="0" w:header="0"/>
          <w:type w:val="continuous"/>
        </w:sectPr>
      </w:pPr>
    </w:p>
    <w:bookmarkStart w:id="9" w:name="page10"/>
    <w:bookmarkEnd w:id="9"/>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Gaming Concession Contract between Wynn Macau SA and the Macau government requires Wynn Macau SA to operate two casinos: “Casino Wynn Macau” and “Casino Wynn Palace.”</w:t>
      </w:r>
    </w:p>
    <w:p>
      <w:pPr>
        <w:spacing w:after="0" w:line="26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Under the Gaming Concession Contract, Wynn Macau SA provided a first demand bank guarantee of MOP1.0 billion (approximately $125.1 million) in favor of the Macau government to support Wynn Macau SA’s legal and contractual obligations, from January 1, 2023 until one hundred and eighty days after the term of the Gaming Concession Contract expires or the rescission of the concession.</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Pursuant to the Gaming Concession Contract and the Laws and Administrative Regulations, the Macau government may rescind the gaming concession if Wynn Macau SA fails to fulfill its obligations, including in the circumstances of</w:t>
      </w:r>
    </w:p>
    <w:p>
      <w:pPr>
        <w:spacing w:after="0" w:line="24" w:lineRule="exact"/>
        <w:rPr>
          <w:sz w:val="20"/>
          <w:szCs w:val="20"/>
          <w:color w:val="auto"/>
        </w:rPr>
      </w:pPr>
    </w:p>
    <w:p>
      <w:pPr>
        <w:jc w:val="both"/>
        <w:spacing w:after="0" w:line="249" w:lineRule="auto"/>
        <w:tabs>
          <w:tab w:leader="none" w:pos="24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Macau government may assume temporary custody and control over the operation of a concession in certain circumstances. During any such period, the costs of operations must be borne by the concessionaire.</w:t>
      </w:r>
    </w:p>
    <w:p>
      <w:pPr>
        <w:spacing w:after="0" w:line="200" w:lineRule="exact"/>
        <w:rPr>
          <w:sz w:val="20"/>
          <w:szCs w:val="20"/>
          <w:color w:val="auto"/>
        </w:rPr>
      </w:pPr>
    </w:p>
    <w:p>
      <w:pPr>
        <w:spacing w:after="0" w:line="298"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Wynn Macau SA is required to obtain prior approval from the relevant Macau authorities or officials for various corporate changes and actions, including expansion of its business scope, issuance of shares, transfer or creation of any encumbrances over its shares, issuance of debt securities, change of its managing director or the authority delegated thereto, appointment of any new director, change of its articles of association, certain transfers of property rights and creditor’s rights, entering into a consumer loan contract or similar contract with a value equal to or exceeding MOP100.0 million (approximately US$12.5 million), and granting of a loan to any of its directors, shareholders or key employees. Wynn Macau SA is required to notify the Macau government of certain other changes, including any loan, mortgage, claim for obligation, guarantee or the assumption of any debt for financing its business with a value that equals to or exceeds MOP16.0 million (approximately US$2.0 million). In particular, Wynn Macau SA is required to notify the Chief Executive of Macau at least five working days in advance prior to making financial decisions (i) related to the transfer of funds within Wynn Macau SA which exceeds 50% of its share capital, (ii) related to employee salaries, remuneration or benefits which exceed 10% of its share capital, and (iii) not related to above items (i) and (ii), whose value exceeds 10% of its share capital.</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Pursuant to the Gaming Concession Contract, Wynn Macau SA is required to submit to the Macau government, for its approval, an annual execution proposal of the specific projects mentioned in the Investment Plan annexed to the Gaming Concession Contract which it intends to execute in the following year by September 30, of each calendar year, detailing each project in which it intends to invest, the investment amount and the execution schedule. Within 60 days after submission of each annual execution proposal, the Macau government will decide on its approval, and may request adjustments to specific projects, the investment amount and/or the execution schedule. If any of the annual execution proposals or parts thereof are not approved by the Macau government, Wynn Macau SA is obliged to propose allocating the relevant funds to other projects, which are also subject to subsequent approval by the Macau government, while the total investment amount will remain unchanged. The annual execution proposals for the year 2024 and the year 2025 were previously submitted in September 2023 and 2024, respectively, and were thereafter approved by the Macau government. Wynn Macau SA is required to submit a report on the execution of the previous year’s execution proposal by March 31st of each calendar year. The execution report of the proposal for the year 2023 was submitted on March 28, 2024 and was thereafter reviewed by the Macau government. The execution report of the proposal presented by the concessionaires may be subject to extraordinary audit upon determination by the Macau government. In addition, Wynn Macau SA is subject to the supervision of the Macau government in regards to the execution of development projects included in the Investment Plan, and Wynn Macau SA must submit progress reports every two months, and may be requested to submit exceptional detailed reports whenever the normal progress of any development project included in the Investment Plan is compromised.</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00"/>
          </w:cols>
          <w:pgMar w:left="840" w:top="675" w:right="840" w:bottom="3" w:gutter="0" w:footer="0" w:header="0"/>
          <w:type w:val="continuous"/>
        </w:sectPr>
      </w:pPr>
    </w:p>
    <w:bookmarkStart w:id="10" w:name="page11"/>
    <w:bookmarkEnd w:id="10"/>
    <w:p>
      <w:pPr>
        <w:ind w:left="20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7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26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laws, regulations and supervisory procedures of the Nevada Gaming Authorities are based upon declarations of public policy. Such public policy concerns include, among other things:</w:t>
      </w:r>
    </w:p>
    <w:p>
      <w:pPr>
        <w:spacing w:after="0" w:line="276" w:lineRule="exact"/>
        <w:rPr>
          <w:sz w:val="20"/>
          <w:szCs w:val="20"/>
          <w:color w:val="auto"/>
        </w:rPr>
      </w:pPr>
    </w:p>
    <w:p>
      <w:pPr>
        <w:ind w:left="1200" w:hanging="600"/>
        <w:spacing w:after="0" w:line="238" w:lineRule="auto"/>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preventing unsavory or unsuitable persons from being directly or indirectly involved with gaming at any time or in any capacity;</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maintaining responsible accounting practices and procedures;</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3" w:lineRule="auto"/>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8"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preventing cheating and fraudulent practices;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source of state and local revenue through taxation and licensing fees.</w:t>
      </w:r>
    </w:p>
    <w:p>
      <w:pPr>
        <w:spacing w:after="0" w:line="27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Any changes in applicable laws, regulations and procedures could have an adverse effect on our Las Vegas gaming operations and our financial condition and results of operations.</w:t>
      </w:r>
    </w:p>
    <w:p>
      <w:pPr>
        <w:spacing w:after="0" w:line="27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7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 company and to be found suitable to own the equity interests of Wynn Resorts Finance, LLC (“Wynn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 registered as an intermediary company and to be 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the registered intermediary subsidiaries, and Wynn Las Vegas, LLC hold all the various registrations, approvals, permits and licenses required for Wynn Las Vegas, LLC to engage in gaming activities in Nevada.</w:t>
      </w:r>
    </w:p>
    <w:p>
      <w:pPr>
        <w:spacing w:after="0" w:line="26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the registered intermediary subsidiaries and/or Wynn Las Vegas, LLC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27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If the Nevada Gaming Authorities were to find an officer, director, or key employee unsuitable for licensing or to continue having a relationship with Wynn Las Vegas, LLC, the registered intermediary subsidiaries, or us, we would have to</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00"/>
          </w:cols>
          <w:pgMar w:left="840" w:top="664" w:right="840" w:bottom="3" w:gutter="0" w:footer="0" w:header="0"/>
          <w:type w:val="continuous"/>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20"/>
          <w:szCs w:val="20"/>
          <w:color w:val="auto"/>
        </w:rPr>
        <w:t>sever all relationships with the person. In addition, the Nevada Gaming Authorities may require Wynn Las Vegas, LLC, the registered intermediary subsidiaries, or us to terminate the employment of any person who refuses to file appropriate applications. Determinations of suitability are not subject to judicial review.</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spacing w:after="0" w:line="27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7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257" w:lineRule="exact"/>
        <w:rPr>
          <w:sz w:val="20"/>
          <w:szCs w:val="20"/>
          <w:color w:val="auto"/>
        </w:rPr>
      </w:pPr>
    </w:p>
    <w:p>
      <w:pPr>
        <w:ind w:left="1200" w:hanging="600"/>
        <w:spacing w:after="0"/>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on all matters voted on by stockholders or interest holders;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financial and other inquiries of management of the type normally made by securities analysts for informational purposes and not to cause a change in management, policies or operations;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activities that the NGC may determine to be consistent with such investment intent.</w:t>
      </w:r>
    </w:p>
    <w:p>
      <w:pPr>
        <w:spacing w:after="0" w:line="27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ectPr>
          <w:pgSz w:w="11880" w:h="15480" w:orient="portrait"/>
          <w:cols w:equalWidth="0" w:num="1">
            <w:col w:w="10200"/>
          </w:cols>
          <w:pgMar w:left="840" w:top="675"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00"/>
          </w:cols>
          <w:pgMar w:left="840" w:top="675" w:right="840" w:bottom="3" w:gutter="0" w:footer="0" w:header="0"/>
          <w:type w:val="continuous"/>
        </w:sectPr>
      </w:pPr>
    </w:p>
    <w:bookmarkStart w:id="12" w:name="page13"/>
    <w:bookmarkEnd w:id="12"/>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57" w:lineRule="exact"/>
        <w:rPr>
          <w:sz w:val="20"/>
          <w:szCs w:val="20"/>
          <w:color w:val="auto"/>
        </w:rPr>
      </w:pPr>
    </w:p>
    <w:p>
      <w:pPr>
        <w:ind w:left="1200" w:hanging="600"/>
        <w:spacing w:after="0"/>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that person any dividend or interest upon any voting securities;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that person to exercise, directly or indirectly, any voting right held by that person relating to Wynn Resorts;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remuneration in any form to that person for services rendered or otherwise; or</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pursue all lawful efforts to require the unsuitable person to relinquish such person’s voting securities, including, if necessary, the immediate purchase of the voting securities for cash at fair market value.</w:t>
      </w:r>
    </w:p>
    <w:p>
      <w:pPr>
        <w:spacing w:after="0" w:line="27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254" w:lineRule="exact"/>
        <w:rPr>
          <w:sz w:val="20"/>
          <w:szCs w:val="20"/>
          <w:color w:val="auto"/>
        </w:rPr>
      </w:pPr>
    </w:p>
    <w:p>
      <w:pPr>
        <w:ind w:left="1200" w:hanging="600"/>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pays to the unsuitable person any dividend, interest or any distribution whatsoever;</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recognizes any voting right by the unsuitable person in connection with the securities;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pays the unsuitable person remuneration in any form; or</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any payment to the unsuitable person by way of principal, redemption, conversion, exchange, liquidation or similar transaction.</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17, 2022,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 As of the date of this report, we are in the process of seeking a renewal of our Shelf Approval for an additional three year period.</w:t>
      </w:r>
    </w:p>
    <w:p>
      <w:pPr>
        <w:spacing w:after="0" w:line="26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Changes in control of Wynn Resorts through merger, consolidation, stock or asset acquisitions, management or consulting agreements, or any act or conduct by a person whereby the person obtains control may not occur without the prior approval of the NGC. Entities seeking to acquire control of a registered public company must satisfy the NGCB and the NGC concerning a variety of stringent standards prior to assuming control of the registered public company.</w:t>
      </w:r>
    </w:p>
    <w:p>
      <w:pPr>
        <w:spacing w:after="0" w:line="27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254" w:lineRule="exact"/>
        <w:rPr>
          <w:sz w:val="20"/>
          <w:szCs w:val="20"/>
          <w:color w:val="auto"/>
        </w:rPr>
      </w:pPr>
    </w:p>
    <w:p>
      <w:pPr>
        <w:ind w:left="1200" w:hanging="600"/>
        <w:spacing w:after="0"/>
        <w:tabs>
          <w:tab w:leader="none" w:pos="1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assure the financial stability of corporate gaming licensees and their affiliated companies;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the beneficial aspects of conducting business in the corporate form;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promote a neutral environment for the orderly governance of corporate affairs.</w:t>
      </w:r>
    </w:p>
    <w:p>
      <w:pPr>
        <w:spacing w:after="0" w:line="274"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Approvals are, in certain circumstances, required from the NGC before we can make exceptional repurchases of voting securities above its current market price and before a corporate acquisition opposed by management can be consummated. The</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200"/>
          </w:cols>
          <w:pgMar w:left="840" w:top="675" w:right="840" w:bottom="3" w:gutter="0" w:footer="0" w:header="0"/>
          <w:type w:val="continuous"/>
        </w:sectPr>
      </w:pPr>
    </w:p>
    <w:bookmarkStart w:id="13" w:name="page14"/>
    <w:bookmarkEnd w:id="13"/>
    <w:p>
      <w:pPr>
        <w:jc w:val="both"/>
        <w:spacing w:after="0" w:line="238" w:lineRule="auto"/>
        <w:rPr>
          <w:sz w:val="20"/>
          <w:szCs w:val="20"/>
          <w:color w:val="auto"/>
        </w:rPr>
      </w:pPr>
      <w:r>
        <w:rPr>
          <w:rFonts w:ascii="Times New Roman" w:cs="Times New Roman" w:eastAsia="Times New Roman" w:hAnsi="Times New Roman"/>
          <w:sz w:val="20"/>
          <w:szCs w:val="20"/>
          <w:color w:val="auto"/>
        </w:rPr>
        <w:t>Nevada Act also requires prior approval of a plan of recapitalization proposed by a registered company’s Board of Directors in response to a tender offer made directly to its stockholders for the purpose of acquiring control.</w:t>
      </w:r>
    </w:p>
    <w:p>
      <w:pPr>
        <w:spacing w:after="0" w:line="30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30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29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85" w:lineRule="exact"/>
        <w:rPr>
          <w:sz w:val="20"/>
          <w:szCs w:val="20"/>
          <w:color w:val="auto"/>
        </w:rPr>
      </w:pPr>
    </w:p>
    <w:p>
      <w:pPr>
        <w:ind w:left="1200" w:hanging="600"/>
        <w:spacing w:after="0"/>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violates any laws of the foreign jurisdiction pertaining to the foreign gaming operation;</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conduct the foreign gaming operation in accordance with the standards of honesty and integrity required of Nevada gaming operations;</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3"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21"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engages in activities or enters into associations that are harmful to the State of Nevada or its ability to collect gaming taxes and fees; or</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employs, contracts with or associates with a person in the foreign operation who has been denied a license or finding of suitability in Nevada on the ground of unsuitability.</w:t>
      </w:r>
    </w:p>
    <w:p>
      <w:pPr>
        <w:spacing w:after="0" w:line="30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Massachusetts</w:t>
      </w:r>
    </w:p>
    <w:p>
      <w:pPr>
        <w:spacing w:after="0" w:line="30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spacing w:after="0" w:line="30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Massachusetts Gaming Commission (“MGC”) is responsible for issuing licenses under the Massachusetts Act and assuring that licenses are not issued or held by unqualified, disqualified or unsuitable persons. The Investigations and Enforcement Bureau (“IEB”) division of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ectPr>
          <w:pgSz w:w="11880" w:h="15480" w:orient="portrait"/>
          <w:cols w:equalWidth="0" w:num="1">
            <w:col w:w="10200"/>
          </w:cols>
          <w:pgMar w:left="840" w:top="675"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200"/>
          </w:cols>
          <w:pgMar w:left="840" w:top="675" w:right="840" w:bottom="3" w:gutter="0" w:footer="0" w:header="0"/>
          <w:type w:val="continuous"/>
        </w:sectPr>
      </w:pPr>
    </w:p>
    <w:bookmarkStart w:id="14" w:name="page15"/>
    <w:bookmarkEnd w:id="14"/>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7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7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initial license term is for 15 years, which commenced upon the MGC’s confirmation of its approval of the commencement of the operation of the gaming establishment on June 23, 2019. Wynn MA’s gaming license is conditioned upon Wynn MA continuing to meet applicable licensing, registration, qualification and other regulatory requirements. The initial license fee for Category 1 licenses is $85.0 million,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7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Encore Boston Harbor was granted a sports wagering license by the MGC on December 8, 2022 under 2022 legislation legalizing sports wagering in Massachusetts. Under the 2022 legislation, Encore Boston Harbor is authorized to operate a sportsbook and is entitled to two individually branded mobile platforms. The initial term of the sports wagering licenses, which carries a $5.0 million initial license fee, is 5 years. Sports wagering licenses are also subject to additional regulatory fees. The Commonwealth of Massachusetts receives 15% of gross retail sports wagering revenues.</w:t>
      </w:r>
    </w:p>
    <w:p>
      <w:pPr>
        <w:spacing w:after="0" w:line="27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7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7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Under the Massachusetts Gaming Act, the MGC is charged with “establishing the financial stability and integrity of gaming licensees, as well as the integrity of their sources of financing” this includes the licensure or qualification of certain persons with a financial interest in a gaming licensee or in a gaming establishment. The Gaming Act requires licensure of anyone with a financial interest in a gaming establishment, or with a financial interest in the business of the gaming licensee or who is a close associate of a gaming licensee. While the Gaming Act and MGC’s regulations contain exemptions for certain financial institutions and transactions, and generally focus on actual or beneficial ownership interests, the MGC retains significant discretion to require licensure of anyone with a financial interest in a gaming licensee or gaming establishment including any company holding over 15% of the licensee, or a holding, intermediary or subsidiary company of a licensee or of an individual that can exercise control or provide direction to a gaming licensee. Like its discretionary authority to require licensure, the MGC also has discretionary authority to grant a waiver from licensure to any person that cannot exercise control or provide direction to a gaming licensee or a holding, intermediary or subsidiary company thereof.</w:t>
      </w:r>
    </w:p>
    <w:p>
      <w:pPr>
        <w:spacing w:after="0" w:line="26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Certain transfer of interests in a Massachusetts gaming licensee or gaming establishment may require notice to the MGC and approval of any new person required to be licensed as a result of the transfer. A transfer of interest that also results in a change in control may require further review and approval by the MGC. No notice or approval is required for the open market</w:t>
      </w:r>
    </w:p>
    <w:p>
      <w:pPr>
        <w:sectPr>
          <w:pgSz w:w="11880" w:h="15480" w:orient="portrait"/>
          <w:cols w:equalWidth="0" w:num="1">
            <w:col w:w="10200"/>
          </w:cols>
          <w:pgMar w:left="840" w:top="675"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00"/>
          </w:cols>
          <w:pgMar w:left="840" w:top="675" w:right="840" w:bottom="3" w:gutter="0" w:footer="0" w:header="0"/>
          <w:type w:val="continuous"/>
        </w:sectPr>
      </w:pPr>
    </w:p>
    <w:bookmarkStart w:id="15" w:name="page16"/>
    <w:bookmarkEnd w:id="15"/>
    <w:p>
      <w:pPr>
        <w:jc w:val="both"/>
        <w:spacing w:after="0" w:line="243" w:lineRule="auto"/>
        <w:rPr>
          <w:sz w:val="20"/>
          <w:szCs w:val="20"/>
          <w:color w:val="auto"/>
        </w:rPr>
      </w:pPr>
      <w:r>
        <w:rPr>
          <w:rFonts w:ascii="Times New Roman" w:cs="Times New Roman" w:eastAsia="Times New Roman" w:hAnsi="Times New Roman"/>
          <w:sz w:val="20"/>
          <w:szCs w:val="20"/>
          <w:color w:val="auto"/>
        </w:rPr>
        <w:t>transfer of less than five per cent interest in the holding company, parent or intermediary company of the licensee. The granting of a security interest in a gaming license or gaming establishment to certain banking or commercial financial institutions in return for financing does not require prior notice or approval by the MGC.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Regulations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2024, we had approximately 28,000 employees (including approximately 11,500 in Macau and 16,500 in the United States).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account. The Company also offers defined contribution retirement plans to its eligible employees, and a non-mandatory central provident fund scheme to eligible employees in Macau which includes contributions from employees and the employer.</w:t>
      </w:r>
    </w:p>
    <w:p>
      <w:pPr>
        <w:spacing w:after="0" w:line="25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collective bargaining agreement with the Culinary Workers Union, Local 226, and Bartenders Union, Local 165, which covers approximately 6,340 culinary, housekeeping, public area, and front services employees at Wynn Las Vegas resort casino, is effective from August 1, 2023 through November 30, 2028. Wynn Las Vegas entered into a collective bargaining agreement with the United Auto Workers Union (“UAW”) effective August 28, 2021 through August 28, 2024, covering approximately 370 table games dealer employees. Wynn Las Vegas and the UAW have commenced negotiations over a successor agreement, and have agreed to extend the terms of the current collective bargaining agreement during the negotiations. Wynn Las Vegas entered into a collective bargaining agreement with the International Brotherhood of Teamsters effective July 21, 2021 through July 21, 2024, covering approximately 170 horticulture and valet employees. Wynn Las Vegas and the Teamsters have commenced negotiations over a successor agreement, and have agreed to extend the terms of the current collective bargaining agreement during the negotiations. Wynn Las Vegas entered into a collective bargaining agreement with the UAW effective from January 27, 2023 through January 27, 2027, covering approximately 70 slot attendant employees.</w:t>
      </w:r>
    </w:p>
    <w:p>
      <w:pPr>
        <w:spacing w:after="0" w:line="257"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collective bargaining agreement with UNITE HERE Local 26 affiliated with UNITE HERE and International Brotherhood of Teamsters, Chauffeurs, Warehousemen &amp; Helpers, Local 25, which covers approximately 1,350 employees at Encore Boston Harbor, expires on August 31, 2026. In October 2023, slot attendant employees at Encore Boston Harbor voted to be represented by UNITE HERE Local 26 under the terms of the existing Collective Bargaining Agreement. In August 2024, Encore Boston Harbor agreed to recognize UNITE HERE Local 26 as the representative of business services employees under the terms of the existing Collective Bargaining Agreement. Effective as of July 2024, Encore Boston Harbor entered into a collective bargaining agreement with Local 103, International Brotherhood of Electrical Workers, AFL-CIO. The collective bargaining agreement covers approximately 110 maintenance employees at Encore Boston Harbor, and expires in June 2029. Effective as of August 2022, Encore Boston Harbor entered into a collective bargaining agreement with United Government Security Officers of America, Local 295. The collective bargaining agreement covers approximately 140 security officers at Encore Boston Harbor and expires in June 2025.</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200"/>
          </w:cols>
          <w:pgMar w:left="840" w:top="675" w:right="840" w:bottom="3"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22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2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1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affiliates. Pursuant to a separation agreement, dated February 15, 2018, by and between Mr. Wynn and the Company, if we cease to use the “Wynn” surname and trademark, we will assign all of our right, title, and interest in the “WYNN” marks to Mr. Wynn and terminate the Surname Rights Agreement.</w:t>
      </w:r>
    </w:p>
    <w:p>
      <w:pPr>
        <w:spacing w:after="0" w:line="22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more information regarding the Company’s intellectual property matters, see Item 1A—“Risk Factors.”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2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22" w:lineRule="exact"/>
        <w:rPr>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business and the cost of compliance or failure to comply with applicable laws and regulations;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future investigations, litigation and other disputes;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key managers and employees;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gaming licenses and concessions and comply with applicable gaming law;</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relations, national security policies, anticorruption campaigns and other geopolitical events, which may impact the number of visitors to our properties and the amount of money they are willing to spend;</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7"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spacing w:after="0" w:line="3"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perception of our resorts and the level of service we provide;</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a limited number of resorts and locations for all of our cash flow and our subsidiaries’ ability to pay us dividends and distributions;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the casino/hotel and resort industries and actions taken by our competitors, including new development and construction activities of competitors;</w:t>
      </w:r>
    </w:p>
    <w:p>
      <w:pPr>
        <w:sectPr>
          <w:pgSz w:w="11880" w:h="15480" w:orient="portrait"/>
          <w:cols w:equalWidth="0" w:num="1">
            <w:col w:w="10200"/>
          </w:cols>
          <w:pgMar w:left="840" w:top="664" w:right="840" w:bottom="3"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200"/>
          </w:cols>
          <w:pgMar w:left="840" w:top="664" w:right="840" w:bottom="3" w:gutter="0" w:footer="0" w:header="0"/>
          <w:type w:val="continuous"/>
        </w:sectPr>
      </w:pPr>
    </w:p>
    <w:bookmarkStart w:id="17" w:name="page18"/>
    <w:bookmarkEnd w:id="17"/>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customer relationships and collect and enforce gaming receivables;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win rates for our gaming operations;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and regulatory risks associated with our current and future construction projects or co-investments in such projects;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violations by us of various anti-money laundering laws or the Foreign Corrupt Practices Act;</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environmental requirements and potential cleanup responsibility and liability as an owner or operator of property;</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incidents or adverse publicity concerning our resorts or our corporate responsibilities;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and compliance with the gaming laws or regulations in the various jurisdictions in which we operate;</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regulations related to taxation, including changes in the rates of taxation;</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collection and use of personal data and our level of compliance with applicable governmental regulations, credit card industry standards and other applicable data security standards;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risk, including cyber and physical security breaches, system failure, computer viruses, and negligent or intentional misuse by customers, company employees, or employees of third-party vendors;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intellectual property rights;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actions and other labor problems;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and future insurance coverage levels;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specifically associated with our Macau Operations;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our indebtedness and our ability to meet our debt service obligations (including sensitivity to fluctuations in interest rates);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compliance with the covenants in our debt agreements.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Business</w:t>
      </w:r>
    </w:p>
    <w:p>
      <w:pPr>
        <w:spacing w:after="0" w:line="143"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Our business is particularly sensitive to reductions in discretionary consumer spending, and a negative macroeconomic environment, including an economic downturn or recession, could adversely impact our business, results of operations, financial condition and cash flows.</w:t>
      </w:r>
    </w:p>
    <w:p>
      <w:pPr>
        <w:spacing w:after="0" w:line="1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financial results are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w:t>
      </w:r>
    </w:p>
    <w:p>
      <w:pPr>
        <w:spacing w:after="0" w:line="141"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In the recent past, negative macroeconomic conditions, such as inflationary pressures, relatively low levels of unemployment, and centralized efforts to control and mitigate the impact of those conditions, caused an increase in interest rates, decreases in consumer discretionary spending and disruption and volatility within the capital markets, and although these conditions have improved, they continue to present fiscal and monetary policy uncertainty. As a result our gaming revenues, financial condition, results of operations and cash flows could be adversely affected by a further deterioration of the current macroeconomic environment, an economic slowdown or recession in the U.S. or global economy, or perception that any of these events may occur.</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00"/>
          </w:cols>
          <w:pgMar w:left="840" w:top="662" w:right="840" w:bottom="3" w:gutter="0" w:footer="0" w:header="0"/>
          <w:type w:val="continuous"/>
        </w:sectPr>
      </w:pPr>
    </w:p>
    <w:bookmarkStart w:id="18" w:name="page19"/>
    <w:bookmarkEnd w:id="18"/>
    <w:p>
      <w:pPr>
        <w:jc w:val="both"/>
        <w:ind w:firstLine="2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 The NGC may also require anyone with a financial interest in a gaming establishment, or with a financial interest in the business of the gaming licensee or applicant for a gaming license or who is a close associate of a gaming licensee or an applicant for a gaming license, to be qualified for licensure.</w:t>
      </w:r>
    </w:p>
    <w:p>
      <w:pPr>
        <w:spacing w:after="0" w:line="1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Failure to adhere to the regulatory and gaming requirements in Macau could result in the revocation of our Macau Operations’ concession or otherwise negatively affect our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1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Each of these regulatory authorities has extensive power to license and oversee the operations of our casino resorts and has taken and could in the future take action against the Company and its related licensees, including actions that have and could further affect the ability or terms upon which our subsidiaries hold their gaming licenses and concessions, and the suitability of the Company to continue as a stockholder of those affiliates.</w:t>
      </w:r>
    </w:p>
    <w:p>
      <w:pPr>
        <w:spacing w:after="0" w:line="142"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Investigations, litigation and other disputes could distract management, damage our reputation, and result in negative publicity and additional scrutiny from regulators.</w:t>
      </w:r>
    </w:p>
    <w:p>
      <w:pPr>
        <w:spacing w:after="0" w:line="14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As discussed in Item 3—“Legal Proceedings” and Item 8—“Financial Statements and Supplementary Data,” Note 18, “Commitments and Contingencies,” the Company is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Investigations, litigation and other disputes have in the past, and may in the future, lead to additional scrutiny from regulators, which could lead to investigations relating to, and possibly a negative impact on, the Company’s gaming licenses and the Company’s ability to bid successfully for new gaming market opportunities. In addition, publicity from these matters have, or in the future, could negatively impact our business, reputation and competitive position and reduce investor demand for shares of Wynn Resorts and WML and negatively impact the trading prices of those respective shares.</w:t>
      </w:r>
    </w:p>
    <w:p>
      <w:pPr>
        <w:spacing w:after="0" w:line="13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example, previously the Company received requests for information from the U.S. Attorney’s Office for the Southern District of California (“USAO”) relating to its anti-money laundering policies and procedures, and beginning in 2020 had received several grand jury subpoenas regarding various transactions at Wynn Las Vegas relating to certain patrons and agents who reside or operate in foreign jurisdictions. On September 6, 2024, Wynn Las Vegas entered into a non-prosecution</w:t>
      </w:r>
    </w:p>
    <w:p>
      <w:pPr>
        <w:sectPr>
          <w:pgSz w:w="11880" w:h="15480" w:orient="portrait"/>
          <w:cols w:equalWidth="0" w:num="1">
            <w:col w:w="10200"/>
          </w:cols>
          <w:pgMar w:left="840" w:top="676" w:right="840" w:bottom="3"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00"/>
          </w:cols>
          <w:pgMar w:left="840" w:top="676" w:right="840" w:bottom="3" w:gutter="0" w:footer="0" w:header="0"/>
          <w:type w:val="continuous"/>
        </w:sectPr>
      </w:pPr>
    </w:p>
    <w:bookmarkStart w:id="19" w:name="page20"/>
    <w:bookmarkEnd w:id="19"/>
    <w:p>
      <w:pPr>
        <w:jc w:val="both"/>
        <w:spacing w:after="0" w:line="243" w:lineRule="auto"/>
        <w:rPr>
          <w:sz w:val="20"/>
          <w:szCs w:val="20"/>
          <w:color w:val="auto"/>
        </w:rPr>
      </w:pPr>
      <w:r>
        <w:rPr>
          <w:rFonts w:ascii="Times New Roman" w:cs="Times New Roman" w:eastAsia="Times New Roman" w:hAnsi="Times New Roman"/>
          <w:sz w:val="20"/>
          <w:szCs w:val="20"/>
          <w:color w:val="auto"/>
        </w:rPr>
        <w:t>agreement (“NPA”) with the USAO and the United States Department of Justice, resolving such investigation. Pursuant to the NPA, Wynn Las Vegas agreed to forfeit $130 million in funds involved in the transactions at issue and continue to make certain enhancements to its compliance program.</w:t>
      </w:r>
    </w:p>
    <w:p>
      <w:pPr>
        <w:spacing w:after="0" w:line="140"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135"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Demand for our products and services may be negatively impacted by geopolitical tensions, visa and travel restrictions or difficulties, restrictions on international money transfers and other policies or campaigns implemented by regional governments.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w:t>
      </w:r>
    </w:p>
    <w:p>
      <w:pPr>
        <w:spacing w:after="0" w:line="1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w:t>
      </w:r>
    </w:p>
    <w:p>
      <w:pPr>
        <w:spacing w:after="0" w:line="142" w:lineRule="exact"/>
        <w:rPr>
          <w:sz w:val="20"/>
          <w:szCs w:val="20"/>
          <w:color w:val="auto"/>
        </w:rPr>
      </w:pPr>
    </w:p>
    <w:p>
      <w:pPr>
        <w:jc w:val="both"/>
        <w:ind w:firstLine="2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dependent on the willingness of our customers to travel. Most of our revenue is from customers who travel to our properties. Acts of terrorism or concerns over the possibility of such acts have in the past disrupted, and may again severely 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 Regional demand for casino resorts and inbound tourism to Macau still continues to recover. We cannot predict when, or even if, operations at our properties in Macau will return to pre-pandemic levels.</w:t>
      </w:r>
    </w:p>
    <w:p>
      <w:pPr>
        <w:spacing w:after="0" w:line="13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addition, governmental action and uncertainty resulting from global political trends and policies of major global economies, including potential barriers to travel, trade and immigration, have reduced demand for hospitality products and services, including visitation to our resorts.</w:t>
      </w:r>
    </w:p>
    <w:p>
      <w:pPr>
        <w:spacing w:after="0" w:line="13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Furthermore, the attack in Las Vegas on October 1, 2017 underscores the possibility that large public facilities could become the target of mass shootings or other attacks in the future. The future occurrence or the possibility of attacks may cause all or portions of affected properties to be shut down for prolonged periods, resulting in a loss of revenue, reduce travel to affected areas for tourism and business or adversely affect the willingness of customers to stay in or avail themselves of the services of the affected properties. In addition, such occurrences expose us to a risk of monetary claims arising from death,</w:t>
      </w:r>
    </w:p>
    <w:p>
      <w:pPr>
        <w:sectPr>
          <w:pgSz w:w="11880" w:h="15480" w:orient="portrait"/>
          <w:cols w:equalWidth="0" w:num="1">
            <w:col w:w="10200"/>
          </w:cols>
          <w:pgMar w:left="840" w:top="675"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00"/>
          </w:cols>
          <w:pgMar w:left="840" w:top="675" w:right="840" w:bottom="3" w:gutter="0" w:footer="0" w:header="0"/>
          <w:type w:val="continuous"/>
        </w:sectPr>
      </w:pPr>
    </w:p>
    <w:bookmarkStart w:id="20" w:name="page21"/>
    <w:bookmarkEnd w:id="20"/>
    <w:p>
      <w:pPr>
        <w:jc w:val="both"/>
        <w:spacing w:after="0" w:line="238" w:lineRule="auto"/>
        <w:rPr>
          <w:sz w:val="20"/>
          <w:szCs w:val="20"/>
          <w:color w:val="auto"/>
        </w:rPr>
      </w:pPr>
      <w:r>
        <w:rPr>
          <w:rFonts w:ascii="Times New Roman" w:cs="Times New Roman" w:eastAsia="Times New Roman" w:hAnsi="Times New Roman"/>
          <w:sz w:val="20"/>
          <w:szCs w:val="20"/>
          <w:color w:val="auto"/>
        </w:rPr>
        <w:t>injury or damage to property caused by any such attack and may result in higher costs for security and insurance premiums, all of which could adversely affect our financial condition and results of operations.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continued success depends on our ability to maintain the reputation of our resorts.</w:t>
      </w:r>
    </w:p>
    <w:p>
      <w:pPr>
        <w:spacing w:after="0" w:line="15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146"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entirely dependent on a limited number of resorts for all of our cash flow, which subjects us to greater risks than a gaming company with more operating properties.</w:t>
      </w:r>
    </w:p>
    <w:p>
      <w:pPr>
        <w:spacing w:after="0" w:line="15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an increase in the cost of maintaining our properties; a decline in the number of visitors to Las Vegas, Macau or Boston; and a decrease in gaming and non-casino activities at our resorts. Certain of these factors or events, such as severe storms and infectious diseases, have in the past negatively affected our results of operations, and any of these factors or events may in the future negatively affect our results of operations and our ability to generate sufficient cash flow to make payments or maintain our covenants with respect to our debt.</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are a parent company and our primary source of cash is and will be distributions from our subsidiaries.</w:t>
      </w:r>
    </w:p>
    <w:p>
      <w:pPr>
        <w:spacing w:after="0" w:line="15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subsidiaries’ payments to us will be contingent upon their earnings and upon other business considerations, and may be impacted by potential changes in laws and regulations.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146"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casino, hotel, convention and other facilities and offerings face intense competition, which may increase in the future.</w:t>
      </w:r>
    </w:p>
    <w:p>
      <w:pPr>
        <w:spacing w:after="0" w:line="15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casino resort and hotel industry is highly competitive. Increased competition could result in a loss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which may negatively affect our cash flows and results of operations.</w:t>
      </w:r>
    </w:p>
    <w:p>
      <w:pPr>
        <w:spacing w:after="0" w:line="152"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Macau Operations. </w:t>
      </w:r>
      <w:r>
        <w:rPr>
          <w:rFonts w:ascii="Times New Roman" w:cs="Times New Roman" w:eastAsia="Times New Roman" w:hAnsi="Times New Roman"/>
          <w:sz w:val="19"/>
          <w:szCs w:val="19"/>
          <w:color w:val="auto"/>
        </w:rPr>
        <w:t>We hold one of six gaming concessions authorized by the Macau government for the operation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casinos in Macau. If the Macau 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expected in the near future.</w:t>
      </w:r>
    </w:p>
    <w:p>
      <w:pPr>
        <w:spacing w:after="0" w:line="13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further increase competition for our Macau Operations.</w:t>
      </w:r>
    </w:p>
    <w:p>
      <w:pPr>
        <w:spacing w:after="0" w:line="14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Las Vegas Operations and Encore Boston Harbor. </w:t>
      </w:r>
      <w:r>
        <w:rPr>
          <w:rFonts w:ascii="Times New Roman" w:cs="Times New Roman" w:eastAsia="Times New Roman" w:hAnsi="Times New Roman"/>
          <w:sz w:val="20"/>
          <w:szCs w:val="20"/>
          <w:color w:val="auto"/>
        </w:rPr>
        <w:t>Our Las Vegas Operations compete with other Las Vegas Strip hotels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 other hotel casinos in Las Vegas on the basis of overall atmosphere, range of amenities, level of service, price, location, entertainment, theme and size, among other factors. There are currently several large-scale integrated resort projects either recently completed or under development in the vicinity of our Las Vegas Operations, which may present increased</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00"/>
          </w:cols>
          <w:pgMar w:left="840" w:top="675" w:right="840" w:bottom="3" w:gutter="0" w:footer="0" w:header="0"/>
          <w:type w:val="continuous"/>
        </w:sectPr>
      </w:pPr>
    </w:p>
    <w:bookmarkStart w:id="21" w:name="page22"/>
    <w:bookmarkEnd w:id="21"/>
    <w:p>
      <w:pPr>
        <w:jc w:val="both"/>
        <w:spacing w:after="0" w:line="248" w:lineRule="auto"/>
        <w:rPr>
          <w:sz w:val="20"/>
          <w:szCs w:val="20"/>
          <w:color w:val="auto"/>
        </w:rPr>
      </w:pPr>
      <w:r>
        <w:rPr>
          <w:rFonts w:ascii="Times New Roman" w:cs="Times New Roman" w:eastAsia="Times New Roman" w:hAnsi="Times New Roman"/>
          <w:sz w:val="20"/>
          <w:szCs w:val="20"/>
          <w:color w:val="auto"/>
        </w:rPr>
        <w:t>competition in the future. Wynn Las Vegas also competes with other casino resort and 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northeastern United States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152"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business relies on premium customers. We often extend credit, and we may not be able to collect gaming receivables from our credit players or credit play may decrease.</w:t>
      </w:r>
    </w:p>
    <w:p>
      <w:pPr>
        <w:spacing w:after="0" w:line="15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A significant portion of our table games revenue at our resorts is attributable to the play of a limited number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premium customers. The loss or a reduction in the play of the most significant of these customers could have a material adverse effect on our business, financial condition, results of operations and cash flows. Adverse global or regional economic conditions, as discussed above, could also reduce the frequency of visits by these customers and revenue we generate from them.</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15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Macau Operations. </w:t>
      </w:r>
      <w:r>
        <w:rPr>
          <w:rFonts w:ascii="Times New Roman" w:cs="Times New Roman" w:eastAsia="Times New Roman" w:hAnsi="Times New Roman"/>
          <w:sz w:val="20"/>
          <w:szCs w:val="20"/>
          <w:color w:val="auto"/>
        </w:rPr>
        <w:t>Although the law in Macau permits casino operators to extend credit to gaming customers, our Macau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w:t>
      </w:r>
    </w:p>
    <w:p>
      <w:pPr>
        <w:spacing w:after="0" w:line="14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14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i w:val="1"/>
          <w:iCs w:val="1"/>
          <w:color w:val="auto"/>
        </w:rPr>
        <w:t>Las Vegas Operations and Encore Boston Harbor</w:t>
      </w:r>
      <w:r>
        <w:rPr>
          <w:rFonts w:ascii="Times New Roman" w:cs="Times New Roman" w:eastAsia="Times New Roman" w:hAnsi="Times New Roman"/>
          <w:sz w:val="20"/>
          <w:szCs w:val="20"/>
          <w:color w:val="auto"/>
        </w:rPr>
        <w:t>. While gaming debts evidenced by a credit instrument, including what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commonly referred 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financial condition and results of operations.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Win rates for our gaming operations depend on a variety of factors, some of which are beyond our control.</w:t>
      </w:r>
    </w:p>
    <w:p>
      <w:pPr>
        <w:spacing w:after="0" w:line="15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ectPr>
          <w:pgSz w:w="11880" w:h="15480" w:orient="portrait"/>
          <w:cols w:equalWidth="0" w:num="1">
            <w:col w:w="10200"/>
          </w:cols>
          <w:pgMar w:left="840" w:top="675"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00"/>
          </w:cols>
          <w:pgMar w:left="840" w:top="675" w:right="840" w:bottom="3" w:gutter="0" w:footer="0" w:header="0"/>
          <w:type w:val="continuous"/>
        </w:sectPr>
      </w:pPr>
    </w:p>
    <w:bookmarkStart w:id="22" w:name="page23"/>
    <w:bookmarkEnd w:id="22"/>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145" w:lineRule="exact"/>
        <w:rPr>
          <w:sz w:val="20"/>
          <w:szCs w:val="20"/>
          <w:color w:val="auto"/>
        </w:rPr>
      </w:pPr>
    </w:p>
    <w:p>
      <w:pPr>
        <w:jc w:val="both"/>
        <w:ind w:firstLine="2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anticipated benefits of our new projects, or co-investments in new projects. Construction projects are subject to development and construction risks, and being a co-investor in new projects decreases our ability to manage risks and exposes us to additional financial risks, which could have an adverse effect on our financial condition, results of operations or cash flows.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To the extent we conduct the development of new projects or engage in new strategies through investments in entities alongside other co-investors (as is the case with Wynn Al Marjan Island, in which we own a 40% equity interest), our expected return on our investment may be limited by our inability to exercise control over certain strategic and operations decisions that may influence the success of the venture. Furthermore, the occurrence of risks that adversely affect the businesses of our co-investors or our unconsolidated affiliates could reduce the value of our investments, impair their ability to make future distributions or pay management fees to us, or require that we make additional capital contributions to them. Inherent limitations on our ability to exercise control over such ventures may limit our ability to directly manage these risks.</w:t>
      </w:r>
    </w:p>
    <w:p>
      <w:pPr>
        <w:spacing w:after="0" w:line="13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investments with other investors involve risks such as the possibility that a co-investor might become bankrupt or not have the financial resources to meet its obligations, which could subject us to additional liability in cases where we may agree, on a joint and several basis with such co-investor, to provide a completion guarantee and/or other forms of credit support for a project (such as the completion guarantee and contingent equity credit support we provided related to the Wynn Al Marjan Island project as further described in Item 7—“Management’s Discussion and Analysis of Financial Condition and Results of Operations,” Liquidity and Capital Resources”), have economic or business interests or goals that are inconsistent with our business interests or goals, or take action contrary to our policies or objectives. Consequently, actions by a co-investor might subject the properties or businesses owned by such entities to additional risk. Further, we may be unable to take action without the approval of our co-investors, or our co-investors could take actions binding on the property without our consent. Additionally, should a co-investor become bankrupt, we could become liable for its share of liabilities, including pursuant to any of the above-mentioned credit support or similar types of instruments.</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could encounter higher than expected cost increases in the development of our projects.</w:t>
      </w:r>
    </w:p>
    <w:p>
      <w:pPr>
        <w:spacing w:after="0" w:line="14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200"/>
          </w:cols>
          <w:pgMar w:left="840" w:top="675" w:right="840" w:bottom="3" w:gutter="0" w:footer="0" w:header="0"/>
          <w:type w:val="continuous"/>
        </w:sectPr>
      </w:pPr>
    </w:p>
    <w:bookmarkStart w:id="23" w:name="page24"/>
    <w:bookmarkEnd w:id="23"/>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Any violation of applicable anti-money laundering laws and regulations, the Foreign Corrupt Practices Act (“FCPA”) and other anti-corruption laws, or resulting sanctions and penalties could adversely affect our business, performance, prospects, value, financial condition, and results of operations.</w:t>
      </w:r>
    </w:p>
    <w:p>
      <w:pPr>
        <w:spacing w:after="0" w:line="12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2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110"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has, in the past, and may, in the future, face investigations, prosecutions and other legal proceedings and actions, which could result in civil penalties, administrative remedies and criminal sanctions. Any such future government investigations, prosecutions or other legal proceedings or actions could adversely affect our business, performance, prospects, value, financial condition, and results of operations.</w:t>
      </w:r>
    </w:p>
    <w:p>
      <w:pPr>
        <w:spacing w:after="0" w:line="111"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Because we own real property, we are subject to extensive environmental regulation, which creates uncertainty regarding future environmental expenditures and liabilities.</w:t>
      </w:r>
    </w:p>
    <w:p>
      <w:pPr>
        <w:spacing w:after="0" w:line="12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incurred, and may in the future incur,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have been and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have exceeded our initial estimates of the remediation costs for the Everett site. We may also be required to conduct additional investigations and remediation with respect to this site.</w:t>
      </w:r>
    </w:p>
    <w:p>
      <w:pPr>
        <w:spacing w:after="0" w:line="125"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Adverse incidents or adverse publicity concerning our resorts or our corporate responsibilities could harm our brand and reputation and negatively impact our financial results.</w:t>
      </w:r>
    </w:p>
    <w:p>
      <w:pPr>
        <w:spacing w:after="0" w:line="12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126"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Compliance with evolving laws and regulations, and the interpretations thereof, is expensive and results in compliance risks.</w:t>
      </w:r>
    </w:p>
    <w:p>
      <w:pPr>
        <w:spacing w:after="0" w:line="12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Evolving laws and regulations create uncertainty for gaming companies. These evolving laws and regulations are subject to varying interpretations in many cases due to their complexity, ambiguity and/or lack of guidance. As a result, their</w:t>
      </w:r>
    </w:p>
    <w:p>
      <w:pPr>
        <w:sectPr>
          <w:pgSz w:w="11880" w:h="15480" w:orient="portrait"/>
          <w:cols w:equalWidth="0" w:num="1">
            <w:col w:w="10200"/>
          </w:cols>
          <w:pgMar w:left="840" w:top="676" w:right="840" w:bottom="3"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00"/>
          </w:cols>
          <w:pgMar w:left="840" w:top="676" w:right="840" w:bottom="3" w:gutter="0" w:footer="0" w:header="0"/>
          <w:type w:val="continuous"/>
        </w:sectPr>
      </w:pPr>
    </w:p>
    <w:bookmarkStart w:id="24" w:name="page25"/>
    <w:bookmarkEnd w:id="24"/>
    <w:p>
      <w:pPr>
        <w:jc w:val="both"/>
        <w:spacing w:after="0" w:line="247" w:lineRule="auto"/>
        <w:rPr>
          <w:sz w:val="20"/>
          <w:szCs w:val="20"/>
          <w:color w:val="auto"/>
        </w:rPr>
      </w:pPr>
      <w:r>
        <w:rPr>
          <w:rFonts w:ascii="Times New Roman" w:cs="Times New Roman" w:eastAsia="Times New Roman" w:hAnsi="Times New Roman"/>
          <w:sz w:val="20"/>
          <w:szCs w:val="20"/>
          <w:color w:val="auto"/>
        </w:rPr>
        <w:t>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taxation by various governments and agencies. The rate of taxation could change.</w:t>
      </w:r>
    </w:p>
    <w:p>
      <w:pPr>
        <w:spacing w:after="0" w:line="12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120"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System failure, information leakage and the cost of maintaining sufficient cybersecurity could adversely affect our business.</w:t>
      </w:r>
    </w:p>
    <w:p>
      <w:pPr>
        <w:spacing w:after="0" w:line="126"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w:t>
      </w:r>
    </w:p>
    <w:p>
      <w:pPr>
        <w:spacing w:after="0" w:line="11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w:t>
      </w:r>
    </w:p>
    <w:p>
      <w:pPr>
        <w:spacing w:after="0" w:line="12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third-party information system service provider,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w:t>
      </w:r>
    </w:p>
    <w:p>
      <w:pPr>
        <w:spacing w:after="0" w:line="124"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12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Our business uses and transmits large volumes of employee and customer data, including credit card numbers and other personal information in various information systems that we maintain in areas such as human resources outsourcing, website</w:t>
      </w:r>
    </w:p>
    <w:p>
      <w:pPr>
        <w:sectPr>
          <w:pgSz w:w="11880" w:h="15480" w:orient="portrait"/>
          <w:cols w:equalWidth="0" w:num="1">
            <w:col w:w="10200"/>
          </w:cols>
          <w:pgMar w:left="840" w:top="675"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00"/>
          </w:cols>
          <w:pgMar w:left="840" w:top="675" w:right="840" w:bottom="3" w:gutter="0" w:footer="0" w:header="0"/>
          <w:type w:val="continuous"/>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0"/>
          <w:szCs w:val="20"/>
          <w:color w:val="auto"/>
        </w:rPr>
        <w:t>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United States in this area are also developing quickly. Laws in all 50 states require businesses to provide notice to customers whose personally identifiable information has been disclosed as a result of a data breach. Some states, such as California, Virginia and Colorado, have adopted privacy laws. Such adoption may indicate a trend for further legislation across all states.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suffer if our computer systems and websites are disrupted or cease to operate effectively.</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142"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If a third party successfully challenges our ownership of, or right to use, the Wynn-related trademarks and/or service marks, our business or results of operations could be harmed.</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intellectual property assets, especially the logo version of “Wynn,” are among our most valuable assets. We have filed applications with the U.S. Patent and Trademark Office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13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spacing w:after="0" w:line="13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w:t>
      </w:r>
    </w:p>
    <w:p>
      <w:pPr>
        <w:sectPr>
          <w:pgSz w:w="11880" w:h="15480" w:orient="portrait"/>
          <w:cols w:equalWidth="0" w:num="1">
            <w:col w:w="10200"/>
          </w:cols>
          <w:pgMar w:left="840" w:top="675"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00"/>
          </w:cols>
          <w:pgMar w:left="840" w:top="675" w:right="840" w:bottom="3" w:gutter="0" w:footer="0" w:header="0"/>
          <w:type w:val="continuous"/>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20"/>
          <w:szCs w:val="20"/>
          <w:color w:val="auto"/>
        </w:rPr>
        <w:t>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Labor actions and other labor problems could negatively impact our operations.</w:t>
      </w:r>
    </w:p>
    <w:p>
      <w:pPr>
        <w:spacing w:after="0" w:line="12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organizing activity in the future. The impact of any future organizing activity or labor dispute or work stoppage with respect to those of our employees who are represented by labor unions could have a material adverse effect on our business, financial condition, results of operations and cash flows.</w:t>
      </w:r>
    </w:p>
    <w:p>
      <w:pPr>
        <w:spacing w:after="0" w:line="117"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insurance coverage may not be adequate to cover all possible losses that we could suffer, including losses resulting from terrorism, and our insurance costs may increase.</w:t>
      </w:r>
    </w:p>
    <w:p>
      <w:pPr>
        <w:spacing w:after="0" w:line="12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1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Associated with our Macau Operations</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Macau Operations may be affected by adverse political and economic conditions.</w:t>
      </w:r>
    </w:p>
    <w:p>
      <w:pPr>
        <w:spacing w:after="0" w:line="12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Macau Operations are subject to significant political, economic and social risks inherent in doing business in an emerging market. The future success of our Macau Operations depends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compete for limited labor resources in Macau and local policies may also affect our ability to employ imported labor.</w:t>
      </w:r>
    </w:p>
    <w:p>
      <w:pPr>
        <w:spacing w:after="0" w:line="12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is expected to continue for the foreseeable future.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and operations in Macau could be impaired, which could have a material adverse effect on our business, financial condition, results of operations and cash flows.</w:t>
      </w:r>
    </w:p>
    <w:p>
      <w:pPr>
        <w:spacing w:after="0" w:line="116"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smoking control legislation in Macau could have an adverse effect on our business, financial condition, results of operations and cash flows.</w:t>
      </w:r>
    </w:p>
    <w:p>
      <w:pPr>
        <w:spacing w:after="0" w:line="12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w:t>
      </w:r>
    </w:p>
    <w:p>
      <w:pPr>
        <w:sectPr>
          <w:pgSz w:w="11880" w:h="15480" w:orient="portrait"/>
          <w:cols w:equalWidth="0" w:num="1">
            <w:col w:w="10200"/>
          </w:cols>
          <w:pgMar w:left="840" w:top="675"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00"/>
          </w:cols>
          <w:pgMar w:left="840" w:top="675" w:right="840" w:bottom="3" w:gutter="0" w:footer="0" w:header="0"/>
          <w:type w:val="continuous"/>
        </w:sectPr>
      </w:pPr>
    </w:p>
    <w:bookmarkStart w:id="27" w:name="page28"/>
    <w:bookmarkEnd w:id="27"/>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Extreme weather conditions have had and may in the future have an adverse impact on our Macau Operations.</w:t>
      </w:r>
    </w:p>
    <w:p>
      <w:pPr>
        <w:spacing w:after="0" w:line="12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107"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If our Macau Operations fail to comply with the Gaming Concession Contract, or applicable Macau laws and administrative regulations, the Macau government may rescind our concession without compensation to us, which would have a material adverse effect on our business and financial condition.</w:t>
      </w:r>
    </w:p>
    <w:p>
      <w:pPr>
        <w:spacing w:after="0" w:line="12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Pursuant to the Gaming Concession Contract and the Laws and Administrative Regulations, the Macau government may rescind the gaming concession if Wynn Macau SA fails to fulfill its obligations under the Macau law or the Gaming Concession Contract, including in the circumstances of (i) endangerment to the national security of mainland China or Macau,</w:t>
      </w:r>
    </w:p>
    <w:p>
      <w:pPr>
        <w:spacing w:after="0" w:line="21" w:lineRule="exact"/>
        <w:rPr>
          <w:sz w:val="20"/>
          <w:szCs w:val="20"/>
          <w:color w:val="auto"/>
        </w:rPr>
      </w:pPr>
    </w:p>
    <w:p>
      <w:pPr>
        <w:jc w:val="both"/>
        <w:spacing w:after="0" w:line="249" w:lineRule="auto"/>
        <w:tabs>
          <w:tab w:leader="none" w:pos="32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the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Wynn Macau SA is currently in its third year of concession. The loss of our concession would prohibit us from conducting gaming operations in Macau, which would have a material adverse effect on our business and financial condition.</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Certain Nevada gaming laws apply to our gaming activities and associations outside of Nevada.</w:t>
      </w:r>
    </w:p>
    <w:p>
      <w:pPr>
        <w:spacing w:after="0" w:line="12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2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if the NGCB determines that any actual or intended activities or associations of our subsidiaries operating in other states may be prohibited pursuant to one or more of the standards described above, the NGCB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spacing w:after="0" w:line="122"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Massachusetts Gaming Commission has broad authority to consider conduct outside of Massachusetts for continued licensure in Massachusetts.</w:t>
      </w:r>
    </w:p>
    <w:p>
      <w:pPr>
        <w:spacing w:after="0" w:line="12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Massachusetts Gaming Act requires a gaming licensee to affirmatively maintain its suitability to hold a gaming license in Massachusetts. Under the MGC’s continuing duty regulations, we are required to report to notify and update the MGC of certain matters including but not limited to any denial, suspension or revocation in any jurisdiction of a gaming related license; any discipline, including a fine or warning, related to gaming operations imposed upon the gaming licensee or</w:t>
      </w:r>
    </w:p>
    <w:p>
      <w:pPr>
        <w:sectPr>
          <w:pgSz w:w="11880" w:h="15480" w:orient="portrait"/>
          <w:cols w:equalWidth="0" w:num="1">
            <w:col w:w="10200"/>
          </w:cols>
          <w:pgMar w:left="840" w:top="662"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00"/>
          </w:cols>
          <w:pgMar w:left="840" w:top="662" w:right="840" w:bottom="3" w:gutter="0" w:footer="0" w:header="0"/>
          <w:type w:val="continuous"/>
        </w:sectPr>
      </w:pPr>
    </w:p>
    <w:bookmarkStart w:id="28" w:name="page29"/>
    <w:bookmarkEnd w:id="28"/>
    <w:p>
      <w:pPr>
        <w:jc w:val="both"/>
        <w:spacing w:after="0" w:line="247" w:lineRule="auto"/>
        <w:rPr>
          <w:sz w:val="20"/>
          <w:szCs w:val="20"/>
          <w:color w:val="auto"/>
        </w:rPr>
      </w:pPr>
      <w:r>
        <w:rPr>
          <w:rFonts w:ascii="Times New Roman" w:cs="Times New Roman" w:eastAsia="Times New Roman" w:hAnsi="Times New Roman"/>
          <w:sz w:val="20"/>
          <w:szCs w:val="20"/>
          <w:color w:val="auto"/>
        </w:rPr>
        <w:t>qualifier by any government agency in any jurisdiction; any arrest, indictment, charge or criminal conviction of any qualifier in any jurisdiction; any complaints, allegations, or notice of investigation thereof against the gaming licensee, qualifier, or any gaming entity owned or operated by the parent to the gaming licensee, that if substantiated could reasonably lead to potential revocation or suspension of the license or approval held by the gaming licensee, qualifier, or gaming entity owned or operated by the parent to the gaming licensee, in that jurisdiction and/or imposition of a fine of $50,000 or greater.</w:t>
      </w:r>
    </w:p>
    <w:p>
      <w:pPr>
        <w:spacing w:after="0" w:line="11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Licensing or other disciplinary action against us outside of Massachusetts, including by the government of Macau, may be considered by the MGC in assessment of our ongoing suitability to hold a license in Massachusetts and may subject us to fines, license conditions, license suspension or revocation.</w:t>
      </w:r>
    </w:p>
    <w:p>
      <w:pPr>
        <w:spacing w:after="0" w:line="125"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12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currency delineated in our Macau Operations’ concession agreement with the Macau government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12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2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Currency exchange controls and currency export restrictions could negatively impact our Macau Operations.</w:t>
      </w:r>
    </w:p>
    <w:p>
      <w:pPr>
        <w:spacing w:after="0" w:line="12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 may arise because certain of our directors and officers are also directors of Wynn Macau, Limited.</w:t>
      </w:r>
    </w:p>
    <w:p>
      <w:pPr>
        <w:spacing w:after="0" w:line="12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2024, Wynn Resorts owned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08"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12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December 31, 2024, we had a total of 303 table games at Wynn Palace and 257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Share Ownership and Stockholder Matters</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Certain stockholders are able to exert significant influence over our operations and future direction.</w:t>
      </w:r>
    </w:p>
    <w:p>
      <w:pPr>
        <w:spacing w:after="0" w:line="12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2024, Elaine P. Wynn owned approximately 8.85% of our outstanding common stock. As a result, Elaine P. Wynn may be able to exert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w:t>
      </w:r>
    </w:p>
    <w:p>
      <w:pPr>
        <w:sectPr>
          <w:pgSz w:w="11880" w:h="15480" w:orient="portrait"/>
          <w:cols w:equalWidth="0" w:num="1">
            <w:col w:w="10200"/>
          </w:cols>
          <w:pgMar w:left="840" w:top="675" w:right="840" w:bottom="3"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00"/>
          </w:cols>
          <w:pgMar w:left="840" w:top="675" w:right="840" w:bottom="3" w:gutter="0" w:footer="0" w:header="0"/>
          <w:type w:val="continuous"/>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w:t>
      </w:r>
    </w:p>
    <w:p>
      <w:pPr>
        <w:spacing w:after="0" w:line="1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Indebtedness</w:t>
      </w:r>
    </w:p>
    <w:p>
      <w:pPr>
        <w:spacing w:after="0" w:line="141"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highly leveraged and future cash flow may not be sufficient for us to meet our obligations, and we might have difficulty obtaining more financing.</w:t>
      </w:r>
    </w:p>
    <w:p>
      <w:pPr>
        <w:spacing w:after="0" w:line="14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have a substantial amount of consolidated debt in relation to our equity. As of December 31, 2024, we had total outstanding debt of approximately $10.64 billion. We may incur additional indebtedness in connection with the construction of future development projects or major capital enhancement at our existing properties. See Item 1—Business “Our Resorts.”</w:t>
      </w:r>
    </w:p>
    <w:p>
      <w:pPr>
        <w:spacing w:after="0" w:line="1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as market interest rates increase.</w:t>
      </w:r>
    </w:p>
    <w:p>
      <w:pPr>
        <w:spacing w:after="0" w:line="13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are permitted to incur additional indebtedness if certain conditions are met, including conditions under our WM Cayman II Revolver, our WRF Credit Facilities, and our indentures. If we incur additional indebtedness, the risks described above will be exacerbated.</w:t>
      </w:r>
    </w:p>
    <w:p>
      <w:pPr>
        <w:spacing w:after="0" w:line="141"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4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138"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12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enforce their security interests in our various assets or cause all outstanding amounts to be due and payable immediately.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200"/>
          </w:cols>
          <w:pgMar w:left="840" w:top="675" w:right="840" w:bottom="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00"/>
          </w:cols>
          <w:pgMar w:left="840" w:top="675" w:right="840" w:bottom="3"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Resorts’ information security program is designed to preserve the accuracy and integrity of all forms of information processed by us and to protect such information, including our employees’ and guests’ personally identifiable information and information related to our operations, from misuse, loss, or theft. Our information security program is founded on principles and standards of the National Institute of Standards and Technology Framework for Improving Critical Infrastructure Cybersecurity issued by the U.S. government and is integrated into our overall enterprise risk management system.</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Chief Information Security Officer (“CISO”) works closely with the Chief Information Officer and the Chief Privacy Counsel to collectively manage our global information security, information technology and data privacy programs. The Company’s information security program includes a robust set of controls and safeguards for the systems, applications, and databases of the Company and of its third-party vendors. The CISO manages the information security program and sets annual targets and security objectives. The program includes regular risk assessments and recurring internal and external audits to assess the program’s maturity and effectiveness. The results of these assessments and audits help inform decisions to make program adjustments and evaluate whether the program’s security objectives are effective and up to date. Additional features of our cybersecurity program include security controls, such as firewalls and intrusion detection systems; data loss prevention tools; penetration testing of network, cloud, and application platforms; security assessments of our third-party vendors; and security awareness education for our employees and specialized training for our information security specialists.</w:t>
      </w:r>
    </w:p>
    <w:p>
      <w:pPr>
        <w:spacing w:after="0" w:line="1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implemented security monitoring capabilities, designed to alert us to suspicious activity and have developed an incident response program that includes periodic coordinated response exercises designed to restore business operations as quickly and as orderly as practicable in the event of a breach. In the event of cyber incident which may be considered “material” under the SEC’s disclosure rules, Wynn Resorts has established a separate committee comprised of the General Counsel, the Chief Financial Officer, the Chief Privacy Counsel, and the CISO. The Materiality Committee is responsible for determining whether a cyber incident, or series of incidents, is “material” and requires disclosure under Item 1.05 of Form 8-K as well as informing the Board of Directors about the incident from a risk oversight perspective.</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Board of Directors oversees risks relating to cybersecurity. The CISO presents to the Board of Directors on a quarterly basis and the results of the risk assessments and audits on at least an annual basis. These reports also include detailed updates on the Company’s performance preparing for, preventing, detecting, responding to, and recovering from cyber incidents. The CISO has overseen the Company’s information security program for the last 15 years. He holds a Bachelor of Arts degree in Business Administration, and has over 30 years’ total experience in the information technology and security field, including various leadership roles before joining Wynn Resorts. In addition, he holds several industry technical certifications in information security, network engineering, systems engineering, database management, application development, and security intrusions.</w:t>
      </w:r>
    </w:p>
    <w:p>
      <w:pPr>
        <w:spacing w:after="0" w:line="1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Failure of our information security program to prevent or detect a cyber incident could result in the compromise of Company and customer information, reputational damage, and/or financial loss. During the periods covered by this report, we did not experience any material cyber incidents and the expenses we incurred from cyber incidents were immaterial. While prior incidents have not had a material impact on us, future incidents could have a material adverse effect on our business, results of operations and cash flows. For additional information about our cybersecurity risks, see “</w:t>
      </w:r>
      <w:r>
        <w:rPr>
          <w:rFonts w:ascii="Times New Roman" w:cs="Times New Roman" w:eastAsia="Times New Roman" w:hAnsi="Times New Roman"/>
          <w:sz w:val="20"/>
          <w:szCs w:val="20"/>
          <w:i w:val="1"/>
          <w:iCs w:val="1"/>
          <w:color w:val="auto"/>
        </w:rPr>
        <w:t>System failure,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leakage and the cost of maintaining sufficient cybersecurity could adversely affect our business</w:t>
      </w:r>
      <w:r>
        <w:rPr>
          <w:rFonts w:ascii="Times New Roman" w:cs="Times New Roman" w:eastAsia="Times New Roman" w:hAnsi="Times New Roman"/>
          <w:sz w:val="20"/>
          <w:szCs w:val="20"/>
          <w:color w:val="auto"/>
        </w:rPr>
        <w:t>” in Item 1A — “Risk Factors.”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200"/>
          </w:cols>
          <w:pgMar w:left="840" w:top="664" w:right="840" w:bottom="3"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6"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presents our significant land holdings. We own or have obtained the right to use these properties. We also own or lease various other improved and unimproved properties which may be used for development projects.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Approximate</w:t>
            </w:r>
          </w:p>
        </w:tc>
        <w:tc>
          <w:tcPr>
            <w:tcW w:w="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237"/>
        </w:trPr>
        <w:tc>
          <w:tcPr>
            <w:tcW w:w="2400" w:type="dxa"/>
            <w:vAlign w:val="bottom"/>
            <w:tcBorders>
              <w:bottom w:val="single" w:sz="8" w:color="auto"/>
            </w:tcBorders>
          </w:tcPr>
          <w:p>
            <w:pPr>
              <w:ind w:left="60"/>
              <w:spacing w:after="0" w:line="222" w:lineRule="exact"/>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
              <w:spacing w:after="0" w:line="222" w:lineRule="exact"/>
              <w:rPr>
                <w:sz w:val="20"/>
                <w:szCs w:val="20"/>
                <w:color w:val="auto"/>
              </w:rPr>
            </w:pPr>
            <w:r>
              <w:rPr>
                <w:rFonts w:ascii="Times New Roman" w:cs="Times New Roman" w:eastAsia="Times New Roman" w:hAnsi="Times New Roman"/>
                <w:sz w:val="20"/>
                <w:szCs w:val="20"/>
                <w:b w:val="1"/>
                <w:bCs w:val="1"/>
                <w:color w:val="auto"/>
              </w:rPr>
              <w:t>Acres</w:t>
            </w:r>
          </w:p>
        </w:tc>
        <w:tc>
          <w:tcPr>
            <w:tcW w:w="60" w:type="dxa"/>
            <w:vAlign w:val="bottom"/>
          </w:tcPr>
          <w:p>
            <w:pPr>
              <w:spacing w:after="0"/>
              <w:rPr>
                <w:sz w:val="20"/>
                <w:szCs w:val="20"/>
                <w:color w:val="auto"/>
              </w:rPr>
            </w:pPr>
          </w:p>
        </w:tc>
        <w:tc>
          <w:tcPr>
            <w:tcW w:w="6540" w:type="dxa"/>
            <w:vAlign w:val="bottom"/>
            <w:tcBorders>
              <w:bottom w:val="single" w:sz="8" w:color="auto"/>
            </w:tcBorders>
          </w:tcPr>
          <w:p>
            <w:pPr>
              <w:ind w:left="2880"/>
              <w:spacing w:after="0" w:line="222" w:lineRule="exact"/>
              <w:rPr>
                <w:sz w:val="20"/>
                <w:szCs w:val="20"/>
                <w:color w:val="auto"/>
              </w:rPr>
            </w:pPr>
            <w:r>
              <w:rPr>
                <w:rFonts w:ascii="Times New Roman" w:cs="Times New Roman" w:eastAsia="Times New Roman" w:hAnsi="Times New Roman"/>
                <w:sz w:val="20"/>
                <w:szCs w:val="20"/>
                <w:b w:val="1"/>
                <w:bCs w:val="1"/>
                <w:color w:val="auto"/>
              </w:rPr>
              <w:t>Location</w:t>
            </w:r>
          </w:p>
        </w:tc>
      </w:tr>
      <w:tr>
        <w:trPr>
          <w:trHeight w:val="300"/>
        </w:trPr>
        <w:tc>
          <w:tcPr>
            <w:tcW w:w="2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Macau Operations </w:t>
            </w:r>
            <w:r>
              <w:rPr>
                <w:rFonts w:ascii="Times New Roman" w:cs="Times New Roman" w:eastAsia="Times New Roman" w:hAnsi="Times New Roman"/>
                <w:sz w:val="26"/>
                <w:szCs w:val="26"/>
                <w:b w:val="1"/>
                <w:bCs w:val="1"/>
                <w:color w:val="auto"/>
                <w:vertAlign w:val="superscript"/>
              </w:rPr>
              <w:t>(1)</w:t>
            </w:r>
          </w:p>
        </w:tc>
        <w:tc>
          <w:tcPr>
            <w:tcW w:w="6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540" w:type="dxa"/>
            <w:vAlign w:val="bottom"/>
            <w:shd w:val="clear" w:color="auto" w:fill="E0E0E0"/>
          </w:tcPr>
          <w:p>
            <w:pPr>
              <w:spacing w:after="0"/>
              <w:rPr>
                <w:sz w:val="24"/>
                <w:szCs w:val="24"/>
                <w:color w:val="auto"/>
              </w:rPr>
            </w:pPr>
          </w:p>
        </w:tc>
      </w:tr>
      <w:tr>
        <w:trPr>
          <w:trHeight w:val="291"/>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Palace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in the Cotai area of Macau.</w:t>
            </w:r>
          </w:p>
        </w:tc>
      </w:tr>
      <w:tr>
        <w:trPr>
          <w:trHeight w:val="295"/>
        </w:trPr>
        <w:tc>
          <w:tcPr>
            <w:tcW w:w="240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Macau</w:t>
            </w:r>
          </w:p>
        </w:tc>
        <w:tc>
          <w:tcPr>
            <w:tcW w:w="80" w:type="dxa"/>
            <w:vAlign w:val="bottom"/>
            <w:tcBorders>
              <w:bottom w:val="single" w:sz="8" w:color="E0E0E0"/>
            </w:tcBorders>
            <w:gridSpan w:val="2"/>
            <w:shd w:val="clear" w:color="auto" w:fill="E0E0E0"/>
          </w:tcPr>
          <w:p>
            <w:pPr>
              <w:spacing w:after="0"/>
              <w:rPr>
                <w:sz w:val="24"/>
                <w:szCs w:val="24"/>
                <w:color w:val="auto"/>
              </w:rPr>
            </w:pPr>
          </w:p>
        </w:tc>
        <w:tc>
          <w:tcPr>
            <w:tcW w:w="1100" w:type="dxa"/>
            <w:vAlign w:val="bottom"/>
            <w:tcBorders>
              <w:bottom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c>
          <w:tcPr>
            <w:tcW w:w="20" w:type="dxa"/>
            <w:vAlign w:val="bottom"/>
            <w:tcBorders>
              <w:bottom w:val="single" w:sz="8" w:color="E0E0E0"/>
            </w:tcBorders>
            <w:shd w:val="clear" w:color="auto" w:fill="E0E0E0"/>
          </w:tcPr>
          <w:p>
            <w:pPr>
              <w:spacing w:after="0"/>
              <w:rPr>
                <w:sz w:val="24"/>
                <w:szCs w:val="24"/>
                <w:color w:val="auto"/>
              </w:rPr>
            </w:pPr>
          </w:p>
        </w:tc>
        <w:tc>
          <w:tcPr>
            <w:tcW w:w="60" w:type="dxa"/>
            <w:vAlign w:val="bottom"/>
            <w:tcBorders>
              <w:bottom w:val="single" w:sz="8" w:color="E0E0E0"/>
            </w:tcBorders>
            <w:shd w:val="clear" w:color="auto" w:fill="E0E0E0"/>
          </w:tcPr>
          <w:p>
            <w:pPr>
              <w:spacing w:after="0"/>
              <w:rPr>
                <w:sz w:val="24"/>
                <w:szCs w:val="24"/>
                <w:color w:val="auto"/>
              </w:rPr>
            </w:pPr>
          </w:p>
        </w:tc>
        <w:tc>
          <w:tcPr>
            <w:tcW w:w="65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in downtown Macau’s inner harbor.</w:t>
            </w:r>
          </w:p>
        </w:tc>
      </w:tr>
      <w:tr>
        <w:trPr>
          <w:trHeight w:val="285"/>
        </w:trPr>
        <w:tc>
          <w:tcPr>
            <w:tcW w:w="240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49"/>
        </w:trPr>
        <w:tc>
          <w:tcPr>
            <w:tcW w:w="240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6540" w:type="dxa"/>
            <w:vAlign w:val="bottom"/>
            <w:shd w:val="clear" w:color="auto" w:fill="E0E0E0"/>
          </w:tcPr>
          <w:p>
            <w:pPr>
              <w:spacing w:after="0"/>
              <w:rPr>
                <w:sz w:val="21"/>
                <w:szCs w:val="21"/>
                <w:color w:val="auto"/>
              </w:rPr>
            </w:pPr>
          </w:p>
        </w:tc>
      </w:tr>
      <w:tr>
        <w:trPr>
          <w:trHeight w:val="292"/>
        </w:trPr>
        <w:tc>
          <w:tcPr>
            <w:tcW w:w="2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Las Vegas Operations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90"/>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Las Vegas (main</w:t>
            </w:r>
          </w:p>
        </w:tc>
        <w:tc>
          <w:tcPr>
            <w:tcW w:w="6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540" w:type="dxa"/>
            <w:vAlign w:val="bottom"/>
            <w:shd w:val="clear" w:color="auto" w:fill="E0E0E0"/>
          </w:tcPr>
          <w:p>
            <w:pPr>
              <w:spacing w:after="0"/>
              <w:rPr>
                <w:sz w:val="24"/>
                <w:szCs w:val="24"/>
                <w:color w:val="auto"/>
              </w:rPr>
            </w:pPr>
          </w:p>
        </w:tc>
      </w:tr>
      <w:tr>
        <w:trPr>
          <w:trHeight w:val="258"/>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parcel)</w:t>
            </w:r>
          </w:p>
        </w:tc>
        <w:tc>
          <w:tcPr>
            <w:tcW w:w="118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c>
          <w:tcPr>
            <w:tcW w:w="20" w:type="dxa"/>
            <w:vAlign w:val="bottom"/>
            <w:shd w:val="clear" w:color="auto" w:fill="E0E0E0"/>
          </w:tcPr>
          <w:p>
            <w:pPr>
              <w:spacing w:after="0"/>
              <w:rPr>
                <w:sz w:val="22"/>
                <w:szCs w:val="22"/>
                <w:color w:val="auto"/>
              </w:rPr>
            </w:pPr>
          </w:p>
        </w:tc>
        <w:tc>
          <w:tcPr>
            <w:tcW w:w="60" w:type="dxa"/>
            <w:vAlign w:val="bottom"/>
            <w:shd w:val="clear" w:color="auto" w:fill="E0E0E0"/>
          </w:tcPr>
          <w:p>
            <w:pPr>
              <w:spacing w:after="0"/>
              <w:rPr>
                <w:sz w:val="22"/>
                <w:szCs w:val="22"/>
                <w:color w:val="auto"/>
              </w:rPr>
            </w:pPr>
          </w:p>
        </w:tc>
        <w:tc>
          <w:tcPr>
            <w:tcW w:w="65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at the intersection of Las Vegas Boulevard and Sands Avenue.</w:t>
            </w:r>
          </w:p>
        </w:tc>
      </w:tr>
      <w:tr>
        <w:trPr>
          <w:trHeight w:val="300"/>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Golf course land </w:t>
            </w:r>
            <w:r>
              <w:rPr>
                <w:rFonts w:ascii="Times New Roman" w:cs="Times New Roman" w:eastAsia="Times New Roman" w:hAnsi="Times New Roman"/>
                <w:sz w:val="26"/>
                <w:szCs w:val="26"/>
                <w:color w:val="auto"/>
                <w:vertAlign w:val="superscript"/>
              </w:rPr>
              <w:t>(2)</w:t>
            </w:r>
          </w:p>
        </w:tc>
        <w:tc>
          <w:tcPr>
            <w:tcW w:w="118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auto"/>
                <w:w w:val="99"/>
              </w:rPr>
              <w:t>128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adjacent to Wynn Las Vegas.</w:t>
            </w:r>
          </w:p>
        </w:tc>
      </w:tr>
      <w:tr>
        <w:trPr>
          <w:trHeight w:val="282"/>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Meeting and Convention</w:t>
            </w:r>
          </w:p>
        </w:tc>
        <w:tc>
          <w:tcPr>
            <w:tcW w:w="6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540" w:type="dxa"/>
            <w:vAlign w:val="bottom"/>
            <w:shd w:val="clear" w:color="auto" w:fill="E0E0E0"/>
          </w:tcPr>
          <w:p>
            <w:pPr>
              <w:spacing w:after="0"/>
              <w:rPr>
                <w:sz w:val="24"/>
                <w:szCs w:val="24"/>
                <w:color w:val="auto"/>
              </w:rPr>
            </w:pPr>
          </w:p>
        </w:tc>
      </w:tr>
      <w:tr>
        <w:trPr>
          <w:trHeight w:val="258"/>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Expansion</w:t>
            </w:r>
          </w:p>
        </w:tc>
        <w:tc>
          <w:tcPr>
            <w:tcW w:w="118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c>
          <w:tcPr>
            <w:tcW w:w="20" w:type="dxa"/>
            <w:vAlign w:val="bottom"/>
            <w:shd w:val="clear" w:color="auto" w:fill="E0E0E0"/>
          </w:tcPr>
          <w:p>
            <w:pPr>
              <w:spacing w:after="0"/>
              <w:rPr>
                <w:sz w:val="22"/>
                <w:szCs w:val="22"/>
                <w:color w:val="auto"/>
              </w:rPr>
            </w:pPr>
          </w:p>
        </w:tc>
        <w:tc>
          <w:tcPr>
            <w:tcW w:w="60" w:type="dxa"/>
            <w:vAlign w:val="bottom"/>
            <w:shd w:val="clear" w:color="auto" w:fill="E0E0E0"/>
          </w:tcPr>
          <w:p>
            <w:pPr>
              <w:spacing w:after="0"/>
              <w:rPr>
                <w:sz w:val="22"/>
                <w:szCs w:val="22"/>
                <w:color w:val="auto"/>
              </w:rPr>
            </w:pPr>
          </w:p>
        </w:tc>
        <w:tc>
          <w:tcPr>
            <w:tcW w:w="65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adjacent to Wynn Las Vegas.</w:t>
            </w:r>
          </w:p>
        </w:tc>
      </w:tr>
      <w:tr>
        <w:trPr>
          <w:trHeight w:val="282"/>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Employee parking lot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49"/>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office building</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across Sands Avenue.</w:t>
            </w:r>
          </w:p>
        </w:tc>
      </w:tr>
      <w:tr>
        <w:trPr>
          <w:trHeight w:val="295"/>
        </w:trPr>
        <w:tc>
          <w:tcPr>
            <w:tcW w:w="240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Office building</w:t>
            </w:r>
          </w:p>
        </w:tc>
        <w:tc>
          <w:tcPr>
            <w:tcW w:w="80" w:type="dxa"/>
            <w:vAlign w:val="bottom"/>
            <w:tcBorders>
              <w:bottom w:val="single" w:sz="8" w:color="E0E0E0"/>
            </w:tcBorders>
            <w:gridSpan w:val="2"/>
            <w:shd w:val="clear" w:color="auto" w:fill="E0E0E0"/>
          </w:tcPr>
          <w:p>
            <w:pPr>
              <w:spacing w:after="0"/>
              <w:rPr>
                <w:sz w:val="24"/>
                <w:szCs w:val="24"/>
                <w:color w:val="auto"/>
              </w:rPr>
            </w:pPr>
          </w:p>
        </w:tc>
        <w:tc>
          <w:tcPr>
            <w:tcW w:w="1100" w:type="dxa"/>
            <w:vAlign w:val="bottom"/>
            <w:tcBorders>
              <w:bottom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20" w:type="dxa"/>
            <w:vAlign w:val="bottom"/>
            <w:tcBorders>
              <w:bottom w:val="single" w:sz="8" w:color="E0E0E0"/>
            </w:tcBorders>
            <w:shd w:val="clear" w:color="auto" w:fill="E0E0E0"/>
          </w:tcPr>
          <w:p>
            <w:pPr>
              <w:spacing w:after="0"/>
              <w:rPr>
                <w:sz w:val="24"/>
                <w:szCs w:val="24"/>
                <w:color w:val="auto"/>
              </w:rPr>
            </w:pPr>
          </w:p>
        </w:tc>
        <w:tc>
          <w:tcPr>
            <w:tcW w:w="60" w:type="dxa"/>
            <w:vAlign w:val="bottom"/>
            <w:tcBorders>
              <w:bottom w:val="single" w:sz="8" w:color="E0E0E0"/>
            </w:tcBorders>
            <w:shd w:val="clear" w:color="auto" w:fill="E0E0E0"/>
          </w:tcPr>
          <w:p>
            <w:pPr>
              <w:spacing w:after="0"/>
              <w:rPr>
                <w:sz w:val="24"/>
                <w:szCs w:val="24"/>
                <w:color w:val="auto"/>
              </w:rPr>
            </w:pPr>
          </w:p>
        </w:tc>
        <w:tc>
          <w:tcPr>
            <w:tcW w:w="65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adjacent to golf course land.</w:t>
            </w:r>
          </w:p>
        </w:tc>
      </w:tr>
      <w:tr>
        <w:trPr>
          <w:trHeight w:val="234"/>
        </w:trPr>
        <w:tc>
          <w:tcPr>
            <w:tcW w:w="2400" w:type="dxa"/>
            <w:vAlign w:val="bottom"/>
          </w:tcPr>
          <w:p>
            <w:pPr>
              <w:spacing w:after="0"/>
              <w:rPr>
                <w:sz w:val="20"/>
                <w:szCs w:val="20"/>
                <w:color w:val="auto"/>
              </w:rPr>
            </w:pPr>
          </w:p>
        </w:tc>
        <w:tc>
          <w:tcPr>
            <w:tcW w:w="1180" w:type="dxa"/>
            <w:vAlign w:val="bottom"/>
            <w:gridSpan w:val="3"/>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40"/>
        </w:trPr>
        <w:tc>
          <w:tcPr>
            <w:tcW w:w="24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540" w:type="dxa"/>
            <w:vAlign w:val="bottom"/>
            <w:shd w:val="clear" w:color="auto" w:fill="E0E0E0"/>
          </w:tcPr>
          <w:p>
            <w:pPr>
              <w:spacing w:after="0"/>
              <w:rPr>
                <w:sz w:val="20"/>
                <w:szCs w:val="20"/>
                <w:color w:val="auto"/>
              </w:rPr>
            </w:pPr>
          </w:p>
        </w:tc>
      </w:tr>
      <w:tr>
        <w:trPr>
          <w:trHeight w:val="300"/>
        </w:trPr>
        <w:tc>
          <w:tcPr>
            <w:tcW w:w="2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Encore Boston Harbor </w:t>
            </w:r>
            <w:r>
              <w:rPr>
                <w:rFonts w:ascii="Times New Roman" w:cs="Times New Roman" w:eastAsia="Times New Roman" w:hAnsi="Times New Roman"/>
                <w:sz w:val="26"/>
                <w:szCs w:val="26"/>
                <w:b w:val="1"/>
                <w:bCs w:val="1"/>
                <w:color w:val="auto"/>
                <w:vertAlign w:val="superscript"/>
              </w:rPr>
              <w:t>(3)</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in Everett, Massachusetts, adjacent to Boston along the Mystic River.</w:t>
            </w:r>
          </w:p>
        </w:tc>
      </w:tr>
      <w:tr>
        <w:trPr>
          <w:trHeight w:val="240"/>
        </w:trPr>
        <w:tc>
          <w:tcPr>
            <w:tcW w:w="24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540" w:type="dxa"/>
            <w:vAlign w:val="bottom"/>
            <w:shd w:val="clear" w:color="auto" w:fill="E0E0E0"/>
          </w:tcPr>
          <w:p>
            <w:pPr>
              <w:spacing w:after="0"/>
              <w:rPr>
                <w:sz w:val="20"/>
                <w:szCs w:val="20"/>
                <w:color w:val="auto"/>
              </w:rPr>
            </w:pPr>
          </w:p>
        </w:tc>
      </w:tr>
      <w:tr>
        <w:trPr>
          <w:trHeight w:val="350"/>
        </w:trPr>
        <w:tc>
          <w:tcPr>
            <w:tcW w:w="2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Other </w:t>
            </w:r>
            <w:r>
              <w:rPr>
                <w:rFonts w:ascii="Times New Roman" w:cs="Times New Roman" w:eastAsia="Times New Roman" w:hAnsi="Times New Roman"/>
                <w:sz w:val="26"/>
                <w:szCs w:val="26"/>
                <w:b w:val="1"/>
                <w:bCs w:val="1"/>
                <w:color w:val="auto"/>
                <w:vertAlign w:val="superscript"/>
              </w:rPr>
              <w:t>(4)</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in Las Vegas, Nevada, and Everett, Massachusetts.</w:t>
            </w:r>
          </w:p>
        </w:tc>
      </w:tr>
    </w:tbl>
    <w:p>
      <w:pPr>
        <w:spacing w:after="0" w:line="46" w:lineRule="exact"/>
        <w:rPr>
          <w:sz w:val="20"/>
          <w:szCs w:val="20"/>
          <w:color w:val="auto"/>
        </w:rPr>
      </w:pPr>
    </w:p>
    <w:p>
      <w:pPr>
        <w:jc w:val="both"/>
        <w:ind w:left="320" w:hanging="320"/>
        <w:spacing w:after="0" w:line="256"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spacing w:after="0" w:line="14"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spacing w:after="0" w:line="7"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 triple-net lease with an initial term of 30 years, with one 30-year renewal option.</w:t>
      </w:r>
    </w:p>
    <w:p>
      <w:pPr>
        <w:spacing w:after="0" w:line="26"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approximately 38 acres of land on the Las Vegas Strip directly across from Wynn Las Vegas, and approximately 15 acres of land adjacent to Encore Boston Harbor in Everett, Massachusetts. This land may be used for future development.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18, “Commitments and Contingencies— Litigation” in this Annual Report on Form 10-K, which is incorporated herein by reference, and Item 1A—“Risk Factors” in this Annual Report on Form 10-K.</w:t>
      </w:r>
    </w:p>
    <w:p>
      <w:pPr>
        <w:spacing w:after="0" w:line="12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September 6, 2024, Wynn Las Vegas, LLC, a wholly owned indirect subsidiary of Wynn Resorts, entered into a non-prosecution agreement (“NPA”) with the United States Attorney’s Office for the Southern District of California and the United States Department of Justice (the “DOJ”), resolving the previously-disclosed investigation into various transactions at Wynn Las Vegas relating to certain patrons who reside or operate in foreign jurisdictions which were facilitated by former employees, agents and other third parties that were unlicensed money transmitting businesses, in violation of 18 U.S.C. § 1960.</w:t>
      </w:r>
    </w:p>
    <w:p>
      <w:pPr>
        <w:spacing w:after="0" w:line="3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Pursuant to the NPA, Wynn Las Vegas agreed to forfeit $130 million in funds involved in the transactions at issue and continue to make certain enhancements to its compliance program. The DOJ agreed that, subject to Wynn Las Vegas’s fulfillment of its obligations under the NPA, it will not bring any criminal charges against Wynn Las Vegas concerning the subject matter of its investigation, subject to standard reservations of rights and certain reserved claims.</w:t>
      </w:r>
    </w:p>
    <w:p>
      <w:pPr>
        <w:spacing w:after="0" w:line="12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reaching the resolution set forth in the NPA, the DOJ took into account the historical nature of the transactions at issue; Wynn Las Vegas’s cooperation with the DOJ’s multi-year investigation; that Wynn Las Vegas no longer employs or is</w:t>
      </w:r>
    </w:p>
    <w:p>
      <w:pPr>
        <w:sectPr>
          <w:pgSz w:w="11880" w:h="15480" w:orient="portrait"/>
          <w:cols w:equalWidth="0" w:num="1">
            <w:col w:w="10200"/>
          </w:cols>
          <w:pgMar w:left="840" w:top="664"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200"/>
          </w:cols>
          <w:pgMar w:left="840" w:top="664" w:right="840" w:bottom="3" w:gutter="0" w:footer="0" w:header="0"/>
          <w:type w:val="continuous"/>
        </w:sectPr>
      </w:pPr>
    </w:p>
    <w:bookmarkStart w:id="32" w:name="page33"/>
    <w:bookmarkEnd w:id="32"/>
    <w:p>
      <w:pPr>
        <w:spacing w:after="0" w:line="238" w:lineRule="auto"/>
        <w:rPr>
          <w:sz w:val="20"/>
          <w:szCs w:val="20"/>
          <w:color w:val="auto"/>
        </w:rPr>
      </w:pPr>
      <w:r>
        <w:rPr>
          <w:rFonts w:ascii="Times New Roman" w:cs="Times New Roman" w:eastAsia="Times New Roman" w:hAnsi="Times New Roman"/>
          <w:sz w:val="20"/>
          <w:szCs w:val="20"/>
          <w:color w:val="auto"/>
        </w:rPr>
        <w:t>affiliated with any of the individuals implicated in the transactions at issue; and Wynn Las Vegas’s extensive remedial measures, many of which were undertaken prior to the parties entering into the NPA.</w:t>
      </w:r>
    </w:p>
    <w:p>
      <w:pPr>
        <w:spacing w:after="0" w:line="144"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NPA resolves all prior U.S. federal regulatory inquiries commenced in or about 2014 regarding compliance by Wynn Las Vegas with 18 U.S.C. § 1960 and the Bank Secrecy Act.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200"/>
          </w:cols>
          <w:pgMar w:left="840" w:top="675" w:right="840" w:bottom="3"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9" w:lineRule="exact"/>
        <w:rPr>
          <w:sz w:val="20"/>
          <w:szCs w:val="20"/>
          <w:color w:val="auto"/>
        </w:rPr>
      </w:pPr>
    </w:p>
    <w:p>
      <w:pPr>
        <w:ind w:right="760"/>
        <w:spacing w:after="0" w:line="241"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outstanding common stock trades on the Nasdaq Global Select Market under the symbol “WYNN.”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There were approximately 129 holders of record of our common stock as of February 4, 2025. This number does not include an estimate of the indeterminate number of beneficial holders whose shares may be held by brokerage firms and clearing agencies.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2024, cash dividends of approximately $111.1 million were paid to holders of our common stock. Any decision to declare and pay dividends on our common stock in the future, including the timing and amount of any such dividends, will be made at the discretion of our Board of Directors and will depend on, among things, our results of operations, financial conditions, cash requirements, contractual restrictions and other factors deemed relevant at the time.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share repurchases made by the Company during the three months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Repurchased as</w:t>
            </w:r>
          </w:p>
        </w:tc>
        <w:tc>
          <w:tcPr>
            <w:tcW w:w="1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w:t>
            </w:r>
          </w:p>
        </w:tc>
      </w:tr>
      <w:tr>
        <w:trPr>
          <w:trHeight w:val="160"/>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240"/>
              <w:spacing w:after="0" w:line="16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3"/>
                <w:szCs w:val="13"/>
                <w:color w:val="auto"/>
              </w:rPr>
            </w:pPr>
          </w:p>
        </w:tc>
        <w:tc>
          <w:tcPr>
            <w:tcW w:w="1840" w:type="dxa"/>
            <w:vAlign w:val="bottom"/>
            <w:gridSpan w:val="2"/>
          </w:tcPr>
          <w:p>
            <w:pPr>
              <w:jc w:val="right"/>
              <w:ind w:right="5"/>
              <w:spacing w:after="0" w:line="160" w:lineRule="exact"/>
              <w:rPr>
                <w:sz w:val="20"/>
                <w:szCs w:val="20"/>
                <w:color w:val="auto"/>
              </w:rPr>
            </w:pPr>
            <w:r>
              <w:rPr>
                <w:rFonts w:ascii="Times New Roman" w:cs="Times New Roman" w:eastAsia="Times New Roman" w:hAnsi="Times New Roman"/>
                <w:sz w:val="16"/>
                <w:szCs w:val="16"/>
                <w:b w:val="1"/>
                <w:bCs w:val="1"/>
                <w:color w:val="auto"/>
              </w:rPr>
              <w:t>Weighted Average Price</w:t>
            </w:r>
          </w:p>
        </w:tc>
        <w:tc>
          <w:tcPr>
            <w:tcW w:w="120" w:type="dxa"/>
            <w:vAlign w:val="bottom"/>
          </w:tcPr>
          <w:p>
            <w:pPr>
              <w:spacing w:after="0"/>
              <w:rPr>
                <w:sz w:val="13"/>
                <w:szCs w:val="13"/>
                <w:color w:val="auto"/>
              </w:rPr>
            </w:pP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Part of a Publicly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6"/>
                <w:szCs w:val="16"/>
                <w:b w:val="1"/>
                <w:bCs w:val="1"/>
                <w:color w:val="auto"/>
              </w:rPr>
              <w:t>Remaining Under the</w:t>
            </w:r>
          </w:p>
        </w:tc>
      </w:tr>
      <w:tr>
        <w:trPr>
          <w:trHeight w:val="200"/>
        </w:trPr>
        <w:tc>
          <w:tcPr>
            <w:tcW w:w="222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Month Ended</w:t>
            </w:r>
          </w:p>
        </w:tc>
        <w:tc>
          <w:tcPr>
            <w:tcW w:w="120" w:type="dxa"/>
            <w:vAlign w:val="bottom"/>
          </w:tcPr>
          <w:p>
            <w:pPr>
              <w:spacing w:after="0"/>
              <w:rPr>
                <w:sz w:val="17"/>
                <w:szCs w:val="17"/>
                <w:color w:val="auto"/>
              </w:rPr>
            </w:pPr>
          </w:p>
        </w:tc>
        <w:tc>
          <w:tcPr>
            <w:tcW w:w="1860" w:type="dxa"/>
            <w:vAlign w:val="bottom"/>
            <w:tcBorders>
              <w:bottom w:val="single" w:sz="8" w:color="auto"/>
            </w:tcBorders>
          </w:tcPr>
          <w:p>
            <w:pPr>
              <w:jc w:val="right"/>
              <w:ind w:right="260"/>
              <w:spacing w:after="0" w:line="201" w:lineRule="exact"/>
              <w:rPr>
                <w:sz w:val="20"/>
                <w:szCs w:val="20"/>
                <w:color w:val="auto"/>
              </w:rPr>
            </w:pPr>
            <w:r>
              <w:rPr>
                <w:rFonts w:ascii="Times New Roman" w:cs="Times New Roman" w:eastAsia="Times New Roman" w:hAnsi="Times New Roman"/>
                <w:sz w:val="16"/>
                <w:szCs w:val="16"/>
                <w:b w:val="1"/>
                <w:bCs w:val="1"/>
                <w:color w:val="auto"/>
              </w:rPr>
              <w:t xml:space="preserve">Repurchased </w:t>
            </w:r>
            <w:r>
              <w:rPr>
                <w:rFonts w:ascii="Times New Roman" w:cs="Times New Roman" w:eastAsia="Times New Roman" w:hAnsi="Times New Roman"/>
                <w:sz w:val="20"/>
                <w:szCs w:val="20"/>
                <w:b w:val="1"/>
                <w:bCs w:val="1"/>
                <w:color w:val="auto"/>
                <w:vertAlign w:val="superscript"/>
              </w:rPr>
              <w:t>(1)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5"/>
              <w:spacing w:after="0" w:line="175"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Pr>
          <w:p>
            <w:pPr>
              <w:spacing w:after="0"/>
              <w:rPr>
                <w:sz w:val="17"/>
                <w:szCs w:val="17"/>
                <w:color w:val="auto"/>
              </w:rPr>
            </w:pPr>
          </w:p>
        </w:tc>
        <w:tc>
          <w:tcPr>
            <w:tcW w:w="18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6"/>
                <w:szCs w:val="16"/>
                <w:b w:val="1"/>
                <w:bCs w:val="1"/>
                <w:color w:val="auto"/>
                <w:w w:val="96"/>
              </w:rPr>
              <w:t xml:space="preserve">Announced Program </w:t>
            </w:r>
            <w:r>
              <w:rPr>
                <w:rFonts w:ascii="Times New Roman" w:cs="Times New Roman" w:eastAsia="Times New Roman" w:hAnsi="Times New Roman"/>
                <w:sz w:val="20"/>
                <w:szCs w:val="20"/>
                <w:b w:val="1"/>
                <w:bCs w:val="1"/>
                <w:color w:val="auto"/>
                <w:w w:val="96"/>
                <w:vertAlign w:val="superscript"/>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6"/>
                <w:szCs w:val="16"/>
                <w:b w:val="1"/>
                <w:bCs w:val="1"/>
                <w:color w:val="auto"/>
                <w:w w:val="99"/>
              </w:rPr>
              <w:t>Program (in thousands)</w:t>
            </w:r>
          </w:p>
        </w:tc>
      </w:tr>
      <w:tr>
        <w:trPr>
          <w:trHeight w:val="282"/>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October 1, 2024 to</w:t>
            </w: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5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800" w:type="dxa"/>
            <w:vAlign w:val="bottom"/>
            <w:shd w:val="clear" w:color="auto" w:fill="E0E0E0"/>
          </w:tcPr>
          <w:p>
            <w:pPr>
              <w:spacing w:after="0"/>
              <w:rPr>
                <w:sz w:val="24"/>
                <w:szCs w:val="24"/>
                <w:color w:val="auto"/>
              </w:rPr>
            </w:pPr>
          </w:p>
        </w:tc>
      </w:tr>
      <w:tr>
        <w:trPr>
          <w:trHeight w:val="258"/>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October 31, 2024</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135,421</w:t>
            </w:r>
          </w:p>
        </w:tc>
        <w:tc>
          <w:tcPr>
            <w:tcW w:w="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98.58</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134,591</w:t>
            </w: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234,419</w:t>
            </w:r>
          </w:p>
        </w:tc>
      </w:tr>
      <w:tr>
        <w:trPr>
          <w:trHeight w:val="282"/>
        </w:trPr>
        <w:tc>
          <w:tcPr>
            <w:tcW w:w="2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November 1, 2024 to</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9"/>
        </w:trPr>
        <w:tc>
          <w:tcPr>
            <w:tcW w:w="2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November 30, 2024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912,043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904,306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917,001</w:t>
            </w:r>
          </w:p>
        </w:tc>
      </w:tr>
      <w:tr>
        <w:trPr>
          <w:trHeight w:val="291"/>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December 1, 2024 to</w:t>
            </w: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5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800" w:type="dxa"/>
            <w:vAlign w:val="bottom"/>
            <w:shd w:val="clear" w:color="auto" w:fill="E0E0E0"/>
          </w:tcPr>
          <w:p>
            <w:pPr>
              <w:spacing w:after="0"/>
              <w:rPr>
                <w:sz w:val="24"/>
                <w:szCs w:val="24"/>
                <w:color w:val="auto"/>
              </w:rPr>
            </w:pPr>
          </w:p>
        </w:tc>
      </w:tr>
      <w:tr>
        <w:trPr>
          <w:trHeight w:val="258"/>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December 31, 2024</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1,105,124</w:t>
            </w:r>
          </w:p>
        </w:tc>
        <w:tc>
          <w:tcPr>
            <w:tcW w:w="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94.16</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1,104,769</w:t>
            </w: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813,000</w:t>
            </w:r>
          </w:p>
        </w:tc>
      </w:tr>
    </w:tbl>
    <w:p>
      <w:pPr>
        <w:spacing w:after="0" w:line="61" w:lineRule="exact"/>
        <w:rPr>
          <w:sz w:val="20"/>
          <w:szCs w:val="20"/>
          <w:color w:val="auto"/>
        </w:rPr>
      </w:pPr>
    </w:p>
    <w:p>
      <w:pPr>
        <w:jc w:val="both"/>
        <w:ind w:left="320" w:hanging="320"/>
        <w:spacing w:after="0" w:line="253"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 October 2024, November 2024, and December 2024 include 830, 7,737 and 355 shares, respectively, purchased in satisfaction of employee tax withholding obligations in connection with the vesting of restricted stock awards granted under our stock incentive plans. Refer to Item 8, “Financial Statements and Supplementary Data” for additional details on our stock incentive plans.</w:t>
      </w:r>
    </w:p>
    <w:p>
      <w:pPr>
        <w:spacing w:after="0" w:line="18" w:lineRule="exact"/>
        <w:rPr>
          <w:rFonts w:ascii="Times New Roman" w:cs="Times New Roman" w:eastAsia="Times New Roman" w:hAnsi="Times New Roman"/>
          <w:sz w:val="16"/>
          <w:szCs w:val="16"/>
          <w:color w:val="auto"/>
        </w:rPr>
      </w:pPr>
    </w:p>
    <w:p>
      <w:pPr>
        <w:jc w:val="both"/>
        <w:ind w:left="320" w:hanging="320"/>
        <w:spacing w:after="0" w:line="258"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200"/>
          </w:cols>
          <w:pgMar w:left="840" w:top="664" w:right="840" w:bottom="3"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2019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115570</wp:posOffset>
            </wp:positionV>
            <wp:extent cx="5384165" cy="5250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5384165" cy="525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00"/>
          </w:cols>
          <w:pgMar w:left="840" w:top="664" w:right="840" w:bottom="3"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4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and is qualified in its entirety by, the consolidated financial statements and the notes thereto included elsewhere in this Annual Report on Form 10-K.</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Discussion of 2022 items and year-to-year comparisons between 2023 and 2022 that are not included in this Form 10-K can be found in “Management’s Discussion and Analysis of Financial Condition and Results of Operations” in Part II, Item 7 of the Company’s Annual Report on Form 10-K for the fiscal year ended December 31,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6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During the twelve months ended December 31, 2024, Wynn Interactive Ltd. no longer met the requirements for a reportable segment due to the Company’s decision to cease operating Wynn Interactive’s digital sports betting and casino business. As a result, its assets and results of operations are presented in Corporate and other and previous period amounts have been reclassified to be consistent with the current period presentation of the Company’s reportable segments.</w:t>
      </w:r>
    </w:p>
    <w:p>
      <w:pPr>
        <w:spacing w:after="0" w:line="25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has a 40% equity interest in Island 3 AMI FZ-LLC (“Island 3”), an unconsolidated affiliate, which is constructing Wynn Al Marjan Island in Ras Al Khaimah, United Arab Emirates.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Operating Measures</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57" w:lineRule="exact"/>
        <w:rPr>
          <w:sz w:val="20"/>
          <w:szCs w:val="20"/>
          <w:color w:val="auto"/>
        </w:rPr>
      </w:pPr>
    </w:p>
    <w:p>
      <w:pPr>
        <w:ind w:left="1200" w:hanging="600"/>
        <w:spacing w:after="0" w:line="238"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drop in mass market for our Macau Operations is the amount of cash that is deposited in a gaming table’s drop box plus cash chips purchased at the casino cage.</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drop for our Las Vegas Operations is the amount of cash and net markers issued that are deposited in a gaming table’s drop box.</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drop for Encore Boston Harbor is the amount of cash and gross markers issued that are deposited in a gaming table’s drop box.</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Rolling chips are non-negotiable identifiable chips that are used to track turnover for purposes of calculating incentives within our Macau Operations’ VIP program.</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Turnover is the sum of all losing rolling chip wagers within our Macau Operations’ VIP program.</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5"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20" w:lineRule="exact"/>
        <w:rPr>
          <w:rFonts w:ascii="Times New Roman" w:cs="Times New Roman" w:eastAsia="Times New Roman" w:hAnsi="Times New Roman"/>
          <w:sz w:val="20"/>
          <w:szCs w:val="20"/>
          <w:color w:val="auto"/>
        </w:rPr>
      </w:pPr>
    </w:p>
    <w:p>
      <w:pPr>
        <w:jc w:val="both"/>
        <w:ind w:left="1200" w:hanging="600"/>
        <w:spacing w:after="0" w:line="245"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0" w:lineRule="exact"/>
        <w:rPr>
          <w:rFonts w:ascii="Times New Roman" w:cs="Times New Roman" w:eastAsia="Times New Roman" w:hAnsi="Times New Roman"/>
          <w:sz w:val="20"/>
          <w:szCs w:val="20"/>
          <w:color w:val="auto"/>
        </w:rPr>
      </w:pPr>
    </w:p>
    <w:p>
      <w:pPr>
        <w:jc w:val="both"/>
        <w:ind w:left="1200" w:hanging="600"/>
        <w:spacing w:after="0" w:line="245" w:lineRule="auto"/>
        <w:tabs>
          <w:tab w:leader="none" w:pos="12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00"/>
          </w:cols>
          <w:pgMar w:left="840" w:top="664" w:right="840" w:bottom="3" w:gutter="0" w:footer="0" w:header="0"/>
          <w:type w:val="continuous"/>
        </w:sectPr>
      </w:pPr>
    </w:p>
    <w:bookmarkStart w:id="36" w:name="page37"/>
    <w:bookmarkEnd w:id="36"/>
    <w:p>
      <w:pPr>
        <w:ind w:left="1200" w:hanging="600"/>
        <w:spacing w:after="0" w:line="238" w:lineRule="auto"/>
        <w:tabs>
          <w:tab w:leader="none" w:pos="12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daily rate (“ADR”) is calculated by dividing total room revenues, including complimentaries (less service charges, if any), by total rooms occupied.</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per available room (“REVPAR”) is calculated by dividing total room revenues, including complimentaries (less service charges, if any), by total rooms available.</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Occupancy is calculated by dividing total occupied rooms, including complimentary rooms, by the total rooms available.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Below is a discussion of the methodologies used to calculate win percentages at our resorts.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6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annual results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summarizes our financial results for the periods presented (dollars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2"/>
                <w:szCs w:val="2"/>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88"/>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85"/>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28"/>
              <w:spacing w:after="0" w:line="177"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15"/>
                <w:szCs w:val="15"/>
                <w:color w:val="auto"/>
              </w:rPr>
            </w:pPr>
          </w:p>
        </w:tc>
        <w:tc>
          <w:tcPr>
            <w:tcW w:w="840" w:type="dxa"/>
            <w:vAlign w:val="bottom"/>
          </w:tcPr>
          <w:p>
            <w:pPr>
              <w:jc w:val="right"/>
              <w:ind w:right="80"/>
              <w:spacing w:after="0" w:line="177"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52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revenues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7,127,961</w:t>
            </w:r>
          </w:p>
        </w:tc>
        <w:tc>
          <w:tcPr>
            <w:tcW w:w="40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6,531,897</w:t>
            </w:r>
          </w:p>
        </w:tc>
        <w:tc>
          <w:tcPr>
            <w:tcW w:w="28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596,064</w:t>
            </w:r>
          </w:p>
        </w:tc>
        <w:tc>
          <w:tcPr>
            <w:tcW w:w="9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91"/>
        </w:trPr>
        <w:tc>
          <w:tcPr>
            <w:tcW w:w="5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attributable to Wynn Resorts, Limited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501,078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729,994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(228,916)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309"/>
        </w:trPr>
        <w:tc>
          <w:tcPr>
            <w:tcW w:w="52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Diluted net income per share</w:t>
            </w: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12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12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9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increase in operating revenues for the year ended December 31, 2024 was primarily driven by increases of $330.8 million, $251.1 million, and $91.3 million from Wynn Palace, Wynn Macau, and our Las Vegas Operations, respectively, primarily due to an increase in gaming volumes and restaurant covers at our Macau Operations and an increase in ADR, entertainment venue sales and revenue from leased retail outlets at our Las Vegas Operations.</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decrease in net income attributable to Wynn Resorts, Limited for the year ended December 31, 2024 was primarily related to a decrease in the benefit from income taxes of $500.5 million, partially offset by increased revenues at our Macau Operations.</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200"/>
          </w:cols>
          <w:pgMar w:left="840" w:top="675" w:right="840" w:bottom="3"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results for the year ended December 31, 2024 compared to the year ended December 31,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revenues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our operating revenues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vMerge w:val="restart"/>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200" w:type="dxa"/>
            <w:vAlign w:val="bottom"/>
          </w:tcPr>
          <w:p>
            <w:pPr>
              <w:spacing w:after="0"/>
              <w:rPr>
                <w:sz w:val="2"/>
                <w:szCs w:val="2"/>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25"/>
              <w:spacing w:after="0" w:line="175" w:lineRule="exact"/>
              <w:rPr>
                <w:sz w:val="20"/>
                <w:szCs w:val="20"/>
                <w:color w:val="auto"/>
              </w:rPr>
            </w:pPr>
            <w:r>
              <w:rPr>
                <w:rFonts w:ascii="Times New Roman" w:cs="Times New Roman" w:eastAsia="Times New Roman" w:hAnsi="Times New Roman"/>
                <w:sz w:val="16"/>
                <w:szCs w:val="16"/>
                <w:b w:val="1"/>
                <w:bCs w:val="1"/>
                <w:color w:val="auto"/>
                <w:w w:val="99"/>
              </w:rPr>
              <w:t>(Decrease)</w:t>
            </w:r>
          </w:p>
        </w:tc>
        <w:tc>
          <w:tcPr>
            <w:tcW w:w="200" w:type="dxa"/>
            <w:vAlign w:val="bottom"/>
          </w:tcPr>
          <w:p>
            <w:pPr>
              <w:spacing w:after="0"/>
              <w:rPr>
                <w:sz w:val="15"/>
                <w:szCs w:val="15"/>
                <w:color w:val="auto"/>
              </w:rPr>
            </w:pPr>
          </w:p>
        </w:tc>
        <w:tc>
          <w:tcPr>
            <w:tcW w:w="940" w:type="dxa"/>
            <w:vAlign w:val="bottom"/>
          </w:tcPr>
          <w:p>
            <w:pPr>
              <w:jc w:val="right"/>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Macau Operations: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2,217,671</w:t>
            </w:r>
          </w:p>
        </w:tc>
        <w:tc>
          <w:tcPr>
            <w:tcW w:w="5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1,886,844</w:t>
            </w:r>
          </w:p>
        </w:tc>
        <w:tc>
          <w:tcPr>
            <w:tcW w:w="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330,827</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86"/>
        </w:trPr>
        <w:tc>
          <w:tcPr>
            <w:tcW w:w="4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1,464,646</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1,213,534</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251,112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0" w:type="dxa"/>
            <w:vAlign w:val="bottom"/>
          </w:tcPr>
          <w:p>
            <w:pPr>
              <w:spacing w:after="0"/>
              <w:rPr>
                <w:sz w:val="1"/>
                <w:szCs w:val="1"/>
                <w:color w:val="auto"/>
              </w:rPr>
            </w:pPr>
          </w:p>
        </w:tc>
      </w:tr>
      <w:tr>
        <w:trPr>
          <w:trHeight w:val="294"/>
        </w:trPr>
        <w:tc>
          <w:tcPr>
            <w:tcW w:w="46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3,682,317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3,100,378</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581,939</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0" w:type="dxa"/>
            <w:vAlign w:val="bottom"/>
          </w:tcPr>
          <w:p>
            <w:pPr>
              <w:spacing w:after="0"/>
              <w:rPr>
                <w:sz w:val="1"/>
                <w:szCs w:val="1"/>
                <w:color w:val="auto"/>
              </w:rPr>
            </w:pPr>
          </w:p>
        </w:tc>
      </w:tr>
      <w:tr>
        <w:trPr>
          <w:trHeight w:val="291"/>
        </w:trPr>
        <w:tc>
          <w:tcPr>
            <w:tcW w:w="4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Las Vegas Operations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2,571,913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2,480,606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309"/>
        </w:trPr>
        <w:tc>
          <w:tcPr>
            <w:tcW w:w="46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Encore Boston Harbor</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857,164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865,786</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(8,622)</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86"/>
        </w:trPr>
        <w:tc>
          <w:tcPr>
            <w:tcW w:w="46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16,567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85,127</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0" w:type="dxa"/>
            <w:vAlign w:val="bottom"/>
          </w:tcPr>
          <w:p>
            <w:pPr>
              <w:spacing w:after="0"/>
              <w:rPr>
                <w:sz w:val="1"/>
                <w:szCs w:val="1"/>
                <w:color w:val="auto"/>
              </w:rPr>
            </w:pPr>
          </w:p>
        </w:tc>
      </w:tr>
      <w:tr>
        <w:trPr>
          <w:trHeight w:val="281"/>
        </w:trPr>
        <w:tc>
          <w:tcPr>
            <w:tcW w:w="46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7,127,961</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20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596,064</w:t>
            </w:r>
          </w:p>
        </w:tc>
        <w:tc>
          <w:tcPr>
            <w:tcW w:w="11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2"/>
        </w:trPr>
        <w:tc>
          <w:tcPr>
            <w:tcW w:w="906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The following table presents our casino and non-casino operating revenues (dollars in thousands):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vMerge w:val="restart"/>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200" w:type="dxa"/>
            <w:vAlign w:val="bottom"/>
          </w:tcPr>
          <w:p>
            <w:pPr>
              <w:spacing w:after="0"/>
              <w:rPr>
                <w:sz w:val="2"/>
                <w:szCs w:val="2"/>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25"/>
              <w:spacing w:after="0" w:line="175" w:lineRule="exact"/>
              <w:rPr>
                <w:sz w:val="20"/>
                <w:szCs w:val="20"/>
                <w:color w:val="auto"/>
              </w:rPr>
            </w:pPr>
            <w:r>
              <w:rPr>
                <w:rFonts w:ascii="Times New Roman" w:cs="Times New Roman" w:eastAsia="Times New Roman" w:hAnsi="Times New Roman"/>
                <w:sz w:val="16"/>
                <w:szCs w:val="16"/>
                <w:b w:val="1"/>
                <w:bCs w:val="1"/>
                <w:color w:val="auto"/>
                <w:w w:val="99"/>
              </w:rPr>
              <w:t>(Decrease)</w:t>
            </w:r>
          </w:p>
        </w:tc>
        <w:tc>
          <w:tcPr>
            <w:tcW w:w="200" w:type="dxa"/>
            <w:vAlign w:val="bottom"/>
          </w:tcPr>
          <w:p>
            <w:pPr>
              <w:spacing w:after="0"/>
              <w:rPr>
                <w:sz w:val="15"/>
                <w:szCs w:val="15"/>
                <w:color w:val="auto"/>
              </w:rPr>
            </w:pPr>
          </w:p>
        </w:tc>
        <w:tc>
          <w:tcPr>
            <w:tcW w:w="940" w:type="dxa"/>
            <w:vAlign w:val="bottom"/>
          </w:tcPr>
          <w:p>
            <w:pPr>
              <w:jc w:val="right"/>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60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Casino revenues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4,261,357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3,718,402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542,955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308"/>
        </w:trPr>
        <w:tc>
          <w:tcPr>
            <w:tcW w:w="46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Non-casino revenues: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1,242,058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1,185,671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309"/>
        </w:trPr>
        <w:tc>
          <w:tcPr>
            <w:tcW w:w="4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1,069,117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1,028,637</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40,480</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86"/>
        </w:trPr>
        <w:tc>
          <w:tcPr>
            <w:tcW w:w="4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555,429</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599,187</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0" w:type="dxa"/>
            <w:vAlign w:val="bottom"/>
          </w:tcPr>
          <w:p>
            <w:pPr>
              <w:spacing w:after="0"/>
              <w:rPr>
                <w:sz w:val="1"/>
                <w:szCs w:val="1"/>
                <w:color w:val="auto"/>
              </w:rPr>
            </w:pPr>
          </w:p>
        </w:tc>
      </w:tr>
      <w:tr>
        <w:trPr>
          <w:trHeight w:val="281"/>
        </w:trPr>
        <w:tc>
          <w:tcPr>
            <w:tcW w:w="4600" w:type="dxa"/>
            <w:vAlign w:val="bottom"/>
            <w:tcBorders>
              <w:bottom w:val="single" w:sz="8" w:color="E0E0E0"/>
            </w:tcBorders>
            <w:shd w:val="clear" w:color="auto" w:fill="E0E0E0"/>
          </w:tcPr>
          <w:p>
            <w:pPr>
              <w:ind w:left="660"/>
              <w:spacing w:after="0"/>
              <w:rPr>
                <w:sz w:val="20"/>
                <w:szCs w:val="20"/>
                <w:color w:val="auto"/>
              </w:rPr>
            </w:pPr>
            <w:r>
              <w:rPr>
                <w:rFonts w:ascii="Times New Roman" w:cs="Times New Roman" w:eastAsia="Times New Roman" w:hAnsi="Times New Roman"/>
                <w:sz w:val="20"/>
                <w:szCs w:val="20"/>
                <w:b w:val="1"/>
                <w:bCs w:val="1"/>
                <w:color w:val="auto"/>
              </w:rPr>
              <w:t>Total non-casino revenues</w:t>
            </w:r>
          </w:p>
        </w:tc>
        <w:tc>
          <w:tcPr>
            <w:tcW w:w="3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2,866,604</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2,813,495</w:t>
            </w:r>
          </w:p>
        </w:tc>
        <w:tc>
          <w:tcPr>
            <w:tcW w:w="20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53,109</w:t>
            </w:r>
          </w:p>
        </w:tc>
        <w:tc>
          <w:tcPr>
            <w:tcW w:w="11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80"/>
        </w:trPr>
        <w:tc>
          <w:tcPr>
            <w:tcW w:w="46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7,127,961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596,064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Casino revenues for the year ended December 31, 2024 were 59.8% of operating revenues, compared to 56.9% for the year ended December 31, 2023. Non-casino revenues for the year ended December 31, 2024 were 40.2% of operating revenues, compared to 43.1% for the year ended December 31, 2023.</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00"/>
          </w:cols>
          <w:pgMar w:left="840" w:top="662" w:right="840" w:bottom="3"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auto"/>
        </w:rPr>
        <w:t>Casino revenues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Casino revenues increased primarily due to higher gaming volumes at our Macau Operations which benefited from growing tourism in Macau during the year ended December 31, 2024. The table below sets forth our casino revenues and associated key operating measures (dollars in thousands, except for win per unit per day):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04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040" w:type="dxa"/>
            <w:vAlign w:val="bottom"/>
          </w:tcPr>
          <w:p>
            <w:pPr>
              <w:jc w:val="right"/>
              <w:ind w:right="173"/>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Macau Operations: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Palace:</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casino revenues</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1,795,604</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1,471,280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324,324</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VIP:</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57</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turnover</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12,991,235</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11,363,248</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1,627,987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VIP table games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449,461</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383,384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66,077</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win as a % of turnover</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3.46 %</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3.37 %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0.09</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21,495</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18,744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2,751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Mass market: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245</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242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drop</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6,893,092</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6,126,841</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766,251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1,686,503</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1,373,436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313,067</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games win %</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24.5 %</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22.4 %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18,770</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15,574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3,196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603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580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handle</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2,519,983</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2,385,033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134,950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Slot machine win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109,488</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102,816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496</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486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Poker rake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736</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Macau:</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casino revenues</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1,230,351</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970,269</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260,082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VIP:</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VIP turnover</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5,047,888</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5,132,628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(84,740)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table games win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177,435</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191,936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VIP win as a % of turnover</w:t>
            </w:r>
          </w:p>
        </w:tc>
        <w:tc>
          <w:tcPr>
            <w:tcW w:w="260" w:type="dxa"/>
            <w:vAlign w:val="bottom"/>
            <w:shd w:val="clear" w:color="auto" w:fill="E0E0E0"/>
          </w:tcPr>
          <w:p>
            <w:pPr>
              <w:spacing w:after="0"/>
              <w:rPr>
                <w:sz w:val="24"/>
                <w:szCs w:val="24"/>
                <w:color w:val="auto"/>
              </w:rPr>
            </w:pP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3.52 %</w:t>
            </w:r>
          </w:p>
        </w:tc>
        <w:tc>
          <w:tcPr>
            <w:tcW w:w="260" w:type="dxa"/>
            <w:vAlign w:val="bottom"/>
            <w:shd w:val="clear" w:color="auto" w:fill="E0E0E0"/>
          </w:tcPr>
          <w:p>
            <w:pPr>
              <w:spacing w:after="0"/>
              <w:rPr>
                <w:sz w:val="24"/>
                <w:szCs w:val="24"/>
                <w:color w:val="auto"/>
              </w:rPr>
            </w:pP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3.74 %</w:t>
            </w: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16,084</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12,699</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Mass market:</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221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drop</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6,344,794</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5,155,929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1,188,865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games win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1,164,012</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910,825</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w:t>
            </w:r>
          </w:p>
        </w:tc>
        <w:tc>
          <w:tcPr>
            <w:tcW w:w="260" w:type="dxa"/>
            <w:vAlign w:val="bottom"/>
            <w:shd w:val="clear" w:color="auto" w:fill="E0E0E0"/>
          </w:tcPr>
          <w:p>
            <w:pPr>
              <w:spacing w:after="0"/>
              <w:rPr>
                <w:sz w:val="24"/>
                <w:szCs w:val="24"/>
                <w:color w:val="auto"/>
              </w:rPr>
            </w:pP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18.3 %</w:t>
            </w:r>
          </w:p>
        </w:tc>
        <w:tc>
          <w:tcPr>
            <w:tcW w:w="260" w:type="dxa"/>
            <w:vAlign w:val="bottom"/>
            <w:shd w:val="clear" w:color="auto" w:fill="E0E0E0"/>
          </w:tcPr>
          <w:p>
            <w:pPr>
              <w:spacing w:after="0"/>
              <w:rPr>
                <w:sz w:val="24"/>
                <w:szCs w:val="24"/>
                <w:color w:val="auto"/>
              </w:rPr>
            </w:pP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17.7 %</w:t>
            </w: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14,367</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11,560</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615</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530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Slot machine handle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3,133,488</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2,212,196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921,292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103,030</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68,667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34,363</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458</w:t>
            </w:r>
          </w:p>
        </w:tc>
        <w:tc>
          <w:tcPr>
            <w:tcW w:w="2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355</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Poker rake</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15,275</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18,266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(2,991)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2" w:right="840" w:bottom="3"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200"/>
          </w:cols>
          <w:pgMar w:left="840" w:top="662" w:right="840" w:bottom="3"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9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0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62"/>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940" w:type="dxa"/>
            <w:vAlign w:val="bottom"/>
          </w:tcPr>
          <w:p>
            <w:pPr>
              <w:jc w:val="right"/>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220" w:type="dxa"/>
            <w:vAlign w:val="bottom"/>
            <w:shd w:val="clear" w:color="auto" w:fill="E0E0E0"/>
          </w:tcPr>
          <w:p>
            <w:pPr>
              <w:jc w:val="right"/>
              <w:ind w:right="2120"/>
              <w:spacing w:after="0"/>
              <w:rPr>
                <w:sz w:val="20"/>
                <w:szCs w:val="20"/>
                <w:color w:val="auto"/>
              </w:rPr>
            </w:pPr>
            <w:r>
              <w:rPr>
                <w:rFonts w:ascii="Times New Roman" w:cs="Times New Roman" w:eastAsia="Times New Roman" w:hAnsi="Times New Roman"/>
                <w:sz w:val="20"/>
                <w:szCs w:val="20"/>
                <w:b w:val="1"/>
                <w:bCs w:val="1"/>
                <w:color w:val="auto"/>
              </w:rPr>
              <w:t>Las Vegas Operations:</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20" w:type="dxa"/>
            <w:vAlign w:val="bottom"/>
          </w:tcPr>
          <w:p>
            <w:pPr>
              <w:jc w:val="right"/>
              <w:ind w:right="2120"/>
              <w:spacing w:after="0"/>
              <w:rPr>
                <w:sz w:val="20"/>
                <w:szCs w:val="20"/>
                <w:color w:val="auto"/>
              </w:rPr>
            </w:pPr>
            <w:r>
              <w:rPr>
                <w:rFonts w:ascii="Times New Roman" w:cs="Times New Roman" w:eastAsia="Times New Roman" w:hAnsi="Times New Roman"/>
                <w:sz w:val="20"/>
                <w:szCs w:val="20"/>
                <w:color w:val="auto"/>
              </w:rPr>
              <w:t>Total casino revenues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600,088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628,185</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232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233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drop</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2,376,473</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2,425,621</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611,663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599,001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12,662</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games win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25.7 %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24.7 %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7,200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7,038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320" w:type="dxa"/>
            <w:vAlign w:val="bottom"/>
          </w:tcPr>
          <w:p>
            <w:pPr>
              <w:spacing w:after="0"/>
              <w:rPr>
                <w:sz w:val="24"/>
                <w:szCs w:val="24"/>
                <w:color w:val="auto"/>
              </w:rPr>
            </w:pP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1,609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1,645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handle</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6,752,952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6,423,374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329,578</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Slot machine win</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446,152</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451,833</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758</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752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Poker rake</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24,599</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25,720</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Encore Boston Harbor:</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20" w:type="dxa"/>
            <w:vAlign w:val="bottom"/>
          </w:tcPr>
          <w:p>
            <w:pPr>
              <w:jc w:val="right"/>
              <w:ind w:right="2120"/>
              <w:spacing w:after="0"/>
              <w:rPr>
                <w:sz w:val="20"/>
                <w:szCs w:val="20"/>
                <w:color w:val="auto"/>
              </w:rPr>
            </w:pPr>
            <w:r>
              <w:rPr>
                <w:rFonts w:ascii="Times New Roman" w:cs="Times New Roman" w:eastAsia="Times New Roman" w:hAnsi="Times New Roman"/>
                <w:sz w:val="20"/>
                <w:szCs w:val="20"/>
                <w:color w:val="auto"/>
              </w:rPr>
              <w:t>Total casino revenues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635,314</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648,668</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180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191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drop</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1,410,319</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1,422,416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297,369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308,890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(11,521)</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games win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21.1 %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21.7 %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4,519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4,429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320" w:type="dxa"/>
            <w:vAlign w:val="bottom"/>
          </w:tcPr>
          <w:p>
            <w:pPr>
              <w:spacing w:after="0"/>
              <w:rPr>
                <w:sz w:val="24"/>
                <w:szCs w:val="24"/>
                <w:color w:val="auto"/>
              </w:rPr>
            </w:pP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2,633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2,550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handle</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5,604,462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5,256,696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347,766</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91"/>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Slot machine win</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424,152</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421,190</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309"/>
        </w:trPr>
        <w:tc>
          <w:tcPr>
            <w:tcW w:w="42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440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452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82"/>
        </w:trPr>
        <w:tc>
          <w:tcPr>
            <w:tcW w:w="4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Poker rake</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21,750</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21,505</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ectPr>
          <w:pgSz w:w="11880" w:h="15480" w:orient="portrait"/>
          <w:cols w:equalWidth="0" w:num="1">
            <w:col w:w="10200"/>
          </w:cols>
          <w:pgMar w:left="840" w:top="620"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200"/>
          </w:cols>
          <w:pgMar w:left="840" w:top="620" w:right="840" w:bottom="3"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i w:val="1"/>
          <w:iCs w:val="1"/>
          <w:color w:val="auto"/>
        </w:rPr>
        <w:t>Non-casino revenues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table below sets forth our room revenues and associated key operating measures: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4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2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2"/>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140" w:type="dxa"/>
            <w:vAlign w:val="bottom"/>
          </w:tcPr>
          <w:p>
            <w:pPr>
              <w:jc w:val="right"/>
              <w:ind w:right="233"/>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Macau Operations:</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Palace: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202,936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201,783</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1,153</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98.6 %</w:t>
            </w:r>
          </w:p>
        </w:tc>
        <w:tc>
          <w:tcPr>
            <w:tcW w:w="3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94.9 %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310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323</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306</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306</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Macau:</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100,631</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109,308</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shd w:val="clear" w:color="auto" w:fill="E0E0E0"/>
          </w:tcPr>
          <w:p>
            <w:pPr>
              <w:spacing w:after="0"/>
              <w:rPr>
                <w:sz w:val="24"/>
                <w:szCs w:val="24"/>
                <w:color w:val="auto"/>
              </w:rPr>
            </w:pPr>
          </w:p>
        </w:tc>
        <w:tc>
          <w:tcPr>
            <w:tcW w:w="12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99.3 %</w:t>
            </w:r>
          </w:p>
        </w:tc>
        <w:tc>
          <w:tcPr>
            <w:tcW w:w="320" w:type="dxa"/>
            <w:vAlign w:val="bottom"/>
            <w:shd w:val="clear" w:color="auto" w:fill="E0E0E0"/>
          </w:tcPr>
          <w:p>
            <w:pPr>
              <w:spacing w:after="0"/>
              <w:rPr>
                <w:sz w:val="24"/>
                <w:szCs w:val="24"/>
                <w:color w:val="auto"/>
              </w:rPr>
            </w:pPr>
          </w:p>
        </w:tc>
        <w:tc>
          <w:tcPr>
            <w:tcW w:w="12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96.5 %</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281</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246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271</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92"/>
        </w:trPr>
        <w:tc>
          <w:tcPr>
            <w:tcW w:w="4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Las Vegas Operations: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845,660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784,385</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61,275</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89.0 %</w:t>
            </w:r>
          </w:p>
        </w:tc>
        <w:tc>
          <w:tcPr>
            <w:tcW w:w="3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89.6 %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555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513</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494</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459</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Encore Boston Harbor:</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92,831</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90,195</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shd w:val="clear" w:color="auto" w:fill="E0E0E0"/>
          </w:tcPr>
          <w:p>
            <w:pPr>
              <w:spacing w:after="0"/>
              <w:rPr>
                <w:sz w:val="24"/>
                <w:szCs w:val="24"/>
                <w:color w:val="auto"/>
              </w:rPr>
            </w:pPr>
          </w:p>
        </w:tc>
        <w:tc>
          <w:tcPr>
            <w:tcW w:w="12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93.6 %</w:t>
            </w:r>
          </w:p>
        </w:tc>
        <w:tc>
          <w:tcPr>
            <w:tcW w:w="320" w:type="dxa"/>
            <w:vAlign w:val="bottom"/>
            <w:shd w:val="clear" w:color="auto" w:fill="E0E0E0"/>
          </w:tcPr>
          <w:p>
            <w:pPr>
              <w:spacing w:after="0"/>
              <w:rPr>
                <w:sz w:val="24"/>
                <w:szCs w:val="24"/>
                <w:color w:val="auto"/>
              </w:rPr>
            </w:pPr>
          </w:p>
        </w:tc>
        <w:tc>
          <w:tcPr>
            <w:tcW w:w="12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93.0 %</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412</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398</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385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370</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Room revenues increased $56.4 million, primarily due to higher ADR at our Las Vegas Operations.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Food and beverage revenues increased $40.5 million, primarily due to increased restaurant covers and average check amounts at our Las Vegas Operations and our Macau Operations.</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Entertainment, retail and other revenues decreased $43.8 million, primarily due to a decrease in operating revenues at Wynn Interactive as a result of our decision to close Wynn Interactive’s digital sports betting and casino gaming business.</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00"/>
          </w:cols>
          <w:pgMar w:left="840" w:top="662" w:right="840" w:bottom="3"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table below presents operating expenses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140" w:type="dxa"/>
            <w:vAlign w:val="bottom"/>
          </w:tcPr>
          <w:p>
            <w:pPr>
              <w:jc w:val="right"/>
              <w:ind w:right="233"/>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2,586,960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2,238,671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0" w:type="dxa"/>
            <w:vAlign w:val="bottom"/>
          </w:tcPr>
          <w:p>
            <w:pPr>
              <w:spacing w:after="0"/>
              <w:rPr>
                <w:sz w:val="1"/>
                <w:szCs w:val="1"/>
                <w:color w:val="auto"/>
              </w:rPr>
            </w:pPr>
          </w:p>
        </w:tc>
      </w:tr>
      <w:tr>
        <w:trPr>
          <w:trHeight w:val="309"/>
        </w:trPr>
        <w:tc>
          <w:tcPr>
            <w:tcW w:w="44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330,359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307,132</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23,227</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91"/>
        </w:trPr>
        <w:tc>
          <w:tcPr>
            <w:tcW w:w="4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859,426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822,323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309"/>
        </w:trPr>
        <w:tc>
          <w:tcPr>
            <w:tcW w:w="44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249,679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340,437</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(90,758)</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0" w:type="dxa"/>
            <w:vAlign w:val="bottom"/>
          </w:tcPr>
          <w:p>
            <w:pPr>
              <w:spacing w:after="0"/>
              <w:rPr>
                <w:sz w:val="1"/>
                <w:szCs w:val="1"/>
                <w:color w:val="auto"/>
              </w:rPr>
            </w:pPr>
          </w:p>
        </w:tc>
      </w:tr>
      <w:tr>
        <w:trPr>
          <w:trHeight w:val="291"/>
        </w:trPr>
        <w:tc>
          <w:tcPr>
            <w:tcW w:w="4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1,080,475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309"/>
        </w:trPr>
        <w:tc>
          <w:tcPr>
            <w:tcW w:w="44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4,986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8,950</w:t>
            </w: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91"/>
        </w:trPr>
        <w:tc>
          <w:tcPr>
            <w:tcW w:w="4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Pre-opening</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09"/>
        </w:trPr>
        <w:tc>
          <w:tcPr>
            <w:tcW w:w="44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658,895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687,270</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(28,375)</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91"/>
        </w:trPr>
        <w:tc>
          <w:tcPr>
            <w:tcW w:w="4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Impairment of goodwill and intangible assets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94,490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95"/>
        </w:trPr>
        <w:tc>
          <w:tcPr>
            <w:tcW w:w="44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Property charges and other</w:t>
            </w:r>
          </w:p>
        </w:tc>
        <w:tc>
          <w:tcPr>
            <w:tcW w:w="3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215,095</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130,877</w:t>
            </w:r>
          </w:p>
        </w:tc>
        <w:tc>
          <w:tcPr>
            <w:tcW w:w="20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84,218</w:t>
            </w:r>
          </w:p>
        </w:tc>
        <w:tc>
          <w:tcPr>
            <w:tcW w:w="13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0" w:type="dxa"/>
            <w:vAlign w:val="bottom"/>
          </w:tcPr>
          <w:p>
            <w:pPr>
              <w:spacing w:after="0"/>
              <w:rPr>
                <w:sz w:val="1"/>
                <w:szCs w:val="1"/>
                <w:color w:val="auto"/>
              </w:rPr>
            </w:pPr>
          </w:p>
        </w:tc>
      </w:tr>
      <w:tr>
        <w:trPr>
          <w:trHeight w:val="281"/>
        </w:trPr>
        <w:tc>
          <w:tcPr>
            <w:tcW w:w="4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5,995,230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5,691,726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303,504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0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increase in total operating expenses was primarily due to increased operating costs associated with higher business volumes at our properties, partially offset by decreased operating expenses related to Wynn Interactive following the closure of Wynn Interactive’s digital sports betting and casino gaming business.</w:t>
      </w:r>
    </w:p>
    <w:p>
      <w:pPr>
        <w:spacing w:after="0" w:line="29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Casino expenses increased $194.4 million and $133.4 million at Wynn Palace and Wynn Macau, respectively. These increases resulted from higher operating costs, including increases of $166.5 million and $114.7 million in incremental gaming tax expense at Wynn Palace and Wynn Macau, respectively, driven by the increase in casino revenues.</w:t>
      </w:r>
    </w:p>
    <w:p>
      <w:pPr>
        <w:spacing w:after="0" w:line="29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Room expenses increased $18.2 million at our Las Vegas Operations as a result of higher payroll and other operating costs.</w:t>
      </w:r>
    </w:p>
    <w:p>
      <w:pPr>
        <w:spacing w:after="0" w:line="30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Food and beverage expenses increased $19.2 million and $16.2 million at our Las Vegas Operations and our Macau Operations, respectively, as a result of higher payroll and other operating costs.</w:t>
      </w:r>
    </w:p>
    <w:p>
      <w:pPr>
        <w:spacing w:after="0" w:line="30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Entertainment, retail and other expenses decreased $112.6 million at Corporate and other as a result of decreased operating costs related to Wynn Interactive. This decrease was partially offset by an increase of $26.7 million at our Las Vegas Operations primarily due to increased costs from entertainment venue related revenue.</w:t>
      </w:r>
    </w:p>
    <w:p>
      <w:pPr>
        <w:spacing w:after="0" w:line="29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Depreciation and amortization decreased $33.7 million at Encore Boston Harbor as result of certain furniture, fixtures and equipment assets being fully depreciated five years after the opening of the property in June of 2019.</w:t>
      </w:r>
    </w:p>
    <w:p>
      <w:pPr>
        <w:spacing w:after="0" w:line="30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2023, the Company recognized impairment of goodwill and other finite-lived intangible assets of $72.1 million and $22.4 million, respectively, as a result of our decision to close Wynn Interactive’s digital sports betting and casino gaming business.</w:t>
      </w:r>
    </w:p>
    <w:p>
      <w:pPr>
        <w:spacing w:after="0" w:line="29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Property charges and other expenses for the year ended December 31, 2024 consisted primarily of $130.0 million of forfeitures pursuant to a non-prosecution agreement and the Company’s $9.4 million contribution towards a legal settlement, both of which are described in Item 8—“Financial Statements and Supplementary Data,” Note 18, “Commitments and Contingencies.” Property charges and other expenses for the year ended December 31, 2024 also included $20.7 million of asset abandonments at our Macau Operations, $61.5 million of expensed project costs related to a discontinued development project at Corporate and other, $16.9 million of contract termination and other costs related to Wynn Interactive and a gain of $24.6 million related to the sale of certain Wynn Interactive assets.</w:t>
      </w:r>
    </w:p>
    <w:p>
      <w:pPr>
        <w:sectPr>
          <w:pgSz w:w="11880" w:h="15480" w:orient="portrait"/>
          <w:cols w:equalWidth="0" w:num="1">
            <w:col w:w="10200"/>
          </w:cols>
          <w:pgMar w:left="840" w:top="662"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00"/>
          </w:cols>
          <w:pgMar w:left="840" w:top="662" w:right="840" w:bottom="3" w:gutter="0" w:footer="0" w:header="0"/>
          <w:type w:val="continuous"/>
        </w:sectPr>
      </w:pPr>
    </w:p>
    <w:bookmarkStart w:id="42" w:name="page43"/>
    <w:bookmarkEnd w:id="42"/>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Property charges and other expenses for the year ended December 31, 2023 consisted primarily of contract termination and other expenses of $94.6 million, as a result of our decision to close Wynn Interactive’s digital sports betting and casino gaming business. Property charges and other expenses for the year ended December 31, 2023 also included other contract terminations of $8.7 million at Wynn Macau and asset abandonments of $12.7 million and $8.0 million at Wynn Palace and our Las Vegas Operations,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non-operating income and expenses</w:t>
      </w:r>
    </w:p>
    <w:p>
      <w:pPr>
        <w:spacing w:after="0" w:line="27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Interest expense, net of capitalized interest, decreased $63.1 million primarily due to a decrease in the weighted average debt balance, from $12.38 billion for the year ended December 31, 2023, to $11.45 billion for the year ended December 31, 2024. In addition, we capitalized interest of $23.0 million and $5.8 million in the years ended December 31, 2024 and 2023, respectively.</w:t>
      </w:r>
    </w:p>
    <w:p>
      <w:pPr>
        <w:spacing w:after="0" w:line="26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recorded interest income of $130.3 million and $175.8 million for the years ended December 31, 2024 and 2023, respectively, primarily related to interest earned on cash and cash equivalents held at financial institutions.</w:t>
      </w:r>
    </w:p>
    <w:p>
      <w:pPr>
        <w:spacing w:after="0" w:line="27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incurred a foreign currency remeasurement gain of $29.2 million and a loss of $11.5 million for the years ended December 31, 2024 and 2023,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6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recorded a gain of $42.5 million and $45.1 million for the years ended December 31, 2024 and 2023, respectively, primarily related to the change in derivative fair value of the conversion feature of the WML Convertible Bonds.</w:t>
      </w:r>
    </w:p>
    <w:p>
      <w:pPr>
        <w:spacing w:after="0" w:line="27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recorded a $2.9 million loss on debt financing transactions for the year ended December 31, 2024, primarily related to the issuance of the 2031 Add-On WRF Senior Notes, 2033 WRF Senior Notes, and the repurchase of the 2025 WLV Senior Notes. We recorded a $12.7 million loss on debt financing transactions for the year ended December 31, 2023, primarily related to the issuance of the 2031 WRF Senior Notes and the repurchase of the tendered 2025 WRF Senior Notes.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7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the years ended December 31, 2024 and 2023, we recorded an income tax expense of $3.7 million and a benefit of $496.8 million, respectively. The 2024 income tax expense primarily relates to U.S. profitability as well as an increase in non-deductible expenses offset by the release of valuation allowance on certain deferred tax assets. The 2023 income tax benefit primarily relates to the release of valuation allowance on certain deferred tax assets.</w:t>
      </w:r>
    </w:p>
    <w:p>
      <w:pPr>
        <w:spacing w:after="0" w:line="26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2024, Wynn Macau SA received an exemption from Macau’s 12% Complementary Tax on casino gaming profits from January 1, 2023 through December 31, 2027. Our non-gaming profits remain subject to the Macau Complementary Tax and casino winnings remain subject to the Macau special gaming tax and other levies in accordance with our concession agreement.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attributable to noncontrolling interests</w:t>
      </w:r>
    </w:p>
    <w:p>
      <w:pPr>
        <w:spacing w:after="0" w:line="27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Net income attributable to noncontrolling interests was $138.6 million and $52.2 million for the years ended December 31, 2024 and 2023, respectively. These amounts are primarily related to the noncontrolling interests’ share of net income from WML.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7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further described in Item 8—“Financial Statements and Supplementary Data,” Note 20, “Segment Information,” we use Adjusted Property EBITDAR to manage the operating results of our segments. Adjusted Property EBITDAR is net income (loss) before interest, income taxes, depreciation and amortization, pre-opening expenses,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w:t>
      </w:r>
    </w:p>
    <w:p>
      <w:pPr>
        <w:sectPr>
          <w:pgSz w:w="11880" w:h="15480" w:orient="portrait"/>
          <w:cols w:equalWidth="0" w:num="1">
            <w:col w:w="10200"/>
          </w:cols>
          <w:pgMar w:left="840" w:top="675"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200"/>
          </w:cols>
          <w:pgMar w:left="840" w:top="675" w:right="840" w:bottom="3" w:gutter="0" w:footer="0" w:header="0"/>
          <w:type w:val="continuous"/>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6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table summarizes Adjusted Property EBITDAR (in thousands) for Wynn Palace, Wynn Macau, Las Vegas Operations, Encore Boston Harbor, and Corporate and other as reviewed by management and summarized in Item 8—“Financial Statements and Supplementary Data,” Note 20, “Segment Information.” That footnote also presents a reconciliation of Adjusted Property EBITDAR to net income (loss) attributable to Wynn Resorts, Limited.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restart"/>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66"/>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8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66"/>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5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733,710</w:t>
            </w:r>
          </w:p>
        </w:tc>
        <w:tc>
          <w:tcPr>
            <w:tcW w:w="5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615,846</w:t>
            </w:r>
          </w:p>
        </w:tc>
        <w:tc>
          <w:tcPr>
            <w:tcW w:w="4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117,864</w:t>
            </w:r>
          </w:p>
        </w:tc>
        <w:tc>
          <w:tcPr>
            <w:tcW w:w="0" w:type="dxa"/>
            <w:vAlign w:val="bottom"/>
          </w:tcPr>
          <w:p>
            <w:pPr>
              <w:spacing w:after="0"/>
              <w:rPr>
                <w:sz w:val="1"/>
                <w:szCs w:val="1"/>
                <w:color w:val="auto"/>
              </w:rPr>
            </w:pPr>
          </w:p>
        </w:tc>
      </w:tr>
      <w:tr>
        <w:trPr>
          <w:trHeight w:val="291"/>
        </w:trPr>
        <w:tc>
          <w:tcPr>
            <w:tcW w:w="5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441,852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338,091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103,761</w:t>
            </w:r>
          </w:p>
        </w:tc>
        <w:tc>
          <w:tcPr>
            <w:tcW w:w="0" w:type="dxa"/>
            <w:vAlign w:val="bottom"/>
          </w:tcPr>
          <w:p>
            <w:pPr>
              <w:spacing w:after="0"/>
              <w:rPr>
                <w:sz w:val="1"/>
                <w:szCs w:val="1"/>
                <w:color w:val="auto"/>
              </w:rPr>
            </w:pPr>
          </w:p>
        </w:tc>
      </w:tr>
      <w:tr>
        <w:trPr>
          <w:trHeight w:val="309"/>
        </w:trPr>
        <w:tc>
          <w:tcPr>
            <w:tcW w:w="5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946,762</w:t>
            </w: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946,243</w:t>
            </w: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0" w:type="dxa"/>
            <w:vAlign w:val="bottom"/>
          </w:tcPr>
          <w:p>
            <w:pPr>
              <w:spacing w:after="0"/>
              <w:rPr>
                <w:sz w:val="1"/>
                <w:szCs w:val="1"/>
                <w:color w:val="auto"/>
              </w:rPr>
            </w:pPr>
          </w:p>
        </w:tc>
      </w:tr>
      <w:tr>
        <w:trPr>
          <w:trHeight w:val="291"/>
        </w:trPr>
        <w:tc>
          <w:tcPr>
            <w:tcW w:w="5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247,128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(10,281)</w:t>
            </w:r>
          </w:p>
        </w:tc>
        <w:tc>
          <w:tcPr>
            <w:tcW w:w="0" w:type="dxa"/>
            <w:vAlign w:val="bottom"/>
          </w:tcPr>
          <w:p>
            <w:pPr>
              <w:spacing w:after="0"/>
              <w:rPr>
                <w:sz w:val="1"/>
                <w:szCs w:val="1"/>
                <w:color w:val="auto"/>
              </w:rPr>
            </w:pPr>
          </w:p>
        </w:tc>
      </w:tr>
      <w:tr>
        <w:trPr>
          <w:trHeight w:val="309"/>
        </w:trPr>
        <w:tc>
          <w:tcPr>
            <w:tcW w:w="5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Corporate and other</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(4,535)</w:t>
            </w: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(42,646)</w:t>
            </w: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38,111</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Adjusted Property EBITDAR at Wynn Palace and Wynn Macau increased $117.9 million and $103.8 million, respectively, for the year ended December 31, 2024, primarily due to an increase in operating revenues of $330.8 million and $251.1 million, respectively, partially offset by an increase in operating expenses.</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Adjusted Property EBITDAR at our Las Vegas Operations remained relatively consistent in the years ended December 31, 2024 and 2023.</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Adjusted Property EBITDAR at Encore Boston Harbor decreased $10.3 million for the year ended December 31, 2024, primarily due to a decrease in operating revenues of $8.6 million.</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Adjusted Property EBITDAR at Corporate and other increased $38.1 million for the year ended December 31, 2024, primarily due to a decrease in marketing and promotional expenses related to Wynn Interactive following our decision, announced in August 2023, to close Wynn Interactive’s digital sports betting and casino gaming business.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Refer to the discussions above regarding the specific details of our results of operations.</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00"/>
          </w:cols>
          <w:pgMar w:left="840" w:top="675" w:right="840" w:bottom="3"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cash flows were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4"/>
        </w:trPr>
        <w:tc>
          <w:tcPr>
            <w:tcW w:w="77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Cash Flows - Summary</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700" w:type="dxa"/>
            <w:vAlign w:val="bottom"/>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0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1,426,203</w:t>
            </w:r>
          </w:p>
        </w:tc>
        <w:tc>
          <w:tcPr>
            <w:tcW w:w="28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1,247,879</w:t>
            </w:r>
          </w:p>
        </w:tc>
        <w:tc>
          <w:tcPr>
            <w:tcW w:w="0" w:type="dxa"/>
            <w:vAlign w:val="bottom"/>
          </w:tcPr>
          <w:p>
            <w:pPr>
              <w:spacing w:after="0"/>
              <w:rPr>
                <w:sz w:val="1"/>
                <w:szCs w:val="1"/>
                <w:color w:val="auto"/>
              </w:rPr>
            </w:pPr>
          </w:p>
        </w:tc>
      </w:tr>
      <w:tr>
        <w:trPr>
          <w:trHeight w:val="300"/>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Capital expenditures, net of construction payables and retention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(419,929)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(442,793)</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Investment in unconsolidated affiliates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(563,418)</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(53,631)</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of investments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(836,519)</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Proceeds from maturity of investments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850,000</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of intangible and other assets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(10,752)</w:t>
            </w:r>
          </w:p>
        </w:tc>
        <w:tc>
          <w:tcPr>
            <w:tcW w:w="0" w:type="dxa"/>
            <w:vAlign w:val="bottom"/>
          </w:tcPr>
          <w:p>
            <w:pPr>
              <w:spacing w:after="0"/>
              <w:rPr>
                <w:sz w:val="1"/>
                <w:szCs w:val="1"/>
                <w:color w:val="auto"/>
              </w:rPr>
            </w:pPr>
          </w:p>
        </w:tc>
      </w:tr>
      <w:tr>
        <w:trPr>
          <w:trHeight w:val="295"/>
        </w:trPr>
        <w:tc>
          <w:tcPr>
            <w:tcW w:w="77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Proceeds from sale of assets and other</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52,404</w:t>
            </w: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E0E0E0"/>
            </w:tcBorders>
            <w:shd w:val="clear" w:color="auto" w:fill="E0E0E0"/>
          </w:tcPr>
          <w:p>
            <w:pPr>
              <w:spacing w:after="0"/>
              <w:rPr>
                <w:sz w:val="24"/>
                <w:szCs w:val="24"/>
                <w:color w:val="auto"/>
              </w:rPr>
            </w:pPr>
          </w:p>
        </w:tc>
        <w:tc>
          <w:tcPr>
            <w:tcW w:w="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0" w:type="dxa"/>
            <w:vAlign w:val="bottom"/>
          </w:tcPr>
          <w:p>
            <w:pPr>
              <w:spacing w:after="0"/>
              <w:rPr>
                <w:sz w:val="1"/>
                <w:szCs w:val="1"/>
                <w:color w:val="auto"/>
              </w:rPr>
            </w:pPr>
          </w:p>
        </w:tc>
      </w:tr>
      <w:tr>
        <w:trPr>
          <w:trHeight w:val="281"/>
        </w:trPr>
        <w:tc>
          <w:tcPr>
            <w:tcW w:w="770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(83,558)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(1,342,533)</w:t>
            </w:r>
          </w:p>
        </w:tc>
        <w:tc>
          <w:tcPr>
            <w:tcW w:w="0" w:type="dxa"/>
            <w:vAlign w:val="bottom"/>
          </w:tcPr>
          <w:p>
            <w:pPr>
              <w:spacing w:after="0"/>
              <w:rPr>
                <w:sz w:val="1"/>
                <w:szCs w:val="1"/>
                <w:color w:val="auto"/>
              </w:rPr>
            </w:pPr>
          </w:p>
        </w:tc>
      </w:tr>
      <w:tr>
        <w:trPr>
          <w:trHeight w:val="293"/>
        </w:trPr>
        <w:tc>
          <w:tcPr>
            <w:tcW w:w="77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Proceeds from issuance of long-term debt</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1,883,794</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1,200,000</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Repayments of long-term debt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(3,059,832)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(1,533,124)</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(401,802)</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(212,455)</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Proceeds from exercise of stock options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Distribution to noncontrolling interest</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(16,988)</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(22,579)</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Dividends paid</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(84,733)</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Finance lease payments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(19,219)</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(19,267)</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Payments for financing costs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(41,240)</w:t>
            </w:r>
          </w:p>
        </w:tc>
        <w:tc>
          <w:tcPr>
            <w:tcW w:w="0" w:type="dxa"/>
            <w:vAlign w:val="bottom"/>
          </w:tcPr>
          <w:p>
            <w:pPr>
              <w:spacing w:after="0"/>
              <w:rPr>
                <w:sz w:val="1"/>
                <w:szCs w:val="1"/>
                <w:color w:val="auto"/>
              </w:rPr>
            </w:pPr>
          </w:p>
        </w:tc>
      </w:tr>
      <w:tr>
        <w:trPr>
          <w:trHeight w:val="295"/>
        </w:trPr>
        <w:tc>
          <w:tcPr>
            <w:tcW w:w="77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(4,486)</w:t>
            </w: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E0E0E0"/>
            </w:tcBorders>
            <w:shd w:val="clear" w:color="auto" w:fill="E0E0E0"/>
          </w:tcPr>
          <w:p>
            <w:pPr>
              <w:spacing w:after="0"/>
              <w:rPr>
                <w:sz w:val="24"/>
                <w:szCs w:val="24"/>
                <w:color w:val="auto"/>
              </w:rPr>
            </w:pPr>
          </w:p>
        </w:tc>
        <w:tc>
          <w:tcPr>
            <w:tcW w:w="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(7,773)</w:t>
            </w:r>
          </w:p>
        </w:tc>
        <w:tc>
          <w:tcPr>
            <w:tcW w:w="0" w:type="dxa"/>
            <w:vAlign w:val="bottom"/>
          </w:tcPr>
          <w:p>
            <w:pPr>
              <w:spacing w:after="0"/>
              <w:rPr>
                <w:sz w:val="1"/>
                <w:szCs w:val="1"/>
                <w:color w:val="auto"/>
              </w:rPr>
            </w:pPr>
          </w:p>
        </w:tc>
      </w:tr>
      <w:tr>
        <w:trPr>
          <w:trHeight w:val="286"/>
        </w:trPr>
        <w:tc>
          <w:tcPr>
            <w:tcW w:w="770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(1,793,794)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(719,206)</w:t>
            </w:r>
          </w:p>
        </w:tc>
        <w:tc>
          <w:tcPr>
            <w:tcW w:w="0" w:type="dxa"/>
            <w:vAlign w:val="bottom"/>
          </w:tcPr>
          <w:p>
            <w:pPr>
              <w:spacing w:after="0"/>
              <w:rPr>
                <w:sz w:val="1"/>
                <w:szCs w:val="1"/>
                <w:color w:val="auto"/>
              </w:rPr>
            </w:pPr>
          </w:p>
        </w:tc>
      </w:tr>
      <w:tr>
        <w:trPr>
          <w:trHeight w:val="308"/>
        </w:trPr>
        <w:tc>
          <w:tcPr>
            <w:tcW w:w="77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Effect of exchange rate on cash, cash equivalents and restricted cash</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282</w:t>
            </w:r>
          </w:p>
        </w:tc>
        <w:tc>
          <w:tcPr>
            <w:tcW w:w="0" w:type="dxa"/>
            <w:vAlign w:val="bottom"/>
          </w:tcPr>
          <w:p>
            <w:pPr>
              <w:spacing w:after="0"/>
              <w:rPr>
                <w:sz w:val="1"/>
                <w:szCs w:val="1"/>
                <w:color w:val="auto"/>
              </w:rPr>
            </w:pPr>
          </w:p>
        </w:tc>
      </w:tr>
      <w:tr>
        <w:trPr>
          <w:trHeight w:val="28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Decrease in cash, cash equivalents and restricted cash</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(447,619)</w:t>
            </w:r>
          </w:p>
        </w:tc>
        <w:tc>
          <w:tcPr>
            <w:tcW w:w="28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(813,578)</w:t>
            </w:r>
          </w:p>
        </w:tc>
        <w:tc>
          <w:tcPr>
            <w:tcW w:w="0" w:type="dxa"/>
            <w:vAlign w:val="bottom"/>
          </w:tcPr>
          <w:p>
            <w:pPr>
              <w:spacing w:after="0"/>
              <w:rPr>
                <w:sz w:val="1"/>
                <w:szCs w:val="1"/>
                <w:color w:val="auto"/>
              </w:rPr>
            </w:pPr>
          </w:p>
        </w:tc>
      </w:tr>
      <w:tr>
        <w:trPr>
          <w:trHeight w:val="23"/>
        </w:trPr>
        <w:tc>
          <w:tcPr>
            <w:tcW w:w="7700" w:type="dxa"/>
            <w:vAlign w:val="bottom"/>
            <w:tcBorders>
              <w:top w:val="single" w:sz="8" w:color="E0E0E0"/>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5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2024, the increase in cash flows from operating activities was primarily due to increased revenues from our Macau Operations and our Las Vegas Operations, which was partially offset by an increase in operating expenses associated with higher business volumes.</w:t>
      </w:r>
    </w:p>
    <w:p>
      <w:pPr>
        <w:spacing w:after="0" w:line="15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2023, the increase in cash flows from operating activities was primarily due to increased revenues from our Macau Operations and our Las Vegas Operations, which was partially offset by an increase in operating expenses associated with higher business volumes.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5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Our investing activities primarily consist of project capital expenditures and maintenance capital expenditures associated with maintaining and continually refining our world-class integrated resort properties.</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00"/>
          </w:cols>
          <w:pgMar w:left="840" w:top="664" w:right="840" w:bottom="3" w:gutter="0" w:footer="0" w:header="0"/>
          <w:type w:val="continuous"/>
        </w:sectPr>
      </w:pPr>
    </w:p>
    <w:bookmarkStart w:id="45" w:name="page46"/>
    <w:bookmarkEnd w:id="45"/>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2024, we incurred capital expenditures of $159.8 million at our Las Vegas Operations, $107.5 million at Wynn Palace, $57.7 million at Wynn Macau, and $32.7 million at Encore Boston Harbor, primarily related to enhancements at our properties and maintenance capital expenditures, and $62.4 million at Corporate and other, primarily related to future development projects. In addition, during the year ended December 31, 2024, we invested $557.3 million, including $541.7 million of cash contributions, in the joint venture that is constructing Wynn Al Marjan Island, and received proceeds of $850.0 million upon the maturity of investments.</w:t>
      </w:r>
    </w:p>
    <w:p>
      <w:pPr>
        <w:spacing w:after="0" w:line="26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2023, we incurred capital expenditures of $187.2 million at our Las Vegas Operations, $70.6 million at Encore Boston Harbor, $66.3 million at Wynn Palace, and $25.6 million at Wynn Macau, primarily related to enhancements at our properties and maintenance capital expenditures, and $93.2 million at Corporate and other primarily related to future development projects. In addition, during the year ended December 31, 2023, we purchased $836.5 million in investments, comprised of debt securities and fixed deposits maturing in less than one year.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7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below table presents proceeds from the issuance, repayments, and repurchases of the specified debt instruments during the year ended December 31, 2024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Proceeds from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9"/>
              </w:rPr>
              <w:t>Repayments and</w:t>
            </w:r>
          </w:p>
        </w:tc>
      </w:tr>
      <w:tr>
        <w:trPr>
          <w:trHeight w:val="176"/>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323"/>
              <w:spacing w:after="0" w:line="176" w:lineRule="exact"/>
              <w:rPr>
                <w:sz w:val="20"/>
                <w:szCs w:val="20"/>
                <w:color w:val="auto"/>
              </w:rPr>
            </w:pPr>
            <w:r>
              <w:rPr>
                <w:rFonts w:ascii="Times New Roman" w:cs="Times New Roman" w:eastAsia="Times New Roman" w:hAnsi="Times New Roman"/>
                <w:sz w:val="16"/>
                <w:szCs w:val="16"/>
                <w:b w:val="1"/>
                <w:bCs w:val="1"/>
                <w:color w:val="auto"/>
              </w:rPr>
              <w:t>issuance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183"/>
              <w:spacing w:after="0" w:line="176" w:lineRule="exact"/>
              <w:rPr>
                <w:sz w:val="20"/>
                <w:szCs w:val="20"/>
                <w:color w:val="auto"/>
              </w:rPr>
            </w:pPr>
            <w:r>
              <w:rPr>
                <w:rFonts w:ascii="Times New Roman" w:cs="Times New Roman" w:eastAsia="Times New Roman" w:hAnsi="Times New Roman"/>
                <w:sz w:val="16"/>
                <w:szCs w:val="16"/>
                <w:b w:val="1"/>
                <w:bCs w:val="1"/>
                <w:color w:val="auto"/>
              </w:rPr>
              <w:t>repurchases</w:t>
            </w:r>
          </w:p>
        </w:tc>
      </w:tr>
      <w:tr>
        <w:trPr>
          <w:trHeight w:val="24"/>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00"/>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6 1/4% Senior Notes, due 2033</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WRF 7 1/8% Senior Notes, due 2031</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4 7/8% Senior Notes, due 2024</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 Cayman II Revolver, due 2028</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351,787</w:t>
            </w:r>
          </w:p>
        </w:tc>
      </w:tr>
      <w:tr>
        <w:trPr>
          <w:trHeight w:val="309"/>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WLV 5 1/2% Senior Notes, due 2025</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1,380,001</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WRF Term Loan, due 2024</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73,683</w:t>
            </w:r>
          </w:p>
        </w:tc>
      </w:tr>
      <w:tr>
        <w:trPr>
          <w:trHeight w:val="309"/>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Term Loan, due 2027</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71,794</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39,361</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Retail Term Loan, due 2025</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5"/>
        </w:trPr>
        <w:tc>
          <w:tcPr>
            <w:tcW w:w="72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Retail Term Loan, due 2027</w:t>
            </w:r>
          </w:p>
        </w:tc>
        <w:tc>
          <w:tcPr>
            <w:tcW w:w="160" w:type="dxa"/>
            <w:vAlign w:val="bottom"/>
            <w:tcBorders>
              <w:bottom w:val="single" w:sz="8" w:color="auto"/>
            </w:tcBorders>
            <w:shd w:val="clear" w:color="auto" w:fill="E0E0E0"/>
          </w:tcPr>
          <w:p>
            <w:pPr>
              <w:spacing w:after="0"/>
              <w:rPr>
                <w:sz w:val="24"/>
                <w:szCs w:val="24"/>
                <w:color w:val="auto"/>
              </w:rPr>
            </w:pP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28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1,883,794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3,059,832</w:t>
            </w:r>
          </w:p>
        </w:tc>
      </w:tr>
      <w:tr>
        <w:trPr>
          <w:trHeight w:val="23"/>
        </w:trPr>
        <w:tc>
          <w:tcPr>
            <w:tcW w:w="7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31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addition, during the year ended December 31, 2024, we repurchased 4,500,888 shares of our common stock for an aggregate cost of $401.8 million, including 4,349,779 shares of our common stock repurchased pursuant to our publicly announced equity repurchase program for an aggregate cost of $386.0 million. We also made dividend payments of $139.6 million, paid $36.7 million for financing costs related to the debt financing activities above and used cash of $17.0 million for distributions to the noncontrolling interest holder of the Retail Joint Venture.</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below table presents proceeds from the issuance, repayments, and repurchases of the specified debt instruments during the year ended December 31, 2023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Proceeds from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Repayments and</w:t>
            </w:r>
          </w:p>
        </w:tc>
      </w:tr>
      <w:tr>
        <w:trPr>
          <w:trHeight w:val="176"/>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324"/>
              <w:spacing w:after="0" w:line="177" w:lineRule="exact"/>
              <w:rPr>
                <w:sz w:val="20"/>
                <w:szCs w:val="20"/>
                <w:color w:val="auto"/>
              </w:rPr>
            </w:pPr>
            <w:r>
              <w:rPr>
                <w:rFonts w:ascii="Times New Roman" w:cs="Times New Roman" w:eastAsia="Times New Roman" w:hAnsi="Times New Roman"/>
                <w:sz w:val="16"/>
                <w:szCs w:val="16"/>
                <w:b w:val="1"/>
                <w:bCs w:val="1"/>
                <w:color w:val="auto"/>
              </w:rPr>
              <w:t>issuance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184"/>
              <w:spacing w:after="0" w:line="177" w:lineRule="exact"/>
              <w:rPr>
                <w:sz w:val="20"/>
                <w:szCs w:val="20"/>
                <w:color w:val="auto"/>
              </w:rPr>
            </w:pPr>
            <w:r>
              <w:rPr>
                <w:rFonts w:ascii="Times New Roman" w:cs="Times New Roman" w:eastAsia="Times New Roman" w:hAnsi="Times New Roman"/>
                <w:sz w:val="16"/>
                <w:szCs w:val="16"/>
                <w:b w:val="1"/>
                <w:bCs w:val="1"/>
                <w:color w:val="auto"/>
              </w:rPr>
              <w:t>repurchases</w:t>
            </w:r>
          </w:p>
        </w:tc>
      </w:tr>
      <w:tr>
        <w:trPr>
          <w:trHeight w:val="24"/>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00"/>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1/8% Senior Notes, due 2031</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4 1/2% Convertible Bonds, due 2029</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3/4% Senior Notes, due 2025</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WLV 4 1/4% Senior Notes, due 2023</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309"/>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WLV 5 1/2% Senior Notes, due 2025</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399,999</w:t>
            </w:r>
          </w:p>
        </w:tc>
      </w:tr>
      <w:tr>
        <w:trPr>
          <w:trHeight w:val="29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WRF Term Loan, due 2024</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14,390</w:t>
            </w:r>
          </w:p>
        </w:tc>
      </w:tr>
      <w:tr>
        <w:trPr>
          <w:trHeight w:val="295"/>
        </w:trPr>
        <w:tc>
          <w:tcPr>
            <w:tcW w:w="72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Term Loan, due 2027</w:t>
            </w:r>
          </w:p>
        </w:tc>
        <w:tc>
          <w:tcPr>
            <w:tcW w:w="160" w:type="dxa"/>
            <w:vAlign w:val="bottom"/>
            <w:tcBorders>
              <w:bottom w:val="single" w:sz="8" w:color="auto"/>
            </w:tcBorders>
            <w:shd w:val="clear" w:color="auto" w:fill="E0E0E0"/>
          </w:tcPr>
          <w:p>
            <w:pPr>
              <w:spacing w:after="0"/>
              <w:rPr>
                <w:sz w:val="24"/>
                <w:szCs w:val="24"/>
                <w:color w:val="auto"/>
              </w:rPr>
            </w:pPr>
          </w:p>
        </w:tc>
        <w:tc>
          <w:tcPr>
            <w:tcW w:w="12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12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18,735</w:t>
            </w:r>
          </w:p>
        </w:tc>
      </w:tr>
      <w:tr>
        <w:trPr>
          <w:trHeight w:val="28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1,533,124</w:t>
            </w:r>
          </w:p>
        </w:tc>
      </w:tr>
      <w:tr>
        <w:trPr>
          <w:trHeight w:val="23"/>
        </w:trPr>
        <w:tc>
          <w:tcPr>
            <w:tcW w:w="7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31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addition, during the year ended December 31, 2023, we repurchased 2,374,925 shares of our common stock for an aggregate cost of $212.5 million, including 2,206,573 shares of our common stock repurchased pursuant to our publicly</w:t>
      </w:r>
    </w:p>
    <w:p>
      <w:pPr>
        <w:sectPr>
          <w:pgSz w:w="11880" w:h="15480" w:orient="portrait"/>
          <w:cols w:equalWidth="0" w:num="1">
            <w:col w:w="10200"/>
          </w:cols>
          <w:pgMar w:left="840" w:top="675"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00"/>
          </w:cols>
          <w:pgMar w:left="840" w:top="675" w:right="840" w:bottom="3" w:gutter="0" w:footer="0" w:header="0"/>
          <w:type w:val="continuous"/>
        </w:sectPr>
      </w:pPr>
    </w:p>
    <w:bookmarkStart w:id="46" w:name="page47"/>
    <w:bookmarkEnd w:id="46"/>
    <w:p>
      <w:pPr>
        <w:jc w:val="both"/>
        <w:spacing w:after="0" w:line="243" w:lineRule="auto"/>
        <w:rPr>
          <w:sz w:val="20"/>
          <w:szCs w:val="20"/>
          <w:color w:val="auto"/>
        </w:rPr>
      </w:pPr>
      <w:r>
        <w:rPr>
          <w:rFonts w:ascii="Times New Roman" w:cs="Times New Roman" w:eastAsia="Times New Roman" w:hAnsi="Times New Roman"/>
          <w:sz w:val="20"/>
          <w:szCs w:val="20"/>
          <w:color w:val="auto"/>
        </w:rPr>
        <w:t>announced equity repurchase program for an aggregate cost of $195.5 million. We also made dividend payments of $84.7 million, paid $41.2 million for financing costs related to the debt financing activities above and used cash of $22.6 million for distributions to the noncontrolling interest holder of the Retail Joint Venture.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w:t>
      </w:r>
    </w:p>
    <w:p>
      <w:pPr>
        <w:spacing w:after="0" w:line="27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summarizes our unrestricted cash and cash equivalents and available revolver borrowing capacity, presented by significant financing entity as of December 31,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Total Cash and</w:t>
            </w:r>
          </w:p>
        </w:tc>
        <w:tc>
          <w:tcPr>
            <w:tcW w:w="20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Revolver Borrowing</w:t>
            </w:r>
          </w:p>
        </w:tc>
      </w:tr>
      <w:tr>
        <w:trPr>
          <w:trHeight w:val="174"/>
        </w:trPr>
        <w:tc>
          <w:tcPr>
            <w:tcW w:w="7200" w:type="dxa"/>
            <w:vAlign w:val="bottom"/>
          </w:tcPr>
          <w:p>
            <w:pPr>
              <w:spacing w:after="0"/>
              <w:rPr>
                <w:sz w:val="15"/>
                <w:szCs w:val="15"/>
                <w:color w:val="auto"/>
              </w:rPr>
            </w:pPr>
          </w:p>
        </w:tc>
        <w:tc>
          <w:tcPr>
            <w:tcW w:w="1400" w:type="dxa"/>
            <w:vAlign w:val="bottom"/>
            <w:gridSpan w:val="2"/>
          </w:tcPr>
          <w:p>
            <w:pPr>
              <w:jc w:val="right"/>
              <w:ind w:right="4"/>
              <w:spacing w:after="0" w:line="175" w:lineRule="exact"/>
              <w:rPr>
                <w:sz w:val="20"/>
                <w:szCs w:val="20"/>
                <w:color w:val="auto"/>
              </w:rPr>
            </w:pPr>
            <w:r>
              <w:rPr>
                <w:rFonts w:ascii="Times New Roman" w:cs="Times New Roman" w:eastAsia="Times New Roman" w:hAnsi="Times New Roman"/>
                <w:sz w:val="16"/>
                <w:szCs w:val="16"/>
                <w:b w:val="1"/>
                <w:bCs w:val="1"/>
                <w:color w:val="auto"/>
              </w:rPr>
              <w:t>Cash Equivalents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04"/>
              <w:spacing w:after="0" w:line="175" w:lineRule="exact"/>
              <w:rPr>
                <w:sz w:val="20"/>
                <w:szCs w:val="20"/>
                <w:color w:val="auto"/>
              </w:rPr>
            </w:pPr>
            <w:r>
              <w:rPr>
                <w:rFonts w:ascii="Times New Roman" w:cs="Times New Roman" w:eastAsia="Times New Roman" w:hAnsi="Times New Roman"/>
                <w:sz w:val="16"/>
                <w:szCs w:val="16"/>
                <w:b w:val="1"/>
                <w:bCs w:val="1"/>
                <w:color w:val="auto"/>
              </w:rPr>
              <w:t>Capacity</w:t>
            </w:r>
          </w:p>
        </w:tc>
      </w:tr>
      <w:tr>
        <w:trPr>
          <w:trHeight w:val="26"/>
        </w:trPr>
        <w:tc>
          <w:tcPr>
            <w:tcW w:w="7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0"/>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Macau, Limited and subsidiaries</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1,459,860</w:t>
            </w:r>
          </w:p>
        </w:tc>
        <w:tc>
          <w:tcPr>
            <w:tcW w:w="46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353,847</w:t>
            </w:r>
          </w:p>
        </w:tc>
      </w:tr>
      <w:tr>
        <w:trPr>
          <w:trHeight w:val="300"/>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Wynn Resorts Finance, LLC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437,870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735,306</w:t>
            </w:r>
          </w:p>
        </w:tc>
      </w:tr>
      <w:tr>
        <w:trPr>
          <w:trHeight w:val="286"/>
        </w:trPr>
        <w:tc>
          <w:tcPr>
            <w:tcW w:w="72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Resorts, Limited and other</w:t>
            </w:r>
          </w:p>
        </w:tc>
        <w:tc>
          <w:tcPr>
            <w:tcW w:w="140" w:type="dxa"/>
            <w:vAlign w:val="bottom"/>
            <w:tcBorders>
              <w:bottom w:val="single" w:sz="8" w:color="auto"/>
            </w:tcBorders>
            <w:shd w:val="clear" w:color="auto" w:fill="E0E0E0"/>
          </w:tcPr>
          <w:p>
            <w:pPr>
              <w:spacing w:after="0"/>
              <w:rPr>
                <w:sz w:val="24"/>
                <w:szCs w:val="24"/>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528,425</w:t>
            </w:r>
          </w:p>
        </w:tc>
        <w:tc>
          <w:tcPr>
            <w:tcW w:w="20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2,426,155</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1,089,153</w:t>
            </w:r>
          </w:p>
        </w:tc>
      </w:tr>
      <w:tr>
        <w:trPr>
          <w:trHeight w:val="23"/>
        </w:trPr>
        <w:tc>
          <w:tcPr>
            <w:tcW w:w="7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tab/>
        <w:t>Excluding Wynn Macau, Limited and subsidiaries.</w:t>
      </w:r>
    </w:p>
    <w:p>
      <w:pPr>
        <w:spacing w:after="0" w:line="28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i w:val="1"/>
          <w:iCs w:val="1"/>
          <w:color w:val="auto"/>
        </w:rPr>
        <w:t>Wynn Macau, Limited and subsidiaries</w:t>
      </w:r>
      <w:r>
        <w:rPr>
          <w:rFonts w:ascii="Times New Roman" w:cs="Times New Roman" w:eastAsia="Times New Roman" w:hAnsi="Times New Roman"/>
          <w:sz w:val="20"/>
          <w:szCs w:val="20"/>
          <w:color w:val="auto"/>
        </w:rPr>
        <w:t>. WML generates cash from our Macau Operations and may utilize proceeds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WM Cayman II 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w:t>
      </w:r>
    </w:p>
    <w:p>
      <w:pPr>
        <w:spacing w:after="0" w:line="27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expect to make estimated project capital expenditures of between $250 million and $300 million during 2025 and between $450 million and $500 million during 2026 related to enhancements at our Macau Operations. We expect to make maintenance capital expenditures at our Macau Operations of between $70 million and $80 million during 2025.</w:t>
      </w:r>
    </w:p>
    <w:p>
      <w:pPr>
        <w:spacing w:after="0" w:line="27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May 2024, the WML Board of Directors announced an amendment to WML’s dividend policy, pursuant to which the WML Board of Directors will meet semiannually to consider the declaration of dividends, and may also meet at any time during the year as the WML Board of Directors deems fit to consider the declaration of special dividends. On June 19, 2024, WML paid a cash dividend of HK$0.075 per share for a total U.S. dollar equivalent of approximately $50.4 million in respect of the year ended December 31, 2023. Our share of this dividend was $36.0 million. On September 12, 2024, WML paid a cash dividend of HK$0.075 per share for a total U.S. dollar equivalent of approximately $50.5 million in respect of the six months ended June 30, 2024. Our share of this dividend was $36.1 million.</w:t>
      </w:r>
    </w:p>
    <w:p>
      <w:pPr>
        <w:spacing w:after="0" w:line="26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September 2024, WM Cayman II and WML entered into an amendment agreement to its existing facility agreement to extend the maturity date of the outstanding loans under the existing facility agreement from September 2025 to September 2028.</w:t>
      </w:r>
    </w:p>
    <w:p>
      <w:pPr>
        <w:spacing w:after="0" w:line="27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October 2024, we repaid the $600.0 million aggregate principal amount of WML’s 4 7/8% Senior Notes due 2024 on their stated maturity date.</w:t>
      </w:r>
    </w:p>
    <w:p>
      <w:pPr>
        <w:spacing w:after="0" w:line="27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If our portion of cash available for repatriation was repatriated on December 31, 2024, it would be subject to minimal U.S. taxes.</w:t>
      </w:r>
    </w:p>
    <w:p>
      <w:pPr>
        <w:spacing w:after="0" w:line="27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Wynn Resorts Finance, LLC and subsidiaries. </w:t>
      </w:r>
      <w:r>
        <w:rPr>
          <w:rFonts w:ascii="Times New Roman" w:cs="Times New Roman" w:eastAsia="Times New Roman" w:hAnsi="Times New Roman"/>
          <w:sz w:val="20"/>
          <w:szCs w:val="20"/>
          <w:color w:val="auto"/>
        </w:rPr>
        <w:t>Wynn Resorts Finance, LLC (“WRF” or “Wynn Resorts Finance”)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ectPr>
          <w:pgSz w:w="11880" w:h="15480" w:orient="portrait"/>
          <w:cols w:equalWidth="0" w:num="1">
            <w:col w:w="10200"/>
          </w:cols>
          <w:pgMar w:left="840" w:top="675" w:right="840" w:bottom="3"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200"/>
          </w:cols>
          <w:pgMar w:left="840" w:top="675" w:right="840" w:bottom="3" w:gutter="0" w:footer="0" w:header="0"/>
          <w:type w:val="continuous"/>
        </w:sectPr>
      </w:pPr>
    </w:p>
    <w:bookmarkStart w:id="47" w:name="page48"/>
    <w:bookmarkEnd w:id="47"/>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expect to make estimated project capital expenditures of between $375 million and $400 million during 2025 and between $200 million and $225 million during 2026 related to enhancements at our Las Vegas Operations. We expect to make total maintenance capital expenditures at our Las Vegas Operations and Encore Boston Harbor of between $90 million and $115 million, on a combined basis, during 2025.</w:t>
      </w:r>
    </w:p>
    <w:p>
      <w:pPr>
        <w:spacing w:after="0" w:line="24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WRF is a holding company and, as a result, its ability to pay dividends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spacing w:after="0" w:line="24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$409.5 million.</w:t>
      </w:r>
    </w:p>
    <w:p>
      <w:pPr>
        <w:spacing w:after="0" w:line="2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and March 2024, we repurchased $800.0 million aggregate principal amount of our 5 1/2% Senior Notes due 2025 (the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to 100% of the principal amount plus accrued interest under the terms of its indenture. Included in the $119.0 million repurchase was $3.3 million aggregate principal amount of 2025 WLV Senior Notes held by Wynn Resorts. We used the net proceeds from the 2031 WRF Add-On Senior Notes and cash held by WRF to purchase such validly tendered 2025 WLV Senior Notes and to pay the early tender premium and related fees and expenses.</w:t>
      </w:r>
    </w:p>
    <w:p>
      <w:pPr>
        <w:spacing w:after="0" w:line="2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September 2024, WRF and certain of its subsidiaries entered into an amendment (the “WRF Credit Agreement Amendment”) to its existing credit agreement (the “WRF Credit Agreement”). The WRF Credit Agreement Amendment amends the WRF Credit Agreement to (i) extend the stated maturity date for lenders electing to extend their revolving commitments in an amount equal to approximately $68.7 million from September 20, 2024 to September 20, 2027, and</w:t>
      </w:r>
    </w:p>
    <w:p>
      <w:pPr>
        <w:spacing w:after="0" w:line="21" w:lineRule="exact"/>
        <w:rPr>
          <w:sz w:val="20"/>
          <w:szCs w:val="20"/>
          <w:color w:val="auto"/>
        </w:rPr>
      </w:pPr>
    </w:p>
    <w:p>
      <w:pPr>
        <w:spacing w:after="0" w:line="238" w:lineRule="auto"/>
        <w:tabs>
          <w:tab w:leader="none" w:pos="3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stated maturity date for lenders electing to extend their term loan commitments in an amount equal to approximately $71.8 million from September 20, 2024 to September 20, 2027.</w:t>
      </w:r>
    </w:p>
    <w:p>
      <w:pPr>
        <w:spacing w:after="0" w:line="24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Also in September 2024, WRF issued $800 million aggregate principal amount of 6 1/4% Senior Notes due 2033 (the “2033 WRF Senior Notes”) in a private offering exempt from the registration requirements of the Securities Act, as amended. The 2033 WRF Senior Notes were issued at par, for net proceeds of $795.0 million. A portion of the proceeds from the offering of the 2033 WRF Senior Notes was used in October 2024 to repurchase the remaining outstanding $600.0 million aggregate principal amount of WLV 5.500% Senior Notes due 2025 at a price equal to 100.0% of the principal amount, plus accrued interest. Included in the $600.0 million repurchase was $16.7 million aggregate principal amount of 2025 WLV Senior Notes held by Wynn Resorts.</w:t>
      </w:r>
    </w:p>
    <w:p>
      <w:pPr>
        <w:spacing w:after="0" w:line="2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Wynn Resorts, Limited and other subsidiaries. </w:t>
      </w:r>
      <w:r>
        <w:rPr>
          <w:rFonts w:ascii="Times New Roman" w:cs="Times New Roman" w:eastAsia="Times New Roman" w:hAnsi="Times New Roman"/>
          <w:sz w:val="20"/>
          <w:szCs w:val="20"/>
          <w:color w:val="auto"/>
        </w:rPr>
        <w:t>Wynn Resorts, Limited is a holding company and, as a result, our ability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2025. We expect to use cash held by Wynn Resorts, Limited and other to service our Retail Term Loan, to fund working capital needs of our subsidiaries, pay dividends, make required capital contributions to the entity which owns Wynn Al Marjan Island, and for general corporate purposes.</w:t>
      </w:r>
    </w:p>
    <w:p>
      <w:pPr>
        <w:spacing w:after="0" w:line="24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2024, the Company determined not to proceed with its planned phased development project adjacent to Encore Boston Harbor, and expensed $61.5 million of costs, including $4.7 million of internally allocated overhead, that had been previously capitalized.</w:t>
      </w:r>
    </w:p>
    <w:p>
      <w:pPr>
        <w:spacing w:after="0" w:line="2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2024, the Company contributed $541.7 million of cash into Island 3, bringing our life-to-date cash contributions to $631.7 million. The cash contributed during the year was used primarily to fund our pro rata portion of the purchase of approximately 155 acres of land underlying the Wynn Al Marjan Island development site, including the remaining 70 acres of land on Island 3 for potential future development (the “Marjan Land Bank”). We estimate our remaining 40% pro-rata share of the required equity for the construction of Wynn Al Marjan Island is between $700 million and $775 million inclusive of capitalized interest, fees, and certain improvements on the Island. Wynn Al Marjan Island is currently expected to open in 2027.</w:t>
      </w:r>
    </w:p>
    <w:p>
      <w:pPr>
        <w:sectPr>
          <w:pgSz w:w="11880" w:h="15480" w:orient="portrait"/>
          <w:cols w:equalWidth="0" w:num="1">
            <w:col w:w="10200"/>
          </w:cols>
          <w:pgMar w:left="840" w:top="675"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200"/>
          </w:cols>
          <w:pgMar w:left="840" w:top="675" w:right="840" w:bottom="3" w:gutter="0" w:footer="0" w:header="0"/>
          <w:type w:val="continuous"/>
        </w:sectPr>
      </w:pPr>
    </w:p>
    <w:bookmarkStart w:id="48" w:name="page49"/>
    <w:bookmarkEnd w:id="48"/>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paid a cash dividend of $0.25 per share in each of the quarters ended March 31, 2024, June 30, 2024, September 30, 2024, and December 31, 2024 and recorded an aggregate amount of $111.1 million against accumulated deficit in the year ended December 31, 2024.</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On February 13, 2025, the Company’s Board of Directors declared a cash dividend of $0.25 per share on its common stock, payable on March 5, 2025 to stockholders of record as of February 24, 2025.</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October 2024, we amended the retail term loan agreement to, among other things, extend the scheduled maturity date to July 2027 and provide for an interest rate adjustment. We also made a principal repayment of the term loan in the amount of $15.0 million.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Factors Affecting Liquidity</w:t>
      </w:r>
    </w:p>
    <w:p>
      <w:pPr>
        <w:spacing w:after="0" w:line="14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may refinance all or a portion of our indebtedness on or before maturity. We cannot assure you that we will be able to refinance any of the indebtedness on acceptable terms or at all.</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18, “Commitments and Contingencies.”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November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December 31, 2024, we had $813.0 million in repurchase authority remaining under the program.</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 Balance Sheet Arrangements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2025, Wynn Al Marjan Island FZ-LLC (the “Borrower”), a wholly-owned subsidiary of Island 3, an unconsolidated affiliate, entered into a facility agreement with a syndicate of lenders (the “Al Marjan Facility Agreement”) which provides the Borrower with a $2.4 billion (or equivalent in local currency) delayed draw secured term loan facility to finance the development of Wynn Al Marjan Island (the “Al Marjan Facility”). The Company is not a party to the Al Marjan Facility Agreement, but as a condition precedent to the Al Marjan Facility being made available to the Borrower, the Company and the government of Ras Al Khaimah entered into a completion guarantee agreement in favor of certain secured parties under the Al Marjan Facility Agreement. For additional information, refer to Item 8—“Financial Statements and Supplementary Data,” Note 18, “Commitments and Contingencies.</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200"/>
          </w:cols>
          <w:pgMar w:left="840" w:top="675" w:right="840" w:bottom="3"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Contractual Commitments</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our scheduled contractual commitments as of December 31,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Payments Due By Period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0"/>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43"/>
              <w:spacing w:after="0" w:line="180" w:lineRule="exact"/>
              <w:rPr>
                <w:sz w:val="20"/>
                <w:szCs w:val="20"/>
                <w:color w:val="auto"/>
              </w:rPr>
            </w:pPr>
            <w:r>
              <w:rPr>
                <w:rFonts w:ascii="Times New Roman" w:cs="Times New Roman" w:eastAsia="Times New Roman" w:hAnsi="Times New Roman"/>
                <w:sz w:val="16"/>
                <w:szCs w:val="16"/>
                <w:b w:val="1"/>
                <w:bCs w:val="1"/>
                <w:color w:val="auto"/>
              </w:rPr>
              <w:t>1 to 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b w:val="1"/>
                <w:bCs w:val="1"/>
                <w:color w:val="auto"/>
              </w:rPr>
              <w:t>After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83"/>
              <w:spacing w:after="0" w:line="175" w:lineRule="exact"/>
              <w:rPr>
                <w:sz w:val="20"/>
                <w:szCs w:val="20"/>
                <w:color w:val="auto"/>
              </w:rPr>
            </w:pPr>
            <w:r>
              <w:rPr>
                <w:rFonts w:ascii="Times New Roman" w:cs="Times New Roman" w:eastAsia="Times New Roman" w:hAnsi="Times New Roman"/>
                <w:sz w:val="16"/>
                <w:szCs w:val="16"/>
                <w:b w:val="1"/>
                <w:bCs w:val="1"/>
                <w:color w:val="auto"/>
              </w:rPr>
              <w:t>1 Year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3"/>
              <w:spacing w:after="0" w:line="175" w:lineRule="exact"/>
              <w:rPr>
                <w:sz w:val="20"/>
                <w:szCs w:val="20"/>
                <w:color w:val="auto"/>
              </w:rPr>
            </w:pPr>
            <w:r>
              <w:rPr>
                <w:rFonts w:ascii="Times New Roman" w:cs="Times New Roman" w:eastAsia="Times New Roman" w:hAnsi="Times New Roman"/>
                <w:sz w:val="16"/>
                <w:szCs w:val="16"/>
                <w:b w:val="1"/>
                <w:bCs w:val="1"/>
                <w:color w:val="auto"/>
              </w:rPr>
              <w:t>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03"/>
              <w:spacing w:after="0" w:line="175" w:lineRule="exact"/>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5 Years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62"/>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0"/>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Long-term debt obligations</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41,250</w:t>
            </w:r>
          </w:p>
        </w:tc>
        <w:tc>
          <w:tcPr>
            <w:tcW w:w="3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3,951,875</w:t>
            </w:r>
          </w:p>
        </w:tc>
        <w:tc>
          <w:tcPr>
            <w:tcW w:w="42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4,851,874</w:t>
            </w:r>
          </w:p>
        </w:tc>
        <w:tc>
          <w:tcPr>
            <w:tcW w:w="3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1,800,000</w:t>
            </w:r>
          </w:p>
        </w:tc>
        <w:tc>
          <w:tcPr>
            <w:tcW w:w="3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10,644,999</w:t>
            </w:r>
          </w:p>
        </w:tc>
      </w:tr>
      <w:tr>
        <w:trPr>
          <w:trHeight w:val="291"/>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Fixed interest payments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456,325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765,754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491,651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240,573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1,954,303</w:t>
            </w:r>
          </w:p>
        </w:tc>
      </w:tr>
      <w:tr>
        <w:trPr>
          <w:trHeight w:val="309"/>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 xml:space="preserve">Estimated variable interest payments </w:t>
            </w:r>
            <w:r>
              <w:rPr>
                <w:rFonts w:ascii="Times New Roman" w:cs="Times New Roman" w:eastAsia="Times New Roman" w:hAnsi="Times New Roman"/>
                <w:sz w:val="26"/>
                <w:szCs w:val="26"/>
                <w:color w:val="auto"/>
                <w:vertAlign w:val="superscript"/>
              </w:rPr>
              <w:t>(1)</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156,325</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280,405</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54,431</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491,161</w:t>
            </w:r>
          </w:p>
        </w:tc>
      </w:tr>
      <w:tr>
        <w:trPr>
          <w:trHeight w:val="300"/>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Macau gaming premium </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44,653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117,568</w:t>
            </w:r>
          </w:p>
        </w:tc>
      </w:tr>
      <w:tr>
        <w:trPr>
          <w:trHeight w:val="282"/>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Macau Property Transfer Agreement</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258"/>
        </w:trPr>
        <w:tc>
          <w:tcPr>
            <w:tcW w:w="3620" w:type="dxa"/>
            <w:vAlign w:val="bottom"/>
            <w:shd w:val="clear" w:color="auto" w:fill="E0E0E0"/>
          </w:tcPr>
          <w:p>
            <w:pPr>
              <w:ind w:left="100"/>
              <w:spacing w:after="0" w:line="258" w:lineRule="exact"/>
              <w:rPr>
                <w:sz w:val="20"/>
                <w:szCs w:val="20"/>
                <w:color w:val="auto"/>
              </w:rPr>
            </w:pPr>
            <w:r>
              <w:rPr>
                <w:rFonts w:ascii="Times New Roman" w:cs="Times New Roman" w:eastAsia="Times New Roman" w:hAnsi="Times New Roman"/>
                <w:sz w:val="20"/>
                <w:szCs w:val="20"/>
                <w:color w:val="auto"/>
              </w:rPr>
              <w:t xml:space="preserve">payments </w:t>
            </w:r>
            <w:r>
              <w:rPr>
                <w:rFonts w:ascii="Times New Roman" w:cs="Times New Roman" w:eastAsia="Times New Roman" w:hAnsi="Times New Roman"/>
                <w:sz w:val="26"/>
                <w:szCs w:val="26"/>
                <w:color w:val="auto"/>
                <w:vertAlign w:val="superscript"/>
              </w:rPr>
              <w:t>(3)</w:t>
            </w:r>
          </w:p>
        </w:tc>
        <w:tc>
          <w:tcPr>
            <w:tcW w:w="180" w:type="dxa"/>
            <w:vAlign w:val="bottom"/>
            <w:shd w:val="clear" w:color="auto" w:fill="E0E0E0"/>
          </w:tcPr>
          <w:p>
            <w:pPr>
              <w:spacing w:after="0"/>
              <w:rPr>
                <w:sz w:val="22"/>
                <w:szCs w:val="22"/>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7,073</w:t>
            </w:r>
          </w:p>
        </w:tc>
        <w:tc>
          <w:tcPr>
            <w:tcW w:w="1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44,277</w:t>
            </w:r>
          </w:p>
        </w:tc>
        <w:tc>
          <w:tcPr>
            <w:tcW w:w="80" w:type="dxa"/>
            <w:vAlign w:val="bottom"/>
            <w:shd w:val="clear" w:color="auto" w:fill="E0E0E0"/>
          </w:tcPr>
          <w:p>
            <w:pPr>
              <w:spacing w:after="0"/>
              <w:rPr>
                <w:sz w:val="22"/>
                <w:szCs w:val="22"/>
                <w:color w:val="auto"/>
              </w:rPr>
            </w:pPr>
          </w:p>
        </w:tc>
        <w:tc>
          <w:tcPr>
            <w:tcW w:w="1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44,277</w:t>
            </w:r>
          </w:p>
        </w:tc>
        <w:tc>
          <w:tcPr>
            <w:tcW w:w="120" w:type="dxa"/>
            <w:vAlign w:val="bottom"/>
            <w:shd w:val="clear" w:color="auto" w:fill="E0E0E0"/>
          </w:tcPr>
          <w:p>
            <w:pPr>
              <w:spacing w:after="0"/>
              <w:rPr>
                <w:sz w:val="22"/>
                <w:szCs w:val="22"/>
                <w:color w:val="auto"/>
              </w:rPr>
            </w:pPr>
          </w:p>
        </w:tc>
        <w:tc>
          <w:tcPr>
            <w:tcW w:w="260" w:type="dxa"/>
            <w:vAlign w:val="bottom"/>
            <w:shd w:val="clear" w:color="auto" w:fill="E0E0E0"/>
          </w:tcPr>
          <w:p>
            <w:pPr>
              <w:spacing w:after="0"/>
              <w:rPr>
                <w:sz w:val="22"/>
                <w:szCs w:val="22"/>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66,415</w:t>
            </w:r>
          </w:p>
        </w:tc>
        <w:tc>
          <w:tcPr>
            <w:tcW w:w="1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162,042</w:t>
            </w:r>
          </w:p>
        </w:tc>
      </w:tr>
      <w:tr>
        <w:trPr>
          <w:trHeight w:val="291"/>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Construction contracts and commitments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133,571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145,183</w:t>
            </w:r>
          </w:p>
        </w:tc>
      </w:tr>
      <w:tr>
        <w:trPr>
          <w:trHeight w:val="309"/>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Operating leases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141,522</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287,189</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293,659</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3,680,177</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4,402,547</w:t>
            </w:r>
          </w:p>
        </w:tc>
      </w:tr>
      <w:tr>
        <w:trPr>
          <w:trHeight w:val="291"/>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Finance leases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147,839</w:t>
            </w:r>
          </w:p>
        </w:tc>
      </w:tr>
      <w:tr>
        <w:trPr>
          <w:trHeight w:val="309"/>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 xml:space="preserve">Employment agreements </w:t>
            </w:r>
            <w:r>
              <w:rPr>
                <w:rFonts w:ascii="Times New Roman" w:cs="Times New Roman" w:eastAsia="Times New Roman" w:hAnsi="Times New Roman"/>
                <w:sz w:val="26"/>
                <w:szCs w:val="26"/>
                <w:color w:val="auto"/>
                <w:vertAlign w:val="superscript"/>
              </w:rPr>
              <w:t>(4)</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106,871</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102,423</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6,092</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1,276</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216,662</w:t>
            </w:r>
          </w:p>
        </w:tc>
      </w:tr>
      <w:tr>
        <w:trPr>
          <w:trHeight w:val="282"/>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Massachusetts surrounding community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8"/>
        </w:trPr>
        <w:tc>
          <w:tcPr>
            <w:tcW w:w="3620" w:type="dxa"/>
            <w:vAlign w:val="bottom"/>
          </w:tcPr>
          <w:p>
            <w:pPr>
              <w:ind w:left="100"/>
              <w:spacing w:after="0" w:line="258" w:lineRule="exact"/>
              <w:rPr>
                <w:sz w:val="20"/>
                <w:szCs w:val="20"/>
                <w:color w:val="auto"/>
              </w:rPr>
            </w:pPr>
            <w:r>
              <w:rPr>
                <w:rFonts w:ascii="Times New Roman" w:cs="Times New Roman" w:eastAsia="Times New Roman" w:hAnsi="Times New Roman"/>
                <w:sz w:val="20"/>
                <w:szCs w:val="20"/>
                <w:color w:val="auto"/>
              </w:rPr>
              <w:t xml:space="preserve">payments </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31,166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136,571</w:t>
            </w:r>
          </w:p>
        </w:tc>
      </w:tr>
      <w:tr>
        <w:trPr>
          <w:trHeight w:val="290"/>
        </w:trPr>
        <w:tc>
          <w:tcPr>
            <w:tcW w:w="3620" w:type="dxa"/>
            <w:vAlign w:val="bottom"/>
            <w:tcBorders>
              <w:bottom w:val="single" w:sz="8" w:color="E0E0E0"/>
            </w:tcBorders>
            <w:shd w:val="clear" w:color="auto" w:fill="E0E0E0"/>
          </w:tcPr>
          <w:p>
            <w:pPr>
              <w:ind w:left="100"/>
              <w:spacing w:after="0" w:line="290"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(6)</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179,838</w:t>
            </w:r>
          </w:p>
        </w:tc>
        <w:tc>
          <w:tcPr>
            <w:tcW w:w="12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65,469</w:t>
            </w:r>
          </w:p>
        </w:tc>
        <w:tc>
          <w:tcPr>
            <w:tcW w:w="80" w:type="dxa"/>
            <w:vAlign w:val="bottom"/>
            <w:tcBorders>
              <w:bottom w:val="single" w:sz="8" w:color="auto"/>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32,242</w:t>
            </w:r>
          </w:p>
        </w:tc>
        <w:tc>
          <w:tcPr>
            <w:tcW w:w="12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20,909</w:t>
            </w:r>
          </w:p>
        </w:tc>
        <w:tc>
          <w:tcPr>
            <w:tcW w:w="12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298,458</w:t>
            </w:r>
          </w:p>
        </w:tc>
      </w:tr>
      <w:tr>
        <w:trPr>
          <w:trHeight w:val="277"/>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Total contractual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1,275,964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5,614,591</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5,854,006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5,972,772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18,717,333</w:t>
            </w:r>
          </w:p>
        </w:tc>
      </w:tr>
      <w:tr>
        <w:trPr>
          <w:trHeight w:val="23"/>
        </w:trPr>
        <w:tc>
          <w:tcPr>
            <w:tcW w:w="36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61" w:lineRule="exact"/>
        <w:rPr>
          <w:sz w:val="20"/>
          <w:szCs w:val="20"/>
          <w:color w:val="auto"/>
        </w:rPr>
      </w:pPr>
    </w:p>
    <w:p>
      <w:pPr>
        <w:ind w:left="320" w:hanging="320"/>
        <w:spacing w:after="0" w:line="24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all periods represent our estimated future interest payments on our debt facilities based upon amounts outstanding and SOFR or HIBOR rates as of December 31, 2024. Actual rates will vary.</w:t>
      </w:r>
    </w:p>
    <w:p>
      <w:pPr>
        <w:spacing w:after="0" w:line="22"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fixed and minimum variable gaming premium amounts payable under the Gaming Concession Contract, based on the number and type of gaming tables and machines we operate.</w:t>
      </w:r>
    </w:p>
    <w:p>
      <w:pPr>
        <w:spacing w:after="0" w:line="22"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payable under the Property Transfer Agreements (as defined in Item 8—“Financial Statements and Supplementary Data,” Note 5, “Property and Equipment, net”).</w:t>
      </w:r>
    </w:p>
    <w:p>
      <w:pPr>
        <w:spacing w:after="0" w:line="22"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4"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payments to certain communities surrounding Encore Boston Harbor, required as a condition of the gaming license awarded to Wynn MA, LLC.</w:t>
      </w:r>
    </w:p>
    <w:p>
      <w:pPr>
        <w:spacing w:after="0" w:line="22"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open purchase orders, future charitable contributions, performance contracts and other contracts. As further discussed in Item 8— “Financial Statements and Supplementary Data,” Note 14, “Income Taxes,” we had $131.0 million of unrecognized tax benefits as of December 31, 2024. Due to the inherent uncertainty of the underlying tax positions, it is not practicable to assign the related potential tax obligations to any particular year and therefore it is not included in the table above as of December 31,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Gaming Concession Contract</w:t>
      </w:r>
    </w:p>
    <w:p>
      <w:pPr>
        <w:spacing w:after="0" w:line="23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December 2022, Wynn Macau SA entered into a definitive gaming concession contract (the “Gaming Concession Contract”) with the government of Macau, pursuant to which Wynn Macau SA was granted a 10-year gaming concession commencing on January 1, 2023 and expiring on December 31, 2032, to operate games of chance at Wynn Palace and Wynn Macau.</w:t>
      </w:r>
    </w:p>
    <w:p>
      <w:pPr>
        <w:spacing w:after="0" w:line="23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to the Macau gaming premium and Property Transfer Agreements payment commitments included in the table above, Wynn Macau SA committed to make certain non-gaming and gaming investments in the amount of MOP21.03 billion (approximately $2.63 billion) over the course of the ten-year term of the Gaming Concession Contract. MOP19.80 billion (approximately $2.48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w:t>
      </w:r>
    </w:p>
    <w:p>
      <w:pPr>
        <w:spacing w:after="0" w:line="23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Additionally, Wynn Macau SA committed to make the following payments throughout the term of the Gaming Concession Contract:</w:t>
      </w:r>
    </w:p>
    <w:p>
      <w:pPr>
        <w:spacing w:after="0" w:line="238" w:lineRule="exact"/>
        <w:rPr>
          <w:sz w:val="20"/>
          <w:szCs w:val="20"/>
          <w:color w:val="auto"/>
        </w:rPr>
      </w:pPr>
    </w:p>
    <w:p>
      <w:pPr>
        <w:jc w:val="both"/>
        <w:ind w:firstLine="400"/>
        <w:spacing w:after="0" w:line="238" w:lineRule="auto"/>
        <w:tabs>
          <w:tab w:leader="none" w:pos="64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gaming premium - Wynn Macau SA is obligated to pay a special annual gaming premium if the average of the gross gaming revenues of the Company’s gaming tables and gaming machines is lower than a certain minimum amount</w:t>
      </w:r>
    </w:p>
    <w:p>
      <w:pPr>
        <w:sectPr>
          <w:pgSz w:w="11880" w:h="15480" w:orient="portrait"/>
          <w:cols w:equalWidth="0" w:num="1">
            <w:col w:w="10200"/>
          </w:cols>
          <w:pgMar w:left="840" w:top="662" w:right="840" w:bottom="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200"/>
          </w:cols>
          <w:pgMar w:left="840" w:top="662" w:right="840" w:bottom="3" w:gutter="0" w:footer="0" w:header="0"/>
          <w:type w:val="continuous"/>
        </w:sectPr>
      </w:pPr>
    </w:p>
    <w:bookmarkStart w:id="50" w:name="page51"/>
    <w:bookmarkEnd w:id="50"/>
    <w:p>
      <w:pPr>
        <w:jc w:val="both"/>
        <w:spacing w:after="0" w:line="247" w:lineRule="auto"/>
        <w:rPr>
          <w:sz w:val="20"/>
          <w:szCs w:val="20"/>
          <w:color w:val="auto"/>
        </w:rPr>
      </w:pPr>
      <w:r>
        <w:rPr>
          <w:rFonts w:ascii="Times New Roman" w:cs="Times New Roman" w:eastAsia="Times New Roman" w:hAnsi="Times New Roman"/>
          <w:sz w:val="20"/>
          <w:szCs w:val="20"/>
          <w:color w:val="auto"/>
        </w:rPr>
        <w:t>determined by the Macau government. A minimum average annual gross gaming revenue of MOP7.0 million (approximately $0.9 million) per gaming table and MOP300,000 (approximately $38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 No special gaming premium was paid for the year ended December 31, 2024 and 2023;</w:t>
      </w:r>
    </w:p>
    <w:p>
      <w:pPr>
        <w:spacing w:after="0" w:line="269" w:lineRule="exact"/>
        <w:rPr>
          <w:sz w:val="20"/>
          <w:szCs w:val="20"/>
          <w:color w:val="auto"/>
        </w:rPr>
      </w:pPr>
    </w:p>
    <w:p>
      <w:pPr>
        <w:jc w:val="both"/>
        <w:ind w:firstLine="400"/>
        <w:spacing w:after="0" w:line="247" w:lineRule="auto"/>
        <w:tabs>
          <w:tab w:leader="none" w:pos="70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spacing w:after="0" w:line="252" w:lineRule="exact"/>
        <w:rPr>
          <w:rFonts w:ascii="Times New Roman" w:cs="Times New Roman" w:eastAsia="Times New Roman" w:hAnsi="Times New Roman"/>
          <w:sz w:val="20"/>
          <w:szCs w:val="20"/>
          <w:color w:val="auto"/>
        </w:rPr>
      </w:pPr>
    </w:p>
    <w:p>
      <w:pPr>
        <w:ind w:left="760" w:hanging="360"/>
        <w:spacing w:after="0"/>
        <w:tabs>
          <w:tab w:leader="none" w:pos="7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gaming tax assessed at the rate of 35% of gross gaming revenues.</w:t>
      </w:r>
    </w:p>
    <w:p>
      <w:pPr>
        <w:spacing w:after="0" w:line="27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See Item 8—“Financial Statements and Supplementary Data,” Note 18, “Commitments and Contingencies,” for additional information regarding the amounts owed under the Gaming Concession Contract and Macau Gaming Law.</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Al Marjan Island Funding Commitment</w:t>
      </w:r>
    </w:p>
    <w:p>
      <w:pPr>
        <w:spacing w:after="0" w:line="27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estimate our remaining 40% pro-rata share of the required equity for the construction of Wynn Al Marjan Island integrated resort is between $700 million and $775 million inclusive of capitalized interest, fees, and certain improvements on the Island. Wynn Al Marjan Island is currently expected to open in 2027.</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7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26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2024, we had deferred tax assets of $1.50 billion, including a foreign tax credit (“FTC”) carryforward of $533.5 million and deferred tax assets related to interest expense carryforwards of $157.6 million and net operating loss carryforwards of $201.7 million.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 The need for valuation allowances against deferred tax assets will be reassessed on a continuous basis in future periods and, as a result, the allowance may increase or decrease based on changes in facts and circumstances.</w:t>
      </w:r>
    </w:p>
    <w:p>
      <w:pPr>
        <w:spacing w:after="0" w:line="26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2024, we recorded a $735.9 million net decrease to valuation allowances, including a $693.3 million decrease to valuation allowance on FTC carryforwards. Of the $693.3 million net decrease, $614.9 million relates to expirations of FTCs in 2024 and the remaining $78.4 million represents FTCs more likely than not to be realized based on changes in future taxable income and tax planning strategies.</w:t>
      </w:r>
    </w:p>
    <w:p>
      <w:pPr>
        <w:sectPr>
          <w:pgSz w:w="11880" w:h="15480" w:orient="portrait"/>
          <w:cols w:equalWidth="0" w:num="1">
            <w:col w:w="10200"/>
          </w:cols>
          <w:pgMar w:left="840" w:top="675" w:right="840" w:bottom="3"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200"/>
          </w:cols>
          <w:pgMar w:left="840" w:top="675" w:right="840" w:bottom="3" w:gutter="0" w:footer="0" w:header="0"/>
          <w:type w:val="continuous"/>
        </w:sectPr>
      </w:pPr>
    </w:p>
    <w:bookmarkStart w:id="51" w:name="page52"/>
    <w:bookmarkEnd w:id="51"/>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2023, we considered both the achievement of sustained profitability and cumulative income as well as forecasted income and tax planning strategies to be significant forms of positive evidence. We determined that the positive evidence outweighed the negative evidence and supported a release of a portion of the valuation allowance. Therefore, we recorded a $1.10 billion net decrease to valuation allowances, including a $971.7 million decrease to the valuation allowance on FTC carryforwards. Of the $971.7 million decrease, $97.5 million related to utilization and $572.6 million related to expirations of FTCs in 2023. The remaining $301.6 million represented FTCs more likely than not to be realized based on future taxable income and tax planning strategies. We also recorded a $158.0 million decrease in valuation allowance on disallowed interest expense carryforward.</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applicable, we recognize accrued penalties and interest related to unrecognized tax benefits in the provision for income taxes.</w:t>
      </w:r>
    </w:p>
    <w:p>
      <w:pPr>
        <w:spacing w:after="0" w:line="26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Recommendations made by the Organization for Economic Cooperation and Development’s Base Erosion and Profit Shifting 2.0 (“BEPS 2.0”) project have the potential to lead to changes in the tax laws in numerous countries, including the implementation of a global minimum tax. Several countries around the world have enacted or proposed changes to their existing tax laws based on these recommendations. We are monitoring the potential changes in tax laws resulting from the Organization for Economic Cooperation and Development’s multi-jurisdictional plan of action to address base erosion and profit shifting, which could impact our effective tax rate.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Convertible Bond Conversion Option Derivative</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March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is reported at fair value as of the end of each reporting period, with changes recognized in the statements of operations.</w:t>
      </w:r>
    </w:p>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Dividend yield is assumed to be zero due to a dividend protection feature in the WML Convertible Bond agreement. The output of the lattice model can be highly sensitive to fluctuations in its inputs.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Credit Losses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00"/>
          </w:cols>
          <w:pgMar w:left="840" w:top="675" w:right="840" w:bottom="3" w:gutter="0" w:footer="0" w:header="0"/>
          <w:type w:val="continuous"/>
        </w:sectPr>
      </w:pPr>
    </w:p>
    <w:bookmarkStart w:id="52" w:name="page53"/>
    <w:bookmarkEnd w:id="52"/>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spacing w:after="0" w:line="251"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key statistics related to our casino accounts receivable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76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Casino accounts receivable</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ind w:right="108"/>
              <w:spacing w:after="0"/>
              <w:rPr>
                <w:sz w:val="20"/>
                <w:szCs w:val="20"/>
                <w:color w:val="auto"/>
              </w:rPr>
            </w:pPr>
            <w:r>
              <w:rPr>
                <w:rFonts w:ascii="Times New Roman" w:cs="Times New Roman" w:eastAsia="Times New Roman" w:hAnsi="Times New Roman"/>
                <w:sz w:val="20"/>
                <w:szCs w:val="20"/>
                <w:color w:val="auto"/>
              </w:rPr>
              <w:t>236,642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shd w:val="clear" w:color="auto" w:fill="E0E0E0"/>
          </w:tcPr>
          <w:p>
            <w:pPr>
              <w:jc w:val="right"/>
              <w:ind w:right="105"/>
              <w:spacing w:after="0"/>
              <w:rPr>
                <w:sz w:val="20"/>
                <w:szCs w:val="20"/>
                <w:color w:val="auto"/>
              </w:rPr>
            </w:pPr>
            <w:r>
              <w:rPr>
                <w:rFonts w:ascii="Times New Roman" w:cs="Times New Roman" w:eastAsia="Times New Roman" w:hAnsi="Times New Roman"/>
                <w:sz w:val="20"/>
                <w:szCs w:val="20"/>
                <w:color w:val="auto"/>
              </w:rPr>
              <w:t>218,694</w:t>
            </w:r>
          </w:p>
        </w:tc>
        <w:tc>
          <w:tcPr>
            <w:tcW w:w="20" w:type="dxa"/>
            <w:vAlign w:val="bottom"/>
          </w:tcPr>
          <w:p>
            <w:pPr>
              <w:spacing w:after="0"/>
              <w:rPr>
                <w:sz w:val="24"/>
                <w:szCs w:val="24"/>
                <w:color w:val="auto"/>
              </w:rPr>
            </w:pPr>
          </w:p>
        </w:tc>
      </w:tr>
      <w:tr>
        <w:trPr>
          <w:trHeight w:val="291"/>
        </w:trPr>
        <w:tc>
          <w:tcPr>
            <w:tcW w:w="7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Allowance for casino credit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20"/>
                <w:szCs w:val="20"/>
                <w:color w:val="auto"/>
              </w:rPr>
              <w:t>34,676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34,739</w:t>
            </w:r>
          </w:p>
        </w:tc>
        <w:tc>
          <w:tcPr>
            <w:tcW w:w="20" w:type="dxa"/>
            <w:vAlign w:val="bottom"/>
          </w:tcPr>
          <w:p>
            <w:pPr>
              <w:spacing w:after="0"/>
              <w:rPr>
                <w:sz w:val="24"/>
                <w:szCs w:val="24"/>
                <w:color w:val="auto"/>
              </w:rPr>
            </w:pPr>
          </w:p>
        </w:tc>
      </w:tr>
      <w:tr>
        <w:trPr>
          <w:trHeight w:val="309"/>
        </w:trPr>
        <w:tc>
          <w:tcPr>
            <w:tcW w:w="76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Allowance as a percentage of casino accounts receivable</w:t>
            </w:r>
          </w:p>
        </w:tc>
        <w:tc>
          <w:tcPr>
            <w:tcW w:w="220" w:type="dxa"/>
            <w:vAlign w:val="bottom"/>
            <w:shd w:val="clear" w:color="auto" w:fill="E0E0E0"/>
          </w:tcPr>
          <w:p>
            <w:pPr>
              <w:spacing w:after="0"/>
              <w:rPr>
                <w:sz w:val="24"/>
                <w:szCs w:val="24"/>
                <w:color w:val="auto"/>
              </w:rPr>
            </w:pPr>
          </w:p>
        </w:tc>
        <w:tc>
          <w:tcPr>
            <w:tcW w:w="11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14.7 %</w:t>
            </w:r>
          </w:p>
        </w:tc>
        <w:tc>
          <w:tcPr>
            <w:tcW w:w="22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20" w:type="dxa"/>
            <w:vAlign w:val="bottom"/>
          </w:tcPr>
          <w:p>
            <w:pPr>
              <w:spacing w:after="0"/>
              <w:rPr>
                <w:sz w:val="24"/>
                <w:szCs w:val="24"/>
                <w:color w:val="auto"/>
              </w:rPr>
            </w:pPr>
          </w:p>
        </w:tc>
      </w:tr>
    </w:tbl>
    <w:p>
      <w:pPr>
        <w:spacing w:after="0" w:line="296"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The decrease in allowance for casino credit losses as shown in the table above is primarily due to the impact of historical collection patterns and expectations of current and future collection trends,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2024 and 2023, 40.3% and 41.8%, respectively, of our outstanding casino accounts receivable balance originated at our Macau Operations.</w:t>
      </w:r>
    </w:p>
    <w:p>
      <w:pPr>
        <w:spacing w:after="0" w:line="250" w:lineRule="exact"/>
        <w:rPr>
          <w:sz w:val="20"/>
          <w:szCs w:val="20"/>
          <w:color w:val="auto"/>
        </w:rPr>
      </w:pPr>
    </w:p>
    <w:p>
      <w:pPr>
        <w:jc w:val="both"/>
        <w:ind w:right="20"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2024, a 100 basis point change in the allowance for credit losses as a percentage of casino accounts receivable would change the provision for credit losses by approximately $2.4 million.</w:t>
      </w:r>
    </w:p>
    <w:p>
      <w:pPr>
        <w:spacing w:after="0" w:line="255" w:lineRule="exact"/>
        <w:rPr>
          <w:sz w:val="20"/>
          <w:szCs w:val="20"/>
          <w:color w:val="auto"/>
        </w:rPr>
      </w:pPr>
    </w:p>
    <w:p>
      <w:pPr>
        <w:jc w:val="both"/>
        <w:ind w:right="20" w:firstLine="400"/>
        <w:spacing w:after="0" w:line="245" w:lineRule="auto"/>
        <w:rPr>
          <w:sz w:val="20"/>
          <w:szCs w:val="20"/>
          <w:color w:val="auto"/>
        </w:rPr>
      </w:pPr>
      <w:r>
        <w:rPr>
          <w:rFonts w:ascii="Times New Roman" w:cs="Times New Roman" w:eastAsia="Times New Roman" w:hAnsi="Times New Roman"/>
          <w:sz w:val="20"/>
          <w:szCs w:val="20"/>
          <w:color w:val="auto"/>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 Intangible assets, and Goodwill</w:t>
      </w:r>
    </w:p>
    <w:p>
      <w:pPr>
        <w:spacing w:after="0" w:line="254"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52"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its carrying amount, goodwill impairment is recorded</w:t>
      </w:r>
    </w:p>
    <w:p>
      <w:pPr>
        <w:sectPr>
          <w:pgSz w:w="11880" w:h="15480" w:orient="portrait"/>
          <w:cols w:equalWidth="0" w:num="1">
            <w:col w:w="10220"/>
          </w:cols>
          <w:pgMar w:left="840" w:top="675" w:right="820" w:bottom="3"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220"/>
          </w:cols>
          <w:pgMar w:left="840" w:top="675" w:right="820" w:bottom="3" w:gutter="0" w:footer="0" w:header="0"/>
          <w:type w:val="continuous"/>
        </w:sectPr>
      </w:pPr>
    </w:p>
    <w:bookmarkStart w:id="53" w:name="page54"/>
    <w:bookmarkEnd w:id="53"/>
    <w:p>
      <w:pPr>
        <w:jc w:val="both"/>
        <w:spacing w:after="0" w:line="238" w:lineRule="auto"/>
        <w:rPr>
          <w:sz w:val="20"/>
          <w:szCs w:val="20"/>
          <w:color w:val="auto"/>
        </w:rPr>
      </w:pPr>
      <w:r>
        <w:rPr>
          <w:rFonts w:ascii="Times New Roman" w:cs="Times New Roman" w:eastAsia="Times New Roman" w:hAnsi="Times New Roman"/>
          <w:sz w:val="20"/>
          <w:szCs w:val="20"/>
          <w:color w:val="auto"/>
        </w:rPr>
        <w:t>equal to the difference between the carrying amount of the reporting unit and its fair value, not to exceed the carrying amount of goodwill. The Company did not recognize any goodwill impairment losses during the year ended December 31, 2024.</w:t>
      </w:r>
    </w:p>
    <w:p>
      <w:pPr>
        <w:spacing w:after="0" w:line="22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as a result of the Company’s decision to cease operating Wynn Interactive’s digital sports betting and casino business, the Company identified interim indicators of impairment related to the goodwill assigned to the WynnBET reporting unit. As a result, the Company performed an impairment test as of December 31, 2023, and determined that the carrying value of its goodwill exceeded the estimated fair value of that reporting unit based on a combination of the income and cost approaches, causing the Company to recognize a goodwill impairment loss of $72.1 million. As of December 31, 2023, the Company had no remaining goodwill recorded related to the acquisition of BetBull Limited (“BetBull”), a subsidiary of Wynn Interactive. The Company also recognized impairment of other finite-lived intangible assets related to Wynn Interactive’s closed operations totaling $22.4 million during the year ended December 31, 2023.</w:t>
      </w:r>
    </w:p>
    <w:p>
      <w:pPr>
        <w:spacing w:after="0" w:line="21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2022, as a result of changes in forecasts and other industry-specific factors and management’s decision to cease the operations of Betbull, the Company recognized impairment of goodwill and other finite-lived intangible assets of $37.8 million and $10.3 million,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and Contingency Estimates</w:t>
      </w:r>
    </w:p>
    <w:p>
      <w:pPr>
        <w:spacing w:after="0" w:line="22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Sale-leaseback Transaction</w:t>
      </w:r>
    </w:p>
    <w:p>
      <w:pPr>
        <w:spacing w:after="0" w:line="2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December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recognizing a gain on sale of $182.0 million, and concurrently entered into a lease agreement with respect to the sold assets for the purpose of continuing to operate the Encore Boston Harbor integrated resort. Upon entering into the lease agreement, the Company recognized an operating lease asset and a corresponding operating lease liability of $1.51 billion.</w:t>
      </w:r>
    </w:p>
    <w:p>
      <w:pPr>
        <w:spacing w:after="0" w:line="21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Accounting for sale-leaseback transactions requires significant management judgement and estimates, including with respect to the determination of whether the transaction qualifies as a sale as defined within GAAP, operating versus finance lease classification, and inputs into the measurement of lease assets and liabilities.</w:t>
      </w:r>
    </w:p>
    <w:p>
      <w:pPr>
        <w:spacing w:after="0" w:line="21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determining whether the transaction qualifies as a sale, we are required to assess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Concluding whether a sale has occurred requires significant judgement in determining whether the rights and obligations created by the sale agreement convey control to the counterparty in the transaction.</w:t>
      </w:r>
    </w:p>
    <w:p>
      <w:pPr>
        <w:spacing w:after="0" w:line="21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 sale-leaseback arrangement, we are required to determine whether the lease is classified as an operating lease or a finance lease. A finance lease would preclude sale accounting.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Lease terms include options to extend the lease when it is reasonably certain that such option will be exercised. The Company’s operating lease related to Encore Boston Harbor contains an initial term of 30 years from December 2022 to November 2052 with one thirty-year renewal period at the Company’s option, which, in management judgement, is not considered to be reasonably certain of being exercised. The determination of whether the present value of the sum of the lease payments equals or exceeds substantially all of the fair value of the underlying asset requires the use of estimates, in both determining the discount rate to measure the present value of the sum of the lease payments and in determining the fair value of the underlying assets. As the interest rate implicit in our leases is not readily determinable, we use our incremental borrowing rate, which is defined by GAAP as the “rate of interest that a lessee would have to pay to borrow on a collateralized basis over a similar term an amount equal to the lease payments in a similar economic environment,” to determine the present value of lease payments. Inputs into our selected incremental borrowing rate which require management’s judgement include quantifying our entity-specific credit</w:t>
      </w:r>
    </w:p>
    <w:p>
      <w:pPr>
        <w:sectPr>
          <w:pgSz w:w="11880" w:h="15480" w:orient="portrait"/>
          <w:cols w:equalWidth="0" w:num="1">
            <w:col w:w="10200"/>
          </w:cols>
          <w:pgMar w:left="840" w:top="675" w:right="840" w:bottom="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200"/>
          </w:cols>
          <w:pgMar w:left="840" w:top="675" w:right="840" w:bottom="3" w:gutter="0" w:footer="0" w:header="0"/>
          <w:type w:val="continuous"/>
        </w:sectPr>
      </w:pPr>
    </w:p>
    <w:bookmarkStart w:id="54" w:name="page55"/>
    <w:bookmarkEnd w:id="54"/>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risk and risks associated with the economic environment specific to the leased assets. In determining the fair value of the underlying assets, we use a combination of the income, market, and cost approaches, which include inputs such as estimated future cash flows, the selection of recently sold comparable properties, and estimated cost to construct a comparable asset.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28" w:lineRule="exact"/>
        <w:rPr>
          <w:sz w:val="20"/>
          <w:szCs w:val="20"/>
          <w:color w:val="auto"/>
        </w:rPr>
      </w:pPr>
    </w:p>
    <w:p>
      <w:pPr>
        <w:jc w:val="both"/>
        <w:ind w:right="20" w:firstLine="400"/>
        <w:spacing w:after="0" w:line="238" w:lineRule="auto"/>
        <w:rPr>
          <w:sz w:val="20"/>
          <w:szCs w:val="20"/>
          <w:color w:val="auto"/>
        </w:rPr>
      </w:pPr>
      <w:r>
        <w:rPr>
          <w:rFonts w:ascii="Times New Roman" w:cs="Times New Roman" w:eastAsia="Times New Roman" w:hAnsi="Times New Roman"/>
          <w:sz w:val="20"/>
          <w:szCs w:val="20"/>
          <w:color w:val="auto"/>
        </w:rPr>
        <w:t>Market risk is the risk of loss arising from adverse changes in market rates and prices, such as interest rates, foreign currency exchange rates and commodity prices.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Risks</w:t>
      </w:r>
    </w:p>
    <w:p>
      <w:pPr>
        <w:spacing w:after="0" w:line="230"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24"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The following table provides estimated future cash flow information derived from our best estimates of repayments as of December 31, 2024, of our expected long-term indebtedness and related weighted average interest rates by expected maturity dates. However, we cannot predict the SOFR or HIBOR rates that will be in effect in the future. Actual rates will vary. The one-month SOFR and HIBOR rates as of December 31, 2024 of 4.49% and 4.60%, respectively, were used for all variable rate calculations in the table below.</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information is presented in U.S. dollar equivalents as applicable.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6"/>
          </w:tcPr>
          <w:p>
            <w:pPr>
              <w:jc w:val="center"/>
              <w:ind w:left="430"/>
              <w:spacing w:after="0"/>
              <w:rPr>
                <w:sz w:val="20"/>
                <w:szCs w:val="20"/>
                <w:color w:val="auto"/>
              </w:rPr>
            </w:pPr>
            <w:r>
              <w:rPr>
                <w:rFonts w:ascii="Times New Roman" w:cs="Times New Roman" w:eastAsia="Times New Roman" w:hAnsi="Times New Roman"/>
                <w:sz w:val="16"/>
                <w:szCs w:val="16"/>
                <w:b w:val="1"/>
                <w:bCs w:val="1"/>
                <w:color w:val="auto"/>
                <w:w w:val="99"/>
              </w:rPr>
              <w:t>Year Ending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2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6"/>
          </w:tcPr>
          <w:p>
            <w:pPr>
              <w:jc w:val="center"/>
              <w:ind w:left="450"/>
              <w:spacing w:after="0"/>
              <w:rPr>
                <w:sz w:val="20"/>
                <w:szCs w:val="20"/>
                <w:color w:val="auto"/>
              </w:rPr>
            </w:pPr>
            <w:r>
              <w:rPr>
                <w:rFonts w:ascii="Times New Roman" w:cs="Times New Roman" w:eastAsia="Times New Roman" w:hAnsi="Times New Roman"/>
                <w:sz w:val="16"/>
                <w:szCs w:val="16"/>
                <w:b w:val="1"/>
                <w:bCs w:val="1"/>
                <w:color w:val="auto"/>
              </w:rPr>
              <w:t>Expected Maturity Date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2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2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left="71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20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Long-term debt:</w:t>
            </w:r>
          </w:p>
        </w:tc>
        <w:tc>
          <w:tcPr>
            <w:tcW w:w="180" w:type="dxa"/>
            <w:vAlign w:val="bottom"/>
            <w:shd w:val="clear" w:color="auto" w:fill="E0E0E0"/>
          </w:tcPr>
          <w:p>
            <w:pPr>
              <w:spacing w:after="0"/>
              <w:rPr>
                <w:sz w:val="24"/>
                <w:szCs w:val="24"/>
                <w:color w:val="auto"/>
              </w:rPr>
            </w:pPr>
          </w:p>
        </w:tc>
        <w:tc>
          <w:tcPr>
            <w:tcW w:w="68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Fixed rate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1,630.0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1,350.0</w:t>
            </w:r>
          </w:p>
        </w:tc>
        <w:tc>
          <w:tcPr>
            <w:tcW w:w="1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2,350.0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1,800.0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8,130.0</w:t>
            </w:r>
          </w:p>
        </w:tc>
        <w:tc>
          <w:tcPr>
            <w:tcW w:w="20" w:type="dxa"/>
            <w:vAlign w:val="bottom"/>
          </w:tcPr>
          <w:p>
            <w:pPr>
              <w:spacing w:after="0"/>
              <w:rPr>
                <w:sz w:val="24"/>
                <w:szCs w:val="24"/>
                <w:color w:val="auto"/>
              </w:rPr>
            </w:pPr>
          </w:p>
        </w:tc>
      </w:tr>
      <w:tr>
        <w:trPr>
          <w:trHeight w:val="309"/>
        </w:trPr>
        <w:tc>
          <w:tcPr>
            <w:tcW w:w="20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Average interest rate</w:t>
            </w:r>
          </w:p>
        </w:tc>
        <w:tc>
          <w:tcPr>
            <w:tcW w:w="180" w:type="dxa"/>
            <w:vAlign w:val="bottom"/>
            <w:shd w:val="clear" w:color="auto" w:fill="E0E0E0"/>
          </w:tcPr>
          <w:p>
            <w:pPr>
              <w:spacing w:after="0"/>
              <w:rPr>
                <w:sz w:val="24"/>
                <w:szCs w:val="24"/>
                <w:color w:val="auto"/>
              </w:rPr>
            </w:pPr>
          </w:p>
        </w:tc>
        <w:tc>
          <w:tcPr>
            <w:tcW w:w="7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5.5 %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5.4 %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5.6 %</w:t>
            </w:r>
          </w:p>
        </w:tc>
        <w:tc>
          <w:tcPr>
            <w:tcW w:w="260" w:type="dxa"/>
            <w:vAlign w:val="bottom"/>
            <w:shd w:val="clear" w:color="auto" w:fill="E0E0E0"/>
          </w:tcPr>
          <w:p>
            <w:pPr>
              <w:spacing w:after="0"/>
              <w:rPr>
                <w:sz w:val="24"/>
                <w:szCs w:val="24"/>
                <w:color w:val="auto"/>
              </w:rPr>
            </w:pPr>
          </w:p>
        </w:tc>
        <w:tc>
          <w:tcPr>
            <w:tcW w:w="9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5.0 %</w:t>
            </w:r>
          </w:p>
        </w:tc>
        <w:tc>
          <w:tcPr>
            <w:tcW w:w="160" w:type="dxa"/>
            <w:vAlign w:val="bottom"/>
            <w:shd w:val="clear" w:color="auto" w:fill="E0E0E0"/>
          </w:tcPr>
          <w:p>
            <w:pPr>
              <w:spacing w:after="0"/>
              <w:rPr>
                <w:sz w:val="24"/>
                <w:szCs w:val="24"/>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6.7 %</w:t>
            </w: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5.6 %</w:t>
            </w:r>
          </w:p>
        </w:tc>
        <w:tc>
          <w:tcPr>
            <w:tcW w:w="20" w:type="dxa"/>
            <w:vAlign w:val="bottom"/>
          </w:tcPr>
          <w:p>
            <w:pPr>
              <w:spacing w:after="0"/>
              <w:rPr>
                <w:sz w:val="24"/>
                <w:szCs w:val="24"/>
                <w:color w:val="auto"/>
              </w:rPr>
            </w:pPr>
          </w:p>
        </w:tc>
      </w:tr>
      <w:tr>
        <w:trPr>
          <w:trHeight w:val="291"/>
        </w:trPr>
        <w:tc>
          <w:tcPr>
            <w:tcW w:w="2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Variable rate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41.3</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41.3</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1,280.5</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1,151.9</w:t>
            </w:r>
          </w:p>
        </w:tc>
        <w:tc>
          <w:tcPr>
            <w:tcW w:w="10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2,515.0</w:t>
            </w:r>
          </w:p>
        </w:tc>
        <w:tc>
          <w:tcPr>
            <w:tcW w:w="20" w:type="dxa"/>
            <w:vAlign w:val="bottom"/>
          </w:tcPr>
          <w:p>
            <w:pPr>
              <w:spacing w:after="0"/>
              <w:rPr>
                <w:sz w:val="24"/>
                <w:szCs w:val="24"/>
                <w:color w:val="auto"/>
              </w:rPr>
            </w:pPr>
          </w:p>
        </w:tc>
      </w:tr>
      <w:tr>
        <w:trPr>
          <w:trHeight w:val="309"/>
        </w:trPr>
        <w:tc>
          <w:tcPr>
            <w:tcW w:w="20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Average interest rate</w:t>
            </w:r>
          </w:p>
        </w:tc>
        <w:tc>
          <w:tcPr>
            <w:tcW w:w="180" w:type="dxa"/>
            <w:vAlign w:val="bottom"/>
            <w:shd w:val="clear" w:color="auto" w:fill="E0E0E0"/>
          </w:tcPr>
          <w:p>
            <w:pPr>
              <w:spacing w:after="0"/>
              <w:rPr>
                <w:sz w:val="24"/>
                <w:szCs w:val="24"/>
                <w:color w:val="auto"/>
              </w:rPr>
            </w:pPr>
          </w:p>
        </w:tc>
        <w:tc>
          <w:tcPr>
            <w:tcW w:w="7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6.2 %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6.2 %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5.9 %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6.4 %</w:t>
            </w:r>
          </w:p>
        </w:tc>
        <w:tc>
          <w:tcPr>
            <w:tcW w:w="260" w:type="dxa"/>
            <w:vAlign w:val="bottom"/>
            <w:shd w:val="clear" w:color="auto" w:fill="E0E0E0"/>
          </w:tcPr>
          <w:p>
            <w:pPr>
              <w:spacing w:after="0"/>
              <w:rPr>
                <w:sz w:val="24"/>
                <w:szCs w:val="24"/>
                <w:color w:val="auto"/>
              </w:rPr>
            </w:pPr>
          </w:p>
        </w:tc>
        <w:tc>
          <w:tcPr>
            <w:tcW w:w="9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shd w:val="clear" w:color="auto" w:fill="E0E0E0"/>
          </w:tcPr>
          <w:p>
            <w:pPr>
              <w:spacing w:after="0"/>
              <w:rPr>
                <w:sz w:val="24"/>
                <w:szCs w:val="24"/>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20" w:type="dxa"/>
            <w:vAlign w:val="bottom"/>
          </w:tcPr>
          <w:p>
            <w:pPr>
              <w:spacing w:after="0"/>
              <w:rPr>
                <w:sz w:val="24"/>
                <w:szCs w:val="24"/>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Sensitivity</w:t>
      </w:r>
    </w:p>
    <w:p>
      <w:pPr>
        <w:spacing w:after="0" w:line="230" w:lineRule="exact"/>
        <w:rPr>
          <w:sz w:val="20"/>
          <w:szCs w:val="20"/>
          <w:color w:val="auto"/>
        </w:rPr>
      </w:pPr>
    </w:p>
    <w:p>
      <w:pPr>
        <w:jc w:val="both"/>
        <w:ind w:right="20"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2024, approximately 76.0% of our long-term debt was based on fixed rates. 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spacing w:after="0" w:line="228" w:lineRule="exact"/>
        <w:rPr>
          <w:sz w:val="20"/>
          <w:szCs w:val="20"/>
          <w:color w:val="auto"/>
        </w:rPr>
      </w:pPr>
    </w:p>
    <w:p>
      <w:pPr>
        <w:jc w:val="both"/>
        <w:ind w:right="20" w:firstLine="400"/>
        <w:spacing w:after="0" w:line="238" w:lineRule="auto"/>
        <w:rPr>
          <w:sz w:val="20"/>
          <w:szCs w:val="20"/>
          <w:color w:val="auto"/>
        </w:rPr>
      </w:pPr>
      <w:r>
        <w:rPr>
          <w:rFonts w:ascii="Times New Roman" w:cs="Times New Roman" w:eastAsia="Times New Roman" w:hAnsi="Times New Roman"/>
          <w:sz w:val="20"/>
          <w:szCs w:val="20"/>
          <w:color w:val="auto"/>
        </w:rPr>
        <w:t>Based on our outstanding borrowings as of December 31, 2024 and an interest rate swap on the Retail Term Loan, an assumed 100 basis point change in the variable rates would cause our annual interest expense to change by $19.1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Risks</w:t>
      </w:r>
    </w:p>
    <w:p>
      <w:pPr>
        <w:spacing w:after="0" w:line="230"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currency delineated in Wynn Macau SA’s Gaming Concession Contract with the government of Macau is the Macau pataca (see Item 1—“Business—Regulation and Licensing—Macau” for further discussion).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223" w:lineRule="exact"/>
        <w:rPr>
          <w:sz w:val="20"/>
          <w:szCs w:val="20"/>
          <w:color w:val="auto"/>
        </w:rPr>
      </w:pPr>
    </w:p>
    <w:p>
      <w:pPr>
        <w:jc w:val="both"/>
        <w:ind w:right="20" w:firstLine="400"/>
        <w:spacing w:after="0" w:line="243" w:lineRule="auto"/>
        <w:rPr>
          <w:sz w:val="20"/>
          <w:szCs w:val="20"/>
          <w:color w:val="auto"/>
        </w:rPr>
      </w:pPr>
      <w:r>
        <w:rPr>
          <w:rFonts w:ascii="Times New Roman" w:cs="Times New Roman" w:eastAsia="Times New Roman" w:hAnsi="Times New Roman"/>
          <w:sz w:val="20"/>
          <w:szCs w:val="20"/>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ectPr>
          <w:pgSz w:w="11880" w:h="15480" w:orient="portrait"/>
          <w:cols w:equalWidth="0" w:num="1">
            <w:col w:w="10220"/>
          </w:cols>
          <w:pgMar w:left="840" w:top="675" w:right="820" w:bottom="3" w:gutter="0" w:footer="0" w:header="0"/>
        </w:sect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220"/>
          </w:cols>
          <w:pgMar w:left="840" w:top="675" w:right="820" w:bottom="3" w:gutter="0" w:footer="0" w:header="0"/>
          <w:type w:val="continuous"/>
        </w:sectPr>
      </w:pPr>
    </w:p>
    <w:bookmarkStart w:id="55" w:name="page56"/>
    <w:bookmarkEnd w:id="55"/>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2024, an assumed 1% change in the U.S. dollar/Hong Kong dollar exchange rate would cause a foreign currency transaction gain/loss of $41.5 million.</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200"/>
          </w:cols>
          <w:pgMar w:left="840" w:top="675" w:right="840" w:bottom="3"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i w:val="1"/>
          <w:iCs w:val="1"/>
          <w:color w:val="auto"/>
        </w:rPr>
        <w:t>INDEX TO CONSOLIDATED FINANCIAL STATEMENTS</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18"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Reports of Independent Registered Public Accounting Firm (PCAOB ID: 42)  . . . . . . . . . . . . . . . . . . . . . . . . . . . . . .</w:t>
        <w:tab/>
        <w:t>56</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 . . . . . . . . . .</w:t>
        <w:tab/>
        <w:t>59</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Operations . . . . . . . . . . . . . . . . . . . . . . . . . . . . . . . . . . . . . . . . . . . . . . . . . . . . . . . . . . . . .</w:t>
        <w:tab/>
        <w:t>60</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Comprehensive Income (Loss) . . . . . . . . . . . . . . . . . . . . . . . . . . . . . . . . . . . . . . . . . . . . .</w:t>
        <w:tab/>
        <w:t>61</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Stockholders’ Deficit  . . . . . . . . . . . . . . . . . . . . . . . . . . . . . . . . . . . . . . . . . . . . . . . . . . . .</w:t>
        <w:tab/>
        <w:t>62</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 . . . . . . .</w:t>
        <w:tab/>
        <w:t>63</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w:t>
        <w:tab/>
        <w:t>64</w:t>
      </w:r>
    </w:p>
    <w:p>
      <w:pPr>
        <w:spacing w:after="0" w:line="10" w:lineRule="exact"/>
        <w:rPr>
          <w:sz w:val="20"/>
          <w:szCs w:val="20"/>
          <w:color w:val="auto"/>
        </w:rPr>
      </w:pPr>
    </w:p>
    <w:p>
      <w:pPr>
        <w:ind w:left="200"/>
        <w:spacing w:after="0"/>
        <w:tabs>
          <w:tab w:leader="none" w:pos="9660" w:val="left"/>
        </w:tabs>
        <w:rPr>
          <w:sz w:val="20"/>
          <w:szCs w:val="20"/>
          <w:color w:val="auto"/>
        </w:rPr>
      </w:pPr>
      <w:r>
        <w:rPr>
          <w:rFonts w:ascii="Times New Roman" w:cs="Times New Roman" w:eastAsia="Times New Roman" w:hAnsi="Times New Roman"/>
          <w:sz w:val="20"/>
          <w:szCs w:val="20"/>
          <w:color w:val="auto"/>
        </w:rPr>
        <w:t>Quarterly Consolidated Financial Information (Unaudited) . . . . . . . . . . . . . . . . . . . . . . . . . . . . . . . . . . . . . . . . . . . . .</w:t>
        <w:tab/>
        <w:t>109</w:t>
      </w:r>
    </w:p>
    <w:p>
      <w:pPr>
        <w:sectPr>
          <w:pgSz w:w="11880" w:h="15480" w:orient="portrait"/>
          <w:cols w:equalWidth="0" w:num="1">
            <w:col w:w="10000"/>
          </w:cols>
          <w:pgMar w:left="840" w:top="664" w:right="10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000"/>
          </w:cols>
          <w:pgMar w:left="840" w:top="664" w:right="1040" w:bottom="3"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Wynn Resorts, Limited and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Wynn Resorts, Limited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2024, based on the COSO criteria.</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(loss), stockholders’ deficit and cash flows for each of the three years in the period ended December 31, 2024, and the related notes and financial statement schedule listed in the Index at Item 15(a)2 and our report dated February 13, 2025 expressed an unqualified opinion thereon.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 Vegas, Nevada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200"/>
          </w:cols>
          <w:pgMar w:left="840" w:top="664" w:right="840" w:bottom="3"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and Stockholders of Wynn Resorts, Limited and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Wynn Resorts, Limited and subsidiaries (the Company) as of December 31, 2024 and 2023, the related consolidated statements of operations, comprehensive income (loss), stockholders’ deficit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13, 2025 expressed an unqualified opinion thereon.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200"/>
          </w:cols>
          <w:pgMar w:left="840" w:top="664" w:right="840" w:bottom="3"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Deferred Tax Assets</w:t>
      </w:r>
    </w:p>
    <w:p>
      <w:pPr>
        <w:spacing w:after="0" w:line="200" w:lineRule="exact"/>
        <w:rPr>
          <w:sz w:val="20"/>
          <w:szCs w:val="20"/>
          <w:color w:val="auto"/>
        </w:rPr>
      </w:pPr>
    </w:p>
    <w:p>
      <w:pPr>
        <w:spacing w:after="0" w:line="28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more fully described in Note 14 to the consolidated financial statements, at December 31, 2024, the</w:t>
      </w:r>
    </w:p>
    <w:p>
      <w:pPr>
        <w:spacing w:after="0" w:line="1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Company had deferred tax assets related to foreign tax credit carryforwards, disallowed interest expense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carryforwards and other U.S. and foreign deferred tax assets of $1.5 billion reduced by a $604.6 million</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valuation allowance. Deferred tax assets are reduced by a valuation allowance if, based on the weight of</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all available evidence, in management’s judgment it is more likely than not that some portion, or all, of</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the deferred tax assets will not be realized.</w:t>
      </w:r>
    </w:p>
    <w:p>
      <w:pPr>
        <w:spacing w:after="0" w:line="2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Auditing management’s assessment of the realizability of the Company’s deferred tax assets involved</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complex judgments due to the significant estimation required in measuring deferred tax assets. The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measurement of deferred tax assets is affected by significant assumptions, including forecasted domestic</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and foreign-sourced income and related intercompany royalties, the amount of interest expense and other</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expenses allocated to foreign sourced income and the execution of tax planning strategies. Fluctuations in</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actual results from those forecasted can have a material impact on the measurement of deferred tax assets.</w:t>
      </w:r>
    </w:p>
    <w:p>
      <w:pPr>
        <w:spacing w:after="0" w:line="24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How We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 controls over</w:t>
      </w:r>
    </w:p>
    <w:p>
      <w:pPr>
        <w:spacing w:after="0" w:line="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Addressed the</w:t>
      </w:r>
      <w:r>
        <w:rPr>
          <w:sz w:val="20"/>
          <w:szCs w:val="20"/>
          <w:color w:val="auto"/>
        </w:rPr>
        <w:tab/>
      </w:r>
      <w:r>
        <w:rPr>
          <w:rFonts w:ascii="Times New Roman" w:cs="Times New Roman" w:eastAsia="Times New Roman" w:hAnsi="Times New Roman"/>
          <w:sz w:val="20"/>
          <w:szCs w:val="20"/>
          <w:color w:val="auto"/>
        </w:rPr>
        <w:t>management’s process for evaluating the realization of the Company’s deferred tax assets, including</w:t>
      </w:r>
    </w:p>
    <w:p>
      <w:pPr>
        <w:spacing w:after="0" w:line="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Matter in Our</w:t>
      </w:r>
      <w:r>
        <w:rPr>
          <w:sz w:val="20"/>
          <w:szCs w:val="20"/>
          <w:color w:val="auto"/>
        </w:rPr>
        <w:tab/>
      </w:r>
      <w:r>
        <w:rPr>
          <w:rFonts w:ascii="Times New Roman" w:cs="Times New Roman" w:eastAsia="Times New Roman" w:hAnsi="Times New Roman"/>
          <w:sz w:val="20"/>
          <w:szCs w:val="20"/>
          <w:color w:val="auto"/>
        </w:rPr>
        <w:t>controls over management’s review of its significant assumptions described above and identification and</w:t>
      </w:r>
    </w:p>
    <w:p>
      <w:pPr>
        <w:spacing w:after="0" w:line="1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use of available tax planning strategies.</w:t>
      </w:r>
    </w:p>
    <w:p>
      <w:pPr>
        <w:spacing w:after="0" w:line="2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To test the valuation of deferred tax assets, we performed audit procedures that included, among others,</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assessing methodologies and testing the significant assumptions described above and the underlying data</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used by the Company in its analysis. We compared the significant assumptions used by management to</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the Company’s business plans and current industry and economic trends and evaluated whether changes to</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the  Company’s  business  plans,  economic  trends  and  other  factors  would  affect  the  significant</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assumptions. We assessed the historical accuracy of management’s estimates and performed sensitivity</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analyses of significant assumptions to evaluate the changes in the valuation allowance that would result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from changes in the assumptions. We involved our tax professionals to evaluate the application of tax law</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in the Company’s available tax planning strategies, the scheduling of the reversal of existing taxable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temporary differences and carryforward amounts, and the evaluation of the utilization of the deferred tax</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assets.</w:t>
      </w:r>
    </w:p>
    <w:p>
      <w:pPr>
        <w:spacing w:after="0" w:line="2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 Vegas, Nevada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200"/>
          </w:cols>
          <w:pgMar w:left="840" w:top="662" w:right="840" w:bottom="3"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0"/>
        </w:trPr>
        <w:tc>
          <w:tcPr>
            <w:tcW w:w="7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r>
      <w:tr>
        <w:trPr>
          <w:trHeight w:val="261"/>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2,426,155</w:t>
            </w:r>
          </w:p>
        </w:tc>
        <w:tc>
          <w:tcPr>
            <w:tcW w:w="400" w:type="dxa"/>
            <w:vAlign w:val="bottom"/>
            <w:tcBorders>
              <w:bottom w:val="single" w:sz="8" w:color="E0E0E0"/>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2,879,186</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845,192</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$37,694 and $40,075</w:t>
            </w: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324,016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341,712</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75,783</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75,552</w:t>
            </w:r>
          </w:p>
        </w:tc>
      </w:tr>
      <w:tr>
        <w:trPr>
          <w:trHeight w:val="255"/>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95,725</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99,961</w:t>
            </w:r>
          </w:p>
        </w:tc>
      </w:tr>
      <w:tr>
        <w:trPr>
          <w:trHeight w:val="247"/>
        </w:trPr>
        <w:tc>
          <w:tcPr>
            <w:tcW w:w="7620" w:type="dxa"/>
            <w:vAlign w:val="bottom"/>
            <w:tcBorders>
              <w:bottom w:val="single" w:sz="8" w:color="E0E0E0"/>
            </w:tcBorders>
            <w:shd w:val="clear" w:color="auto" w:fill="E0E0E0"/>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2,921,679</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4,241,621</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6,521,283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6,688,479</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95,638</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90,208</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273,062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329,708</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1,797,276</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1,832,896</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500,877</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5"/>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861,309</w:t>
            </w:r>
          </w:p>
        </w:tc>
        <w:tc>
          <w:tcPr>
            <w:tcW w:w="200" w:type="dxa"/>
            <w:vAlign w:val="bottom"/>
            <w:tcBorders>
              <w:bottom w:val="single" w:sz="8" w:color="E0E0E0"/>
            </w:tcBorders>
            <w:shd w:val="clear" w:color="auto" w:fill="E0E0E0"/>
          </w:tcPr>
          <w:p>
            <w:pPr>
              <w:spacing w:after="0"/>
              <w:rPr>
                <w:sz w:val="22"/>
                <w:szCs w:val="22"/>
                <w:color w:val="auto"/>
              </w:rPr>
            </w:pPr>
          </w:p>
        </w:tc>
        <w:tc>
          <w:tcPr>
            <w:tcW w:w="20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312,434</w:t>
            </w:r>
          </w:p>
        </w:tc>
      </w:tr>
      <w:tr>
        <w:trPr>
          <w:trHeight w:val="252"/>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12,977,963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r>
      <w:tr>
        <w:trPr>
          <w:trHeight w:val="25"/>
        </w:trPr>
        <w:tc>
          <w:tcPr>
            <w:tcW w:w="7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r>
        <w:trPr>
          <w:trHeight w:val="24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Borders>
              <w:bottom w:val="single" w:sz="8" w:color="E0E0E0"/>
            </w:tcBorders>
            <w:shd w:val="clear" w:color="auto" w:fill="E0E0E0"/>
          </w:tcPr>
          <w:p>
            <w:pPr>
              <w:spacing w:after="0"/>
              <w:rPr>
                <w:sz w:val="20"/>
                <w:szCs w:val="20"/>
                <w:color w:val="auto"/>
              </w:rPr>
            </w:pPr>
          </w:p>
        </w:tc>
        <w:tc>
          <w:tcPr>
            <w:tcW w:w="98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980" w:type="dxa"/>
            <w:vAlign w:val="bottom"/>
            <w:tcBorders>
              <w:bottom w:val="single" w:sz="8" w:color="E0E0E0"/>
            </w:tcBorders>
            <w:shd w:val="clear" w:color="auto" w:fill="E0E0E0"/>
          </w:tcPr>
          <w:p>
            <w:pPr>
              <w:spacing w:after="0"/>
              <w:rPr>
                <w:sz w:val="20"/>
                <w:szCs w:val="20"/>
                <w:color w:val="auto"/>
              </w:rPr>
            </w:pPr>
          </w:p>
        </w:tc>
      </w:tr>
      <w:tr>
        <w:trPr>
          <w:trHeight w:val="261"/>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2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205,146</w:t>
            </w:r>
          </w:p>
        </w:tc>
        <w:tc>
          <w:tcPr>
            <w:tcW w:w="400" w:type="dxa"/>
            <w:vAlign w:val="bottom"/>
            <w:tcBorders>
              <w:bottom w:val="single" w:sz="8" w:color="E0E0E0"/>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208,263</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508,651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543,288</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Gaming taxes payable</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171,983</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172,832</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229,305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212,645</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132,510</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141,902</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709,593</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5"/>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250,689</w:t>
            </w:r>
          </w:p>
        </w:tc>
        <w:tc>
          <w:tcPr>
            <w:tcW w:w="200" w:type="dxa"/>
            <w:vAlign w:val="bottom"/>
            <w:tcBorders>
              <w:bottom w:val="single" w:sz="8" w:color="E0E0E0"/>
            </w:tcBorders>
            <w:shd w:val="clear" w:color="auto" w:fill="E0E0E0"/>
          </w:tcPr>
          <w:p>
            <w:pPr>
              <w:spacing w:after="0"/>
              <w:rPr>
                <w:sz w:val="22"/>
                <w:szCs w:val="22"/>
                <w:color w:val="auto"/>
              </w:rPr>
            </w:pPr>
          </w:p>
        </w:tc>
        <w:tc>
          <w:tcPr>
            <w:tcW w:w="20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211,931</w:t>
            </w:r>
          </w:p>
        </w:tc>
      </w:tr>
      <w:tr>
        <w:trPr>
          <w:trHeight w:val="247"/>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1,539,534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2,200,454</w:t>
            </w:r>
          </w:p>
        </w:tc>
      </w:tr>
      <w:tr>
        <w:trPr>
          <w:trHeight w:val="20"/>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10,500,484</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11,028,744</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1,623,890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1,631,749</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5"/>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282,658</w:t>
            </w:r>
          </w:p>
        </w:tc>
        <w:tc>
          <w:tcPr>
            <w:tcW w:w="200" w:type="dxa"/>
            <w:vAlign w:val="bottom"/>
            <w:tcBorders>
              <w:bottom w:val="single" w:sz="8" w:color="E0E0E0"/>
            </w:tcBorders>
            <w:shd w:val="clear" w:color="auto" w:fill="E0E0E0"/>
          </w:tcPr>
          <w:p>
            <w:pPr>
              <w:spacing w:after="0"/>
              <w:rPr>
                <w:sz w:val="22"/>
                <w:szCs w:val="22"/>
                <w:color w:val="auto"/>
              </w:rPr>
            </w:pPr>
          </w:p>
        </w:tc>
        <w:tc>
          <w:tcPr>
            <w:tcW w:w="20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236,210</w:t>
            </w:r>
          </w:p>
        </w:tc>
      </w:tr>
      <w:tr>
        <w:trPr>
          <w:trHeight w:val="252"/>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13,946,566</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15,097,157</w:t>
            </w:r>
          </w:p>
        </w:tc>
      </w:tr>
      <w:tr>
        <w:trPr>
          <w:trHeight w:val="246"/>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r>
      <w:tr>
        <w:trPr>
          <w:trHeight w:val="261"/>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9"/>
        </w:trPr>
        <w:tc>
          <w:tcPr>
            <w:tcW w:w="7620" w:type="dxa"/>
            <w:vAlign w:val="bottom"/>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w:t>
            </w:r>
          </w:p>
        </w:tc>
        <w:tc>
          <w:tcPr>
            <w:tcW w:w="220" w:type="dxa"/>
            <w:vAlign w:val="bottom"/>
            <w:shd w:val="clear" w:color="auto" w:fill="E0E0E0"/>
          </w:tcPr>
          <w:p>
            <w:pPr>
              <w:spacing w:after="0"/>
              <w:rPr>
                <w:sz w:val="22"/>
                <w:szCs w:val="22"/>
                <w:color w:val="auto"/>
              </w:rPr>
            </w:pPr>
          </w:p>
        </w:tc>
        <w:tc>
          <w:tcPr>
            <w:tcW w:w="98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980" w:type="dxa"/>
            <w:vAlign w:val="bottom"/>
            <w:shd w:val="clear" w:color="auto" w:fill="E0E0E0"/>
          </w:tcPr>
          <w:p>
            <w:pPr>
              <w:spacing w:after="0"/>
              <w:rPr>
                <w:sz w:val="22"/>
                <w:szCs w:val="22"/>
                <w:color w:val="auto"/>
              </w:rPr>
            </w:pPr>
          </w:p>
        </w:tc>
      </w:tr>
      <w:tr>
        <w:trPr>
          <w:trHeight w:val="213"/>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Borders>
              <w:bottom w:val="single" w:sz="8" w:color="E0E0E0"/>
            </w:tcBorders>
            <w:shd w:val="clear" w:color="auto" w:fill="E0E0E0"/>
          </w:tcPr>
          <w:p>
            <w:pPr>
              <w:spacing w:after="0"/>
              <w:rPr>
                <w:sz w:val="18"/>
                <w:szCs w:val="18"/>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0E0E0"/>
            </w:tcBorders>
            <w:shd w:val="clear" w:color="auto" w:fill="E0E0E0"/>
          </w:tcPr>
          <w:p>
            <w:pPr>
              <w:spacing w:after="0"/>
              <w:rPr>
                <w:sz w:val="18"/>
                <w:szCs w:val="18"/>
                <w:color w:val="auto"/>
              </w:rPr>
            </w:pPr>
          </w:p>
        </w:tc>
        <w:tc>
          <w:tcPr>
            <w:tcW w:w="200" w:type="dxa"/>
            <w:vAlign w:val="bottom"/>
            <w:tcBorders>
              <w:bottom w:val="single" w:sz="8" w:color="E0E0E0"/>
            </w:tcBorders>
            <w:shd w:val="clear" w:color="auto" w:fill="E0E0E0"/>
          </w:tcPr>
          <w:p>
            <w:pPr>
              <w:spacing w:after="0"/>
              <w:rPr>
                <w:sz w:val="18"/>
                <w:szCs w:val="18"/>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par value $0.01; 400,000,000 shares authorized; 133,584,126 and 132,998,916</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1"/>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issued; 107,821,567 and 111,737,245 shares outstanding, respectively</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Treasury stock, at cost; 25,762,599 and 21,261,671 shares, respectively</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(2,241,607)</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(1,836,326)</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3,698,800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3,647,161</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55"/>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(1,676,990)</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(2,066,953)</w:t>
            </w:r>
          </w:p>
        </w:tc>
      </w:tr>
      <w:tr>
        <w:trPr>
          <w:trHeight w:val="247"/>
        </w:trPr>
        <w:tc>
          <w:tcPr>
            <w:tcW w:w="7620" w:type="dxa"/>
            <w:vAlign w:val="bottom"/>
            <w:tcBorders>
              <w:bottom w:val="single" w:sz="8" w:color="E0E0E0"/>
            </w:tcBorders>
            <w:shd w:val="clear" w:color="auto" w:fill="E0E0E0"/>
          </w:tcPr>
          <w:p>
            <w:pPr>
              <w:ind w:left="780"/>
              <w:spacing w:after="0"/>
              <w:rPr>
                <w:sz w:val="20"/>
                <w:szCs w:val="20"/>
                <w:color w:val="auto"/>
              </w:rPr>
            </w:pPr>
            <w:r>
              <w:rPr>
                <w:rFonts w:ascii="Times New Roman" w:cs="Times New Roman" w:eastAsia="Times New Roman" w:hAnsi="Times New Roman"/>
                <w:sz w:val="18"/>
                <w:szCs w:val="18"/>
                <w:b w:val="1"/>
                <w:bCs w:val="1"/>
                <w:color w:val="auto"/>
              </w:rPr>
              <w:t>Total Wynn Resorts, Limited stockholders’ deficit</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(224,161)</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(251,382)</w:t>
            </w:r>
          </w:p>
        </w:tc>
      </w:tr>
      <w:tr>
        <w:trPr>
          <w:trHeight w:val="255"/>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(744,442)</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(849,552)</w:t>
            </w:r>
          </w:p>
        </w:tc>
      </w:tr>
      <w:tr>
        <w:trPr>
          <w:trHeight w:val="252"/>
        </w:trPr>
        <w:tc>
          <w:tcPr>
            <w:tcW w:w="7620" w:type="dxa"/>
            <w:vAlign w:val="bottom"/>
            <w:tcBorders>
              <w:bottom w:val="single" w:sz="8" w:color="E0E0E0"/>
            </w:tcBorders>
            <w:shd w:val="clear" w:color="auto" w:fill="E0E0E0"/>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(968,603)</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(1,100,934)</w:t>
            </w:r>
          </w:p>
        </w:tc>
      </w:tr>
      <w:tr>
        <w:trPr>
          <w:trHeight w:val="251"/>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12,977,963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r>
      <w:tr>
        <w:trPr>
          <w:trHeight w:val="25"/>
        </w:trPr>
        <w:tc>
          <w:tcPr>
            <w:tcW w:w="7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63"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200"/>
          </w:cols>
          <w:pgMar w:left="840" w:top="663" w:right="840" w:bottom="3"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6"/>
                <w:szCs w:val="16"/>
                <w:color w:val="auto"/>
              </w:rPr>
            </w:pPr>
          </w:p>
        </w:tc>
      </w:tr>
      <w:tr>
        <w:trPr>
          <w:trHeight w:val="26"/>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00"/>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4,261,357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3,718,402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1,632,541</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1,242,058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1,185,671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802,138</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1,069,117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1,028,637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846,214</w:t>
            </w:r>
          </w:p>
        </w:tc>
      </w:tr>
      <w:tr>
        <w:trPr>
          <w:trHeight w:val="295"/>
        </w:trPr>
        <w:tc>
          <w:tcPr>
            <w:tcW w:w="62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555,429</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599,187</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475,932</w:t>
            </w:r>
          </w:p>
        </w:tc>
      </w:tr>
      <w:tr>
        <w:trPr>
          <w:trHeight w:val="281"/>
        </w:trPr>
        <w:tc>
          <w:tcPr>
            <w:tcW w:w="620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Total operating revenues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7,127,961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3,756,825</w:t>
            </w:r>
          </w:p>
        </w:tc>
      </w:tr>
      <w:tr>
        <w:trPr>
          <w:trHeight w:val="293"/>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2,586,960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2,238,671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1,099,801</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330,359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307,132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261,343</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859,426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700,549</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249,679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340,437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328,529</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1,080,475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1,065,022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830,450</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4,986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(7,295)</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Pre-opening</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20,643</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658,895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687,270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692,318</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Gain on EBH Transaction, net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(181,989)</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Impairment of goodwill and intangible assets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94,490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48,036</w:t>
            </w:r>
          </w:p>
        </w:tc>
      </w:tr>
      <w:tr>
        <w:trPr>
          <w:trHeight w:val="286"/>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charges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215,095</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130,877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65,116</w:t>
            </w:r>
          </w:p>
        </w:tc>
      </w:tr>
      <w:tr>
        <w:trPr>
          <w:trHeight w:val="281"/>
        </w:trPr>
        <w:tc>
          <w:tcPr>
            <w:tcW w:w="620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5,995,230</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5,691,726</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3,857,501</w:t>
            </w:r>
          </w:p>
        </w:tc>
      </w:tr>
      <w:tr>
        <w:trPr>
          <w:trHeight w:val="280"/>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1,132,731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840,171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(100,676)</w:t>
            </w:r>
          </w:p>
        </w:tc>
      </w:tr>
      <w:tr>
        <w:trPr>
          <w:trHeight w:val="293"/>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130,342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175,785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29,758</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Interest expense, net of amounts capitalized</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(688,410)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(751,509)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(650,885)</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Change in derivatives fair value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42,478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45,098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15,956</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Loss on debt financing transactions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(2,913)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(12,683)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29,170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5,811</w:t>
            </w:r>
          </w:p>
        </w:tc>
      </w:tr>
      <w:tr>
        <w:trPr>
          <w:trHeight w:val="281"/>
        </w:trPr>
        <w:tc>
          <w:tcPr>
            <w:tcW w:w="620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Other expense, net</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(489,333)</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(554,788)</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(599,360)</w:t>
            </w:r>
          </w:p>
        </w:tc>
      </w:tr>
      <w:tr>
        <w:trPr>
          <w:trHeight w:val="285"/>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643,398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285,383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(700,036)</w:t>
            </w:r>
          </w:p>
        </w:tc>
      </w:tr>
      <w:tr>
        <w:trPr>
          <w:trHeight w:val="294"/>
        </w:trPr>
        <w:tc>
          <w:tcPr>
            <w:tcW w:w="62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(3,682)</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496,834</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(9,332)</w:t>
            </w:r>
          </w:p>
        </w:tc>
      </w:tr>
      <w:tr>
        <w:trPr>
          <w:trHeight w:val="286"/>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639,716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782,217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(709,368)</w:t>
            </w:r>
          </w:p>
        </w:tc>
      </w:tr>
      <w:tr>
        <w:trPr>
          <w:trHeight w:val="294"/>
        </w:trPr>
        <w:tc>
          <w:tcPr>
            <w:tcW w:w="62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(138,638)</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(52,223)</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285,512</w:t>
            </w:r>
          </w:p>
        </w:tc>
      </w:tr>
      <w:tr>
        <w:trPr>
          <w:trHeight w:val="281"/>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501,078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729,994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r>
      <w:tr>
        <w:trPr>
          <w:trHeight w:val="23"/>
        </w:trPr>
        <w:tc>
          <w:tcPr>
            <w:tcW w:w="6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r>
        <w:trPr>
          <w:trHeight w:val="290"/>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Basic and diluted net income (loss) per common share:</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Wynn Resorts, Limited: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9"/>
        </w:trPr>
        <w:tc>
          <w:tcPr>
            <w:tcW w:w="6200" w:type="dxa"/>
            <w:vAlign w:val="bottom"/>
            <w:shd w:val="clear" w:color="auto" w:fill="E0E0E0"/>
          </w:tcPr>
          <w:p>
            <w:pPr>
              <w:ind w:left="86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291"/>
        </w:trPr>
        <w:tc>
          <w:tcPr>
            <w:tcW w:w="62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291"/>
        </w:trPr>
        <w:tc>
          <w:tcPr>
            <w:tcW w:w="62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109,966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113,623</w:t>
            </w:r>
          </w:p>
        </w:tc>
      </w:tr>
      <w:tr>
        <w:trPr>
          <w:trHeight w:val="309"/>
        </w:trPr>
        <w:tc>
          <w:tcPr>
            <w:tcW w:w="6200" w:type="dxa"/>
            <w:vAlign w:val="bottom"/>
            <w:shd w:val="clear" w:color="auto" w:fill="E0E0E0"/>
          </w:tcPr>
          <w:p>
            <w:pPr>
              <w:ind w:left="860"/>
              <w:spacing w:after="0"/>
              <w:rPr>
                <w:sz w:val="20"/>
                <w:szCs w:val="20"/>
                <w:color w:val="auto"/>
              </w:rPr>
            </w:pPr>
            <w:r>
              <w:rPr>
                <w:rFonts w:ascii="Times New Roman" w:cs="Times New Roman" w:eastAsia="Times New Roman" w:hAnsi="Times New Roman"/>
                <w:sz w:val="20"/>
                <w:szCs w:val="20"/>
                <w:color w:val="auto"/>
              </w:rPr>
              <w:t>Diluted</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110,267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112,855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113,623</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64" w:right="840" w:bottom="3"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200"/>
          </w:cols>
          <w:pgMar w:left="840" w:top="664" w:right="840" w:bottom="3" w:gutter="0" w:footer="0" w:header="0"/>
          <w:type w:val="continuous"/>
        </w:sectPr>
      </w:pPr>
    </w:p>
    <w:bookmarkStart w:id="62" w:name="page63"/>
    <w:bookmarkEnd w:id="62"/>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WYNN RESORTS, LIMITED AND SUBSIDIARIES CONSOLIDATED STATEMENTS OF COMPREHENSIVE INCOME (LOSS)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6"/>
                <w:szCs w:val="16"/>
                <w:color w:val="auto"/>
              </w:rPr>
            </w:pPr>
          </w:p>
        </w:tc>
      </w:tr>
      <w:tr>
        <w:trPr>
          <w:trHeight w:val="26"/>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0"/>
        </w:trPr>
        <w:tc>
          <w:tcPr>
            <w:tcW w:w="65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Net income (loss)</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639,716</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782,217</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(709,368)</w:t>
            </w:r>
          </w:p>
        </w:tc>
      </w:tr>
      <w:tr>
        <w:trPr>
          <w:trHeight w:val="291"/>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5"/>
        </w:trPr>
        <w:tc>
          <w:tcPr>
            <w:tcW w:w="652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Foreign currency translation adjustments, before and after tax</w:t>
            </w:r>
          </w:p>
        </w:tc>
        <w:tc>
          <w:tcPr>
            <w:tcW w:w="180" w:type="dxa"/>
            <w:vAlign w:val="bottom"/>
            <w:tcBorders>
              <w:bottom w:val="single" w:sz="8" w:color="auto"/>
            </w:tcBorders>
            <w:shd w:val="clear" w:color="auto" w:fill="E0E0E0"/>
          </w:tcPr>
          <w:p>
            <w:pPr>
              <w:spacing w:after="0"/>
              <w:rPr>
                <w:sz w:val="24"/>
                <w:szCs w:val="24"/>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(12,700)</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5,297</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(8,849)</w:t>
            </w:r>
          </w:p>
        </w:tc>
      </w:tr>
      <w:tr>
        <w:trPr>
          <w:trHeight w:val="286"/>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comprehensive income (loss)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627,016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787,514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(718,217)</w:t>
            </w:r>
          </w:p>
        </w:tc>
      </w:tr>
      <w:tr>
        <w:trPr>
          <w:trHeight w:val="290"/>
        </w:trPr>
        <w:tc>
          <w:tcPr>
            <w:tcW w:w="65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comprehensive (income) loss attributable to noncontrolling</w:t>
            </w:r>
          </w:p>
        </w:tc>
        <w:tc>
          <w:tcPr>
            <w:tcW w:w="18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r>
      <w:tr>
        <w:trPr>
          <w:trHeight w:val="244"/>
        </w:trPr>
        <w:tc>
          <w:tcPr>
            <w:tcW w:w="652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interests</w:t>
            </w:r>
          </w:p>
        </w:tc>
        <w:tc>
          <w:tcPr>
            <w:tcW w:w="180" w:type="dxa"/>
            <w:vAlign w:val="bottom"/>
            <w:tcBorders>
              <w:bottom w:val="single" w:sz="8" w:color="auto"/>
            </w:tcBorders>
            <w:shd w:val="clear" w:color="auto" w:fill="E0E0E0"/>
          </w:tcPr>
          <w:p>
            <w:pPr>
              <w:spacing w:after="0"/>
              <w:rPr>
                <w:sz w:val="21"/>
                <w:szCs w:val="21"/>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(135,044)</w:t>
            </w:r>
          </w:p>
        </w:tc>
        <w:tc>
          <w:tcPr>
            <w:tcW w:w="200" w:type="dxa"/>
            <w:vAlign w:val="bottom"/>
            <w:tcBorders>
              <w:bottom w:val="single" w:sz="8" w:color="E0E0E0"/>
            </w:tcBorders>
            <w:shd w:val="clear" w:color="auto" w:fill="E0E0E0"/>
          </w:tcPr>
          <w:p>
            <w:pPr>
              <w:spacing w:after="0"/>
              <w:rPr>
                <w:sz w:val="21"/>
                <w:szCs w:val="21"/>
                <w:color w:val="auto"/>
              </w:rPr>
            </w:pPr>
          </w:p>
        </w:tc>
        <w:tc>
          <w:tcPr>
            <w:tcW w:w="220" w:type="dxa"/>
            <w:vAlign w:val="bottom"/>
            <w:tcBorders>
              <w:bottom w:val="single" w:sz="8" w:color="auto"/>
            </w:tcBorders>
            <w:shd w:val="clear" w:color="auto" w:fill="E0E0E0"/>
          </w:tcPr>
          <w:p>
            <w:pPr>
              <w:spacing w:after="0"/>
              <w:rPr>
                <w:sz w:val="21"/>
                <w:szCs w:val="21"/>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(53,710)</w:t>
            </w:r>
          </w:p>
        </w:tc>
        <w:tc>
          <w:tcPr>
            <w:tcW w:w="20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287,953</w:t>
            </w:r>
          </w:p>
        </w:tc>
      </w:tr>
      <w:tr>
        <w:trPr>
          <w:trHeight w:val="281"/>
        </w:trPr>
        <w:tc>
          <w:tcPr>
            <w:tcW w:w="65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Comprehensive income (loss) attributable to Wynn Resorts, Limited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491,972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733,804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(430,264)</w:t>
            </w:r>
          </w:p>
        </w:tc>
      </w:tr>
      <w:tr>
        <w:trPr>
          <w:trHeight w:val="23"/>
        </w:trPr>
        <w:tc>
          <w:tcPr>
            <w:tcW w:w="65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70"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200"/>
          </w:cols>
          <w:pgMar w:left="840" w:top="670" w:right="840" w:bottom="3" w:gutter="0" w:footer="0" w:header="0"/>
          <w:type w:val="continuous"/>
        </w:sectPr>
      </w:pPr>
    </w:p>
    <w:bookmarkStart w:id="63" w:name="page64"/>
    <w:bookmarkEnd w:id="63"/>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WYNN RESORTS, LIMITED AND SUBSIDIARIES CONSOLIDATED STATEMENTS OF STOCKHOLDERS’ DEFICIT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4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5"/>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Wynn Resorts,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30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90"/>
              <w:spacing w:after="0" w:line="140" w:lineRule="exact"/>
              <w:rPr>
                <w:sz w:val="20"/>
                <w:szCs w:val="20"/>
                <w:color w:val="auto"/>
              </w:rPr>
            </w:pPr>
            <w:r>
              <w:rPr>
                <w:rFonts w:ascii="Times New Roman" w:cs="Times New Roman" w:eastAsia="Times New Roman" w:hAnsi="Times New Roman"/>
                <w:sz w:val="14"/>
                <w:szCs w:val="14"/>
                <w:b w:val="1"/>
                <w:bCs w:val="1"/>
                <w:color w:val="auto"/>
                <w:w w:val="96"/>
              </w:rPr>
              <w:t>Limited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10"/>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70"/>
              <w:spacing w:after="0" w:line="140" w:lineRule="exact"/>
              <w:rPr>
                <w:sz w:val="20"/>
                <w:szCs w:val="20"/>
                <w:color w:val="auto"/>
              </w:rPr>
            </w:pPr>
            <w:r>
              <w:rPr>
                <w:rFonts w:ascii="Times New Roman" w:cs="Times New Roman" w:eastAsia="Times New Roman" w:hAnsi="Times New Roman"/>
                <w:sz w:val="14"/>
                <w:szCs w:val="14"/>
                <w:b w:val="1"/>
                <w:bCs w:val="1"/>
                <w:color w:val="auto"/>
              </w:rPr>
              <w:t>Par</w:t>
            </w:r>
          </w:p>
        </w:tc>
        <w:tc>
          <w:tcPr>
            <w:tcW w:w="40" w:type="dxa"/>
            <w:vAlign w:val="bottom"/>
          </w:tcPr>
          <w:p>
            <w:pPr>
              <w:spacing w:after="0"/>
              <w:rPr>
                <w:sz w:val="12"/>
                <w:szCs w:val="12"/>
                <w:color w:val="auto"/>
              </w:rPr>
            </w:pPr>
          </w:p>
        </w:tc>
        <w:tc>
          <w:tcPr>
            <w:tcW w:w="860" w:type="dxa"/>
            <w:vAlign w:val="bottom"/>
          </w:tcPr>
          <w:p>
            <w:pPr>
              <w:jc w:val="right"/>
              <w:ind w:right="90"/>
              <w:spacing w:after="0" w:line="14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40" w:type="dxa"/>
            <w:vAlign w:val="bottom"/>
          </w:tcPr>
          <w:p>
            <w:pPr>
              <w:spacing w:after="0"/>
              <w:rPr>
                <w:sz w:val="12"/>
                <w:szCs w:val="12"/>
                <w:color w:val="auto"/>
              </w:rPr>
            </w:pPr>
          </w:p>
        </w:tc>
        <w:tc>
          <w:tcPr>
            <w:tcW w:w="940" w:type="dxa"/>
            <w:vAlign w:val="bottom"/>
            <w:gridSpan w:val="5"/>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tcPr>
          <w:p>
            <w:pPr>
              <w:jc w:val="right"/>
              <w:ind w:right="3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40" w:type="dxa"/>
            <w:vAlign w:val="bottom"/>
          </w:tcPr>
          <w:p>
            <w:pPr>
              <w:spacing w:after="0"/>
              <w:rPr>
                <w:sz w:val="12"/>
                <w:szCs w:val="12"/>
                <w:color w:val="auto"/>
              </w:rPr>
            </w:pPr>
          </w:p>
        </w:tc>
        <w:tc>
          <w:tcPr>
            <w:tcW w:w="920" w:type="dxa"/>
            <w:vAlign w:val="bottom"/>
            <w:gridSpan w:val="4"/>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2"/>
                <w:szCs w:val="12"/>
                <w:color w:val="auto"/>
              </w:rPr>
            </w:pPr>
          </w:p>
        </w:tc>
        <w:tc>
          <w:tcPr>
            <w:tcW w:w="88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900" w:type="dxa"/>
            <w:vAlign w:val="bottom"/>
          </w:tcPr>
          <w:p>
            <w:pPr>
              <w:jc w:val="right"/>
              <w:ind w:right="30"/>
              <w:spacing w:after="0" w:line="15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3"/>
                <w:szCs w:val="13"/>
                <w:color w:val="auto"/>
              </w:rPr>
            </w:pPr>
          </w:p>
        </w:tc>
        <w:tc>
          <w:tcPr>
            <w:tcW w:w="500" w:type="dxa"/>
            <w:vAlign w:val="bottom"/>
          </w:tcPr>
          <w:p>
            <w:pPr>
              <w:jc w:val="right"/>
              <w:ind w:right="30"/>
              <w:spacing w:after="0" w:line="153" w:lineRule="exact"/>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3"/>
                <w:szCs w:val="13"/>
                <w:color w:val="auto"/>
              </w:rPr>
            </w:pPr>
          </w:p>
        </w:tc>
        <w:tc>
          <w:tcPr>
            <w:tcW w:w="860" w:type="dxa"/>
            <w:vAlign w:val="bottom"/>
          </w:tcPr>
          <w:p>
            <w:pPr>
              <w:jc w:val="right"/>
              <w:ind w:right="210"/>
              <w:spacing w:after="0" w:line="153"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0"/>
              <w:spacing w:after="0" w:line="153"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3"/>
                <w:szCs w:val="13"/>
                <w:color w:val="auto"/>
              </w:rPr>
            </w:pPr>
          </w:p>
        </w:tc>
        <w:tc>
          <w:tcPr>
            <w:tcW w:w="940" w:type="dxa"/>
            <w:vAlign w:val="bottom"/>
            <w:gridSpan w:val="5"/>
          </w:tcPr>
          <w:p>
            <w:pPr>
              <w:jc w:val="center"/>
              <w:ind w:right="40"/>
              <w:spacing w:after="0" w:line="153"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3"/>
                <w:szCs w:val="13"/>
                <w:color w:val="auto"/>
              </w:rPr>
            </w:pPr>
          </w:p>
        </w:tc>
        <w:tc>
          <w:tcPr>
            <w:tcW w:w="800" w:type="dxa"/>
            <w:vAlign w:val="bottom"/>
          </w:tcPr>
          <w:p>
            <w:pPr>
              <w:jc w:val="right"/>
              <w:ind w:right="230"/>
              <w:spacing w:after="0" w:line="15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0"/>
              <w:spacing w:after="0" w:line="15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January 1, 2022</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115,714,943</w:t>
            </w:r>
          </w:p>
        </w:tc>
        <w:tc>
          <w:tcPr>
            <w:tcW w:w="54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$1,314</w:t>
            </w:r>
          </w:p>
        </w:tc>
        <w:tc>
          <w:tcPr>
            <w:tcW w:w="90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 (1,436,373)</w:t>
            </w:r>
          </w:p>
        </w:tc>
        <w:tc>
          <w:tcPr>
            <w:tcW w:w="16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3,502,715</w:t>
            </w:r>
          </w:p>
        </w:tc>
        <w:tc>
          <w:tcPr>
            <w:tcW w:w="280" w:type="dxa"/>
            <w:vAlign w:val="bottom"/>
            <w:tcBorders>
              <w:bottom w:val="single" w:sz="8" w:color="E0E0E0"/>
            </w:tcBorders>
            <w:gridSpan w:val="3"/>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6,004</w:t>
            </w:r>
          </w:p>
        </w:tc>
        <w:tc>
          <w:tcPr>
            <w:tcW w:w="8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(2,288,078)</w:t>
            </w:r>
          </w:p>
        </w:tc>
        <w:tc>
          <w:tcPr>
            <w:tcW w:w="220" w:type="dxa"/>
            <w:vAlign w:val="bottom"/>
            <w:tcBorders>
              <w:bottom w:val="single" w:sz="8" w:color="E0E0E0"/>
            </w:tcBorders>
            <w:gridSpan w:val="3"/>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(214,418)</w:t>
            </w:r>
          </w:p>
        </w:tc>
        <w:tc>
          <w:tcPr>
            <w:tcW w:w="220" w:type="dxa"/>
            <w:vAlign w:val="bottom"/>
            <w:tcBorders>
              <w:bottom w:val="single" w:sz="8" w:color="E0E0E0"/>
            </w:tcBorders>
            <w:gridSpan w:val="3"/>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(621,797)</w:t>
            </w:r>
          </w:p>
        </w:tc>
        <w:tc>
          <w:tcPr>
            <w:tcW w:w="20" w:type="dxa"/>
            <w:vAlign w:val="bottom"/>
            <w:tcBorders>
              <w:bottom w:val="single" w:sz="8" w:color="E0E0E0"/>
            </w:tcBorders>
            <w:shd w:val="clear" w:color="auto" w:fill="E0E0E0"/>
          </w:tcPr>
          <w:p>
            <w:pPr>
              <w:spacing w:after="0"/>
              <w:rPr>
                <w:sz w:val="16"/>
                <w:szCs w:val="16"/>
                <w:color w:val="auto"/>
              </w:rPr>
            </w:pPr>
          </w:p>
        </w:tc>
        <w:tc>
          <w:tcPr>
            <w:tcW w:w="200" w:type="dxa"/>
            <w:vAlign w:val="bottom"/>
            <w:tcBorders>
              <w:bottom w:val="single" w:sz="8" w:color="E0E0E0"/>
            </w:tcBorders>
            <w:gridSpan w:val="2"/>
            <w:shd w:val="clear" w:color="auto" w:fill="E0E0E0"/>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(836,215)</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(423,856)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(423,856)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(285,512)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(709,368)</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5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8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797,419</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9,279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9,288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9,288</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(115,521)</w:t>
            </w:r>
          </w:p>
        </w:tc>
        <w:tc>
          <w:tcPr>
            <w:tcW w:w="5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repurchased by the</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2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Company and held as treasury</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shares</w:t>
            </w: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(3,151,883)</w:t>
            </w:r>
          </w:p>
        </w:tc>
        <w:tc>
          <w:tcPr>
            <w:tcW w:w="40" w:type="dxa"/>
            <w:vAlign w:val="bottom"/>
          </w:tcPr>
          <w:p>
            <w:pPr>
              <w:spacing w:after="0"/>
              <w:rPr>
                <w:sz w:val="13"/>
                <w:szCs w:val="13"/>
                <w:color w:val="auto"/>
              </w:rPr>
            </w:pPr>
          </w:p>
        </w:tc>
        <w:tc>
          <w:tcPr>
            <w:tcW w:w="5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(187,499)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(187,499)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(187,499)</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Distribution to noncontrolling</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2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5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8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8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00" w:type="dxa"/>
            <w:vAlign w:val="bottom"/>
            <w:tcBorders>
              <w:bottom w:val="single" w:sz="8" w:color="E0E0E0"/>
            </w:tcBorders>
            <w:gridSpan w:val="3"/>
            <w:shd w:val="clear" w:color="auto" w:fill="E0E0E0"/>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(27,744)</w:t>
            </w:r>
          </w:p>
        </w:tc>
        <w:tc>
          <w:tcPr>
            <w:tcW w:w="2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(27,744)</w:t>
            </w:r>
          </w:p>
        </w:tc>
        <w:tc>
          <w:tcPr>
            <w:tcW w:w="0" w:type="dxa"/>
            <w:vAlign w:val="bottom"/>
          </w:tcPr>
          <w:p>
            <w:pPr>
              <w:spacing w:after="0"/>
              <w:rPr>
                <w:sz w:val="1"/>
                <w:szCs w:val="1"/>
                <w:color w:val="auto"/>
              </w:rPr>
            </w:pPr>
          </w:p>
        </w:tc>
      </w:tr>
      <w:tr>
        <w:trPr>
          <w:trHeight w:val="179"/>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Contribution from noncontrolling</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5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48,559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48,559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1,474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50,033</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Transactions with subsidiary</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2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minority shareholders</w:t>
            </w:r>
          </w:p>
        </w:tc>
        <w:tc>
          <w:tcPr>
            <w:tcW w:w="9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124,481</w:t>
            </w:r>
          </w:p>
        </w:tc>
        <w:tc>
          <w:tcPr>
            <w:tcW w:w="540" w:type="dxa"/>
            <w:vAlign w:val="bottom"/>
            <w:tcBorders>
              <w:bottom w:val="single" w:sz="8" w:color="E0E0E0"/>
            </w:tcBorders>
            <w:gridSpan w:val="2"/>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Borders>
              <w:bottom w:val="single" w:sz="8" w:color="E0E0E0"/>
            </w:tcBorders>
            <w:shd w:val="clear" w:color="auto" w:fill="E0E0E0"/>
          </w:tcPr>
          <w:p>
            <w:pPr>
              <w:spacing w:after="0"/>
              <w:rPr>
                <w:sz w:val="14"/>
                <w:szCs w:val="14"/>
                <w:color w:val="auto"/>
              </w:rPr>
            </w:pPr>
          </w:p>
        </w:tc>
        <w:tc>
          <w:tcPr>
            <w:tcW w:w="8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(14,053)</w:t>
            </w:r>
          </w:p>
        </w:tc>
        <w:tc>
          <w:tcPr>
            <w:tcW w:w="40" w:type="dxa"/>
            <w:vAlign w:val="bottom"/>
            <w:tcBorders>
              <w:bottom w:val="single" w:sz="8" w:color="E0E0E0"/>
            </w:tcBorders>
            <w:shd w:val="clear" w:color="auto" w:fill="E0E0E0"/>
          </w:tcPr>
          <w:p>
            <w:pPr>
              <w:spacing w:after="0"/>
              <w:rPr>
                <w:sz w:val="14"/>
                <w:szCs w:val="14"/>
                <w:color w:val="auto"/>
              </w:rPr>
            </w:pPr>
          </w:p>
        </w:tc>
        <w:tc>
          <w:tcPr>
            <w:tcW w:w="8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00" w:type="dxa"/>
            <w:vAlign w:val="bottom"/>
            <w:tcBorders>
              <w:bottom w:val="single" w:sz="8" w:color="E0E0E0"/>
            </w:tcBorders>
            <w:gridSpan w:val="3"/>
            <w:shd w:val="clear" w:color="auto" w:fill="E0E0E0"/>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(14,052)</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14,052</w:t>
            </w:r>
          </w:p>
        </w:tc>
        <w:tc>
          <w:tcPr>
            <w:tcW w:w="2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Subsidiary equity issuance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21,613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2,896</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bottom w:val="single" w:sz="8" w:color="E0E0E0"/>
            </w:tcBorders>
            <w:shd w:val="clear" w:color="auto" w:fill="E0E0E0"/>
          </w:tcPr>
          <w:p>
            <w:pPr>
              <w:spacing w:after="0"/>
              <w:rPr>
                <w:sz w:val="17"/>
                <w:szCs w:val="17"/>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56,139</w:t>
            </w:r>
          </w:p>
        </w:tc>
        <w:tc>
          <w:tcPr>
            <w:tcW w:w="40" w:type="dxa"/>
            <w:vAlign w:val="bottom"/>
            <w:tcBorders>
              <w:bottom w:val="single" w:sz="8" w:color="E0E0E0"/>
            </w:tcBorders>
            <w:shd w:val="clear" w:color="auto" w:fill="E0E0E0"/>
          </w:tcPr>
          <w:p>
            <w:pPr>
              <w:spacing w:after="0"/>
              <w:rPr>
                <w:sz w:val="17"/>
                <w:szCs w:val="17"/>
                <w:color w:val="auto"/>
              </w:rPr>
            </w:pPr>
          </w:p>
        </w:tc>
        <w:tc>
          <w:tcPr>
            <w:tcW w:w="8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7"/>
                <w:szCs w:val="17"/>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4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56,265</w:t>
            </w: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10,828</w:t>
            </w:r>
          </w:p>
        </w:tc>
        <w:tc>
          <w:tcPr>
            <w:tcW w:w="20" w:type="dxa"/>
            <w:vAlign w:val="bottom"/>
            <w:tcBorders>
              <w:bottom w:val="single" w:sz="8" w:color="E0E0E0"/>
            </w:tcBorders>
            <w:shd w:val="clear" w:color="auto" w:fill="E0E0E0"/>
          </w:tcPr>
          <w:p>
            <w:pPr>
              <w:spacing w:after="0"/>
              <w:rPr>
                <w:sz w:val="17"/>
                <w:szCs w:val="17"/>
                <w:color w:val="auto"/>
              </w:rPr>
            </w:pPr>
          </w:p>
        </w:tc>
        <w:tc>
          <w:tcPr>
            <w:tcW w:w="4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67,093</w:t>
            </w:r>
          </w:p>
        </w:tc>
        <w:tc>
          <w:tcPr>
            <w:tcW w:w="0" w:type="dxa"/>
            <w:vAlign w:val="bottom"/>
          </w:tcPr>
          <w:p>
            <w:pPr>
              <w:spacing w:after="0"/>
              <w:rPr>
                <w:sz w:val="1"/>
                <w:szCs w:val="1"/>
                <w:color w:val="auto"/>
              </w:rPr>
            </w:pPr>
          </w:p>
        </w:tc>
      </w:tr>
      <w:tr>
        <w:trPr>
          <w:trHeight w:val="170"/>
        </w:trPr>
        <w:tc>
          <w:tcPr>
            <w:tcW w:w="2120" w:type="dxa"/>
            <w:vAlign w:val="bottom"/>
            <w:tcBorders>
              <w:top w:val="single" w:sz="8" w:color="E0E0E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2022</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113,369,439</w:t>
            </w:r>
          </w:p>
        </w:tc>
        <w:tc>
          <w:tcPr>
            <w:tcW w:w="40" w:type="dxa"/>
            <w:vAlign w:val="bottom"/>
            <w:tcBorders>
              <w:top w:val="single" w:sz="8" w:color="E0E0E0"/>
            </w:tcBorders>
          </w:tcPr>
          <w:p>
            <w:pPr>
              <w:spacing w:after="0"/>
              <w:rPr>
                <w:sz w:val="14"/>
                <w:szCs w:val="14"/>
                <w:color w:val="auto"/>
              </w:rPr>
            </w:pPr>
          </w:p>
        </w:tc>
        <w:tc>
          <w:tcPr>
            <w:tcW w:w="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1,323</w:t>
            </w:r>
          </w:p>
        </w:tc>
        <w:tc>
          <w:tcPr>
            <w:tcW w:w="40" w:type="dxa"/>
            <w:vAlign w:val="bottom"/>
            <w:tcBorders>
              <w:top w:val="single" w:sz="8" w:color="E0E0E0"/>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(1,623,872)</w:t>
            </w:r>
          </w:p>
        </w:tc>
        <w:tc>
          <w:tcPr>
            <w:tcW w:w="40" w:type="dxa"/>
            <w:vAlign w:val="bottom"/>
            <w:tcBorders>
              <w:top w:val="single" w:sz="8" w:color="E0E0E0"/>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3,583,923</w:t>
            </w:r>
          </w:p>
        </w:tc>
        <w:tc>
          <w:tcPr>
            <w:tcW w:w="40" w:type="dxa"/>
            <w:vAlign w:val="bottom"/>
            <w:tcBorders>
              <w:top w:val="single" w:sz="8" w:color="E0E0E0"/>
            </w:tcBorders>
          </w:tcPr>
          <w:p>
            <w:pPr>
              <w:spacing w:after="0"/>
              <w:rPr>
                <w:sz w:val="14"/>
                <w:szCs w:val="14"/>
                <w:color w:val="auto"/>
              </w:rPr>
            </w:pPr>
          </w:p>
        </w:tc>
        <w:tc>
          <w:tcPr>
            <w:tcW w:w="80" w:type="dxa"/>
            <w:vAlign w:val="bottom"/>
            <w:tcBorders>
              <w:top w:val="single" w:sz="8" w:color="E0E0E0"/>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80" w:type="dxa"/>
            <w:vAlign w:val="bottom"/>
            <w:tcBorders>
              <w:top w:val="single" w:sz="8" w:color="E0E0E0"/>
            </w:tcBorders>
          </w:tcPr>
          <w:p>
            <w:pPr>
              <w:spacing w:after="0"/>
              <w:rPr>
                <w:sz w:val="14"/>
                <w:szCs w:val="14"/>
                <w:color w:val="auto"/>
              </w:rPr>
            </w:pPr>
          </w:p>
        </w:tc>
        <w:tc>
          <w:tcPr>
            <w:tcW w:w="40" w:type="dxa"/>
            <w:vAlign w:val="bottom"/>
            <w:tcBorders>
              <w:top w:val="single" w:sz="8" w:color="E0E0E0"/>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(2,711,808)</w:t>
            </w:r>
          </w:p>
        </w:tc>
        <w:tc>
          <w:tcPr>
            <w:tcW w:w="40" w:type="dxa"/>
            <w:vAlign w:val="bottom"/>
            <w:tcBorders>
              <w:top w:val="single" w:sz="8" w:color="E0E0E0"/>
            </w:tcBorders>
          </w:tcPr>
          <w:p>
            <w:pPr>
              <w:spacing w:after="0"/>
              <w:rPr>
                <w:sz w:val="14"/>
                <w:szCs w:val="14"/>
                <w:color w:val="auto"/>
              </w:rPr>
            </w:pPr>
          </w:p>
        </w:tc>
        <w:tc>
          <w:tcPr>
            <w:tcW w:w="20" w:type="dxa"/>
            <w:vAlign w:val="bottom"/>
            <w:tcBorders>
              <w:top w:val="single" w:sz="8" w:color="E0E0E0"/>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(750,838)</w:t>
            </w:r>
          </w:p>
        </w:tc>
        <w:tc>
          <w:tcPr>
            <w:tcW w:w="40" w:type="dxa"/>
            <w:vAlign w:val="bottom"/>
            <w:tcBorders>
              <w:top w:val="single" w:sz="8" w:color="E0E0E0"/>
            </w:tcBorders>
          </w:tcPr>
          <w:p>
            <w:pPr>
              <w:spacing w:after="0"/>
              <w:rPr>
                <w:sz w:val="14"/>
                <w:szCs w:val="14"/>
                <w:color w:val="auto"/>
              </w:rPr>
            </w:pPr>
          </w:p>
        </w:tc>
        <w:tc>
          <w:tcPr>
            <w:tcW w:w="20" w:type="dxa"/>
            <w:vAlign w:val="bottom"/>
            <w:tcBorders>
              <w:top w:val="single" w:sz="8" w:color="E0E0E0"/>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(889,527)</w:t>
            </w:r>
          </w:p>
        </w:tc>
        <w:tc>
          <w:tcPr>
            <w:tcW w:w="20" w:type="dxa"/>
            <w:vAlign w:val="bottom"/>
            <w:tcBorders>
              <w:top w:val="single" w:sz="8" w:color="E0E0E0"/>
            </w:tcBorders>
          </w:tcPr>
          <w:p>
            <w:pPr>
              <w:spacing w:after="0"/>
              <w:rPr>
                <w:sz w:val="14"/>
                <w:szCs w:val="14"/>
                <w:color w:val="auto"/>
              </w:rPr>
            </w:pPr>
          </w:p>
        </w:tc>
        <w:tc>
          <w:tcPr>
            <w:tcW w:w="40" w:type="dxa"/>
            <w:vAlign w:val="bottom"/>
            <w:tcBorders>
              <w:top w:val="single" w:sz="8" w:color="E0E0E0"/>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(1,640,365)</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729,994</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729,994</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52,223</w:t>
            </w:r>
          </w:p>
        </w:tc>
        <w:tc>
          <w:tcPr>
            <w:tcW w:w="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782,217</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3,810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3,810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1,487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5,297</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32,284</w:t>
            </w:r>
          </w:p>
        </w:tc>
        <w:tc>
          <w:tcPr>
            <w:tcW w:w="40" w:type="dxa"/>
            <w:vAlign w:val="bottom"/>
            <w:tcBorders>
              <w:bottom w:val="single" w:sz="8" w:color="E0E0E0"/>
            </w:tcBorders>
            <w:shd w:val="clear" w:color="auto" w:fill="E0E0E0"/>
          </w:tcPr>
          <w:p>
            <w:pPr>
              <w:spacing w:after="0"/>
              <w:rPr>
                <w:sz w:val="16"/>
                <w:szCs w:val="16"/>
                <w:color w:val="auto"/>
              </w:rPr>
            </w:pPr>
          </w:p>
        </w:tc>
        <w:tc>
          <w:tcPr>
            <w:tcW w:w="5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1,965</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3"/>
            <w:shd w:val="clear" w:color="auto" w:fill="E0E0E0"/>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1,965</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gridSpan w:val="2"/>
            <w:shd w:val="clear" w:color="auto" w:fill="E0E0E0"/>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1,965</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727,522</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6,638</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(23,256)</w:t>
            </w:r>
          </w:p>
        </w:tc>
        <w:tc>
          <w:tcPr>
            <w:tcW w:w="40" w:type="dxa"/>
            <w:vAlign w:val="bottom"/>
            <w:tcBorders>
              <w:bottom w:val="single" w:sz="8" w:color="E0E0E0"/>
            </w:tcBorders>
            <w:shd w:val="clear" w:color="auto" w:fill="E0E0E0"/>
          </w:tcPr>
          <w:p>
            <w:pPr>
              <w:spacing w:after="0"/>
              <w:rPr>
                <w:sz w:val="16"/>
                <w:szCs w:val="16"/>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repurchased by the</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2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Company and held as treasury</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shares</w:t>
            </w: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(2,374,925)</w:t>
            </w:r>
          </w:p>
        </w:tc>
        <w:tc>
          <w:tcPr>
            <w:tcW w:w="40" w:type="dxa"/>
            <w:vAlign w:val="bottom"/>
          </w:tcPr>
          <w:p>
            <w:pPr>
              <w:spacing w:after="0"/>
              <w:rPr>
                <w:sz w:val="13"/>
                <w:szCs w:val="13"/>
                <w:color w:val="auto"/>
              </w:rPr>
            </w:pPr>
          </w:p>
        </w:tc>
        <w:tc>
          <w:tcPr>
            <w:tcW w:w="5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(212,454)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(212,454)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(212,454)</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Cash dividends declared</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(85,139)</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(85,139)</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(85,139)</w:t>
            </w:r>
          </w:p>
        </w:tc>
        <w:tc>
          <w:tcPr>
            <w:tcW w:w="0" w:type="dxa"/>
            <w:vAlign w:val="bottom"/>
          </w:tcPr>
          <w:p>
            <w:pPr>
              <w:spacing w:after="0"/>
              <w:rPr>
                <w:sz w:val="1"/>
                <w:szCs w:val="1"/>
                <w:color w:val="auto"/>
              </w:rPr>
            </w:pPr>
          </w:p>
        </w:tc>
      </w:tr>
      <w:tr>
        <w:trPr>
          <w:trHeight w:val="179"/>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Distribution to noncontrolling</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5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(2,994)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(2,994)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(19,584)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(22,578)</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Transactions with subsidiary</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2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minority shareholders</w:t>
            </w:r>
          </w:p>
        </w:tc>
        <w:tc>
          <w:tcPr>
            <w:tcW w:w="9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6,181</w:t>
            </w:r>
          </w:p>
        </w:tc>
        <w:tc>
          <w:tcPr>
            <w:tcW w:w="40" w:type="dxa"/>
            <w:vAlign w:val="bottom"/>
            <w:tcBorders>
              <w:bottom w:val="single" w:sz="8" w:color="E0E0E0"/>
            </w:tcBorders>
            <w:shd w:val="clear" w:color="auto" w:fill="E0E0E0"/>
          </w:tcPr>
          <w:p>
            <w:pPr>
              <w:spacing w:after="0"/>
              <w:rPr>
                <w:sz w:val="14"/>
                <w:szCs w:val="14"/>
                <w:color w:val="auto"/>
              </w:rPr>
            </w:pPr>
          </w:p>
        </w:tc>
        <w:tc>
          <w:tcPr>
            <w:tcW w:w="5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8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(754)</w:t>
            </w:r>
          </w:p>
        </w:tc>
        <w:tc>
          <w:tcPr>
            <w:tcW w:w="40" w:type="dxa"/>
            <w:vAlign w:val="bottom"/>
            <w:tcBorders>
              <w:bottom w:val="single" w:sz="8" w:color="E0E0E0"/>
            </w:tcBorders>
            <w:shd w:val="clear" w:color="auto" w:fill="E0E0E0"/>
          </w:tcPr>
          <w:p>
            <w:pPr>
              <w:spacing w:after="0"/>
              <w:rPr>
                <w:sz w:val="14"/>
                <w:szCs w:val="14"/>
                <w:color w:val="auto"/>
              </w:rPr>
            </w:pPr>
          </w:p>
        </w:tc>
        <w:tc>
          <w:tcPr>
            <w:tcW w:w="8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00" w:type="dxa"/>
            <w:vAlign w:val="bottom"/>
            <w:tcBorders>
              <w:bottom w:val="single" w:sz="8" w:color="E0E0E0"/>
            </w:tcBorders>
            <w:gridSpan w:val="3"/>
            <w:shd w:val="clear" w:color="auto" w:fill="E0E0E0"/>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(754)</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754</w:t>
            </w:r>
          </w:p>
        </w:tc>
        <w:tc>
          <w:tcPr>
            <w:tcW w:w="2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58,390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58,390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5,095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63,485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2023</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111,737,245</w:t>
            </w:r>
          </w:p>
        </w:tc>
        <w:tc>
          <w:tcPr>
            <w:tcW w:w="54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1,330</w:t>
            </w:r>
          </w:p>
        </w:tc>
        <w:tc>
          <w:tcPr>
            <w:tcW w:w="90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(1,836,326)</w:t>
            </w:r>
          </w:p>
        </w:tc>
        <w:tc>
          <w:tcPr>
            <w:tcW w:w="4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3,647,161</w:t>
            </w:r>
          </w:p>
        </w:tc>
        <w:tc>
          <w:tcPr>
            <w:tcW w:w="40" w:type="dxa"/>
            <w:vAlign w:val="bottom"/>
            <w:tcBorders>
              <w:bottom w:val="single" w:sz="8" w:color="E0E0E0"/>
            </w:tcBorders>
            <w:shd w:val="clear" w:color="auto" w:fill="E0E0E0"/>
          </w:tcPr>
          <w:p>
            <w:pPr>
              <w:spacing w:after="0"/>
              <w:rPr>
                <w:sz w:val="15"/>
                <w:szCs w:val="15"/>
                <w:color w:val="auto"/>
              </w:rPr>
            </w:pPr>
          </w:p>
        </w:tc>
        <w:tc>
          <w:tcPr>
            <w:tcW w:w="80" w:type="dxa"/>
            <w:vAlign w:val="bottom"/>
            <w:tcBorders>
              <w:bottom w:val="single" w:sz="8" w:color="E0E0E0"/>
            </w:tcBorders>
            <w:shd w:val="clear" w:color="auto" w:fill="E0E0E0"/>
          </w:tcPr>
          <w:p>
            <w:pPr>
              <w:spacing w:after="0"/>
              <w:rPr>
                <w:sz w:val="15"/>
                <w:szCs w:val="15"/>
                <w:color w:val="auto"/>
              </w:rPr>
            </w:pPr>
          </w:p>
        </w:tc>
        <w:tc>
          <w:tcPr>
            <w:tcW w:w="160" w:type="dxa"/>
            <w:vAlign w:val="bottom"/>
            <w:tcBorders>
              <w:bottom w:val="single" w:sz="8" w:color="E0E0E0"/>
            </w:tcBorders>
            <w:shd w:val="clear" w:color="auto" w:fill="E0E0E0"/>
          </w:tcPr>
          <w:p>
            <w:pPr>
              <w:spacing w:after="0"/>
              <w:rPr>
                <w:sz w:val="15"/>
                <w:szCs w:val="15"/>
                <w:color w:val="auto"/>
              </w:rPr>
            </w:pPr>
          </w:p>
        </w:tc>
        <w:tc>
          <w:tcPr>
            <w:tcW w:w="5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3,406</w:t>
            </w:r>
          </w:p>
        </w:tc>
        <w:tc>
          <w:tcPr>
            <w:tcW w:w="80" w:type="dxa"/>
            <w:vAlign w:val="bottom"/>
            <w:tcBorders>
              <w:bottom w:val="single" w:sz="8" w:color="E0E0E0"/>
            </w:tcBorders>
            <w:shd w:val="clear" w:color="auto" w:fill="E0E0E0"/>
          </w:tcPr>
          <w:p>
            <w:pPr>
              <w:spacing w:after="0"/>
              <w:rPr>
                <w:sz w:val="15"/>
                <w:szCs w:val="15"/>
                <w:color w:val="auto"/>
              </w:rPr>
            </w:pPr>
          </w:p>
        </w:tc>
        <w:tc>
          <w:tcPr>
            <w:tcW w:w="40" w:type="dxa"/>
            <w:vAlign w:val="bottom"/>
            <w:tcBorders>
              <w:bottom w:val="single" w:sz="8" w:color="E0E0E0"/>
            </w:tcBorders>
            <w:shd w:val="clear" w:color="auto" w:fill="E0E0E0"/>
          </w:tcPr>
          <w:p>
            <w:pPr>
              <w:spacing w:after="0"/>
              <w:rPr>
                <w:sz w:val="15"/>
                <w:szCs w:val="15"/>
                <w:color w:val="auto"/>
              </w:rPr>
            </w:pPr>
          </w:p>
        </w:tc>
        <w:tc>
          <w:tcPr>
            <w:tcW w:w="180" w:type="dxa"/>
            <w:vAlign w:val="bottom"/>
            <w:tcBorders>
              <w:bottom w:val="single" w:sz="8" w:color="E0E0E0"/>
            </w:tcBorders>
            <w:shd w:val="clear" w:color="auto" w:fill="E0E0E0"/>
          </w:tcPr>
          <w:p>
            <w:pPr>
              <w:spacing w:after="0"/>
              <w:rPr>
                <w:sz w:val="15"/>
                <w:szCs w:val="15"/>
                <w:color w:val="auto"/>
              </w:rPr>
            </w:pP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(2,066,953)</w:t>
            </w:r>
          </w:p>
        </w:tc>
        <w:tc>
          <w:tcPr>
            <w:tcW w:w="40" w:type="dxa"/>
            <w:vAlign w:val="bottom"/>
            <w:tcBorders>
              <w:bottom w:val="single" w:sz="8" w:color="E0E0E0"/>
            </w:tcBorders>
            <w:shd w:val="clear" w:color="auto" w:fill="E0E0E0"/>
          </w:tcPr>
          <w:p>
            <w:pPr>
              <w:spacing w:after="0"/>
              <w:rPr>
                <w:sz w:val="15"/>
                <w:szCs w:val="15"/>
                <w:color w:val="auto"/>
              </w:rPr>
            </w:pPr>
          </w:p>
        </w:tc>
        <w:tc>
          <w:tcPr>
            <w:tcW w:w="20" w:type="dxa"/>
            <w:vAlign w:val="bottom"/>
            <w:tcBorders>
              <w:bottom w:val="single" w:sz="8" w:color="E0E0E0"/>
            </w:tcBorders>
            <w:shd w:val="clear" w:color="auto" w:fill="E0E0E0"/>
          </w:tcPr>
          <w:p>
            <w:pPr>
              <w:spacing w:after="0"/>
              <w:rPr>
                <w:sz w:val="15"/>
                <w:szCs w:val="15"/>
                <w:color w:val="auto"/>
              </w:rPr>
            </w:pPr>
          </w:p>
        </w:tc>
        <w:tc>
          <w:tcPr>
            <w:tcW w:w="160" w:type="dxa"/>
            <w:vAlign w:val="bottom"/>
            <w:tcBorders>
              <w:bottom w:val="single" w:sz="8" w:color="E0E0E0"/>
            </w:tcBorders>
            <w:shd w:val="clear" w:color="auto" w:fill="E0E0E0"/>
          </w:tcPr>
          <w:p>
            <w:pPr>
              <w:spacing w:after="0"/>
              <w:rPr>
                <w:sz w:val="15"/>
                <w:szCs w:val="15"/>
                <w:color w:val="auto"/>
              </w:rPr>
            </w:pPr>
          </w:p>
        </w:tc>
        <w:tc>
          <w:tcPr>
            <w:tcW w:w="7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(251,382)</w:t>
            </w:r>
          </w:p>
        </w:tc>
        <w:tc>
          <w:tcPr>
            <w:tcW w:w="40" w:type="dxa"/>
            <w:vAlign w:val="bottom"/>
            <w:tcBorders>
              <w:bottom w:val="single" w:sz="8" w:color="E0E0E0"/>
            </w:tcBorders>
            <w:shd w:val="clear" w:color="auto" w:fill="E0E0E0"/>
          </w:tcPr>
          <w:p>
            <w:pPr>
              <w:spacing w:after="0"/>
              <w:rPr>
                <w:sz w:val="15"/>
                <w:szCs w:val="15"/>
                <w:color w:val="auto"/>
              </w:rPr>
            </w:pPr>
          </w:p>
        </w:tc>
        <w:tc>
          <w:tcPr>
            <w:tcW w:w="20" w:type="dxa"/>
            <w:vAlign w:val="bottom"/>
            <w:tcBorders>
              <w:bottom w:val="single" w:sz="8" w:color="E0E0E0"/>
            </w:tcBorders>
            <w:shd w:val="clear" w:color="auto" w:fill="E0E0E0"/>
          </w:tcPr>
          <w:p>
            <w:pPr>
              <w:spacing w:after="0"/>
              <w:rPr>
                <w:sz w:val="15"/>
                <w:szCs w:val="15"/>
                <w:color w:val="auto"/>
              </w:rPr>
            </w:pPr>
          </w:p>
        </w:tc>
        <w:tc>
          <w:tcPr>
            <w:tcW w:w="160" w:type="dxa"/>
            <w:vAlign w:val="bottom"/>
            <w:tcBorders>
              <w:bottom w:val="single" w:sz="8" w:color="E0E0E0"/>
            </w:tcBorders>
            <w:shd w:val="clear" w:color="auto" w:fill="E0E0E0"/>
          </w:tcPr>
          <w:p>
            <w:pPr>
              <w:spacing w:after="0"/>
              <w:rPr>
                <w:sz w:val="15"/>
                <w:szCs w:val="15"/>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(849,552)</w:t>
            </w:r>
          </w:p>
        </w:tc>
        <w:tc>
          <w:tcPr>
            <w:tcW w:w="20" w:type="dxa"/>
            <w:vAlign w:val="bottom"/>
            <w:tcBorders>
              <w:bottom w:val="single" w:sz="8" w:color="E0E0E0"/>
            </w:tcBorders>
            <w:shd w:val="clear" w:color="auto" w:fill="E0E0E0"/>
          </w:tcPr>
          <w:p>
            <w:pPr>
              <w:spacing w:after="0"/>
              <w:rPr>
                <w:sz w:val="15"/>
                <w:szCs w:val="15"/>
                <w:color w:val="auto"/>
              </w:rPr>
            </w:pPr>
          </w:p>
        </w:tc>
        <w:tc>
          <w:tcPr>
            <w:tcW w:w="40" w:type="dxa"/>
            <w:vAlign w:val="bottom"/>
            <w:tcBorders>
              <w:bottom w:val="single" w:sz="8" w:color="E0E0E0"/>
            </w:tcBorders>
            <w:shd w:val="clear" w:color="auto" w:fill="E0E0E0"/>
          </w:tcPr>
          <w:p>
            <w:pPr>
              <w:spacing w:after="0"/>
              <w:rPr>
                <w:sz w:val="15"/>
                <w:szCs w:val="15"/>
                <w:color w:val="auto"/>
              </w:rPr>
            </w:pPr>
          </w:p>
        </w:tc>
        <w:tc>
          <w:tcPr>
            <w:tcW w:w="160" w:type="dxa"/>
            <w:vAlign w:val="bottom"/>
            <w:tcBorders>
              <w:bottom w:val="single" w:sz="8" w:color="E0E0E0"/>
            </w:tcBorders>
            <w:shd w:val="clear" w:color="auto" w:fill="E0E0E0"/>
          </w:tcPr>
          <w:p>
            <w:pPr>
              <w:spacing w:after="0"/>
              <w:rPr>
                <w:sz w:val="15"/>
                <w:szCs w:val="15"/>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(1,100,934)</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501,078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501,078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138,638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639,716</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5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8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(12,700)</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17,285</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597,633</w:t>
            </w:r>
          </w:p>
        </w:tc>
        <w:tc>
          <w:tcPr>
            <w:tcW w:w="54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E0E0E0"/>
            </w:tcBorders>
            <w:shd w:val="clear" w:color="auto" w:fill="E0E0E0"/>
          </w:tcPr>
          <w:p>
            <w:pPr>
              <w:spacing w:after="0"/>
              <w:rPr>
                <w:sz w:val="16"/>
                <w:szCs w:val="16"/>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8,009</w:t>
            </w:r>
          </w:p>
        </w:tc>
        <w:tc>
          <w:tcPr>
            <w:tcW w:w="4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8,015</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8,053</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(29,708)</w:t>
            </w:r>
          </w:p>
        </w:tc>
        <w:tc>
          <w:tcPr>
            <w:tcW w:w="40" w:type="dxa"/>
            <w:vAlign w:val="bottom"/>
          </w:tcPr>
          <w:p>
            <w:pPr>
              <w:spacing w:after="0"/>
              <w:rPr>
                <w:sz w:val="15"/>
                <w:szCs w:val="15"/>
                <w:color w:val="auto"/>
              </w:rPr>
            </w:pPr>
          </w:p>
        </w:tc>
        <w:tc>
          <w:tcPr>
            <w:tcW w:w="5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Shares repurchased by the</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20" w:type="dxa"/>
            <w:vAlign w:val="bottom"/>
            <w:shd w:val="clear" w:color="auto" w:fill="E0E0E0"/>
          </w:tcPr>
          <w:p>
            <w:pPr>
              <w:ind w:left="60"/>
              <w:spacing w:after="0" w:line="150" w:lineRule="exact"/>
              <w:rPr>
                <w:sz w:val="20"/>
                <w:szCs w:val="20"/>
                <w:color w:val="auto"/>
              </w:rPr>
            </w:pPr>
            <w:r>
              <w:rPr>
                <w:rFonts w:ascii="Times New Roman" w:cs="Times New Roman" w:eastAsia="Times New Roman" w:hAnsi="Times New Roman"/>
                <w:sz w:val="14"/>
                <w:szCs w:val="14"/>
                <w:color w:val="auto"/>
              </w:rPr>
              <w:t>Company and held as treasury</w:t>
            </w:r>
          </w:p>
        </w:tc>
        <w:tc>
          <w:tcPr>
            <w:tcW w:w="90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50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86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78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160" w:type="dxa"/>
            <w:vAlign w:val="bottom"/>
            <w:shd w:val="clear" w:color="auto" w:fill="E0E0E0"/>
          </w:tcPr>
          <w:p>
            <w:pPr>
              <w:spacing w:after="0"/>
              <w:rPr>
                <w:sz w:val="13"/>
                <w:szCs w:val="13"/>
                <w:color w:val="auto"/>
              </w:rPr>
            </w:pPr>
          </w:p>
        </w:tc>
        <w:tc>
          <w:tcPr>
            <w:tcW w:w="58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180" w:type="dxa"/>
            <w:vAlign w:val="bottom"/>
            <w:shd w:val="clear" w:color="auto" w:fill="E0E0E0"/>
          </w:tcPr>
          <w:p>
            <w:pPr>
              <w:spacing w:after="0"/>
              <w:rPr>
                <w:sz w:val="13"/>
                <w:szCs w:val="13"/>
                <w:color w:val="auto"/>
              </w:rPr>
            </w:pPr>
          </w:p>
        </w:tc>
        <w:tc>
          <w:tcPr>
            <w:tcW w:w="80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60" w:type="dxa"/>
            <w:vAlign w:val="bottom"/>
            <w:shd w:val="clear" w:color="auto" w:fill="E0E0E0"/>
          </w:tcPr>
          <w:p>
            <w:pPr>
              <w:spacing w:after="0"/>
              <w:rPr>
                <w:sz w:val="13"/>
                <w:szCs w:val="13"/>
                <w:color w:val="auto"/>
              </w:rPr>
            </w:pPr>
          </w:p>
        </w:tc>
        <w:tc>
          <w:tcPr>
            <w:tcW w:w="74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60" w:type="dxa"/>
            <w:vAlign w:val="bottom"/>
            <w:shd w:val="clear" w:color="auto" w:fill="E0E0E0"/>
          </w:tcPr>
          <w:p>
            <w:pPr>
              <w:spacing w:after="0"/>
              <w:rPr>
                <w:sz w:val="13"/>
                <w:szCs w:val="13"/>
                <w:color w:val="auto"/>
              </w:rPr>
            </w:pPr>
          </w:p>
        </w:tc>
        <w:tc>
          <w:tcPr>
            <w:tcW w:w="7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40" w:type="dxa"/>
            <w:vAlign w:val="bottom"/>
            <w:shd w:val="clear" w:color="auto" w:fill="E0E0E0"/>
          </w:tcPr>
          <w:p>
            <w:pPr>
              <w:spacing w:after="0"/>
              <w:rPr>
                <w:sz w:val="13"/>
                <w:szCs w:val="13"/>
                <w:color w:val="auto"/>
              </w:rPr>
            </w:pPr>
          </w:p>
        </w:tc>
        <w:tc>
          <w:tcPr>
            <w:tcW w:w="160" w:type="dxa"/>
            <w:vAlign w:val="bottom"/>
            <w:shd w:val="clear" w:color="auto" w:fill="E0E0E0"/>
          </w:tcPr>
          <w:p>
            <w:pPr>
              <w:spacing w:after="0"/>
              <w:rPr>
                <w:sz w:val="13"/>
                <w:szCs w:val="13"/>
                <w:color w:val="auto"/>
              </w:rPr>
            </w:pPr>
          </w:p>
        </w:tc>
        <w:tc>
          <w:tcPr>
            <w:tcW w:w="7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2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shares</w:t>
            </w:r>
          </w:p>
        </w:tc>
        <w:tc>
          <w:tcPr>
            <w:tcW w:w="90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(4,500,888)</w:t>
            </w:r>
          </w:p>
        </w:tc>
        <w:tc>
          <w:tcPr>
            <w:tcW w:w="40" w:type="dxa"/>
            <w:vAlign w:val="bottom"/>
            <w:tcBorders>
              <w:bottom w:val="single" w:sz="8" w:color="E0E0E0"/>
            </w:tcBorders>
            <w:shd w:val="clear" w:color="auto" w:fill="E0E0E0"/>
          </w:tcPr>
          <w:p>
            <w:pPr>
              <w:spacing w:after="0"/>
              <w:rPr>
                <w:sz w:val="14"/>
                <w:szCs w:val="14"/>
                <w:color w:val="auto"/>
              </w:rPr>
            </w:pPr>
          </w:p>
        </w:tc>
        <w:tc>
          <w:tcPr>
            <w:tcW w:w="5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E0E0E0"/>
            </w:tcBorders>
            <w:gridSpan w:val="2"/>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(405,281)</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8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00" w:type="dxa"/>
            <w:vAlign w:val="bottom"/>
            <w:tcBorders>
              <w:bottom w:val="single" w:sz="8" w:color="E0E0E0"/>
            </w:tcBorders>
            <w:gridSpan w:val="3"/>
            <w:shd w:val="clear" w:color="auto" w:fill="E0E0E0"/>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(405,281)</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gridSpan w:val="2"/>
            <w:shd w:val="clear" w:color="auto" w:fill="E0E0E0"/>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72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(405,281)</w:t>
            </w:r>
          </w:p>
        </w:tc>
        <w:tc>
          <w:tcPr>
            <w:tcW w:w="0" w:type="dxa"/>
            <w:vAlign w:val="bottom"/>
          </w:tcPr>
          <w:p>
            <w:pPr>
              <w:spacing w:after="0"/>
              <w:rPr>
                <w:sz w:val="1"/>
                <w:szCs w:val="1"/>
                <w:color w:val="auto"/>
              </w:rPr>
            </w:pPr>
          </w:p>
        </w:tc>
      </w:tr>
      <w:tr>
        <w:trPr>
          <w:trHeight w:val="180"/>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dividends declared</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(139,894)</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Distribution to noncontrolling</w:t>
            </w:r>
          </w:p>
        </w:tc>
        <w:tc>
          <w:tcPr>
            <w:tcW w:w="90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50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86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00" w:type="dxa"/>
            <w:vAlign w:val="bottom"/>
            <w:gridSpan w:val="3"/>
            <w:vMerge w:val="restart"/>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0E0E0"/>
          </w:tcPr>
          <w:p>
            <w:pPr>
              <w:spacing w:after="0"/>
              <w:rPr>
                <w:sz w:val="15"/>
                <w:szCs w:val="15"/>
                <w:color w:val="auto"/>
              </w:rPr>
            </w:pPr>
          </w:p>
        </w:tc>
        <w:tc>
          <w:tcPr>
            <w:tcW w:w="80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(16,988)</w:t>
            </w:r>
          </w:p>
        </w:tc>
        <w:tc>
          <w:tcPr>
            <w:tcW w:w="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(16,988)</w:t>
            </w:r>
          </w:p>
        </w:tc>
        <w:tc>
          <w:tcPr>
            <w:tcW w:w="0" w:type="dxa"/>
            <w:vAlign w:val="bottom"/>
          </w:tcPr>
          <w:p>
            <w:pPr>
              <w:spacing w:after="0"/>
              <w:rPr>
                <w:sz w:val="1"/>
                <w:szCs w:val="1"/>
                <w:color w:val="auto"/>
              </w:rPr>
            </w:pPr>
          </w:p>
        </w:tc>
      </w:tr>
      <w:tr>
        <w:trPr>
          <w:trHeight w:val="45"/>
        </w:trPr>
        <w:tc>
          <w:tcPr>
            <w:tcW w:w="2120" w:type="dxa"/>
            <w:vAlign w:val="bottom"/>
            <w:vMerge w:val="restart"/>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5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86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120" w:type="dxa"/>
            <w:vAlign w:val="bottom"/>
            <w:shd w:val="clear" w:color="auto" w:fill="E0E0E0"/>
          </w:tcPr>
          <w:p>
            <w:pPr>
              <w:spacing w:after="0"/>
              <w:rPr>
                <w:sz w:val="3"/>
                <w:szCs w:val="3"/>
                <w:color w:val="auto"/>
              </w:rPr>
            </w:pPr>
          </w:p>
        </w:tc>
        <w:tc>
          <w:tcPr>
            <w:tcW w:w="78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80" w:type="dxa"/>
            <w:vAlign w:val="bottom"/>
            <w:shd w:val="clear" w:color="auto" w:fill="E0E0E0"/>
          </w:tcPr>
          <w:p>
            <w:pPr>
              <w:spacing w:after="0"/>
              <w:rPr>
                <w:sz w:val="3"/>
                <w:szCs w:val="3"/>
                <w:color w:val="auto"/>
              </w:rPr>
            </w:pPr>
          </w:p>
        </w:tc>
        <w:tc>
          <w:tcPr>
            <w:tcW w:w="160" w:type="dxa"/>
            <w:vAlign w:val="bottom"/>
            <w:shd w:val="clear" w:color="auto" w:fill="E0E0E0"/>
          </w:tcPr>
          <w:p>
            <w:pPr>
              <w:spacing w:after="0"/>
              <w:rPr>
                <w:sz w:val="3"/>
                <w:szCs w:val="3"/>
                <w:color w:val="auto"/>
              </w:rPr>
            </w:pPr>
          </w:p>
        </w:tc>
        <w:tc>
          <w:tcPr>
            <w:tcW w:w="700" w:type="dxa"/>
            <w:vAlign w:val="bottom"/>
            <w:gridSpan w:val="3"/>
            <w:vMerge w:val="continue"/>
            <w:shd w:val="clear" w:color="auto" w:fill="E0E0E0"/>
          </w:tcPr>
          <w:p>
            <w:pPr>
              <w:spacing w:after="0"/>
              <w:rPr>
                <w:sz w:val="3"/>
                <w:szCs w:val="3"/>
                <w:color w:val="auto"/>
              </w:rPr>
            </w:pPr>
          </w:p>
        </w:tc>
        <w:tc>
          <w:tcPr>
            <w:tcW w:w="180" w:type="dxa"/>
            <w:vAlign w:val="bottom"/>
            <w:shd w:val="clear" w:color="auto" w:fill="E0E0E0"/>
          </w:tcPr>
          <w:p>
            <w:pPr>
              <w:spacing w:after="0"/>
              <w:rPr>
                <w:sz w:val="3"/>
                <w:szCs w:val="3"/>
                <w:color w:val="auto"/>
              </w:rPr>
            </w:pPr>
          </w:p>
        </w:tc>
        <w:tc>
          <w:tcPr>
            <w:tcW w:w="8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20" w:type="dxa"/>
            <w:vAlign w:val="bottom"/>
            <w:shd w:val="clear" w:color="auto" w:fill="E0E0E0"/>
          </w:tcPr>
          <w:p>
            <w:pPr>
              <w:spacing w:after="0"/>
              <w:rPr>
                <w:sz w:val="3"/>
                <w:szCs w:val="3"/>
                <w:color w:val="auto"/>
              </w:rPr>
            </w:pPr>
          </w:p>
        </w:tc>
        <w:tc>
          <w:tcPr>
            <w:tcW w:w="160" w:type="dxa"/>
            <w:vAlign w:val="bottom"/>
            <w:shd w:val="clear" w:color="auto" w:fill="E0E0E0"/>
          </w:tcPr>
          <w:p>
            <w:pPr>
              <w:spacing w:after="0"/>
              <w:rPr>
                <w:sz w:val="3"/>
                <w:szCs w:val="3"/>
                <w:color w:val="auto"/>
              </w:rPr>
            </w:pPr>
          </w:p>
        </w:tc>
        <w:tc>
          <w:tcPr>
            <w:tcW w:w="74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20" w:type="dxa"/>
            <w:vAlign w:val="bottom"/>
            <w:shd w:val="clear" w:color="auto" w:fill="E0E0E0"/>
          </w:tcPr>
          <w:p>
            <w:pPr>
              <w:spacing w:after="0"/>
              <w:rPr>
                <w:sz w:val="3"/>
                <w:szCs w:val="3"/>
                <w:color w:val="auto"/>
              </w:rPr>
            </w:pPr>
          </w:p>
        </w:tc>
        <w:tc>
          <w:tcPr>
            <w:tcW w:w="160" w:type="dxa"/>
            <w:vAlign w:val="bottom"/>
            <w:shd w:val="clear" w:color="auto" w:fill="E0E0E0"/>
          </w:tcPr>
          <w:p>
            <w:pPr>
              <w:spacing w:after="0"/>
              <w:rPr>
                <w:sz w:val="3"/>
                <w:szCs w:val="3"/>
                <w:color w:val="auto"/>
              </w:rPr>
            </w:pPr>
          </w:p>
        </w:tc>
        <w:tc>
          <w:tcPr>
            <w:tcW w:w="720" w:type="dxa"/>
            <w:vAlign w:val="bottom"/>
            <w:vMerge w:val="continue"/>
            <w:shd w:val="clear" w:color="auto" w:fill="E0E0E0"/>
          </w:tcPr>
          <w:p>
            <w:pPr>
              <w:spacing w:after="0"/>
              <w:rPr>
                <w:sz w:val="3"/>
                <w:szCs w:val="3"/>
                <w:color w:val="auto"/>
              </w:rPr>
            </w:pPr>
          </w:p>
        </w:tc>
        <w:tc>
          <w:tcPr>
            <w:tcW w:w="20" w:type="dxa"/>
            <w:vAlign w:val="bottom"/>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160" w:type="dxa"/>
            <w:vAlign w:val="bottom"/>
            <w:shd w:val="clear" w:color="auto" w:fill="E0E0E0"/>
          </w:tcPr>
          <w:p>
            <w:pPr>
              <w:spacing w:after="0"/>
              <w:rPr>
                <w:sz w:val="3"/>
                <w:szCs w:val="3"/>
                <w:color w:val="auto"/>
              </w:rPr>
            </w:pPr>
          </w:p>
        </w:tc>
        <w:tc>
          <w:tcPr>
            <w:tcW w:w="720" w:type="dxa"/>
            <w:vAlign w:val="bottom"/>
            <w:vMerge w:val="continue"/>
            <w:shd w:val="clear" w:color="auto" w:fill="E0E0E0"/>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120" w:type="dxa"/>
            <w:vAlign w:val="bottom"/>
            <w:tcBorders>
              <w:bottom w:val="single" w:sz="8" w:color="E0E0E0"/>
            </w:tcBorders>
            <w:vMerge w:val="continue"/>
            <w:shd w:val="clear" w:color="auto" w:fill="E0E0E0"/>
          </w:tcPr>
          <w:p>
            <w:pPr>
              <w:spacing w:after="0"/>
              <w:rPr>
                <w:sz w:val="10"/>
                <w:szCs w:val="10"/>
                <w:color w:val="auto"/>
              </w:rPr>
            </w:pPr>
          </w:p>
        </w:tc>
        <w:tc>
          <w:tcPr>
            <w:tcW w:w="90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50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86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20" w:type="dxa"/>
            <w:vAlign w:val="bottom"/>
            <w:tcBorders>
              <w:bottom w:val="single" w:sz="8" w:color="E0E0E0"/>
            </w:tcBorders>
            <w:shd w:val="clear" w:color="auto" w:fill="E0E0E0"/>
          </w:tcPr>
          <w:p>
            <w:pPr>
              <w:spacing w:after="0"/>
              <w:rPr>
                <w:sz w:val="10"/>
                <w:szCs w:val="10"/>
                <w:color w:val="auto"/>
              </w:rPr>
            </w:pPr>
          </w:p>
        </w:tc>
        <w:tc>
          <w:tcPr>
            <w:tcW w:w="78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80" w:type="dxa"/>
            <w:vAlign w:val="bottom"/>
            <w:tcBorders>
              <w:bottom w:val="single" w:sz="8" w:color="E0E0E0"/>
            </w:tcBorders>
            <w:shd w:val="clear" w:color="auto" w:fill="E0E0E0"/>
          </w:tcPr>
          <w:p>
            <w:pPr>
              <w:spacing w:after="0"/>
              <w:rPr>
                <w:sz w:val="10"/>
                <w:szCs w:val="10"/>
                <w:color w:val="auto"/>
              </w:rPr>
            </w:pPr>
          </w:p>
        </w:tc>
        <w:tc>
          <w:tcPr>
            <w:tcW w:w="160" w:type="dxa"/>
            <w:vAlign w:val="bottom"/>
            <w:tcBorders>
              <w:bottom w:val="single" w:sz="8" w:color="E0E0E0"/>
            </w:tcBorders>
            <w:shd w:val="clear" w:color="auto" w:fill="E0E0E0"/>
          </w:tcPr>
          <w:p>
            <w:pPr>
              <w:spacing w:after="0"/>
              <w:rPr>
                <w:sz w:val="10"/>
                <w:szCs w:val="10"/>
                <w:color w:val="auto"/>
              </w:rPr>
            </w:pPr>
          </w:p>
        </w:tc>
        <w:tc>
          <w:tcPr>
            <w:tcW w:w="580" w:type="dxa"/>
            <w:vAlign w:val="bottom"/>
            <w:tcBorders>
              <w:bottom w:val="single" w:sz="8" w:color="E0E0E0"/>
            </w:tcBorders>
            <w:shd w:val="clear" w:color="auto" w:fill="E0E0E0"/>
          </w:tcPr>
          <w:p>
            <w:pPr>
              <w:spacing w:after="0"/>
              <w:rPr>
                <w:sz w:val="10"/>
                <w:szCs w:val="10"/>
                <w:color w:val="auto"/>
              </w:rPr>
            </w:pPr>
          </w:p>
        </w:tc>
        <w:tc>
          <w:tcPr>
            <w:tcW w:w="8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80" w:type="dxa"/>
            <w:vAlign w:val="bottom"/>
            <w:tcBorders>
              <w:bottom w:val="single" w:sz="8" w:color="E0E0E0"/>
            </w:tcBorders>
            <w:shd w:val="clear" w:color="auto" w:fill="E0E0E0"/>
          </w:tcPr>
          <w:p>
            <w:pPr>
              <w:spacing w:after="0"/>
              <w:rPr>
                <w:sz w:val="10"/>
                <w:szCs w:val="10"/>
                <w:color w:val="auto"/>
              </w:rPr>
            </w:pPr>
          </w:p>
        </w:tc>
        <w:tc>
          <w:tcPr>
            <w:tcW w:w="80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20" w:type="dxa"/>
            <w:vAlign w:val="bottom"/>
            <w:tcBorders>
              <w:bottom w:val="single" w:sz="8" w:color="E0E0E0"/>
            </w:tcBorders>
            <w:shd w:val="clear" w:color="auto" w:fill="E0E0E0"/>
          </w:tcPr>
          <w:p>
            <w:pPr>
              <w:spacing w:after="0"/>
              <w:rPr>
                <w:sz w:val="10"/>
                <w:szCs w:val="10"/>
                <w:color w:val="auto"/>
              </w:rPr>
            </w:pPr>
          </w:p>
        </w:tc>
        <w:tc>
          <w:tcPr>
            <w:tcW w:w="160" w:type="dxa"/>
            <w:vAlign w:val="bottom"/>
            <w:tcBorders>
              <w:bottom w:val="single" w:sz="8" w:color="E0E0E0"/>
            </w:tcBorders>
            <w:shd w:val="clear" w:color="auto" w:fill="E0E0E0"/>
          </w:tcPr>
          <w:p>
            <w:pPr>
              <w:spacing w:after="0"/>
              <w:rPr>
                <w:sz w:val="10"/>
                <w:szCs w:val="10"/>
                <w:color w:val="auto"/>
              </w:rPr>
            </w:pPr>
          </w:p>
        </w:tc>
        <w:tc>
          <w:tcPr>
            <w:tcW w:w="74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20" w:type="dxa"/>
            <w:vAlign w:val="bottom"/>
            <w:tcBorders>
              <w:bottom w:val="single" w:sz="8" w:color="E0E0E0"/>
            </w:tcBorders>
            <w:shd w:val="clear" w:color="auto" w:fill="E0E0E0"/>
          </w:tcPr>
          <w:p>
            <w:pPr>
              <w:spacing w:after="0"/>
              <w:rPr>
                <w:sz w:val="10"/>
                <w:szCs w:val="10"/>
                <w:color w:val="auto"/>
              </w:rPr>
            </w:pPr>
          </w:p>
        </w:tc>
        <w:tc>
          <w:tcPr>
            <w:tcW w:w="160" w:type="dxa"/>
            <w:vAlign w:val="bottom"/>
            <w:tcBorders>
              <w:bottom w:val="single" w:sz="8" w:color="E0E0E0"/>
            </w:tcBorders>
            <w:shd w:val="clear" w:color="auto" w:fill="E0E0E0"/>
          </w:tcPr>
          <w:p>
            <w:pPr>
              <w:spacing w:after="0"/>
              <w:rPr>
                <w:sz w:val="10"/>
                <w:szCs w:val="10"/>
                <w:color w:val="auto"/>
              </w:rPr>
            </w:pPr>
          </w:p>
        </w:tc>
        <w:tc>
          <w:tcPr>
            <w:tcW w:w="720" w:type="dxa"/>
            <w:vAlign w:val="bottom"/>
            <w:tcBorders>
              <w:bottom w:val="single" w:sz="8" w:color="E0E0E0"/>
            </w:tcBorders>
            <w:shd w:val="clear" w:color="auto" w:fill="E0E0E0"/>
          </w:tcPr>
          <w:p>
            <w:pPr>
              <w:spacing w:after="0"/>
              <w:rPr>
                <w:sz w:val="10"/>
                <w:szCs w:val="10"/>
                <w:color w:val="auto"/>
              </w:rPr>
            </w:pPr>
          </w:p>
        </w:tc>
        <w:tc>
          <w:tcPr>
            <w:tcW w:w="2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60" w:type="dxa"/>
            <w:vAlign w:val="bottom"/>
            <w:tcBorders>
              <w:bottom w:val="single" w:sz="8" w:color="E0E0E0"/>
            </w:tcBorders>
            <w:shd w:val="clear" w:color="auto" w:fill="E0E0E0"/>
          </w:tcPr>
          <w:p>
            <w:pPr>
              <w:spacing w:after="0"/>
              <w:rPr>
                <w:sz w:val="10"/>
                <w:szCs w:val="10"/>
                <w:color w:val="auto"/>
              </w:rPr>
            </w:pPr>
          </w:p>
        </w:tc>
        <w:tc>
          <w:tcPr>
            <w:tcW w:w="720" w:type="dxa"/>
            <w:vAlign w:val="bottom"/>
            <w:tcBorders>
              <w:bottom w:val="single" w:sz="8" w:color="E0E0E0"/>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Transactions with subsidiary</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2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minority shareholders</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5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(11,643)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(11,643)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11,643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5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8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bottom w:val="single" w:sz="8" w:color="E0E0E0"/>
            </w:tcBorders>
            <w:shd w:val="clear" w:color="auto" w:fill="E0E0E0"/>
          </w:tcPr>
          <w:p>
            <w:pPr>
              <w:spacing w:after="0"/>
              <w:rPr>
                <w:sz w:val="17"/>
                <w:szCs w:val="17"/>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54,256</w:t>
            </w:r>
          </w:p>
        </w:tc>
        <w:tc>
          <w:tcPr>
            <w:tcW w:w="40" w:type="dxa"/>
            <w:vAlign w:val="bottom"/>
            <w:tcBorders>
              <w:bottom w:val="single" w:sz="8" w:color="E0E0E0"/>
            </w:tcBorders>
            <w:shd w:val="clear" w:color="auto" w:fill="E0E0E0"/>
          </w:tcPr>
          <w:p>
            <w:pPr>
              <w:spacing w:after="0"/>
              <w:rPr>
                <w:sz w:val="17"/>
                <w:szCs w:val="17"/>
                <w:color w:val="auto"/>
              </w:rPr>
            </w:pPr>
          </w:p>
        </w:tc>
        <w:tc>
          <w:tcPr>
            <w:tcW w:w="8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00" w:type="dxa"/>
            <w:vAlign w:val="bottom"/>
            <w:tcBorders>
              <w:bottom w:val="single" w:sz="8" w:color="E0E0E0"/>
            </w:tcBorders>
            <w:gridSpan w:val="3"/>
            <w:shd w:val="clear" w:color="auto" w:fill="E0E0E0"/>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7"/>
                <w:szCs w:val="17"/>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4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54,256</w:t>
            </w: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4,152</w:t>
            </w:r>
          </w:p>
        </w:tc>
        <w:tc>
          <w:tcPr>
            <w:tcW w:w="20" w:type="dxa"/>
            <w:vAlign w:val="bottom"/>
            <w:tcBorders>
              <w:bottom w:val="single" w:sz="8" w:color="E0E0E0"/>
            </w:tcBorders>
            <w:shd w:val="clear" w:color="auto" w:fill="E0E0E0"/>
          </w:tcPr>
          <w:p>
            <w:pPr>
              <w:spacing w:after="0"/>
              <w:rPr>
                <w:sz w:val="17"/>
                <w:szCs w:val="17"/>
                <w:color w:val="auto"/>
              </w:rPr>
            </w:pPr>
          </w:p>
        </w:tc>
        <w:tc>
          <w:tcPr>
            <w:tcW w:w="4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7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58,408</w:t>
            </w:r>
          </w:p>
        </w:tc>
        <w:tc>
          <w:tcPr>
            <w:tcW w:w="0" w:type="dxa"/>
            <w:vAlign w:val="bottom"/>
          </w:tcPr>
          <w:p>
            <w:pPr>
              <w:spacing w:after="0"/>
              <w:rPr>
                <w:sz w:val="1"/>
                <w:szCs w:val="1"/>
                <w:color w:val="auto"/>
              </w:rPr>
            </w:pPr>
          </w:p>
        </w:tc>
      </w:tr>
      <w:tr>
        <w:trPr>
          <w:trHeight w:val="180"/>
        </w:trPr>
        <w:tc>
          <w:tcPr>
            <w:tcW w:w="2120" w:type="dxa"/>
            <w:vAlign w:val="bottom"/>
            <w:tcBorders>
              <w:top w:val="single" w:sz="8" w:color="E0E0E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2024</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107,821,567</w:t>
            </w:r>
          </w:p>
        </w:tc>
        <w:tc>
          <w:tcPr>
            <w:tcW w:w="40" w:type="dxa"/>
            <w:vAlign w:val="bottom"/>
            <w:tcBorders>
              <w:top w:val="single" w:sz="8" w:color="E0E0E0"/>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$1,336</w:t>
            </w:r>
          </w:p>
        </w:tc>
        <w:tc>
          <w:tcPr>
            <w:tcW w:w="40" w:type="dxa"/>
            <w:vAlign w:val="bottom"/>
            <w:tcBorders>
              <w:top w:val="single" w:sz="8" w:color="E0E0E0"/>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$(2,241,607)</w:t>
            </w:r>
          </w:p>
        </w:tc>
        <w:tc>
          <w:tcPr>
            <w:tcW w:w="40" w:type="dxa"/>
            <w:vAlign w:val="bottom"/>
            <w:tcBorders>
              <w:top w:val="single" w:sz="8" w:color="E0E0E0"/>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3,698,800</w:t>
            </w:r>
          </w:p>
        </w:tc>
        <w:tc>
          <w:tcPr>
            <w:tcW w:w="120" w:type="dxa"/>
            <w:vAlign w:val="bottom"/>
            <w:tcBorders>
              <w:top w:val="single" w:sz="8" w:color="E0E0E0"/>
            </w:tcBorders>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(5,700)</w:t>
            </w:r>
          </w:p>
        </w:tc>
        <w:tc>
          <w:tcPr>
            <w:tcW w:w="80" w:type="dxa"/>
            <w:vAlign w:val="bottom"/>
            <w:tcBorders>
              <w:top w:val="single" w:sz="8" w:color="E0E0E0"/>
            </w:tcBorders>
          </w:tcPr>
          <w:p>
            <w:pPr>
              <w:spacing w:after="0"/>
              <w:rPr>
                <w:sz w:val="15"/>
                <w:szCs w:val="15"/>
                <w:color w:val="auto"/>
              </w:rPr>
            </w:pPr>
          </w:p>
        </w:tc>
        <w:tc>
          <w:tcPr>
            <w:tcW w:w="40" w:type="dxa"/>
            <w:vAlign w:val="bottom"/>
            <w:tcBorders>
              <w:top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(1,676,990)</w:t>
            </w:r>
          </w:p>
        </w:tc>
        <w:tc>
          <w:tcPr>
            <w:tcW w:w="60" w:type="dxa"/>
            <w:vAlign w:val="bottom"/>
            <w:tcBorders>
              <w:top w:val="single" w:sz="8" w:color="E0E0E0"/>
            </w:tcBorders>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(224,161)</w:t>
            </w:r>
          </w:p>
        </w:tc>
        <w:tc>
          <w:tcPr>
            <w:tcW w:w="60" w:type="dxa"/>
            <w:vAlign w:val="bottom"/>
            <w:tcBorders>
              <w:top w:val="single" w:sz="8" w:color="E0E0E0"/>
            </w:tcBorders>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(744,442)</w:t>
            </w:r>
          </w:p>
        </w:tc>
        <w:tc>
          <w:tcPr>
            <w:tcW w:w="20" w:type="dxa"/>
            <w:vAlign w:val="bottom"/>
            <w:tcBorders>
              <w:top w:val="single" w:sz="8" w:color="E0E0E0"/>
            </w:tcBorders>
          </w:tcPr>
          <w:p>
            <w:pPr>
              <w:spacing w:after="0"/>
              <w:rPr>
                <w:sz w:val="15"/>
                <w:szCs w:val="15"/>
                <w:color w:val="auto"/>
              </w:rPr>
            </w:pPr>
          </w:p>
        </w:tc>
        <w:tc>
          <w:tcPr>
            <w:tcW w:w="40" w:type="dxa"/>
            <w:vAlign w:val="bottom"/>
            <w:tcBorders>
              <w:top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(968,603)</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70"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200"/>
          </w:cols>
          <w:pgMar w:left="840" w:top="670" w:right="840" w:bottom="3"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Pr>
          <w:p>
            <w:pPr>
              <w:spacing w:after="0"/>
              <w:rPr>
                <w:sz w:val="16"/>
                <w:szCs w:val="16"/>
                <w:color w:val="auto"/>
              </w:rPr>
            </w:pPr>
          </w:p>
        </w:tc>
      </w:tr>
      <w:tr>
        <w:trPr>
          <w:trHeight w:val="26"/>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spacing w:after="0"/>
              <w:rPr>
                <w:sz w:val="20"/>
                <w:szCs w:val="20"/>
                <w:color w:val="auto"/>
              </w:rPr>
            </w:pP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639,716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782,217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(709,368)</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8"/>
        </w:trPr>
        <w:tc>
          <w:tcPr>
            <w:tcW w:w="6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26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r>
      <w:tr>
        <w:trPr>
          <w:trHeight w:val="200"/>
        </w:trPr>
        <w:tc>
          <w:tcPr>
            <w:tcW w:w="6320" w:type="dxa"/>
            <w:vAlign w:val="bottom"/>
            <w:tcBorders>
              <w:bottom w:val="single" w:sz="8" w:color="E0E0E0"/>
            </w:tcBorders>
            <w:shd w:val="clear" w:color="auto" w:fill="E0E0E0"/>
          </w:tcPr>
          <w:p>
            <w:pPr>
              <w:ind w:left="220"/>
              <w:spacing w:after="0"/>
              <w:rPr>
                <w:sz w:val="20"/>
                <w:szCs w:val="20"/>
                <w:color w:val="auto"/>
              </w:rPr>
            </w:pPr>
            <w:r>
              <w:rPr>
                <w:rFonts w:ascii="Times New Roman" w:cs="Times New Roman" w:eastAsia="Times New Roman" w:hAnsi="Times New Roman"/>
                <w:sz w:val="16"/>
                <w:szCs w:val="16"/>
                <w:color w:val="auto"/>
              </w:rPr>
              <w:t>activities:</w:t>
            </w:r>
          </w:p>
        </w:tc>
        <w:tc>
          <w:tcPr>
            <w:tcW w:w="260" w:type="dxa"/>
            <w:vAlign w:val="bottom"/>
            <w:tcBorders>
              <w:bottom w:val="single" w:sz="8" w:color="E0E0E0"/>
            </w:tcBorders>
            <w:shd w:val="clear" w:color="auto" w:fill="E0E0E0"/>
          </w:tcPr>
          <w:p>
            <w:pPr>
              <w:spacing w:after="0"/>
              <w:rPr>
                <w:sz w:val="17"/>
                <w:szCs w:val="17"/>
                <w:color w:val="auto"/>
              </w:rPr>
            </w:pPr>
          </w:p>
        </w:tc>
        <w:tc>
          <w:tcPr>
            <w:tcW w:w="900" w:type="dxa"/>
            <w:vAlign w:val="bottom"/>
            <w:tcBorders>
              <w:bottom w:val="single" w:sz="8" w:color="E0E0E0"/>
            </w:tcBorders>
            <w:shd w:val="clear" w:color="auto" w:fill="E0E0E0"/>
          </w:tcPr>
          <w:p>
            <w:pPr>
              <w:spacing w:after="0"/>
              <w:rPr>
                <w:sz w:val="17"/>
                <w:szCs w:val="17"/>
                <w:color w:val="auto"/>
              </w:rPr>
            </w:pPr>
          </w:p>
        </w:tc>
        <w:tc>
          <w:tcPr>
            <w:tcW w:w="200" w:type="dxa"/>
            <w:vAlign w:val="bottom"/>
            <w:tcBorders>
              <w:bottom w:val="single" w:sz="8" w:color="E0E0E0"/>
            </w:tcBorders>
            <w:shd w:val="clear" w:color="auto" w:fill="E0E0E0"/>
          </w:tcPr>
          <w:p>
            <w:pPr>
              <w:spacing w:after="0"/>
              <w:rPr>
                <w:sz w:val="17"/>
                <w:szCs w:val="17"/>
                <w:color w:val="auto"/>
              </w:rPr>
            </w:pPr>
          </w:p>
        </w:tc>
        <w:tc>
          <w:tcPr>
            <w:tcW w:w="260" w:type="dxa"/>
            <w:vAlign w:val="bottom"/>
            <w:tcBorders>
              <w:bottom w:val="single" w:sz="8" w:color="E0E0E0"/>
            </w:tcBorders>
            <w:shd w:val="clear" w:color="auto" w:fill="E0E0E0"/>
          </w:tcPr>
          <w:p>
            <w:pPr>
              <w:spacing w:after="0"/>
              <w:rPr>
                <w:sz w:val="17"/>
                <w:szCs w:val="17"/>
                <w:color w:val="auto"/>
              </w:rPr>
            </w:pPr>
          </w:p>
        </w:tc>
        <w:tc>
          <w:tcPr>
            <w:tcW w:w="900" w:type="dxa"/>
            <w:vAlign w:val="bottom"/>
            <w:tcBorders>
              <w:bottom w:val="single" w:sz="8" w:color="E0E0E0"/>
            </w:tcBorders>
            <w:shd w:val="clear" w:color="auto" w:fill="E0E0E0"/>
          </w:tcPr>
          <w:p>
            <w:pPr>
              <w:spacing w:after="0"/>
              <w:rPr>
                <w:sz w:val="17"/>
                <w:szCs w:val="17"/>
                <w:color w:val="auto"/>
              </w:rPr>
            </w:pPr>
          </w:p>
        </w:tc>
        <w:tc>
          <w:tcPr>
            <w:tcW w:w="200" w:type="dxa"/>
            <w:vAlign w:val="bottom"/>
            <w:tcBorders>
              <w:bottom w:val="single" w:sz="8" w:color="E0E0E0"/>
            </w:tcBorders>
            <w:shd w:val="clear" w:color="auto" w:fill="E0E0E0"/>
          </w:tcPr>
          <w:p>
            <w:pPr>
              <w:spacing w:after="0"/>
              <w:rPr>
                <w:sz w:val="17"/>
                <w:szCs w:val="17"/>
                <w:color w:val="auto"/>
              </w:rPr>
            </w:pPr>
          </w:p>
        </w:tc>
        <w:tc>
          <w:tcPr>
            <w:tcW w:w="280" w:type="dxa"/>
            <w:vAlign w:val="bottom"/>
            <w:tcBorders>
              <w:bottom w:val="single" w:sz="8" w:color="E0E0E0"/>
            </w:tcBorders>
            <w:shd w:val="clear" w:color="auto" w:fill="E0E0E0"/>
          </w:tcPr>
          <w:p>
            <w:pPr>
              <w:spacing w:after="0"/>
              <w:rPr>
                <w:sz w:val="17"/>
                <w:szCs w:val="17"/>
                <w:color w:val="auto"/>
              </w:rPr>
            </w:pPr>
          </w:p>
        </w:tc>
        <w:tc>
          <w:tcPr>
            <w:tcW w:w="880" w:type="dxa"/>
            <w:vAlign w:val="bottom"/>
            <w:tcBorders>
              <w:bottom w:val="single" w:sz="8" w:color="E0E0E0"/>
            </w:tcBorders>
            <w:shd w:val="clear" w:color="auto" w:fill="E0E0E0"/>
          </w:tcPr>
          <w:p>
            <w:pPr>
              <w:spacing w:after="0"/>
              <w:rPr>
                <w:sz w:val="17"/>
                <w:szCs w:val="17"/>
                <w:color w:val="auto"/>
              </w:rPr>
            </w:pP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687,270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692,318</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(502,784)</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3,241</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67,627</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39,428</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39,532</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29,427</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debt financing transactions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(7,295)</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(15,956)</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Gain on EBH Transaction, net</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(181,989)</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94,490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48,036</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106,332</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117,176</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59,305</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700"/>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13,478</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(123,747)</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(9,335)</w:t>
            </w:r>
          </w:p>
        </w:tc>
      </w:tr>
      <w:tr>
        <w:trPr>
          <w:trHeight w:val="228"/>
        </w:trPr>
        <w:tc>
          <w:tcPr>
            <w:tcW w:w="63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(19,737)</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700"/>
              <w:spacing w:after="0"/>
              <w:rPr>
                <w:sz w:val="20"/>
                <w:szCs w:val="20"/>
                <w:color w:val="auto"/>
              </w:rPr>
            </w:pPr>
            <w:r>
              <w:rPr>
                <w:rFonts w:ascii="Times New Roman" w:cs="Times New Roman" w:eastAsia="Times New Roman" w:hAnsi="Times New Roman"/>
                <w:sz w:val="16"/>
                <w:szCs w:val="16"/>
                <w:color w:val="auto"/>
              </w:rPr>
              <w:t>Customer deposits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(36,967)</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37,951</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69,692</w:t>
            </w:r>
          </w:p>
        </w:tc>
      </w:tr>
      <w:tr>
        <w:trPr>
          <w:trHeight w:val="236"/>
        </w:trPr>
        <w:tc>
          <w:tcPr>
            <w:tcW w:w="63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(97,238)</w:t>
            </w:r>
          </w:p>
        </w:tc>
      </w:tr>
      <w:tr>
        <w:trPr>
          <w:trHeight w:val="234"/>
        </w:trPr>
        <w:tc>
          <w:tcPr>
            <w:tcW w:w="6320" w:type="dxa"/>
            <w:vAlign w:val="bottom"/>
            <w:tcBorders>
              <w:bottom w:val="single" w:sz="8" w:color="E0E0E0"/>
            </w:tcBorders>
            <w:shd w:val="clear" w:color="auto" w:fill="E0E0E0"/>
          </w:tcPr>
          <w:p>
            <w:pPr>
              <w:ind w:left="10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1,426,203</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1,247,879</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(71,272)</w:t>
            </w:r>
          </w:p>
        </w:tc>
      </w:tr>
      <w:tr>
        <w:trPr>
          <w:trHeight w:val="226"/>
        </w:trPr>
        <w:tc>
          <w:tcPr>
            <w:tcW w:w="63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(419,929)</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(442,793)</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(300,127)</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(40,181)</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Purchase of investments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(836,519)</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maturity of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(10,752)</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(12,196)</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EBH Transaction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1,700,000</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52,404</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35"/>
        </w:trPr>
        <w:tc>
          <w:tcPr>
            <w:tcW w:w="632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(83,558)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(1,342,533)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1,348,967</w:t>
            </w:r>
          </w:p>
        </w:tc>
      </w:tr>
      <w:tr>
        <w:trPr>
          <w:trHeight w:val="231"/>
        </w:trPr>
        <w:tc>
          <w:tcPr>
            <w:tcW w:w="63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spacing w:after="0"/>
              <w:rPr>
                <w:sz w:val="20"/>
                <w:szCs w:val="20"/>
                <w:color w:val="auto"/>
              </w:rPr>
            </w:pP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1,883,794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211,435</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(3,059,832)</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(1,533,124)</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(401,802)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(187,499)</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subsidiary common stock</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Proceeds from sale of noncontrolling interest in subsidiary</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50,033</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 to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(27,744)</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(139,564)</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(84,733)</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Finance lease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(18,188)</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(36,714)</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(41,240)</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(3,165)</w:t>
            </w:r>
          </w:p>
        </w:tc>
      </w:tr>
      <w:tr>
        <w:trPr>
          <w:trHeight w:val="236"/>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320" w:type="dxa"/>
            <w:vAlign w:val="bottom"/>
            <w:tcBorders>
              <w:bottom w:val="single" w:sz="8" w:color="E0E0E0"/>
            </w:tcBorders>
            <w:shd w:val="clear" w:color="auto" w:fill="E0E0E0"/>
          </w:tcPr>
          <w:p>
            <w:pPr>
              <w:ind w:left="10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(1,793,794)</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(719,206)</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(23,678)</w:t>
            </w:r>
          </w:p>
        </w:tc>
      </w:tr>
      <w:tr>
        <w:trPr>
          <w:trHeight w:val="228"/>
        </w:trPr>
        <w:tc>
          <w:tcPr>
            <w:tcW w:w="63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(2,094)</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spacing w:after="0"/>
              <w:rPr>
                <w:sz w:val="20"/>
                <w:szCs w:val="20"/>
                <w:color w:val="auto"/>
              </w:rPr>
            </w:pP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(Decrease) increase in cash, cash equivalents and restricted cash</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(447,619)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(813,578)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1,251,923</w:t>
            </w:r>
          </w:p>
        </w:tc>
      </w:tr>
      <w:tr>
        <w:trPr>
          <w:trHeight w:val="24"/>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2,969,412</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3,782,990</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2,531,067</w:t>
            </w:r>
          </w:p>
        </w:tc>
      </w:tr>
      <w:tr>
        <w:trPr>
          <w:trHeight w:val="233"/>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2,521,793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2,969,412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3,782,990</w:t>
            </w:r>
          </w:p>
        </w:tc>
      </w:tr>
      <w:tr>
        <w:trPr>
          <w:trHeight w:val="28"/>
        </w:trPr>
        <w:tc>
          <w:tcPr>
            <w:tcW w:w="63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200"/>
          </w:cols>
          <w:pgMar w:left="840" w:top="664" w:right="840" w:bottom="3"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Organization and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Organization</w:t>
      </w:r>
    </w:p>
    <w:p>
      <w:pPr>
        <w:spacing w:after="0" w:line="23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2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Additionally, the Company has a 40% equity interest in Island 3 AMI FZ-LLC (“Island 3”), an unconsolidated affiliate, which is constructing an integrated resort property (“Wynn Al Marjan Island”) in Ras Al Khaimah, United Arab Emirates, currently expected to open in 2027.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Operations</w:t>
      </w:r>
    </w:p>
    <w:p>
      <w:pPr>
        <w:spacing w:after="0" w:line="23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Wynn Palace features a luxury hotel tower with 1,706 guest rooms, suites and villas, approximately 468,000 square feet of casino space, 14 food and beverage outlets, approximately 37,000 square feet of meeting and convention space, approximately 107,000 square feet of retail space, public attractions including a performance lake, an immersive entertainment center, Western and Asian art displays, and a gondola ride offering convenient street-level access.</w:t>
      </w:r>
    </w:p>
    <w:p>
      <w:pPr>
        <w:spacing w:after="0" w:line="22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Wynn Macau features two luxury hotel towers with a total of 1,010 guest rooms and suites, approximately 294,000 square feet of casino space, 12 food and beverage outlets, approximately 31,000 square feet of meeting and convention space, approximately 64,500 square feet of retail space, a performance lake, a rotunda show and recreation and leisure facilities.</w:t>
      </w:r>
    </w:p>
    <w:p>
      <w:pPr>
        <w:spacing w:after="0" w:line="22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December 2022, Wynn Resorts (Macau), S.A.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Las Vegas Operations</w:t>
      </w:r>
    </w:p>
    <w:p>
      <w:pPr>
        <w:spacing w:after="0" w:line="23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Las Vegas features two luxury hotel towers with a total of 4,748 guest rooms, suites and villas, approximately 195,000 square feet of casino space, 34 food and beverage outlets, approximately 513,000 square feet of meeting and convention space, approximately 178,000 square feet of retail space (the majority of which is owned and operated under a joint venture of which the Company owns 50.1%), as well as two theaters, two nightclubs and a beach club and recreation and leisure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Encore Boston Harbor</w:t>
      </w:r>
    </w:p>
    <w:p>
      <w:pPr>
        <w:spacing w:after="0" w:line="23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Encore Boston Harbor, an integrated resort in Everett, Massachusetts, adjacent to Boston along the Mystic River, features a luxury hotel tower with a total of 671 guest rooms and suites, approximately 210,000 square feet of casino space, 16 food and beverage outlets, one nightclub, approximately 71,000 square feet of meeting and convention space, and approximately 8,186 square feet of retail space. Public attractions include a waterfront park, floral displays, and water shuttle service to downtown Boston.</w:t>
      </w:r>
    </w:p>
    <w:p>
      <w:pPr>
        <w:spacing w:after="0" w:line="22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December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and concurrently entered into a lease agreement for the purpose of continuing to operate the Encore Boston Harbor integrated resort. For more information on the EBH Transaction, see Note 5, “Property and Equipment, net” and Note 16, “Leases.”</w:t>
      </w:r>
    </w:p>
    <w:p>
      <w:pPr>
        <w:sectPr>
          <w:pgSz w:w="11880" w:h="15480" w:orient="portrait"/>
          <w:cols w:equalWidth="0" w:num="1">
            <w:col w:w="10200"/>
          </w:cols>
          <w:pgMar w:left="840" w:top="664"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200"/>
          </w:cols>
          <w:pgMar w:left="840" w:top="664" w:right="840" w:bottom="3"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Basis of Presentation and Significant Accounting Policies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of Presentation and Principles of Consolidation</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19, “Retail Joint Venture.” If the entity does not qualify for consolidation and the Company has significant influence over the operating and financial decisions of the entity, the Company accounts for the entity under the equity method. For more information on the Company’s equity method investments, see </w:t>
      </w:r>
      <w:r>
        <w:rPr>
          <w:rFonts w:ascii="Times New Roman" w:cs="Times New Roman" w:eastAsia="Times New Roman" w:hAnsi="Times New Roman"/>
          <w:sz w:val="20"/>
          <w:szCs w:val="20"/>
          <w:i w:val="1"/>
          <w:iCs w:val="1"/>
          <w:color w:val="auto"/>
        </w:rPr>
        <w:t>Investments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Unconsolidated Affiliate </w:t>
      </w:r>
      <w:r>
        <w:rPr>
          <w:rFonts w:ascii="Times New Roman" w:cs="Times New Roman" w:eastAsia="Times New Roman" w:hAnsi="Times New Roman"/>
          <w:sz w:val="20"/>
          <w:szCs w:val="20"/>
          <w:color w:val="auto"/>
        </w:rPr>
        <w:t>within Note 2, “Basis of Presentation and Significant Accounting Policies.” All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accounts and transactions have been eliminated. Certain amounts in the consolidated financial statements for the years ended December 31, 2023 and 2022 have been reclassified to be consistent with the current period presentation. These reclassifications had no effect on the previously reported net income (loss) or operating income (loss).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Cash Equivalents and Restricted Cash</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cash held in a trust in accordance with WML’s share award plan, and an amount held in the form of a first demand bank guarantee in favor of the Macau government to support Wynn Macau SA’s legal and contractual obligations under the Gaming Concession Contract.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Company’s investments include financial assets in the form of interest-bearing fixed deposits with original maturities of greater than three months, which are recorded at fair value (see Note 10, “Fair Value Measurements”), and debt securities in the form of United States treasury bills. Investments in debt securities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as a separate component of other comprehensive income. Premiums and discounts on debt securities are amortized or accreted into interest income using the effective interest method. All of the Company’s debt securities are classified as held-to-maturity.</w:t>
      </w:r>
    </w:p>
    <w:p>
      <w:pPr>
        <w:spacing w:after="0" w:line="27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received proceeds of $300.0 million upon the maturity of its investments in debt securities and $550.0 million upon the maturity of its investments in fixed deposits during the year ended December 31, 2024. The Company held no short-term investments as of December 31, 2024.</w:t>
      </w:r>
    </w:p>
    <w:p>
      <w:pPr>
        <w:spacing w:after="0" w:line="27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December 31, 2023, the Company held $550.0 million in fixed deposits, recorded at fair value, and $295.2 million in debt securities, recorded at amortized cost within Investments on the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Consolidated Balance Sheets.</w:t>
      </w:r>
    </w:p>
    <w:p>
      <w:pPr>
        <w:sectPr>
          <w:pgSz w:w="11880" w:h="15480" w:orient="portrait"/>
          <w:cols w:equalWidth="0" w:num="1">
            <w:col w:w="10200"/>
          </w:cols>
          <w:pgMar w:left="840" w:top="664" w:right="840" w:bottom="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200"/>
          </w:cols>
          <w:pgMar w:left="840" w:top="664" w:right="840" w:bottom="3"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years ended December 31, 2024 and 2023, the Company recorded no allowance for credit losses related to its investments.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 and Credit Risk</w:t>
      </w:r>
    </w:p>
    <w:p>
      <w:pPr>
        <w:spacing w:after="0" w:line="25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25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Accounts receivable, including casino and hotel receivables, are typically non-interest bearing and are recorded at amortized cost. Casino receivables primarily consist of credit issued to patrons in the form of markers. The Company issues credit based on factors such as level of play and financial resources, following background and credit checks. The casino credit extended by the Company is generally unsecured and due on demand.</w:t>
      </w:r>
    </w:p>
    <w:p>
      <w:pPr>
        <w:spacing w:after="0" w:line="25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An estimated allowance for credit losses is maintained to reduce the Company’s receivables to their carrying amount, which reflects the net amount the Company expects to collect. The allowance estimate reflects specific review of customer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25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w:t>
      </w:r>
    </w:p>
    <w:p>
      <w:pPr>
        <w:spacing w:after="0" w:line="254" w:lineRule="exact"/>
        <w:rPr>
          <w:sz w:val="20"/>
          <w:szCs w:val="20"/>
          <w:color w:val="auto"/>
        </w:rPr>
      </w:pPr>
    </w:p>
    <w:p>
      <w:pPr>
        <w:ind w:right="180" w:firstLine="400"/>
        <w:spacing w:after="0" w:line="238" w:lineRule="auto"/>
        <w:rPr>
          <w:sz w:val="20"/>
          <w:szCs w:val="20"/>
          <w:color w:val="auto"/>
        </w:rPr>
      </w:pPr>
      <w:r>
        <w:rPr>
          <w:rFonts w:ascii="Times New Roman" w:cs="Times New Roman" w:eastAsia="Times New Roman" w:hAnsi="Times New Roman"/>
          <w:sz w:val="20"/>
          <w:szCs w:val="20"/>
          <w:color w:val="auto"/>
        </w:rPr>
        <w:t>Purchases of property and equipment are stated at cost, and when placed into service, are depreciated over the estimated useful lives of the assets using the straight-line method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Estimated Useful Life in Years</w:t>
            </w:r>
          </w:p>
        </w:tc>
      </w:tr>
      <w:tr>
        <w:trPr>
          <w:trHeight w:val="26"/>
        </w:trPr>
        <w:tc>
          <w:tcPr>
            <w:tcW w:w="68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80"/>
        </w:trPr>
        <w:tc>
          <w:tcPr>
            <w:tcW w:w="6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3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10 - 45</w:t>
            </w:r>
          </w:p>
        </w:tc>
      </w:tr>
      <w:tr>
        <w:trPr>
          <w:trHeight w:val="280"/>
        </w:trPr>
        <w:tc>
          <w:tcPr>
            <w:tcW w:w="6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 improvements</w:t>
            </w:r>
          </w:p>
        </w:tc>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10 - 45</w:t>
            </w:r>
          </w:p>
        </w:tc>
      </w:tr>
      <w:tr>
        <w:trPr>
          <w:trHeight w:val="280"/>
        </w:trPr>
        <w:tc>
          <w:tcPr>
            <w:tcW w:w="6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3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8"/>
              </w:rPr>
              <w:t>3 - 20</w:t>
            </w:r>
          </w:p>
        </w:tc>
      </w:tr>
      <w:tr>
        <w:trPr>
          <w:trHeight w:val="280"/>
        </w:trPr>
        <w:tc>
          <w:tcPr>
            <w:tcW w:w="6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Leasehold interest in land</w:t>
            </w:r>
          </w:p>
        </w:tc>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r>
      <w:tr>
        <w:trPr>
          <w:trHeight w:val="280"/>
        </w:trPr>
        <w:tc>
          <w:tcPr>
            <w:tcW w:w="6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Airplanes</w:t>
            </w:r>
          </w:p>
        </w:tc>
        <w:tc>
          <w:tcPr>
            <w:tcW w:w="3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20</w:t>
            </w:r>
          </w:p>
        </w:tc>
      </w:tr>
    </w:tbl>
    <w:p>
      <w:pPr>
        <w:spacing w:after="0" w:line="29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 expenses in the accompanying Consolidated Statements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Capitalized Interest</w:t>
      </w:r>
    </w:p>
    <w:p>
      <w:pPr>
        <w:spacing w:after="0" w:line="25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interest cost associated with major development and construction projects, and interest cost associated with equity method investments incurred during the investee’s initial development period, is capitalized and included in the cost of the project or investment in unconsolidated affiliate balance. Interest capitalization ceases once a project is substantially complete or no longer undergoing construction activities to prepare it for its intended use. When no debt is specifically identified as</w:t>
      </w:r>
    </w:p>
    <w:p>
      <w:pPr>
        <w:sectPr>
          <w:pgSz w:w="11880" w:h="15480" w:orient="portrait"/>
          <w:cols w:equalWidth="0" w:num="1">
            <w:col w:w="10200"/>
          </w:cols>
          <w:pgMar w:left="840" w:top="664" w:right="840" w:bottom="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200"/>
          </w:cols>
          <w:pgMar w:left="840" w:top="664" w:right="840" w:bottom="3"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being incurred in connection with a construction project, the Company capitalizes interest on amounts expended on the project using the weighted average cost of the Company’s outstanding borrowings. Interest of $23.0 million and $5.8 million was capitalized for the years ended December 31, 2024 and 2023, respectively, including $21.7 million and $3.6 million related to equity method investments for the years ended December 31, 2024 and 2023, respectively. No interest was capitalized for the year ended December 31,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27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Goodwill represents the excess of the purchase price in a business combination over the fair value of the tangible and intangible assets acquired and the liabilities assumed. Goodwill is not amortized, but rather is subject to an annual impairment test.</w:t>
      </w:r>
    </w:p>
    <w:p>
      <w:pPr>
        <w:spacing w:after="0" w:line="27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Intangible Assets other than Goodwill</w:t>
      </w:r>
    </w:p>
    <w:p>
      <w:pPr>
        <w:spacing w:after="0" w:line="27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Lessee Arrangements</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is the lessee under non-cancelable real estate and equipment leases. The Company determines if an arrangement is or contains a lease at inception or modification of the arrangement. An arrangement is or contains a lease if there are identified assets and the right to control the use of an identified asset is conveyed for a period of time in exchange for consideration. Control over the use of the identified asset means the lessee has both the right to obtain substantially all of the economic benefits from the use of the asset and the right to direct the use of the asset.</w:t>
      </w:r>
    </w:p>
    <w:p>
      <w:pPr>
        <w:spacing w:after="0" w:line="26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as the discount rate to determine the present value of lease payments. Lease terms include options to extend the lease when it is reasonably certain</w:t>
      </w:r>
    </w:p>
    <w:p>
      <w:pPr>
        <w:sectPr>
          <w:pgSz w:w="11880" w:h="15480" w:orient="portrait"/>
          <w:cols w:equalWidth="0" w:num="1">
            <w:col w:w="10200"/>
          </w:cols>
          <w:pgMar w:left="840" w:top="664" w:right="840" w:bottom="3"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200"/>
          </w:cols>
          <w:pgMar w:left="840" w:top="664" w:right="840" w:bottom="3"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that such option will be exercised. The Company’s triple-net operating lease related to Encore Boston Harbor contains a renewal period at the Company’s option, which is not considered to be reasonably certain of being exercised. Many of the Company’s leases include fixed rental escalation clauses that are factored into the determination of lease payments.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For operating leases, lease expense for minimum lease payments is recognized on a straight-line basis over the expected lease term. For finance leases, the Company records depreciation of the lease asset on a straight-line basis over the shorter of the lease term or useful life of the lease asset, and the lease liability accretes interest using the discount rate determined at lease commencement. 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spacing w:after="0" w:line="26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For sale-leaseback arrangements, such as the EBH Transaction, the Company is required to determine whether the transaction qualifies as a sale, which includes assessing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If it is determined that a sale has occurred, the Company recognizes an operating or finance lease based on the factors outlined in the preceding paragraph. A finance lease would preclude sale accounting.</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Lessor Arrangements</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is the lessor under non-cancelable operating leases for retail and food and beverage outlet space at its integrated resorts, which represents approximately 102,000, 63,000, 187,000, and 52,000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in Unconsolidated Affiliate</w:t>
      </w:r>
    </w:p>
    <w:p>
      <w:pPr>
        <w:spacing w:after="0" w:line="27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accounts for its investment in Island 3, an unconsolidated affiliate which is constructing Wynn Al Marjan Island, using the equity method. Under the equity method, the investment’s carrying value is adjusted for the Company’s share of the investee’s earnings and losses, capital contributions to and distributions from this company, and capitalization of interest cost incurred by the Company during the investee’s initial development period. As of December 31, 2024 and 2023, the Company had investments in unconsolidated affiliate of $648.2 million and $90.9 million, respectively, recorded in noncurrent other assets in the accompanying Consolidated Balance Sheets.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classifies operating income and losses as well as gains and impairments related to its investment in unconsolidated affiliate as a component of Operating income (loss) within the Company’s accompanying Consolidated Statements of Operations, and classifies non-operating income or losses related to its investments in unconsolidated affiliates as a component of Other income (expense) within the Company’s accompanying Consolidated Statements of Operations, as the Company’s investments in unconsolidated affiliate are an extension of the Company’s core business operations. The Company recognized a loss on investments in unconsolidated affiliate of $6.1 million and $2.4 million during the years ended December 31, 2024 and 2023, respectively, recorded in Pre-opening within the Company’s accompanying Consolidated Statements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Issuance Costs</w:t>
      </w:r>
    </w:p>
    <w:p>
      <w:pPr>
        <w:spacing w:after="0" w:line="27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other assets on the Consolidated Balance</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200"/>
          </w:cols>
          <w:pgMar w:left="840" w:top="664" w:right="840" w:bottom="3"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Sheets. All other debt issuance costs are presented as a direct reduction of long-term debt on the Consolidated Balance Sheets. Approximately $39.3 million, $39.5 million, and $29.4 million was amortized to interest expense during the years ended December 31, 2024,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enters into interest rate protection agreements to manage interest rate exposure on certain debt. The fair value of such agreements is recognized as an asset or liability at each balance sheet date, with changes in fair value recorded in earnings as these agreements do not qualify for hedge accounting. See Note 7, “Long-Term Debt” for additional information.</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See Note 8, “WML Convertible Bond Conversion Option Derivative” for accounting policy disclosures relating to the WML Convertible Bond Conversion Option Derivative (as defined therein).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Company’s revenue from contracts with customers primarily consists of casino wagers and sales of rooms, food and beverage, entertainment, retail and other goods and services.</w:t>
      </w:r>
    </w:p>
    <w:p>
      <w:pPr>
        <w:spacing w:after="0" w:line="26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26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w:t>
      </w:r>
    </w:p>
    <w:p>
      <w:pPr>
        <w:spacing w:after="0" w:line="25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After allocating amounts to the complimentary goods or services provided and to the points earned under the Company’s loyalty programs, the residual amount is recorded as casino revenue when the wager is settled.</w:t>
      </w:r>
    </w:p>
    <w:p>
      <w:pPr>
        <w:spacing w:after="0" w:line="26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200"/>
          </w:cols>
          <w:pgMar w:left="840" w:top="664" w:right="840" w:bottom="3"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Gaming Taxes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$1.83 billion, $1.57 billion, and $526.3 million for the years ended December 31, 2024,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 Costs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cost of advertising is expensed as incurred, and totaled $50.9 million, $112.6 million, and $148.6 million for the years ended December 31, 2024, 2023, and 2022, respectively.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Pre-opening Expenses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Pre-opening expenses represent personnel, advertising, and other costs incurred prior to the opening of new ventures and are expensed as incurred. During the year ended December 31, 2024, pre-opening expenses primarily included the Company’s share of net losses from Island 3, the unconsolidated affiliate constructing Wynn Al Marjan Island. During the year ended December 31, 2023, the Company incurred pre-opening expenses primarily in connection with the launch of sports betting operations in Massachusetts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During the year ended December 31, 2022, the Company incurred pre-opening expenses primarily in connection with reconfiguring the theater space at Wynn Las Vegas to host an exclusive theatrical production, </w:t>
      </w:r>
      <w:r>
        <w:rPr>
          <w:rFonts w:ascii="Times New Roman" w:cs="Times New Roman" w:eastAsia="Times New Roman" w:hAnsi="Times New Roman"/>
          <w:sz w:val="20"/>
          <w:szCs w:val="20"/>
          <w:i w:val="1"/>
          <w:iCs w:val="1"/>
          <w:color w:val="auto"/>
        </w:rPr>
        <w:t>Awakening</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applicable, the Company will recognize accrued penalties and interest related to unrecognized tax benefits in the provision for income taxes.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loss.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200"/>
          </w:cols>
          <w:pgMar w:left="840" w:top="664" w:right="840" w:bottom="3"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Comprehensive Income (Loss) and Accumulated Other Comprehensive Income (Loss)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Comprehensive income (loss) includes net income (loss) and all other non-stockholder changes in equity or other comprehensive income (loss). Components of the Company’s comprehensive income (loss) are reported in the accompanying Consolidated Statements of Stockholders’ Deficit and Consolidated Statements of Comprehensive Income (Loss).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50" w:lineRule="exact"/>
        <w:rPr>
          <w:sz w:val="20"/>
          <w:szCs w:val="20"/>
          <w:color w:val="auto"/>
        </w:rPr>
      </w:pPr>
    </w:p>
    <w:p>
      <w:pPr>
        <w:ind w:left="600" w:hanging="300"/>
        <w:spacing w:after="0"/>
        <w:tabs>
          <w:tab w:leader="none" w:pos="6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Observable inputs such as quoted prices in active markets.</w:t>
      </w:r>
    </w:p>
    <w:p>
      <w:pPr>
        <w:spacing w:after="0" w:line="250" w:lineRule="exact"/>
        <w:rPr>
          <w:rFonts w:ascii="Times New Roman" w:cs="Times New Roman" w:eastAsia="Times New Roman" w:hAnsi="Times New Roman"/>
          <w:sz w:val="20"/>
          <w:szCs w:val="20"/>
          <w:color w:val="auto"/>
        </w:rPr>
      </w:pPr>
    </w:p>
    <w:p>
      <w:pPr>
        <w:ind w:left="600" w:hanging="300"/>
        <w:spacing w:after="0"/>
        <w:tabs>
          <w:tab w:leader="none" w:pos="6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quoted prices in active markets that are either directly or indirectly observable.</w:t>
      </w:r>
    </w:p>
    <w:p>
      <w:pPr>
        <w:spacing w:after="0" w:line="258" w:lineRule="exact"/>
        <w:rPr>
          <w:rFonts w:ascii="Times New Roman" w:cs="Times New Roman" w:eastAsia="Times New Roman" w:hAnsi="Times New Roman"/>
          <w:sz w:val="20"/>
          <w:szCs w:val="20"/>
          <w:color w:val="auto"/>
        </w:rPr>
      </w:pPr>
    </w:p>
    <w:p>
      <w:pPr>
        <w:ind w:left="600" w:hanging="300"/>
        <w:spacing w:after="0" w:line="239" w:lineRule="auto"/>
        <w:tabs>
          <w:tab w:leader="none" w:pos="6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in which little or no market data exists, therefore requiring an entity to develop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w:t>
      </w:r>
    </w:p>
    <w:p>
      <w:pPr>
        <w:spacing w:after="0" w:line="26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based on the estimated fair value of the award using the Monte Carlo simulation approach for performance share units,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WRL Omnibus Plan (as defined and discussed in Note 13, “Stock-Based Compensation”) and the Hong Kong Exchange Fund rates for stock options issued under the WML Share Option Plan (as defined in Note 13,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WRL Omnibus Plan and WML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13, “Stock-Based Compensation.”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Standards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management has evaluated all of the recently issued, but not yet effective, accounting standards that have been issued or proposed by the Financial Accounting Standards Board (“FASB”) or other standards-setting bodies through the filing date of these financial statements and does not believe the future adoption of any such pronouncements will have a material effect on the Company’s financial position, results of operations and cash flows.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200"/>
          </w:cols>
          <w:pgMar w:left="840" w:top="664" w:right="840" w:bottom="3"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Cash, Cash Equivalents and Restricted Cash</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0"/>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300"/>
        </w:trPr>
        <w:tc>
          <w:tcPr>
            <w:tcW w:w="7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Cash</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1,639,151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1,076,474</w:t>
            </w:r>
          </w:p>
        </w:tc>
      </w:tr>
      <w:tr>
        <w:trPr>
          <w:trHeight w:val="290"/>
        </w:trPr>
        <w:tc>
          <w:tcPr>
            <w:tcW w:w="7600" w:type="dxa"/>
            <w:vAlign w:val="bottom"/>
            <w:tcBorders>
              <w:bottom w:val="single" w:sz="8" w:color="E0E0E0"/>
            </w:tcBorders>
            <w:shd w:val="clear" w:color="auto" w:fill="E0E0E0"/>
          </w:tcPr>
          <w:p>
            <w:pPr>
              <w:ind w:left="400"/>
              <w:spacing w:after="0" w:line="290" w:lineRule="exact"/>
              <w:rPr>
                <w:sz w:val="20"/>
                <w:szCs w:val="20"/>
                <w:color w:val="auto"/>
              </w:rPr>
            </w:pPr>
            <w:r>
              <w:rPr>
                <w:rFonts w:ascii="Times New Roman" w:cs="Times New Roman" w:eastAsia="Times New Roman" w:hAnsi="Times New Roman"/>
                <w:sz w:val="20"/>
                <w:szCs w:val="20"/>
                <w:color w:val="auto"/>
              </w:rPr>
              <w:t>Cash equivalents</w:t>
            </w:r>
            <w:r>
              <w:rPr>
                <w:rFonts w:ascii="Times New Roman" w:cs="Times New Roman" w:eastAsia="Times New Roman" w:hAnsi="Times New Roman"/>
                <w:sz w:val="26"/>
                <w:szCs w:val="26"/>
                <w:color w:val="auto"/>
                <w:vertAlign w:val="superscript"/>
              </w:rPr>
              <w:t>(2)</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787,004</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1,802,712</w:t>
            </w:r>
          </w:p>
        </w:tc>
      </w:tr>
      <w:tr>
        <w:trPr>
          <w:trHeight w:val="282"/>
        </w:trPr>
        <w:tc>
          <w:tcPr>
            <w:tcW w:w="760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Total cash and cash equivalents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2,426,155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2,879,186</w:t>
            </w:r>
          </w:p>
        </w:tc>
      </w:tr>
      <w:tr>
        <w:trPr>
          <w:trHeight w:val="298"/>
        </w:trPr>
        <w:tc>
          <w:tcPr>
            <w:tcW w:w="76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Restricted cash</w:t>
            </w:r>
            <w:r>
              <w:rPr>
                <w:rFonts w:ascii="Times New Roman" w:cs="Times New Roman" w:eastAsia="Times New Roman" w:hAnsi="Times New Roman"/>
                <w:sz w:val="26"/>
                <w:szCs w:val="26"/>
                <w:color w:val="auto"/>
                <w:vertAlign w:val="superscript"/>
              </w:rPr>
              <w:t>(3)</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95,638</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90,226</w:t>
            </w:r>
          </w:p>
        </w:tc>
      </w:tr>
      <w:tr>
        <w:trPr>
          <w:trHeight w:val="260"/>
        </w:trPr>
        <w:tc>
          <w:tcPr>
            <w:tcW w:w="76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cash, cash equivalents and restricted cash</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2,521,793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2,969,412</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20" w:hanging="320"/>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consists of cash on hand and bank deposits.</w:t>
      </w:r>
    </w:p>
    <w:p>
      <w:pPr>
        <w:spacing w:after="0" w:line="16"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consist of bank time deposits and money market funds.</w:t>
      </w:r>
    </w:p>
    <w:p>
      <w:pPr>
        <w:spacing w:after="0" w:line="26"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consists of cash subject to certain contractual restrictions, cash collateral associated with obligations and cash held in a trust in accordance with WML’s share award plan, and as of December 31, 2024 and 2023 includes $87.5 million and $87.0 million, respectively, in the form of a first demand bank guarantee in favor of the Macau government to support Wynn Macau SA’s legal and contractual obligations through the term of the Gaming Concession Contract.</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disclose the supplemental cash flow disclosures of the Company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6"/>
                <w:szCs w:val="16"/>
                <w:color w:val="auto"/>
              </w:rPr>
            </w:pPr>
          </w:p>
        </w:tc>
      </w:tr>
      <w:tr>
        <w:trPr>
          <w:trHeight w:val="26"/>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0"/>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paid for interest, net of amounts capitalized</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658,438</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688,350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618,395</w:t>
            </w:r>
          </w:p>
        </w:tc>
      </w:tr>
      <w:tr>
        <w:trPr>
          <w:trHeight w:val="291"/>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Capitalized stock-based compensation</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w:t>
            </w:r>
          </w:p>
        </w:tc>
      </w:tr>
      <w:tr>
        <w:trPr>
          <w:trHeight w:val="309"/>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10,160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10,310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5,290</w:t>
            </w:r>
          </w:p>
        </w:tc>
      </w:tr>
      <w:tr>
        <w:trPr>
          <w:trHeight w:val="291"/>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liabilities arising from obtaining finance lease assets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80,021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w:t>
            </w:r>
          </w:p>
        </w:tc>
      </w:tr>
      <w:tr>
        <w:trPr>
          <w:trHeight w:val="309"/>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Liability settled with shares of common stock</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8,015</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6,639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9,287</w:t>
            </w:r>
          </w:p>
        </w:tc>
      </w:tr>
      <w:tr>
        <w:trPr>
          <w:trHeight w:val="291"/>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Accounts and construction payables related to property and equipment</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85,949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60,313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64,861</w:t>
            </w:r>
          </w:p>
        </w:tc>
      </w:tr>
      <w:tr>
        <w:trPr>
          <w:trHeight w:val="309"/>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 liabilities related to intangible assets</w:t>
            </w:r>
            <w:r>
              <w:rPr>
                <w:rFonts w:ascii="Times New Roman" w:cs="Times New Roman" w:eastAsia="Times New Roman" w:hAnsi="Times New Roman"/>
                <w:sz w:val="26"/>
                <w:szCs w:val="26"/>
                <w:color w:val="auto"/>
                <w:vertAlign w:val="superscript"/>
              </w:rPr>
              <w:t>(1)</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209,410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4,220</w:t>
            </w:r>
          </w:p>
        </w:tc>
      </w:tr>
      <w:tr>
        <w:trPr>
          <w:trHeight w:val="282"/>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settlement of liabilities in connection with an asset sale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27,655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79" w:lineRule="exact"/>
        <w:rPr>
          <w:sz w:val="20"/>
          <w:szCs w:val="20"/>
          <w:color w:val="auto"/>
        </w:rPr>
      </w:pPr>
    </w:p>
    <w:p>
      <w:pPr>
        <w:ind w:left="320" w:hanging="320"/>
        <w:spacing w:after="0" w:line="246" w:lineRule="auto"/>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2023, included $206.5 million related to the Macau gaming premium in connection with the Gaming Concession Contract. See Note 6, “Goodwill and Intangible Assets, net” for further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4 -</w:t>
            </w:r>
          </w:p>
        </w:tc>
        <w:tc>
          <w:tcPr>
            <w:tcW w:w="7180" w:type="dxa"/>
            <w:vAlign w:val="bottom"/>
            <w:gridSpan w:val="2"/>
          </w:tcPr>
          <w:p>
            <w:pPr>
              <w:jc w:val="right"/>
              <w:ind w:right="5760"/>
              <w:spacing w:after="0"/>
              <w:rPr>
                <w:sz w:val="20"/>
                <w:szCs w:val="20"/>
                <w:color w:val="auto"/>
              </w:rPr>
            </w:pPr>
            <w:r>
              <w:rPr>
                <w:rFonts w:ascii="Times New Roman" w:cs="Times New Roman" w:eastAsia="Times New Roman" w:hAnsi="Times New Roman"/>
                <w:sz w:val="20"/>
                <w:szCs w:val="20"/>
                <w:b w:val="1"/>
                <w:bCs w:val="1"/>
                <w:color w:val="auto"/>
              </w:rPr>
              <w:t>Receivables, net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66"/>
        </w:trPr>
        <w:tc>
          <w:tcPr>
            <w:tcW w:w="79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Receivables, net consisted of the following (in thousands):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2"/>
        </w:trPr>
        <w:tc>
          <w:tcPr>
            <w:tcW w:w="7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Pr>
          <w:p>
            <w:pPr>
              <w:spacing w:after="0"/>
              <w:rPr>
                <w:sz w:val="24"/>
                <w:szCs w:val="24"/>
                <w:color w:val="auto"/>
              </w:rPr>
            </w:pPr>
          </w:p>
        </w:tc>
      </w:tr>
      <w:tr>
        <w:trPr>
          <w:trHeight w:val="24"/>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00"/>
        </w:trPr>
        <w:tc>
          <w:tcPr>
            <w:tcW w:w="7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Casino</w:t>
            </w:r>
          </w:p>
        </w:tc>
        <w:tc>
          <w:tcPr>
            <w:tcW w:w="71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236,642</w:t>
            </w: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218,694</w:t>
            </w:r>
          </w:p>
        </w:tc>
      </w:tr>
      <w:tr>
        <w:trPr>
          <w:trHeight w:val="291"/>
        </w:trPr>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Hotel</w:t>
            </w:r>
          </w:p>
        </w:tc>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45,996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54,596</w:t>
            </w:r>
          </w:p>
        </w:tc>
      </w:tr>
      <w:tr>
        <w:trPr>
          <w:trHeight w:val="295"/>
        </w:trPr>
        <w:tc>
          <w:tcPr>
            <w:tcW w:w="7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69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79,072</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108,497</w:t>
            </w:r>
          </w:p>
        </w:tc>
      </w:tr>
      <w:tr>
        <w:trPr>
          <w:trHeight w:val="286"/>
        </w:trPr>
        <w:tc>
          <w:tcPr>
            <w:tcW w:w="7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361,710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381,787</w:t>
            </w:r>
          </w:p>
        </w:tc>
      </w:tr>
      <w:tr>
        <w:trPr>
          <w:trHeight w:val="294"/>
        </w:trPr>
        <w:tc>
          <w:tcPr>
            <w:tcW w:w="7660" w:type="dxa"/>
            <w:vAlign w:val="bottom"/>
            <w:tcBorders>
              <w:bottom w:val="single" w:sz="8" w:color="E0E0E0"/>
            </w:tcBorders>
            <w:gridSpan w:val="2"/>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28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(37,694)</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(40,075)</w:t>
            </w:r>
          </w:p>
        </w:tc>
      </w:tr>
      <w:tr>
        <w:trPr>
          <w:trHeight w:val="281"/>
        </w:trPr>
        <w:tc>
          <w:tcPr>
            <w:tcW w:w="760" w:type="dxa"/>
            <w:vAlign w:val="bottom"/>
          </w:tcPr>
          <w:p>
            <w:pPr>
              <w:spacing w:after="0"/>
              <w:rPr>
                <w:sz w:val="24"/>
                <w:szCs w:val="24"/>
                <w:color w:val="auto"/>
              </w:rPr>
            </w:pPr>
          </w:p>
        </w:tc>
        <w:tc>
          <w:tcPr>
            <w:tcW w:w="7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324,016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341,712</w:t>
            </w:r>
          </w:p>
        </w:tc>
      </w:tr>
      <w:tr>
        <w:trPr>
          <w:trHeight w:val="23"/>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29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As of December 31, 2024 and 2023, approximately 70.9% and 68.2%,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ectPr>
          <w:pgSz w:w="11880" w:h="15480" w:orient="portrait"/>
          <w:cols w:equalWidth="0" w:num="1">
            <w:col w:w="10200"/>
          </w:cols>
          <w:pgMar w:left="840" w:top="664" w:right="840" w:bottom="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200"/>
          </w:cols>
          <w:pgMar w:left="840" w:top="664" w:right="840" w:bottom="3"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allowance for casino credit losses was 14.7% and 15.9% of gross casino receivables as of December 31, 2024 and 2023,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5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shows the movement in the Company’s allowance for credit losses recognized for receivables that occurred during the period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beginning of year</w:t>
            </w:r>
          </w:p>
        </w:tc>
        <w:tc>
          <w:tcPr>
            <w:tcW w:w="200" w:type="dxa"/>
            <w:vAlign w:val="bottom"/>
            <w:shd w:val="clear" w:color="auto" w:fill="E0E0E0"/>
          </w:tcPr>
          <w:p>
            <w:pPr>
              <w:spacing w:after="0"/>
              <w:rPr>
                <w:sz w:val="24"/>
                <w:szCs w:val="24"/>
                <w:color w:val="auto"/>
              </w:rPr>
            </w:pPr>
          </w:p>
        </w:tc>
        <w:tc>
          <w:tcPr>
            <w:tcW w:w="3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40,075</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78,842</w:t>
            </w:r>
          </w:p>
        </w:tc>
        <w:tc>
          <w:tcPr>
            <w:tcW w:w="0" w:type="dxa"/>
            <w:vAlign w:val="bottom"/>
          </w:tcPr>
          <w:p>
            <w:pPr>
              <w:spacing w:after="0"/>
              <w:rPr>
                <w:sz w:val="1"/>
                <w:szCs w:val="1"/>
                <w:color w:val="auto"/>
              </w:rPr>
            </w:pPr>
          </w:p>
        </w:tc>
      </w:tr>
      <w:tr>
        <w:trPr>
          <w:trHeight w:val="291"/>
        </w:trPr>
        <w:tc>
          <w:tcPr>
            <w:tcW w:w="7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4,986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Write-offs</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9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(13,262)</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(47,611)</w:t>
            </w:r>
          </w:p>
        </w:tc>
        <w:tc>
          <w:tcPr>
            <w:tcW w:w="0" w:type="dxa"/>
            <w:vAlign w:val="bottom"/>
          </w:tcPr>
          <w:p>
            <w:pPr>
              <w:spacing w:after="0"/>
              <w:rPr>
                <w:sz w:val="1"/>
                <w:szCs w:val="1"/>
                <w:color w:val="auto"/>
              </w:rPr>
            </w:pPr>
          </w:p>
        </w:tc>
      </w:tr>
      <w:tr>
        <w:trPr>
          <w:trHeight w:val="291"/>
        </w:trPr>
        <w:tc>
          <w:tcPr>
            <w:tcW w:w="7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Recoveries of receivables previously written-off</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5,801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12,897</w:t>
            </w:r>
          </w:p>
        </w:tc>
        <w:tc>
          <w:tcPr>
            <w:tcW w:w="0" w:type="dxa"/>
            <w:vAlign w:val="bottom"/>
          </w:tcPr>
          <w:p>
            <w:pPr>
              <w:spacing w:after="0"/>
              <w:rPr>
                <w:sz w:val="1"/>
                <w:szCs w:val="1"/>
                <w:color w:val="auto"/>
              </w:rPr>
            </w:pPr>
          </w:p>
        </w:tc>
      </w:tr>
      <w:tr>
        <w:trPr>
          <w:trHeight w:val="295"/>
        </w:trPr>
        <w:tc>
          <w:tcPr>
            <w:tcW w:w="746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Effect of exchange rate</w:t>
            </w:r>
          </w:p>
        </w:tc>
        <w:tc>
          <w:tcPr>
            <w:tcW w:w="20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94</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64"/>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end of period</w:t>
            </w:r>
          </w:p>
        </w:tc>
        <w:tc>
          <w:tcPr>
            <w:tcW w:w="200" w:type="dxa"/>
            <w:vAlign w:val="bottom"/>
          </w:tcPr>
          <w:p>
            <w:pPr>
              <w:spacing w:after="0"/>
              <w:rPr>
                <w:sz w:val="22"/>
                <w:szCs w:val="22"/>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37,694</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40,075</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5 - Property and Equipment, net</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7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right"/>
              <w:ind w:right="80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3"/>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8,547,922</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8,459,085</w:t>
            </w:r>
          </w:p>
        </w:tc>
        <w:tc>
          <w:tcPr>
            <w:tcW w:w="0" w:type="dxa"/>
            <w:vAlign w:val="bottom"/>
          </w:tcPr>
          <w:p>
            <w:pPr>
              <w:spacing w:after="0"/>
              <w:rPr>
                <w:sz w:val="1"/>
                <w:szCs w:val="1"/>
                <w:color w:val="auto"/>
              </w:rPr>
            </w:pPr>
          </w:p>
        </w:tc>
      </w:tr>
      <w:tr>
        <w:trPr>
          <w:trHeight w:val="29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 and improvements</w:t>
            </w: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1,210,455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1,228,652</w:t>
            </w: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200" w:type="dxa"/>
            <w:vAlign w:val="bottom"/>
            <w:shd w:val="clear" w:color="auto" w:fill="E0E0E0"/>
          </w:tcPr>
          <w:p>
            <w:pPr>
              <w:spacing w:after="0"/>
              <w:rPr>
                <w:sz w:val="24"/>
                <w:szCs w:val="24"/>
                <w:color w:val="auto"/>
              </w:rPr>
            </w:pPr>
          </w:p>
        </w:tc>
        <w:tc>
          <w:tcPr>
            <w:tcW w:w="10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3,424,361</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3,311,478</w:t>
            </w:r>
          </w:p>
        </w:tc>
        <w:tc>
          <w:tcPr>
            <w:tcW w:w="0" w:type="dxa"/>
            <w:vAlign w:val="bottom"/>
          </w:tcPr>
          <w:p>
            <w:pPr>
              <w:spacing w:after="0"/>
              <w:rPr>
                <w:sz w:val="1"/>
                <w:szCs w:val="1"/>
                <w:color w:val="auto"/>
              </w:rPr>
            </w:pPr>
          </w:p>
        </w:tc>
      </w:tr>
      <w:tr>
        <w:trPr>
          <w:trHeight w:val="29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Airplanes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110,623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110,623</w:t>
            </w:r>
          </w:p>
        </w:tc>
        <w:tc>
          <w:tcPr>
            <w:tcW w:w="0" w:type="dxa"/>
            <w:vAlign w:val="bottom"/>
          </w:tcPr>
          <w:p>
            <w:pPr>
              <w:spacing w:after="0"/>
              <w:rPr>
                <w:sz w:val="1"/>
                <w:szCs w:val="1"/>
                <w:color w:val="auto"/>
              </w:rPr>
            </w:pPr>
          </w:p>
        </w:tc>
      </w:tr>
      <w:tr>
        <w:trPr>
          <w:trHeight w:val="295"/>
        </w:trPr>
        <w:tc>
          <w:tcPr>
            <w:tcW w:w="74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Construction in progress</w:t>
            </w:r>
          </w:p>
        </w:tc>
        <w:tc>
          <w:tcPr>
            <w:tcW w:w="20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287,436</w:t>
            </w:r>
          </w:p>
        </w:tc>
        <w:tc>
          <w:tcPr>
            <w:tcW w:w="20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162,592</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13,580,797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13,272,430</w:t>
            </w:r>
          </w:p>
        </w:tc>
        <w:tc>
          <w:tcPr>
            <w:tcW w:w="0" w:type="dxa"/>
            <w:vAlign w:val="bottom"/>
          </w:tcPr>
          <w:p>
            <w:pPr>
              <w:spacing w:after="0"/>
              <w:rPr>
                <w:sz w:val="1"/>
                <w:szCs w:val="1"/>
                <w:color w:val="auto"/>
              </w:rPr>
            </w:pPr>
          </w:p>
        </w:tc>
      </w:tr>
      <w:tr>
        <w:trPr>
          <w:trHeight w:val="294"/>
        </w:trPr>
        <w:tc>
          <w:tcPr>
            <w:tcW w:w="74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(7,059,514)</w:t>
            </w:r>
          </w:p>
        </w:tc>
        <w:tc>
          <w:tcPr>
            <w:tcW w:w="20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6"/>
              </w:rPr>
              <w:t>(6,583,951)</w:t>
            </w:r>
          </w:p>
        </w:tc>
        <w:tc>
          <w:tcPr>
            <w:tcW w:w="0" w:type="dxa"/>
            <w:vAlign w:val="bottom"/>
          </w:tcPr>
          <w:p>
            <w:pPr>
              <w:spacing w:after="0"/>
              <w:rPr>
                <w:sz w:val="1"/>
                <w:szCs w:val="1"/>
                <w:color w:val="auto"/>
              </w:rPr>
            </w:pPr>
          </w:p>
        </w:tc>
      </w:tr>
      <w:tr>
        <w:trPr>
          <w:trHeight w:val="281"/>
        </w:trPr>
        <w:tc>
          <w:tcPr>
            <w:tcW w:w="74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6,521,283</w:t>
            </w:r>
          </w:p>
        </w:tc>
        <w:tc>
          <w:tcPr>
            <w:tcW w:w="2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6,688,479</w:t>
            </w: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December 31, 2024 and 2023, construction in progress consisted primarily of costs capitalized for various capital enhancements at the Company’s properties. During the year ended December 31, 2024, the Company expensed $61.5 million of project costs related to a discontinued development project, inclusive of $4.7 million of internally allocated overhead, that had been previously capitalized. The expense was recorded in Property charges and other expenses in the accompanying Consolidated Statements of Operations for the year ended December 31, 2024.</w:t>
      </w:r>
    </w:p>
    <w:p>
      <w:pPr>
        <w:spacing w:after="0" w:line="25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Depreciation expense for the years ended December 31, 2024, 2023 and 2022 was $601.4 million, $625.0 million, and $652.1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Encore Boston Harbor Real Estate Sale</w:t>
      </w:r>
    </w:p>
    <w:p>
      <w:pPr>
        <w:spacing w:after="0" w:line="25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Upon closing of the EBH Transaction in December 2022, the Company received cash proceeds of approximately $1.70 billion in exchange for the sale of certain real estate assets associated with Encore Boston Harbor. In connection with the sale, the Company recognized a gain of $182.0 million in the fourth quarter of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Operations Property Transfer Agreements</w:t>
      </w:r>
    </w:p>
    <w:p>
      <w:pPr>
        <w:spacing w:after="0" w:line="25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December 2022, in accordance with the requirements of the Macau Gaming Law, Wynn Macau SA and Palo Real Estate Company Limited (“Palo”), a subsidiary of Wynn Macau SA, entered into agreements (collectively, the “Property</w:t>
      </w:r>
    </w:p>
    <w:p>
      <w:pPr>
        <w:sectPr>
          <w:pgSz w:w="11880" w:h="15480" w:orient="portrait"/>
          <w:cols w:equalWidth="0" w:num="1">
            <w:col w:w="10200"/>
          </w:cols>
          <w:pgMar w:left="840" w:top="664" w:right="840" w:bottom="3"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200"/>
          </w:cols>
          <w:pgMar w:left="840" w:top="664" w:right="840" w:bottom="3"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As the Company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Company will continue to recognize the casino areas and gaming equipment as property and equipment over their remaining estimated useful lives. Pursuant to the Gaming Concession Contract, Wynn Macau SA will revert to the Macau government the casino areas and gaming equipment, without compensation and free of encumbrance, upon the rescission or termination of the gaming concession on December 31, 2032.</w:t>
      </w:r>
    </w:p>
    <w:p>
      <w:pPr>
        <w:spacing w:after="0" w:line="21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exchange for the use of casino areas and gaming equipment in the operations of games of chance at Wynn Macau and Wynn Palace under the Property Transfer Agreements, Wynn Macau SA has agreed to pay the Macau government an annual amount of MOP53.1 million (approximately $6.6 million) in the year ending December 31, 2023, subject to adjustment in each year based on the average price index in Macau for the years ending December 31, 2024, and 2025, and an annual amount of MOP177.0 million (approximately $22.1 million) in the year ending December 31, 2026, subject to adjustment annually based on the average price index in Macau for each of the remaining years of the term of the Gaming Concession Contract through December 31, 2032.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Goodwill and Intangible Assets, net</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Goodwill and intangible assets, net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6"/>
                <w:szCs w:val="16"/>
                <w:color w:val="auto"/>
              </w:rPr>
            </w:pPr>
          </w:p>
        </w:tc>
      </w:tr>
      <w:tr>
        <w:trPr>
          <w:trHeight w:val="24"/>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4"/>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8"/>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Finite-lived intangible assets:</w:t>
            </w: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69"/>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Macau gaming concession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210,630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209,199</w:t>
            </w:r>
          </w:p>
        </w:tc>
      </w:tr>
      <w:tr>
        <w:trPr>
          <w:trHeight w:val="273"/>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260" w:type="dxa"/>
            <w:vAlign w:val="bottom"/>
            <w:tcBorders>
              <w:bottom w:val="single" w:sz="8" w:color="auto"/>
            </w:tcBorders>
            <w:shd w:val="clear" w:color="auto" w:fill="E0E0E0"/>
          </w:tcPr>
          <w:p>
            <w:pPr>
              <w:spacing w:after="0"/>
              <w:rPr>
                <w:sz w:val="23"/>
                <w:szCs w:val="23"/>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(42,126)</w:t>
            </w:r>
          </w:p>
        </w:tc>
        <w:tc>
          <w:tcPr>
            <w:tcW w:w="200" w:type="dxa"/>
            <w:vAlign w:val="bottom"/>
            <w:tcBorders>
              <w:bottom w:val="single" w:sz="8" w:color="E0E0E0"/>
            </w:tcBorders>
            <w:shd w:val="clear" w:color="auto" w:fill="E0E0E0"/>
          </w:tcPr>
          <w:p>
            <w:pPr>
              <w:spacing w:after="0"/>
              <w:rPr>
                <w:sz w:val="23"/>
                <w:szCs w:val="23"/>
                <w:color w:val="auto"/>
              </w:rPr>
            </w:pPr>
          </w:p>
        </w:tc>
        <w:tc>
          <w:tcPr>
            <w:tcW w:w="380" w:type="dxa"/>
            <w:vAlign w:val="bottom"/>
            <w:tcBorders>
              <w:bottom w:val="single" w:sz="8" w:color="auto"/>
            </w:tcBorders>
            <w:shd w:val="clear" w:color="auto" w:fill="E0E0E0"/>
          </w:tcPr>
          <w:p>
            <w:pPr>
              <w:spacing w:after="0"/>
              <w:rPr>
                <w:sz w:val="23"/>
                <w:szCs w:val="23"/>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(20,920)</w:t>
            </w:r>
          </w:p>
        </w:tc>
      </w:tr>
      <w:tr>
        <w:trPr>
          <w:trHeight w:val="264"/>
        </w:trPr>
        <w:tc>
          <w:tcPr>
            <w:tcW w:w="7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168,504</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188,279</w:t>
            </w:r>
          </w:p>
        </w:tc>
      </w:tr>
      <w:tr>
        <w:trPr>
          <w:trHeight w:val="286"/>
        </w:trPr>
        <w:tc>
          <w:tcPr>
            <w:tcW w:w="77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69"/>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Massachusetts gaming license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117,700</w:t>
            </w:r>
          </w:p>
        </w:tc>
      </w:tr>
      <w:tr>
        <w:trPr>
          <w:trHeight w:val="273"/>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260" w:type="dxa"/>
            <w:vAlign w:val="bottom"/>
            <w:tcBorders>
              <w:bottom w:val="single" w:sz="8" w:color="auto"/>
            </w:tcBorders>
            <w:shd w:val="clear" w:color="auto" w:fill="E0E0E0"/>
          </w:tcPr>
          <w:p>
            <w:pPr>
              <w:spacing w:after="0"/>
              <w:rPr>
                <w:sz w:val="23"/>
                <w:szCs w:val="23"/>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(43,331)</w:t>
            </w:r>
          </w:p>
        </w:tc>
        <w:tc>
          <w:tcPr>
            <w:tcW w:w="200" w:type="dxa"/>
            <w:vAlign w:val="bottom"/>
            <w:tcBorders>
              <w:bottom w:val="single" w:sz="8" w:color="E0E0E0"/>
            </w:tcBorders>
            <w:shd w:val="clear" w:color="auto" w:fill="E0E0E0"/>
          </w:tcPr>
          <w:p>
            <w:pPr>
              <w:spacing w:after="0"/>
              <w:rPr>
                <w:sz w:val="23"/>
                <w:szCs w:val="23"/>
                <w:color w:val="auto"/>
              </w:rPr>
            </w:pPr>
          </w:p>
        </w:tc>
        <w:tc>
          <w:tcPr>
            <w:tcW w:w="380" w:type="dxa"/>
            <w:vAlign w:val="bottom"/>
            <w:tcBorders>
              <w:bottom w:val="single" w:sz="8" w:color="auto"/>
            </w:tcBorders>
            <w:shd w:val="clear" w:color="auto" w:fill="E0E0E0"/>
          </w:tcPr>
          <w:p>
            <w:pPr>
              <w:spacing w:after="0"/>
              <w:rPr>
                <w:sz w:val="23"/>
                <w:szCs w:val="23"/>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(35,484)</w:t>
            </w:r>
          </w:p>
        </w:tc>
      </w:tr>
      <w:tr>
        <w:trPr>
          <w:trHeight w:val="264"/>
        </w:trPr>
        <w:tc>
          <w:tcPr>
            <w:tcW w:w="7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74,369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82,216</w:t>
            </w:r>
          </w:p>
        </w:tc>
      </w:tr>
      <w:tr>
        <w:trPr>
          <w:trHeight w:val="286"/>
        </w:trPr>
        <w:tc>
          <w:tcPr>
            <w:tcW w:w="77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69"/>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finite-lived intangible assets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5,400</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50,154</w:t>
            </w:r>
          </w:p>
        </w:tc>
      </w:tr>
      <w:tr>
        <w:trPr>
          <w:trHeight w:val="273"/>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260" w:type="dxa"/>
            <w:vAlign w:val="bottom"/>
            <w:tcBorders>
              <w:bottom w:val="single" w:sz="8" w:color="auto"/>
            </w:tcBorders>
            <w:shd w:val="clear" w:color="auto" w:fill="E0E0E0"/>
          </w:tcPr>
          <w:p>
            <w:pPr>
              <w:spacing w:after="0"/>
              <w:rPr>
                <w:sz w:val="23"/>
                <w:szCs w:val="23"/>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(2,071)</w:t>
            </w:r>
          </w:p>
        </w:tc>
        <w:tc>
          <w:tcPr>
            <w:tcW w:w="200" w:type="dxa"/>
            <w:vAlign w:val="bottom"/>
            <w:tcBorders>
              <w:bottom w:val="single" w:sz="8" w:color="E0E0E0"/>
            </w:tcBorders>
            <w:shd w:val="clear" w:color="auto" w:fill="E0E0E0"/>
          </w:tcPr>
          <w:p>
            <w:pPr>
              <w:spacing w:after="0"/>
              <w:rPr>
                <w:sz w:val="23"/>
                <w:szCs w:val="23"/>
                <w:color w:val="auto"/>
              </w:rPr>
            </w:pPr>
          </w:p>
        </w:tc>
        <w:tc>
          <w:tcPr>
            <w:tcW w:w="380" w:type="dxa"/>
            <w:vAlign w:val="bottom"/>
            <w:tcBorders>
              <w:bottom w:val="single" w:sz="8" w:color="auto"/>
            </w:tcBorders>
            <w:shd w:val="clear" w:color="auto" w:fill="E0E0E0"/>
          </w:tcPr>
          <w:p>
            <w:pPr>
              <w:spacing w:after="0"/>
              <w:rPr>
                <w:sz w:val="23"/>
                <w:szCs w:val="23"/>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(17,801)</w:t>
            </w:r>
          </w:p>
        </w:tc>
      </w:tr>
      <w:tr>
        <w:trPr>
          <w:trHeight w:val="264"/>
        </w:trPr>
        <w:tc>
          <w:tcPr>
            <w:tcW w:w="7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3,329</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32,353</w:t>
            </w:r>
          </w:p>
        </w:tc>
      </w:tr>
      <w:tr>
        <w:trPr>
          <w:trHeight w:val="276"/>
        </w:trPr>
        <w:tc>
          <w:tcPr>
            <w:tcW w:w="770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spacing w:after="0"/>
              <w:rPr>
                <w:sz w:val="24"/>
                <w:szCs w:val="24"/>
                <w:color w:val="auto"/>
              </w:rPr>
            </w:pPr>
          </w:p>
        </w:tc>
      </w:tr>
      <w:tr>
        <w:trPr>
          <w:trHeight w:val="255"/>
        </w:trPr>
        <w:tc>
          <w:tcPr>
            <w:tcW w:w="770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Total finite-lived intangible assets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246,202</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302,848</w:t>
            </w:r>
          </w:p>
        </w:tc>
      </w:tr>
      <w:tr>
        <w:trPr>
          <w:trHeight w:val="271"/>
        </w:trPr>
        <w:tc>
          <w:tcPr>
            <w:tcW w:w="7700" w:type="dxa"/>
            <w:vAlign w:val="bottom"/>
            <w:shd w:val="clear" w:color="auto" w:fill="E0E0E0"/>
          </w:tcPr>
          <w:p>
            <w:pPr>
              <w:spacing w:after="0"/>
              <w:rPr>
                <w:sz w:val="23"/>
                <w:szCs w:val="23"/>
                <w:color w:val="auto"/>
              </w:rPr>
            </w:pPr>
          </w:p>
        </w:tc>
        <w:tc>
          <w:tcPr>
            <w:tcW w:w="260" w:type="dxa"/>
            <w:vAlign w:val="bottom"/>
            <w:shd w:val="clear" w:color="auto" w:fill="E0E0E0"/>
          </w:tcPr>
          <w:p>
            <w:pPr>
              <w:spacing w:after="0"/>
              <w:rPr>
                <w:sz w:val="23"/>
                <w:szCs w:val="23"/>
                <w:color w:val="auto"/>
              </w:rPr>
            </w:pPr>
          </w:p>
        </w:tc>
        <w:tc>
          <w:tcPr>
            <w:tcW w:w="90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380" w:type="dxa"/>
            <w:vAlign w:val="bottom"/>
            <w:shd w:val="clear" w:color="auto" w:fill="E0E0E0"/>
          </w:tcPr>
          <w:p>
            <w:pPr>
              <w:spacing w:after="0"/>
              <w:rPr>
                <w:sz w:val="23"/>
                <w:szCs w:val="23"/>
                <w:color w:val="auto"/>
              </w:rPr>
            </w:pPr>
          </w:p>
        </w:tc>
        <w:tc>
          <w:tcPr>
            <w:tcW w:w="760" w:type="dxa"/>
            <w:vAlign w:val="bottom"/>
            <w:shd w:val="clear" w:color="auto" w:fill="E0E0E0"/>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2"/>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Water rights and other</w:t>
            </w:r>
          </w:p>
        </w:tc>
        <w:tc>
          <w:tcPr>
            <w:tcW w:w="260" w:type="dxa"/>
            <w:vAlign w:val="bottom"/>
            <w:tcBorders>
              <w:bottom w:val="single" w:sz="8" w:color="auto"/>
            </w:tcBorders>
            <w:shd w:val="clear" w:color="auto" w:fill="E0E0E0"/>
          </w:tcPr>
          <w:p>
            <w:pPr>
              <w:spacing w:after="0"/>
              <w:rPr>
                <w:sz w:val="23"/>
                <w:szCs w:val="23"/>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8,397</w:t>
            </w:r>
          </w:p>
        </w:tc>
        <w:tc>
          <w:tcPr>
            <w:tcW w:w="200" w:type="dxa"/>
            <w:vAlign w:val="bottom"/>
            <w:tcBorders>
              <w:bottom w:val="single" w:sz="8" w:color="E0E0E0"/>
            </w:tcBorders>
            <w:shd w:val="clear" w:color="auto" w:fill="E0E0E0"/>
          </w:tcPr>
          <w:p>
            <w:pPr>
              <w:spacing w:after="0"/>
              <w:rPr>
                <w:sz w:val="23"/>
                <w:szCs w:val="23"/>
                <w:color w:val="auto"/>
              </w:rPr>
            </w:pPr>
          </w:p>
        </w:tc>
        <w:tc>
          <w:tcPr>
            <w:tcW w:w="380" w:type="dxa"/>
            <w:vAlign w:val="bottom"/>
            <w:tcBorders>
              <w:bottom w:val="single" w:sz="8" w:color="auto"/>
            </w:tcBorders>
            <w:shd w:val="clear" w:color="auto" w:fill="E0E0E0"/>
          </w:tcPr>
          <w:p>
            <w:pPr>
              <w:spacing w:after="0"/>
              <w:rPr>
                <w:sz w:val="23"/>
                <w:szCs w:val="23"/>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8,397</w:t>
            </w:r>
          </w:p>
        </w:tc>
      </w:tr>
      <w:tr>
        <w:trPr>
          <w:trHeight w:val="259"/>
        </w:trPr>
        <w:tc>
          <w:tcPr>
            <w:tcW w:w="770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Total indefinite-lived intangible assets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8,397</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8,397</w:t>
            </w:r>
          </w:p>
        </w:tc>
      </w:tr>
      <w:tr>
        <w:trPr>
          <w:trHeight w:val="271"/>
        </w:trPr>
        <w:tc>
          <w:tcPr>
            <w:tcW w:w="7700" w:type="dxa"/>
            <w:vAlign w:val="bottom"/>
            <w:shd w:val="clear" w:color="auto" w:fill="E0E0E0"/>
          </w:tcPr>
          <w:p>
            <w:pPr>
              <w:spacing w:after="0"/>
              <w:rPr>
                <w:sz w:val="23"/>
                <w:szCs w:val="23"/>
                <w:color w:val="auto"/>
              </w:rPr>
            </w:pPr>
          </w:p>
        </w:tc>
        <w:tc>
          <w:tcPr>
            <w:tcW w:w="260" w:type="dxa"/>
            <w:vAlign w:val="bottom"/>
            <w:shd w:val="clear" w:color="auto" w:fill="E0E0E0"/>
          </w:tcPr>
          <w:p>
            <w:pPr>
              <w:spacing w:after="0"/>
              <w:rPr>
                <w:sz w:val="23"/>
                <w:szCs w:val="23"/>
                <w:color w:val="auto"/>
              </w:rPr>
            </w:pPr>
          </w:p>
        </w:tc>
        <w:tc>
          <w:tcPr>
            <w:tcW w:w="90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380" w:type="dxa"/>
            <w:vAlign w:val="bottom"/>
            <w:shd w:val="clear" w:color="auto" w:fill="E0E0E0"/>
          </w:tcPr>
          <w:p>
            <w:pPr>
              <w:spacing w:after="0"/>
              <w:rPr>
                <w:sz w:val="23"/>
                <w:szCs w:val="23"/>
                <w:color w:val="auto"/>
              </w:rPr>
            </w:pPr>
          </w:p>
        </w:tc>
        <w:tc>
          <w:tcPr>
            <w:tcW w:w="760" w:type="dxa"/>
            <w:vAlign w:val="bottom"/>
            <w:shd w:val="clear" w:color="auto" w:fill="E0E0E0"/>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86"/>
        </w:trPr>
        <w:tc>
          <w:tcPr>
            <w:tcW w:w="77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18,463</w:t>
            </w: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90,520</w:t>
            </w:r>
          </w:p>
        </w:tc>
      </w:tr>
      <w:tr>
        <w:trPr>
          <w:trHeight w:val="264"/>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Impairment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(72,057)</w:t>
            </w:r>
          </w:p>
        </w:tc>
      </w:tr>
      <w:tr>
        <w:trPr>
          <w:trHeight w:val="258"/>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Balance end of period</w:t>
            </w:r>
          </w:p>
        </w:tc>
        <w:tc>
          <w:tcPr>
            <w:tcW w:w="260" w:type="dxa"/>
            <w:vAlign w:val="bottom"/>
            <w:tcBorders>
              <w:bottom w:val="single" w:sz="8" w:color="auto"/>
            </w:tcBorders>
            <w:shd w:val="clear" w:color="auto" w:fill="E0E0E0"/>
          </w:tcPr>
          <w:p>
            <w:pPr>
              <w:spacing w:after="0"/>
              <w:rPr>
                <w:sz w:val="22"/>
                <w:szCs w:val="22"/>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18,463</w:t>
            </w:r>
          </w:p>
        </w:tc>
        <w:tc>
          <w:tcPr>
            <w:tcW w:w="200" w:type="dxa"/>
            <w:vAlign w:val="bottom"/>
            <w:tcBorders>
              <w:bottom w:val="single" w:sz="8" w:color="E0E0E0"/>
            </w:tcBorders>
            <w:shd w:val="clear" w:color="auto" w:fill="E0E0E0"/>
          </w:tcPr>
          <w:p>
            <w:pPr>
              <w:spacing w:after="0"/>
              <w:rPr>
                <w:sz w:val="22"/>
                <w:szCs w:val="22"/>
                <w:color w:val="auto"/>
              </w:rPr>
            </w:pPr>
          </w:p>
        </w:tc>
        <w:tc>
          <w:tcPr>
            <w:tcW w:w="380" w:type="dxa"/>
            <w:vAlign w:val="bottom"/>
            <w:tcBorders>
              <w:bottom w:val="single" w:sz="8" w:color="auto"/>
            </w:tcBorders>
            <w:shd w:val="clear" w:color="auto" w:fill="E0E0E0"/>
          </w:tcPr>
          <w:p>
            <w:pPr>
              <w:spacing w:after="0"/>
              <w:rPr>
                <w:sz w:val="22"/>
                <w:szCs w:val="22"/>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18,463</w:t>
            </w:r>
          </w:p>
        </w:tc>
      </w:tr>
      <w:tr>
        <w:trPr>
          <w:trHeight w:val="262"/>
        </w:trPr>
        <w:tc>
          <w:tcPr>
            <w:tcW w:w="7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55"/>
        </w:trPr>
        <w:tc>
          <w:tcPr>
            <w:tcW w:w="77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Total goodwill and intangible assets, net</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273,062</w:t>
            </w: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329,708</w:t>
            </w:r>
          </w:p>
        </w:tc>
      </w:tr>
      <w:tr>
        <w:trPr>
          <w:trHeight w:val="23"/>
        </w:trPr>
        <w:tc>
          <w:tcPr>
            <w:tcW w:w="7700" w:type="dxa"/>
            <w:vAlign w:val="bottom"/>
            <w:tcBorders>
              <w:top w:val="single" w:sz="8" w:color="E0E0E0"/>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200"/>
          </w:cols>
          <w:pgMar w:left="840" w:top="664" w:right="840" w:bottom="3"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Massachusetts Finite-Lived Intangible Assets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Massachusetts gaming license is a finite-lived intangible asset that is being amortized over the 15 year life of the license. The Company expects that amortization of the Massachusetts gaming license will be $7.8 million each year from 2025 through 2033, and $3.7 million in 2034.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Interactive Goodwill and Finite-Lived Intangible Assets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Other finite-lived intangible assets consisted of market access rights and gaming license fees. During the year ended December 31, 2024, the Company sold its market access rights and related obligations in Michigan, and pursuant to a separate equity purchase agreement, sold WSI US, LLC, Wynn Interactive’s domestic operating subsidiary, which included the Company’s gaming license in New York. As a result of these transactions, the Company recognized a gain of $24.6 million in Property charges and other expenses in the accompanying Consolidated Statements of Operations for the year ended December 31, 2024. As of December 31, 2024, the Company had no remaining goodwill or intangible assets related to Wynn Interactive.</w:t>
      </w:r>
    </w:p>
    <w:p>
      <w:pPr>
        <w:spacing w:after="0" w:line="200" w:lineRule="exact"/>
        <w:rPr>
          <w:sz w:val="20"/>
          <w:szCs w:val="20"/>
          <w:color w:val="auto"/>
        </w:rPr>
      </w:pPr>
    </w:p>
    <w:p>
      <w:pPr>
        <w:spacing w:after="0" w:line="29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as a result of the Company’s decision to cease operating Wynn Interactive’s digital sports betting and casino platform announced in August 2023, the Company identified interim indicators of impairment related to the goodwill assigned to the WynnBet reporting unit. As a result, the Company performed an impairment test and determined that the carrying value of its goodwill exceeded the estimated fair value of that reporting unit based on a combination of the income and cost approaches, causing the Company to recognize a goodwill impairment loss of $72.1 million. The Company also recognized impairment of other finite-lived intangible assets related to Wynn Interactive’s closed operations totaling $22.4 million during the year ended December 31, 2023.</w:t>
      </w:r>
    </w:p>
    <w:p>
      <w:pPr>
        <w:spacing w:after="0" w:line="25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2022, as a result of changes in forecasts and other industry-specific factors and management’s decision to cease the operations of Betbull Limited, a subsidiary of Wynn Interactive, the Company recognized impairment of goodwill and other finite-lived intangible assets of $37.8 million and $10.3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Gaming Concession</w:t>
      </w:r>
    </w:p>
    <w:p>
      <w:pPr>
        <w:spacing w:after="0" w:line="26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Property Transfer Agreements (as described in Note 5, “Property and Equipment, net”). The contractually obligated annual variable premium payments associated with the intangible asset were determined using the total number of gaming tables and gaming machines that Wynn Macau SA is currently approved to operate by the Macau government. In the accompanying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$21.1 million each year from 2025 to 2032.</w:t>
      </w:r>
    </w:p>
    <w:p>
      <w:pPr>
        <w:spacing w:after="0" w:line="25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As of December 31, 2024, the Company expects to pay fixed and variable premium payment amounts of $14.6 million in each of the years ending December 31, 2025, 2026, 2027, 2028, and 2029, and an aggregate amount of $44.7 million thereafter through December 31, 2032.</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200"/>
          </w:cols>
          <w:pgMar w:left="840" w:top="664" w:right="840" w:bottom="3"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7</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 Long-Term Debt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78"/>
        </w:trPr>
        <w:tc>
          <w:tcPr>
            <w:tcW w:w="740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Long-term debt consisted of the following (in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4"/>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
        </w:trPr>
        <w:tc>
          <w:tcPr>
            <w:tcW w:w="7400" w:type="dxa"/>
            <w:vAlign w:val="bottom"/>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0"/>
        </w:trPr>
        <w:tc>
          <w:tcPr>
            <w:tcW w:w="7400" w:type="dxa"/>
            <w:vAlign w:val="bottom"/>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Macau Related:</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300"/>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WM Cayman II Revolver, due 2028</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1,151,874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1,497,610</w:t>
            </w:r>
          </w:p>
        </w:tc>
      </w:tr>
      <w:tr>
        <w:trPr>
          <w:trHeight w:val="300"/>
        </w:trPr>
        <w:tc>
          <w:tcPr>
            <w:tcW w:w="5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w:t>
            </w:r>
          </w:p>
        </w:tc>
        <w:tc>
          <w:tcPr>
            <w:tcW w:w="14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w w:val="99"/>
              </w:rPr>
              <w:t>4</w:t>
            </w:r>
          </w:p>
        </w:tc>
        <w:tc>
          <w:tcPr>
            <w:tcW w:w="668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7/8% Senior Notes, due 2024</w:t>
            </w:r>
            <w:r>
              <w:rPr>
                <w:rFonts w:ascii="Times New Roman" w:cs="Times New Roman" w:eastAsia="Times New Roman" w:hAnsi="Times New Roman"/>
                <w:sz w:val="26"/>
                <w:szCs w:val="26"/>
                <w:color w:val="auto"/>
                <w:vertAlign w:val="superscript"/>
              </w:rPr>
              <w:t>(2)</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1"/>
        </w:trPr>
        <w:tc>
          <w:tcPr>
            <w:tcW w:w="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5</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 Senior Notes, due 2026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r>
      <w:tr>
        <w:trPr>
          <w:trHeight w:val="309"/>
        </w:trPr>
        <w:tc>
          <w:tcPr>
            <w:tcW w:w="5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w:t>
            </w:r>
          </w:p>
        </w:tc>
        <w:tc>
          <w:tcPr>
            <w:tcW w:w="14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w w:val="99"/>
              </w:rPr>
              <w:t>5</w:t>
            </w:r>
          </w:p>
        </w:tc>
        <w:tc>
          <w:tcPr>
            <w:tcW w:w="668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1/2% Senior Notes, due 2027</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750,000</w:t>
            </w:r>
          </w:p>
        </w:tc>
      </w:tr>
      <w:tr>
        <w:trPr>
          <w:trHeight w:val="291"/>
        </w:trPr>
        <w:tc>
          <w:tcPr>
            <w:tcW w:w="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5</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5/8% Senior Notes, due 2028</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1,350,000</w:t>
            </w:r>
          </w:p>
        </w:tc>
      </w:tr>
      <w:tr>
        <w:trPr>
          <w:trHeight w:val="309"/>
        </w:trPr>
        <w:tc>
          <w:tcPr>
            <w:tcW w:w="5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w:t>
            </w:r>
          </w:p>
        </w:tc>
        <w:tc>
          <w:tcPr>
            <w:tcW w:w="14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w w:val="99"/>
              </w:rPr>
              <w:t>5</w:t>
            </w:r>
          </w:p>
        </w:tc>
        <w:tc>
          <w:tcPr>
            <w:tcW w:w="668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1/8% Senior Notes, due 2029</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1,000,000</w:t>
            </w:r>
          </w:p>
        </w:tc>
      </w:tr>
      <w:tr>
        <w:trPr>
          <w:trHeight w:val="300"/>
        </w:trPr>
        <w:tc>
          <w:tcPr>
            <w:tcW w:w="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4</w:t>
            </w:r>
          </w:p>
        </w:tc>
        <w:tc>
          <w:tcPr>
            <w:tcW w:w="6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 Convertible Bonds, due 2029</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300"/>
        </w:trPr>
        <w:tc>
          <w:tcPr>
            <w:tcW w:w="7400" w:type="dxa"/>
            <w:vAlign w:val="bottom"/>
            <w:gridSpan w:val="3"/>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291"/>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U.S. and Corporate Related: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9"/>
        </w:trPr>
        <w:tc>
          <w:tcPr>
            <w:tcW w:w="7400" w:type="dxa"/>
            <w:vAlign w:val="bottom"/>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Credit Facilities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20"/>
                <w:szCs w:val="20"/>
                <w:color w:val="auto"/>
              </w:rPr>
              <w:t>:</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291"/>
        </w:trPr>
        <w:tc>
          <w:tcPr>
            <w:tcW w:w="740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WRF Term Loan, due 2024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73,683</w:t>
            </w:r>
          </w:p>
        </w:tc>
      </w:tr>
      <w:tr>
        <w:trPr>
          <w:trHeight w:val="309"/>
        </w:trPr>
        <w:tc>
          <w:tcPr>
            <w:tcW w:w="7400" w:type="dxa"/>
            <w:vAlign w:val="bottom"/>
            <w:gridSpan w:val="3"/>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WRF Term Loan, due 2027</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763,125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730,692</w:t>
            </w:r>
          </w:p>
        </w:tc>
      </w:tr>
      <w:tr>
        <w:trPr>
          <w:trHeight w:val="300"/>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WLV 5 1/2% Senior Notes, due 2025</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1,380,001</w:t>
            </w:r>
          </w:p>
        </w:tc>
      </w:tr>
      <w:tr>
        <w:trPr>
          <w:trHeight w:val="300"/>
        </w:trPr>
        <w:tc>
          <w:tcPr>
            <w:tcW w:w="7400" w:type="dxa"/>
            <w:vAlign w:val="bottom"/>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WLV 5 1/4% Senior Notes, due 2027</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880,000</w:t>
            </w:r>
          </w:p>
        </w:tc>
      </w:tr>
      <w:tr>
        <w:trPr>
          <w:trHeight w:val="291"/>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WRF 5 1/8% Senior Notes, due 2029</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r>
      <w:tr>
        <w:trPr>
          <w:trHeight w:val="309"/>
        </w:trPr>
        <w:tc>
          <w:tcPr>
            <w:tcW w:w="7400" w:type="dxa"/>
            <w:vAlign w:val="bottom"/>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1/8% Senior Notes, due 2031</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1"/>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WRF 6 1/4% Senior Notes, due 2033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9"/>
        </w:trPr>
        <w:tc>
          <w:tcPr>
            <w:tcW w:w="7400" w:type="dxa"/>
            <w:vAlign w:val="bottom"/>
            <w:tcBorders>
              <w:bottom w:val="single" w:sz="8" w:color="E0E0E0"/>
            </w:tcBorders>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Retail Term Loan, due 2027</w:t>
            </w:r>
            <w:r>
              <w:rPr>
                <w:rFonts w:ascii="Times New Roman" w:cs="Times New Roman" w:eastAsia="Times New Roman" w:hAnsi="Times New Roman"/>
                <w:sz w:val="26"/>
                <w:szCs w:val="26"/>
                <w:color w:val="auto"/>
                <w:vertAlign w:val="superscript"/>
              </w:rPr>
              <w:t>(5)</w:t>
            </w: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615,000</w:t>
            </w:r>
          </w:p>
        </w:tc>
      </w:tr>
      <w:tr>
        <w:trPr>
          <w:trHeight w:val="282"/>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10,644,999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11,826,986</w:t>
            </w:r>
          </w:p>
        </w:tc>
      </w:tr>
      <w:tr>
        <w:trPr>
          <w:trHeight w:val="308"/>
        </w:trPr>
        <w:tc>
          <w:tcPr>
            <w:tcW w:w="7400" w:type="dxa"/>
            <w:vAlign w:val="bottom"/>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33,007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73,744</w:t>
            </w:r>
          </w:p>
        </w:tc>
      </w:tr>
      <w:tr>
        <w:trPr>
          <w:trHeight w:val="286"/>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Less: Unamortized debt issuance costs and original issue discounts and premium, net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(136,272)</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(162,393)</w:t>
            </w:r>
          </w:p>
        </w:tc>
      </w:tr>
      <w:tr>
        <w:trPr>
          <w:trHeight w:val="294"/>
        </w:trPr>
        <w:tc>
          <w:tcPr>
            <w:tcW w:w="58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668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10,541,734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11,738,337</w:t>
            </w:r>
          </w:p>
        </w:tc>
      </w:tr>
      <w:tr>
        <w:trPr>
          <w:trHeight w:val="286"/>
        </w:trPr>
        <w:tc>
          <w:tcPr>
            <w:tcW w:w="74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(41,250)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(709,593)</w:t>
            </w:r>
          </w:p>
        </w:tc>
      </w:tr>
      <w:tr>
        <w:trPr>
          <w:trHeight w:val="281"/>
        </w:trPr>
        <w:tc>
          <w:tcPr>
            <w:tcW w:w="7400" w:type="dxa"/>
            <w:vAlign w:val="bottom"/>
            <w:gridSpan w:val="3"/>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long-term debt, net of current portion</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10,500,484</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11,028,744</w:t>
            </w:r>
          </w:p>
        </w:tc>
      </w:tr>
      <w:tr>
        <w:trPr>
          <w:trHeight w:val="23"/>
        </w:trPr>
        <w:tc>
          <w:tcPr>
            <w:tcW w:w="580" w:type="dxa"/>
            <w:vAlign w:val="bottom"/>
            <w:tcBorders>
              <w:top w:val="single" w:sz="8" w:color="E0E0E0"/>
            </w:tcBorders>
          </w:tcPr>
          <w:p>
            <w:pPr>
              <w:spacing w:after="0"/>
              <w:rPr>
                <w:sz w:val="2"/>
                <w:szCs w:val="2"/>
                <w:color w:val="auto"/>
              </w:rPr>
            </w:pPr>
          </w:p>
        </w:tc>
        <w:tc>
          <w:tcPr>
            <w:tcW w:w="140" w:type="dxa"/>
            <w:vAlign w:val="bottom"/>
            <w:tcBorders>
              <w:top w:val="single" w:sz="8" w:color="E0E0E0"/>
            </w:tcBorders>
          </w:tcPr>
          <w:p>
            <w:pPr>
              <w:spacing w:after="0"/>
              <w:rPr>
                <w:sz w:val="2"/>
                <w:szCs w:val="2"/>
                <w:color w:val="auto"/>
              </w:rPr>
            </w:pPr>
          </w:p>
        </w:tc>
        <w:tc>
          <w:tcPr>
            <w:tcW w:w="668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61" w:lineRule="exact"/>
        <w:rPr>
          <w:sz w:val="20"/>
          <w:szCs w:val="20"/>
          <w:color w:val="auto"/>
        </w:rPr>
      </w:pPr>
    </w:p>
    <w:p>
      <w:pPr>
        <w:jc w:val="both"/>
        <w:ind w:left="320" w:hanging="320"/>
        <w:spacing w:after="0" w:line="258"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$912.8 million of the WM Cayman II Revolver bears interest at a rate of Term SOFR plus 1.975% per year and HIBOR plus 1.875% per year, respectively. As of December 31, 2024 and 2023, the weighted average interest rate was approximately 6.43% and 7.20%, respectively. As of December 31, 2024, the available borrowing capacity under the WM Cayman II Revolver was $353.8 million.</w:t>
      </w:r>
    </w:p>
    <w:p>
      <w:pPr>
        <w:spacing w:after="0" w:line="2"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2024, the Company repaid or repurchased the 2024 WML Senior Notes and 2025 WLV Senior Notes.</w:t>
      </w:r>
    </w:p>
    <w:p>
      <w:pPr>
        <w:spacing w:after="0" w:line="26"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net carrying amount of the WML Convertible Bonds was $498.4 million, with unamortized debt discount and debt issuance costs of $101.6 million. The Company recorded contractual interest expense of $27.0 million and $22.1 million and amortization of discounts and issuance costs of $18.9 million and $14.2 million during the years ended December 31, 2024 and 2023.</w:t>
      </w:r>
    </w:p>
    <w:p>
      <w:pPr>
        <w:spacing w:after="0" w:line="18"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WRF Credit Facilities bear interest at a rate of Term SOFR plus 1.75% per year. As of December 31, 2024 and 2023, the weighted average interest rate was approximately 6.21% and 7.21%, respectively. Additionally, as of December 31, 2024, the available borrowing capacity under the WRF Revolver was $735.3 million, net of $14.7 million in outstanding letters of credit.</w:t>
      </w:r>
    </w:p>
    <w:p>
      <w:pPr>
        <w:spacing w:after="0" w:line="18"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Retail Term Loan bears interest at a rate of adjusted daily simple secured overnight financing rate (“SOFR”) plus 2.15% per year. As of December 31, 2023, the Retail Term Loan bore interest at a rate of adjusted daily SOFR plus 1.80% per year. As of December 31, 2024 and 2023, the effective interest rate was 5.54% and 5.47%, respectively.</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200"/>
          </w:cols>
          <w:pgMar w:left="840" w:top="664" w:right="840" w:bottom="3"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Macau Related Debt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 Cayman II Revolver</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September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a U.S. dollar tranche in an amount of $312.5 million (“Facility A”) and a Hong Kong dollar tranche (“Facility B”)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 WML, as guarantor, may be subject to certain restrictions on payments of dividends or distributions to its shareholders, unless certain financial criteria have been satisfied through the Facility Agreement.</w:t>
      </w:r>
    </w:p>
    <w:p>
      <w:pPr>
        <w:spacing w:after="0" w:line="27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Pursuant to the Facility Agreement, as amended in May 2022 and as amended and restated in June 2023 (the “Amended and Restated Facility Agreement”), loans provided under Facility A bear interest at a variable rate per annum equal to:</w:t>
      </w:r>
    </w:p>
    <w:p>
      <w:pPr>
        <w:spacing w:after="0" w:line="24" w:lineRule="exact"/>
        <w:rPr>
          <w:sz w:val="20"/>
          <w:szCs w:val="20"/>
          <w:color w:val="auto"/>
        </w:rPr>
      </w:pPr>
    </w:p>
    <w:p>
      <w:pPr>
        <w:jc w:val="both"/>
        <w:spacing w:after="0" w:line="247" w:lineRule="auto"/>
        <w:tabs>
          <w:tab w:leader="none" w:pos="27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SOFR, plus a credit adjustment spread of 0.10% (subject to a minimum floor of 0.00%), plus (b) a margin of 1.875% to 2.875% based on the consolidated leverage ratio of WM Cayman II and its subsidiaries (as calculated pursuant to the Amended and Restated Facility Agreement), and loans provided under Facility B bear interest at a variable rate per annum equal to: (i) HIBOR plus (ii) a margin of 1.875% to 2.875% based on the consolidated leverage ratio of WM Cayman II and its subsidiaries (as calculated pursuant to the Amended and Restated Facility Agreement).</w:t>
      </w:r>
    </w:p>
    <w:p>
      <w:pPr>
        <w:spacing w:after="0" w:line="26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September 2024, WM Cayman II, as borrower and WML, as guarantor, entered into an amendment agreement (the “Second Amendment Agreement”) to the Amended and Restated Facility Agreement, to extend the maturity date of the outstanding loans from September 16, 2025 to September 16, 2028, or the immediately preceding business day if September 16, 2028 is not a business day. In connection with the Second Amendment Agreement, the Company recorded debt issuance costs of $19.2 million within the Consolidated Balance Sheet.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Convertible Bonds</w:t>
      </w:r>
    </w:p>
    <w:p>
      <w:pPr>
        <w:spacing w:after="0" w:line="27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March 2023, WML completed an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w:t>
      </w:r>
    </w:p>
    <w:p>
      <w:pPr>
        <w:spacing w:after="0" w:line="26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 approximately HK$10.24 (equivalent to approximately $1.32)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 As of December 31, 2024, the adjusted conversion price was HK$10.01 (equivalent to approximately $1.29) per share as a result of dividend payments made by WML during the year ended December 31, 2024.</w:t>
      </w:r>
    </w:p>
    <w:p>
      <w:pPr>
        <w:spacing w:after="0" w:line="26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Holders of the WML Convertible Bonds have the option to require WML to redeem all or some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w:t>
      </w:r>
    </w:p>
    <w:p>
      <w:pPr>
        <w:sectPr>
          <w:pgSz w:w="11880" w:h="15480" w:orient="portrait"/>
          <w:cols w:equalWidth="0" w:num="1">
            <w:col w:w="10200"/>
          </w:cols>
          <w:pgMar w:left="840" w:top="664"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200"/>
          </w:cols>
          <w:pgMar w:left="840" w:top="664" w:right="840" w:bottom="3"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10 consecutive trading days on the Stock Exchange of Hong Kong Limited (“HKSE”),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HKSE).</w:t>
      </w:r>
    </w:p>
    <w:p>
      <w:pPr>
        <w:spacing w:after="0" w:line="27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w:t>
      </w:r>
    </w:p>
    <w:p>
      <w:pPr>
        <w:spacing w:after="0" w:line="27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spacing w:after="0" w:line="27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determined that the conversion feature contained within the WML Convertible Bonds is required to be bifurcated from the debt host contract and accounted for as a free-standing derivative (the “WML Convertible Bond Conversion Option Derivative”) recorded within Long-term debt within the accompanying Consolidated Balance Sheet. In accordance with applicable accounting standards, the WML Convertible Bond Conversion Option Derivative is reported at fair value as of the end of each reporting period, with changes recognized in the statements of operations. For more information, see “Note 8 - WML Convertible Bond Conversion Option Derivative.”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Senior Notes</w:t>
      </w:r>
    </w:p>
    <w:p>
      <w:pPr>
        <w:spacing w:after="0" w:line="27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WML 5 1/2% Senior Notes due 2026, WML 5 1/2% Senior Notes due 2027, WML 5 5/8% Senior Notes due 2028, and WML 5 1/8% Senior Notes due 2029 (collectively, the “WML Senior Notes”) bear interest at each of their respective interest rates and interest is payable semi-annually. 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are subject to restrictions on transferability and resale.</w:t>
      </w:r>
    </w:p>
    <w:p>
      <w:pPr>
        <w:spacing w:after="0" w:line="27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spacing w:after="0" w:line="27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If WML undergoes a Change of Control (as defined in the WML Senior Notes Indentures), it must offer to repurchase the WML Senior Notes at a price equal to 101% of the aggregate principal amount thereof, plus accrued and unpaid interest.</w:t>
      </w:r>
    </w:p>
    <w:p>
      <w:pPr>
        <w:sectPr>
          <w:pgSz w:w="11880" w:h="15480" w:orient="portrait"/>
          <w:cols w:equalWidth="0" w:num="1">
            <w:col w:w="10200"/>
          </w:cols>
          <w:pgMar w:left="840" w:top="664"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200"/>
          </w:cols>
          <w:pgMar w:left="840" w:top="664" w:right="840" w:bottom="3"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October 2024, WML repaid the $600.0 million aggregate principal amount of WML’s 4 7/8% Senior Notes due 2024 on their stated maturity date.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and Corporate Related Debt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WRF Credit Facilities</w:t>
      </w:r>
    </w:p>
    <w:p>
      <w:pPr>
        <w:spacing w:after="0" w:line="29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During 2019, WRF entered into a credit agreement (the “WRF Credit Agreement”) providing for a first lien term loan facility in an aggregate principal amount of $1.00 billion (the “WRF Term Loan”) and a first lien revolving credit facility in an aggregate principal amount of $850.0 million (the “WRF Revolver” and together with the WRF Term Loan, the “WRF Credit Facilities”).</w:t>
      </w: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May 2023, WRF and certain of its subsidiaries entered into an amendment to the WRF Credit Facility Agreement to:</w:t>
      </w:r>
    </w:p>
    <w:p>
      <w:pPr>
        <w:spacing w:after="0" w:line="23" w:lineRule="exact"/>
        <w:rPr>
          <w:sz w:val="20"/>
          <w:szCs w:val="20"/>
          <w:color w:val="auto"/>
        </w:rPr>
      </w:pPr>
    </w:p>
    <w:p>
      <w:pPr>
        <w:jc w:val="both"/>
        <w:spacing w:after="0" w:line="248" w:lineRule="auto"/>
        <w:tabs>
          <w:tab w:leader="none" w:pos="26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remained subject to a stated maturity date of September 20, 2024, and lenders who elected not to extend their term loan commitments in an amount equal to approximately $75.6 million remained subject to a stated maturity date of September 20, 2024.</w:t>
      </w:r>
    </w:p>
    <w:p>
      <w:pPr>
        <w:spacing w:after="0" w:line="29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Subject to certain exceptions, the WRF Credit Facilities bear interest at Term SOFR plus 1.75% per annum. The annual fee required to pay for unborrowed amounts under the WRF Revolver, if any, is 0.25% per annum. The Company is required to make quarterly repayments on the WRF Term Loan of $10.3 million, with any remaining principal amount outstanding repayable in full on the term loan’s respective stated maturity date.</w:t>
      </w:r>
    </w:p>
    <w:p>
      <w:pPr>
        <w:spacing w:after="0" w:line="29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September 2024, WRF and certain of its subsidiaries entered into an amendment (the “WRF Credit Facility Amendment”) to its existing credit agreement to extend the stated maturity of $68.7 million aggregate principal amount of revolving commitments and $71.8 million aggregate principal of term loan commitments from September 20, 2024 to September 20, 2027. In connection with the 2024 WRF Credit Facility Amendment, the Company recognized a loss on debt financing transactions of $0.1 million within the accompanying Consolidated Statement of Operations, and the Company recorded debt issuance costs of $0.5 million within the Consolidated Balance Sheet.</w:t>
      </w:r>
    </w:p>
    <w:p>
      <w:pPr>
        <w:spacing w:after="0" w:line="29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The Consolidated Senior Secured Net Leverage Ratio is not to exceed 3.75 to 1.00.</w:t>
      </w:r>
    </w:p>
    <w:p>
      <w:pPr>
        <w:spacing w:after="0" w:line="29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WRF Senior Notes</w:t>
      </w:r>
    </w:p>
    <w:p>
      <w:pPr>
        <w:spacing w:after="0" w:line="29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April 2020, WRF and its subsidiary Wynn Resorts Capital Corp. (collectively with WRF, the “WRF Issuers”), each an indirect wholly owned subsidiary of the Company, issued $750.0 million aggregate principal amount of 5 1/8% Senior Notes due 2029 (the “2029 WRF Senior Notes”).</w:t>
      </w:r>
    </w:p>
    <w:p>
      <w:pPr>
        <w:sectPr>
          <w:pgSz w:w="11880" w:h="15480" w:orient="portrait"/>
          <w:cols w:equalWidth="0" w:num="1">
            <w:col w:w="10200"/>
          </w:cols>
          <w:pgMar w:left="840" w:top="664" w:right="840" w:bottom="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200"/>
          </w:cols>
          <w:pgMar w:left="840" w:top="664" w:right="840" w:bottom="3"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February 2023, the WRF Issuers issued $600.0 million aggregate principal amount of 7 1/8% Senior Notes due 2031 (the “2031 WRF Senior Notes”) in a private offering. The 2031 WRF Senior Notes were issued at par, for net proceeds of $596.2 million, which were used to repurchase WRF senior notes outstanding at that time.</w:t>
      </w:r>
    </w:p>
    <w:p>
      <w:pPr>
        <w:spacing w:after="0" w:line="2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2024, the WRF Issuers issued an additional $400.0 million aggregate principal amount of 7 1/8% Senior Notes due 2031 (the “2031 WRF Add-On Senior Notes”), and collectively with the 7 1/8% Senior Notes due 2031 (the “2031 WRF Senior Notes”). The 2031 WRF Add-On Senior Notes were issued at a price equal to 103.00% of the principal amount plus accrued interest, resulting in net proceeds of $409.5 million. The net proceeds from the 2031 WRF Add-On Senior Notes, together with cash held by Wynn Resorts, were used to repurchase an aggregate $796.7 million of the outstanding principal amount of the 2025 WLV Senior Notes (as defined below) and to pay the applicable tender premium and related fees and expenses. In connection with the issuance of the 2031 WRF Add-On Senior Notes and the repurchase of the 2025 WLV Senior Notes in February and March 2024 (as further discussed below), the Company recognized a loss on debt financing transactions of $1.6 million within the accompanying Consolidated Statements of Operations, and the Company recorded debt issuance costs of $5.6 million within the accompanying Consolidated Balance Sheet.</w:t>
      </w:r>
    </w:p>
    <w:p>
      <w:pPr>
        <w:spacing w:after="0" w:line="2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September 2024, the WRF Issuers issued $800.0 million aggregate principal amount of 6 1/4% Senior Notes due 2033 (the “2033 WRF Senior Notes”) in a private offering exempt from the registration requirements of the Securities Act, as amended. The 2033 WRF Senior Notes were issued at par, for proceeds of $795.0 million, net of $5.0 million of related fees and expenses. A portion of the proceeds from the offering of the 2033 WRF Senior Notes was used in October 2024 to repurchase the remaining outstanding principal amount of the 2025 WLV Senior Notes (as defined below) in full. In connection with the issuance of the 2033 WRF Senior Notes and the repurchase of the 2025 WLV Senior Notes in October 2024 (as further discussed below), the Company recognized a loss on debt financing transactions of $1.1 million within the accompanying Consolidated Statements of Operations, and the Company recorded debt issuance costs of $8.2 million within the accompanying Consolidated Balance Sheet.</w:t>
      </w:r>
    </w:p>
    <w:p>
      <w:pPr>
        <w:spacing w:after="0" w:line="2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2029 WRF Senior Notes, the 2031 WRF Senior Notes and the 2033 WRF Senior Notes (collectively the “WRF Senior Notes”) were issued pursuant to indentures (the “WRF Indentures”) among the WRF Issuers, the Guarantors party thereto, and U.S. Bank National Association, as trustee (the “Trustee”). The WRF Senior Notes bear interest at each of their respective interest rates and interest is payable semi-annually.</w:t>
      </w:r>
    </w:p>
    <w:p>
      <w:pPr>
        <w:spacing w:after="0" w:line="2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spacing w:after="0" w:line="2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39"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w:t>
      </w:r>
    </w:p>
    <w:p>
      <w:pPr>
        <w:spacing w:after="0" w:line="22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sectPr>
          <w:pgSz w:w="11880" w:h="15480" w:orient="portrait"/>
          <w:cols w:equalWidth="0" w:num="1">
            <w:col w:w="10200"/>
          </w:cols>
          <w:pgMar w:left="840" w:top="664"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200"/>
          </w:cols>
          <w:pgMar w:left="840" w:top="664" w:right="840" w:bottom="3"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WLV Senior Notes</w:t>
      </w:r>
    </w:p>
    <w:p>
      <w:pPr>
        <w:spacing w:after="0" w:line="24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Las Vegas, LLC and Wynn Las Vegas Capital Corp. (“Capital Corp.” and together with Wynn Las Vegas, LLC, the “Issuers”) issued $1.80 billion 5 1/2% Senior Notes due 2025 (the “2025 WLV Senior Notes”), and $900.0 million 5 1/4% Senior Notes due 2027 (the 2027 WLV Senior Notes) pursuant to indentures, dated February 18, 2015 (the “2025 Indenture”), and May 11, 2017 (the “2027 Indenture”), respectively, among the Issuers, the WLV Guarantors (as defined below) and the Trustee.</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and March 2024, Wynn Las Vegas repurchased $800.0 million aggregate principal amount of 2025 WLV Senior Notes, which consisted of i) $681.0 million aggregate principal amount of validly tendered notes repurchased at a price equal to 97.2% of the principal amount, plus accrued interest and an early tender premium of $20.3 million, and ii) $119.0 million aggregate principal amount of notes repurchased on a pro-rata basis at a price equal to 100% of the principal amount, plus accrued interest, under the terms of its indenture. Included in the $119.0 million repurchase was $3.3 million aggregate principal amount of 2025 WLV Senior Notes held by Wynn Resorts. The Company used the net proceeds from the 2031 WRF Add-On Senior Notes and cash held by WRF to purchase such validly tendered 2025 WLV Senior Notes and to pay the early tender premium and related fees and expenses.</w:t>
      </w:r>
    </w:p>
    <w:p>
      <w:pPr>
        <w:spacing w:after="0" w:line="24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October 2024, Wynn Las Vegas repurchased the remaining $600.0 million aggregate principal amount of its 2025 WLV Senior Notes at a price equal to 100.0% of the principal amount, plus a “make-whole” amount and accrued interest, under the terms of its indenture. Included in the $600.0 million repurchase was $16.7 million aggregate principal amount of 2025 WLV Senior Notes held by Wynn Resorts.</w:t>
      </w:r>
    </w:p>
    <w:p>
      <w:pPr>
        <w:spacing w:after="0" w:line="24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2018, Wynn Resorts purchased $20.0 million principal amount of 2027 WLV Senior Notes through open market purchases. As of December 31, 2024, Wynn Resorts holds the 2027 WLV Senior Notes and has not contributed it to its wholly owned subsidiary, WLV.</w:t>
      </w:r>
    </w:p>
    <w:p>
      <w:pPr>
        <w:spacing w:after="0" w:line="2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2027 WLV Senior Notes are the WLV Issuers’ senior unsecured obligations and each rank pari passu in right of payment. The 2027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2027 WLV Senior Notes will be released.</w:t>
      </w:r>
    </w:p>
    <w:p>
      <w:pPr>
        <w:spacing w:after="0" w:line="2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2027 WLV Senior Notes are jointly and severally guaranteed by all of the WLV Issuers’ subsidiaries, other than Capital Corp., which was a co-issuer (the “WLV Guarantors”). The guarantees are senior unsecured obligations of the WLV Guarantors and rank senior in right of payment to all of their existing and future subordinated debt. The guarantees rank equally in right of payment with all existing and future liabilities of the WLV Guarantors that are not so subordinated and will be effectively subordinated in right of payment to all of such WLV Guarantors’ existing and future secured debt (to the extent of the collateral securing such debt).</w:t>
      </w:r>
    </w:p>
    <w:p>
      <w:pPr>
        <w:spacing w:after="0" w:line="2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2027 Indenture contains covenants limiting the WLV Issuers’ and the WLV Guarantors’ ability to create liens on assets to secure debt; enter into sale-leaseback transactions; and merge or consolidate with another company. These covenants are subject to a number of important and significant limitations, qualifications and exceptions. Events of default under the 2027 Indenture includes, among others, the following: default for 30 days in the payment of interest when due on the 2027 WLV Senior Notes; default in payment of the principal or premium, if any, when due on the 2027 WLV Senior Notes; failure to comply with certain covenants in the 2027 Indenture; and certain events of bankruptcy or insolvency. In the case of an event of default arising from certain events of bankruptcy or insolvency with respect to the Issuers or any WLV Guarantor, all 2027 WLV Senior Notes then outstanding will become due and payable immediately without further action or notice.</w:t>
      </w:r>
    </w:p>
    <w:p>
      <w:pPr>
        <w:spacing w:after="0" w:line="24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Issuers and certain of their subsidiaries will guarantee and secure their obligation under the WRF Credit Facilities with liens on substantially all of their assets, with such liens limiting the amount of such obligations secured to 15% of their total assets.</w:t>
      </w:r>
    </w:p>
    <w:p>
      <w:pPr>
        <w:spacing w:after="0" w:line="24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2027 WLV Senior Notes were offered pursuant to an exemption under the Securities Act only to qualified institutional buyers in reliance on Rule 144A under the Securities Act. The 2027 WLV Senior Notes have not been and will not be registered under the Securities Act or under any state securities laws. Therefore, the 2027 WLV Senior Notes may not</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200"/>
          </w:cols>
          <w:pgMar w:left="840" w:top="664" w:right="840" w:bottom="3"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be offered or sold within the United States to, or for the account or benefit of, any United States person unless the offer or sale would qualify for a registration exemption from the Securities Act and applicable state securities 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Retail Term Loan</w:t>
      </w:r>
    </w:p>
    <w:p>
      <w:pPr>
        <w:spacing w:after="0" w:line="2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2018, Wynn/CA Plaza Property Owner, LLC and Wynn/CA Property Owner, LLC (collectively, the “Retail Borrowers”), subsidiaries of the Retail Joint Venture, entered into a term loan agreement (together with its subsequent amendments, the “Retail Term Loan Agreement”). On June 2, 2023, the Borrowers entered into an amendment effective as of July 3, 2023, which amended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 The Retail Term Loan Agreement provides for a term loan facility to the Retail Borrowers of $615.0 million (the “Retail Term Loan”). The Retail Term Loan is secured by substantially all of the assets of the Retail Borrowers. The Retail Borrowers distributed approximately $589 million of the net proceeds of the Retail Term Loan to their members on a proportionate basis to each member’s ownership percentage. The Retail Borrowers may prepay the Retail Term Loan, in whole or in part, at any time with no premium above the principal amount.</w:t>
      </w:r>
    </w:p>
    <w:p>
      <w:pPr>
        <w:spacing w:after="0" w:line="23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accordance with the terms of the Retail Term Loan Agreement, the Retail Borrowers entered into an interest rate collar with a notional value of $615.0 million and a termination date of August 1, 2024, the underlying reference rate of which was transitioned from LIBOR to SOFR concurrently with the Retail Term Loan. The Company measured the fair value of the interest rate collar based on a Black-Scholes option pricing model, which incorporates observable market inputs such as market volatility and interest rates, with changes in fair value recorded in earnings. As of December 31, 2023, the fair value of the interest rate collar was an asset of $5.8 million, recorded in Prepaid expenses and other in the accompanying Consolidated Balance Sheets.</w:t>
      </w:r>
    </w:p>
    <w:p>
      <w:pPr>
        <w:spacing w:after="0" w:line="23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October 2024, the Retail Borrowers entered into a third amendment (the “Retail Term Loan Amendment”) to their existing term loan agreement. The Retail Term Loan Amendment, amends the Retail Term Loan Agreement to, among other things: (i) extend the scheduled maturity date of the term loan to July 24, 2027; (ii) provide for an interest rate on the term loan equal to One Month Term SOFR (as defined in, and determined in accordance with, the Retail Term Loan Agreement) plus a spread of 215 basis points; and (iii) require that the Retail Borrowers meet a specified maximum loan to value ratio annually (which, if not met, triggers a mandatory excess cash sweep until such ratio has been achieved) as well as certain specified minimum debt yields. In connection with, and as provided under, the Retail Term Loan Amendment, the Retail Borrowers made a principal prepayment of the term loan in the amount of $15.0 million. In connection with the Retail Term Loan Amendment, the Company recognized a loss on debt financing transaction of $0.1 million within the accompanying Consolidated Statements of Operations, and the Company recorded debt issuance costs of $2.4 million within the accompanying Consolidated Balance Sheet.</w:t>
      </w:r>
    </w:p>
    <w:p>
      <w:pPr>
        <w:spacing w:after="0" w:line="23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accordance with the terms of the Retail Term Loan Amendment, the Retail Borrowers entered into an interest rate swap agreement in October 2024 with a notional value of $600.0 million. The interest rate swap effectively fixes the variable component of the interest rate on the Retail Term Loan at 3.385% whereby the Retail Borrowers will pay the counterparty 3.385% and the counterparty will pay the Retail Borrowers one-month SOFR. The interest rate swap settles monthly through the termination date in February 2027. The Company measures the fair value of the interest rate swap at each balance sheet date based on a discounting the future cash flows of both the fixed and variable rate interest payments based on market yield curves, with changes in fair value recorded in earnings. As of December 31, 2024, the fair value of the interest rate swap was an asset of $7.5 million, of which $3.9 million was recorded in Prepaid expenses and other and $3.6 million was recorded in Other assets in the accompanying Consolidated Balance Sheets.</w:t>
      </w:r>
    </w:p>
    <w:p>
      <w:pPr>
        <w:spacing w:after="0" w:line="2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ectPr>
          <w:pgSz w:w="11880" w:h="15480" w:orient="portrait"/>
          <w:cols w:equalWidth="0" w:num="1">
            <w:col w:w="10200"/>
          </w:cols>
          <w:pgMar w:left="840" w:top="664"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200"/>
          </w:cols>
          <w:pgMar w:left="840" w:top="664" w:right="840" w:bottom="3"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Covenant Compliance</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2024, management believes the Company was in compliance with all debt covenants.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Scheduled Maturities of Long-Term Debt</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Scheduled maturities of long-term debt as of December 31, 2024 were as follows (in thousands):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Years Ending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41,250</w:t>
            </w:r>
          </w:p>
        </w:tc>
      </w:tr>
      <w:tr>
        <w:trPr>
          <w:trHeight w:val="291"/>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1,041,250</w:t>
            </w:r>
          </w:p>
        </w:tc>
      </w:tr>
      <w:tr>
        <w:trPr>
          <w:trHeight w:val="309"/>
        </w:trPr>
        <w:tc>
          <w:tcPr>
            <w:tcW w:w="8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2,910,625</w:t>
            </w:r>
          </w:p>
        </w:tc>
      </w:tr>
      <w:tr>
        <w:trPr>
          <w:trHeight w:val="291"/>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2,501,874</w:t>
            </w:r>
          </w:p>
        </w:tc>
      </w:tr>
      <w:tr>
        <w:trPr>
          <w:trHeight w:val="309"/>
        </w:trPr>
        <w:tc>
          <w:tcPr>
            <w:tcW w:w="8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2,350,000</w:t>
            </w:r>
          </w:p>
        </w:tc>
      </w:tr>
      <w:tr>
        <w:trPr>
          <w:trHeight w:val="286"/>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1,800,000</w:t>
            </w:r>
          </w:p>
        </w:tc>
      </w:tr>
      <w:tr>
        <w:trPr>
          <w:trHeight w:val="294"/>
        </w:trPr>
        <w:tc>
          <w:tcPr>
            <w:tcW w:w="89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10,644,999</w:t>
            </w:r>
          </w:p>
        </w:tc>
      </w:tr>
      <w:tr>
        <w:trPr>
          <w:trHeight w:val="291"/>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33,007</w:t>
            </w:r>
          </w:p>
        </w:tc>
      </w:tr>
      <w:tr>
        <w:trPr>
          <w:trHeight w:val="295"/>
        </w:trPr>
        <w:tc>
          <w:tcPr>
            <w:tcW w:w="89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Unamortized debt issuance costs and original issue discounts and premium, net</w:t>
            </w:r>
          </w:p>
        </w:tc>
        <w:tc>
          <w:tcPr>
            <w:tcW w:w="20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(136,272)</w:t>
            </w:r>
          </w:p>
        </w:tc>
      </w:tr>
      <w:tr>
        <w:trPr>
          <w:trHeight w:val="281"/>
        </w:trPr>
        <w:tc>
          <w:tcPr>
            <w:tcW w:w="89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10,541,734</w:t>
            </w:r>
          </w:p>
        </w:tc>
      </w:tr>
      <w:tr>
        <w:trPr>
          <w:trHeight w:val="23"/>
        </w:trPr>
        <w:tc>
          <w:tcPr>
            <w:tcW w:w="8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Long-Term Debt</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estimated fair value of the Company’s long-term debt as of December 31, 2024 and 2023, was approximately $10.46 billion and $11.49 billion, respectively, compared to its carrying value, excluding debt issuance costs and original issue discount and premium, of $10.64 billion, and $11.83 billion, respectively. The estimated fair value of the Company’s long-term debt is based on recent trades, if available, and indicative pricing from market information (Level 2 inputs).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WML Convertible Bond Conversion Option Derivative</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Dividend yield is assumed to be zero due to a dividend protection feature in the WML Convertible Bond Agreement.</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00"/>
          </w:cols>
          <w:pgMar w:left="840" w:top="664" w:right="840" w:bottom="3"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inputs to the lattice models that were used to value the embedded derivative: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7320" w:type="dxa"/>
            <w:vAlign w:val="bottom"/>
          </w:tcPr>
          <w:p>
            <w:pPr>
              <w:spacing w:after="0"/>
              <w:rPr>
                <w:sz w:val="15"/>
                <w:szCs w:val="15"/>
                <w:color w:val="auto"/>
              </w:rPr>
            </w:pPr>
          </w:p>
        </w:tc>
        <w:tc>
          <w:tcPr>
            <w:tcW w:w="1340" w:type="dxa"/>
            <w:vAlign w:val="bottom"/>
          </w:tcPr>
          <w:p>
            <w:pPr>
              <w:jc w:val="right"/>
              <w:ind w:right="316"/>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gridSpan w:val="2"/>
          </w:tcPr>
          <w:p>
            <w:pPr>
              <w:jc w:val="right"/>
              <w:ind w:right="33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6"/>
        </w:trPr>
        <w:tc>
          <w:tcPr>
            <w:tcW w:w="7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0"/>
        </w:trPr>
        <w:tc>
          <w:tcPr>
            <w:tcW w:w="7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stock price</w:t>
            </w:r>
          </w:p>
        </w:tc>
        <w:tc>
          <w:tcPr>
            <w:tcW w:w="1340" w:type="dxa"/>
            <w:vAlign w:val="bottom"/>
            <w:shd w:val="clear" w:color="auto" w:fill="E0E0E0"/>
          </w:tcPr>
          <w:p>
            <w:pPr>
              <w:jc w:val="right"/>
              <w:ind w:right="116"/>
              <w:spacing w:after="0"/>
              <w:rPr>
                <w:sz w:val="20"/>
                <w:szCs w:val="20"/>
                <w:color w:val="auto"/>
              </w:rPr>
            </w:pPr>
            <w:r>
              <w:rPr>
                <w:rFonts w:ascii="Times New Roman" w:cs="Times New Roman" w:eastAsia="Times New Roman" w:hAnsi="Times New Roman"/>
                <w:sz w:val="20"/>
                <w:szCs w:val="20"/>
                <w:color w:val="auto"/>
                <w:w w:val="97"/>
              </w:rPr>
              <w:t>HK$5.39</w:t>
            </w:r>
          </w:p>
        </w:tc>
        <w:tc>
          <w:tcPr>
            <w:tcW w:w="200" w:type="dxa"/>
            <w:vAlign w:val="bottom"/>
            <w:shd w:val="clear" w:color="auto" w:fill="E0E0E0"/>
          </w:tcPr>
          <w:p>
            <w:pPr>
              <w:spacing w:after="0"/>
              <w:rPr>
                <w:sz w:val="24"/>
                <w:szCs w:val="24"/>
                <w:color w:val="auto"/>
              </w:rPr>
            </w:pPr>
          </w:p>
        </w:tc>
        <w:tc>
          <w:tcPr>
            <w:tcW w:w="1340" w:type="dxa"/>
            <w:vAlign w:val="bottom"/>
            <w:shd w:val="clear" w:color="auto" w:fill="E0E0E0"/>
          </w:tcPr>
          <w:p>
            <w:pPr>
              <w:jc w:val="right"/>
              <w:ind w:right="130"/>
              <w:spacing w:after="0"/>
              <w:rPr>
                <w:sz w:val="20"/>
                <w:szCs w:val="20"/>
                <w:color w:val="auto"/>
              </w:rPr>
            </w:pPr>
            <w:r>
              <w:rPr>
                <w:rFonts w:ascii="Times New Roman" w:cs="Times New Roman" w:eastAsia="Times New Roman" w:hAnsi="Times New Roman"/>
                <w:sz w:val="20"/>
                <w:szCs w:val="20"/>
                <w:color w:val="auto"/>
                <w:w w:val="97"/>
              </w:rPr>
              <w:t>HK$6.43</w:t>
            </w:r>
          </w:p>
        </w:tc>
      </w:tr>
      <w:tr>
        <w:trPr>
          <w:trHeight w:val="291"/>
        </w:trPr>
        <w:tc>
          <w:tcPr>
            <w:tcW w:w="7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Estimated volatility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34.0%</w:t>
            </w:r>
          </w:p>
        </w:tc>
      </w:tr>
      <w:tr>
        <w:trPr>
          <w:trHeight w:val="309"/>
        </w:trPr>
        <w:tc>
          <w:tcPr>
            <w:tcW w:w="7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5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91"/>
        </w:trPr>
        <w:tc>
          <w:tcPr>
            <w:tcW w:w="7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20"/>
                <w:szCs w:val="20"/>
                <w:color w:val="auto"/>
              </w:rPr>
              <w:t>4.2</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5.2</w:t>
            </w:r>
          </w:p>
        </w:tc>
      </w:tr>
      <w:tr>
        <w:trPr>
          <w:trHeight w:val="309"/>
        </w:trPr>
        <w:tc>
          <w:tcPr>
            <w:tcW w:w="7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 xml:space="preserve">Dividend yield </w:t>
            </w:r>
            <w:r>
              <w:rPr>
                <w:rFonts w:ascii="Times New Roman" w:cs="Times New Roman" w:eastAsia="Times New Roman" w:hAnsi="Times New Roman"/>
                <w:sz w:val="26"/>
                <w:szCs w:val="26"/>
                <w:color w:val="auto"/>
                <w:vertAlign w:val="superscript"/>
              </w:rPr>
              <w:t>(1)</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5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0.0%</w:t>
            </w:r>
          </w:p>
        </w:tc>
      </w:tr>
    </w:tbl>
    <w:p>
      <w:pPr>
        <w:spacing w:after="0" w:line="101" w:lineRule="exact"/>
        <w:rPr>
          <w:sz w:val="20"/>
          <w:szCs w:val="20"/>
          <w:color w:val="auto"/>
        </w:rPr>
      </w:pPr>
    </w:p>
    <w:p>
      <w:pPr>
        <w:ind w:left="320" w:hanging="320"/>
        <w:spacing w:after="0" w:line="246"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is assumed to be zero in the lattice model used to value the WML Convertible Bond Conversion Option Derivative, due to a dividend protection feature in the WML Convertible Bond Agreement.</w:t>
      </w:r>
    </w:p>
    <w:p>
      <w:pPr>
        <w:spacing w:after="0" w:line="26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connection with the completion of the offering of the WML Convertible Bonds in March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December 31, 2024 and 2023, the estimated fair value of the embedded derivative was a liability of $33.0 million and $73.7 million, recorded within Long-term debt within the accompanying Consolidated Balance Sheet. In connection with the change in fair value, the Company recorded a gain of $40.7 million and $49.7 million within Change in derivatives fair value in the accompanying Consolidated Statements of Operations for the years ended December 31,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Stockholders’ Deficit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Repurchase Program</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November 2024, the Company’s Board of Directors authorized the Company to repurchase a total of up to $1.0 billion of the Company’s outstanding shares of common stock, increasing the previously available repurchase authorization by approximately $766.0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spacing w:after="0" w:line="25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2024, the Company repurchased 4,349,779 shares of its common stock at an average price of $88.75 per share for an aggregate cost of $386.0 million under the equity repurchase program. During the year ended December 31, 2023, the Company repurchased 2,206,573 shares of its common stock at an average price of $88.61 per share for an aggregate cost of $195.5 million under the equity repurchase program. As of December 31, 2024, the Company had $813.0 million in repurchase authority remaining under the program.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paid a cash dividend of $0.25 per share in each of the quarters ended March 31, 2024, June 30, 2024, September 30, 2024 and December 31, 2024 and recorded an aggregate amount of $111.1 million against accumulated deficit in the year ended December 31, 2024.</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paid a cash dividend of $0.25 per share in each of the quarters ended June 30, 2023, September 30, 2023 and December 31, 2023 and recorded an aggregate amount of $85.1 million against accumulated deficit in the year ended December 31, 2023. No dividends were paid during the year ended December 31, 2022.</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On February 13, 2025, the Company declared a cash dividend of $0.25 per share, payable on March 5, 2025 to stockholders of record as of February 24, 2025.</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200"/>
          </w:cols>
          <w:pgMar w:left="840" w:top="664" w:right="840" w:bottom="3"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Noncontrolling Interests</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Wynn Macau, Limited</w:t>
      </w:r>
    </w:p>
    <w:p>
      <w:pPr>
        <w:spacing w:after="0" w:line="29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WML’s ordinary shares of common stock are listed on The Stock Exchange of Hong Kong Limited. As of December 31, 2024, the Company owned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29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June 2024 and September 2024, WML paid a cash dividend of HK$0.075 per share for a total U.S. dollar equivalent of approximately $50.4 million and $50.5 million, respectively. The Company’s share of these dividends were $36.0 million and $36.1 million, respectively, and the noncontrolling interest holders’ share of this dividend was $14.4 million in each of the quarters ended June 30, 2024 and September 30, 2024.</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WML Securities Lending Agreement</w:t>
      </w:r>
    </w:p>
    <w:p>
      <w:pPr>
        <w:spacing w:after="0" w:line="29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connection with the WML Convertible Bonds Offering,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In March 2023, the WML Stock Borrower borrowed 459,774,985 ordinary shares of WML under the Securities Lending Agreement and in April 2023 returned 280,000,000 of such shares to WM Cayman I. As of the date of this report, the WML Stock Borrower held 179,774,985 WML shares under the Securities Lending Agreement.</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Retail Joint Venture</w:t>
      </w:r>
    </w:p>
    <w:p>
      <w:pPr>
        <w:spacing w:after="0" w:line="29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2024, 2023 and 2022, the Retail Joint Venture made aggregate distributions of $17.0 million, $22.6 million and $27.7 million, respectively, to its non-controlling interest holder. For more information on the Retail Joint Venture, see Note 19, “Retail Joint Venture.”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Fair Value Measurements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tables present assets and liabilities carried at fair value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gridSpan w:val="7"/>
          </w:tcPr>
          <w:p>
            <w:pPr>
              <w:jc w:val="right"/>
              <w:ind w:right="787"/>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r>
      <w:tr>
        <w:trPr>
          <w:trHeight w:val="24"/>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13"/>
              <w:spacing w:after="0" w:line="180" w:lineRule="exact"/>
              <w:rPr>
                <w:sz w:val="20"/>
                <w:szCs w:val="20"/>
                <w:color w:val="auto"/>
              </w:rPr>
            </w:pPr>
            <w:r>
              <w:rPr>
                <w:rFonts w:ascii="Times New Roman" w:cs="Times New Roman" w:eastAsia="Times New Roman" w:hAnsi="Times New Roman"/>
                <w:sz w:val="16"/>
                <w:szCs w:val="16"/>
                <w:b w:val="1"/>
                <w:bCs w:val="1"/>
                <w:color w:val="auto"/>
                <w:w w:val="98"/>
              </w:rPr>
              <w:t>Quoted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Prices in</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249"/>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6"/>
              </w:rPr>
              <w:t>Active</w:t>
            </w:r>
          </w:p>
        </w:tc>
        <w:tc>
          <w:tcPr>
            <w:tcW w:w="12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3"/>
                <w:szCs w:val="13"/>
                <w:color w:val="auto"/>
              </w:rPr>
            </w:pPr>
          </w:p>
        </w:tc>
        <w:tc>
          <w:tcPr>
            <w:tcW w:w="11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ind w:right="229"/>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67"/>
              <w:spacing w:after="0" w:line="160" w:lineRule="exact"/>
              <w:rPr>
                <w:sz w:val="20"/>
                <w:szCs w:val="20"/>
                <w:color w:val="auto"/>
              </w:rPr>
            </w:pPr>
            <w:r>
              <w:rPr>
                <w:rFonts w:ascii="Times New Roman" w:cs="Times New Roman" w:eastAsia="Times New Roman" w:hAnsi="Times New Roman"/>
                <w:sz w:val="16"/>
                <w:szCs w:val="16"/>
                <w:b w:val="1"/>
                <w:bCs w:val="1"/>
                <w:color w:val="auto"/>
              </w:rPr>
              <w:t>Inputs</w:t>
            </w:r>
          </w:p>
        </w:tc>
      </w:tr>
      <w:tr>
        <w:trPr>
          <w:trHeight w:val="176"/>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07"/>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33"/>
              <w:spacing w:after="0" w:line="177"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ind w:right="229"/>
              <w:spacing w:after="0" w:line="177"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87"/>
              <w:spacing w:after="0" w:line="177"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24"/>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787,004</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20"/>
                <w:szCs w:val="20"/>
                <w:color w:val="auto"/>
              </w:rPr>
              <w:t>787,004</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95,638</w:t>
            </w: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3"/>
              <w:spacing w:after="0"/>
              <w:rPr>
                <w:sz w:val="20"/>
                <w:szCs w:val="20"/>
                <w:color w:val="auto"/>
              </w:rPr>
            </w:pPr>
            <w:r>
              <w:rPr>
                <w:rFonts w:ascii="Times New Roman" w:cs="Times New Roman" w:eastAsia="Times New Roman" w:hAnsi="Times New Roman"/>
                <w:sz w:val="20"/>
                <w:szCs w:val="20"/>
                <w:color w:val="auto"/>
              </w:rPr>
              <w:t>6,434</w:t>
            </w:r>
          </w:p>
        </w:tc>
        <w:tc>
          <w:tcPr>
            <w:tcW w:w="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49"/>
              <w:spacing w:after="0"/>
              <w:rPr>
                <w:sz w:val="20"/>
                <w:szCs w:val="20"/>
                <w:color w:val="auto"/>
              </w:rPr>
            </w:pPr>
            <w:r>
              <w:rPr>
                <w:rFonts w:ascii="Times New Roman" w:cs="Times New Roman" w:eastAsia="Times New Roman" w:hAnsi="Times New Roman"/>
                <w:sz w:val="20"/>
                <w:szCs w:val="20"/>
                <w:color w:val="auto"/>
              </w:rPr>
              <w:t>89,204</w:t>
            </w:r>
          </w:p>
        </w:tc>
        <w:tc>
          <w:tcPr>
            <w:tcW w:w="36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 swap</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7,510</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20"/>
                <w:szCs w:val="20"/>
                <w:color w:val="auto"/>
              </w:rPr>
              <w:t>7,510</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58"/>
        </w:trPr>
        <w:tc>
          <w:tcPr>
            <w:tcW w:w="4740" w:type="dxa"/>
            <w:vAlign w:val="bottom"/>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rPr>
              <w:t>(see Note 8)</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33,007</w:t>
            </w:r>
          </w:p>
        </w:tc>
        <w:tc>
          <w:tcPr>
            <w:tcW w:w="120" w:type="dxa"/>
            <w:vAlign w:val="bottom"/>
            <w:shd w:val="clear" w:color="auto" w:fill="E0E0E0"/>
          </w:tcPr>
          <w:p>
            <w:pPr>
              <w:spacing w:after="0"/>
              <w:rPr>
                <w:sz w:val="22"/>
                <w:szCs w:val="22"/>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49"/>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33,007</w:t>
            </w: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200"/>
          </w:cols>
          <w:pgMar w:left="840" w:top="664" w:right="840" w:bottom="3"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gridSpan w:val="7"/>
          </w:tcPr>
          <w:p>
            <w:pPr>
              <w:jc w:val="right"/>
              <w:ind w:right="786"/>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r>
      <w:tr>
        <w:trPr>
          <w:trHeight w:val="26"/>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12"/>
              <w:spacing w:after="0" w:line="180" w:lineRule="exact"/>
              <w:rPr>
                <w:sz w:val="20"/>
                <w:szCs w:val="20"/>
                <w:color w:val="auto"/>
              </w:rPr>
            </w:pPr>
            <w:r>
              <w:rPr>
                <w:rFonts w:ascii="Times New Roman" w:cs="Times New Roman" w:eastAsia="Times New Roman" w:hAnsi="Times New Roman"/>
                <w:sz w:val="16"/>
                <w:szCs w:val="16"/>
                <w:b w:val="1"/>
                <w:bCs w:val="1"/>
                <w:color w:val="auto"/>
                <w:w w:val="98"/>
              </w:rPr>
              <w:t>Quoted</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2"/>
              <w:spacing w:after="0" w:line="160"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2"/>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Prices in</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208"/>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2"/>
              <w:spacing w:after="0" w:line="160" w:lineRule="exact"/>
              <w:rPr>
                <w:sz w:val="20"/>
                <w:szCs w:val="20"/>
                <w:color w:val="auto"/>
              </w:rPr>
            </w:pPr>
            <w:r>
              <w:rPr>
                <w:rFonts w:ascii="Times New Roman" w:cs="Times New Roman" w:eastAsia="Times New Roman" w:hAnsi="Times New Roman"/>
                <w:sz w:val="16"/>
                <w:szCs w:val="16"/>
                <w:b w:val="1"/>
                <w:bCs w:val="1"/>
                <w:color w:val="auto"/>
                <w:w w:val="96"/>
              </w:rPr>
              <w:t>Active</w:t>
            </w:r>
          </w:p>
        </w:tc>
        <w:tc>
          <w:tcPr>
            <w:tcW w:w="12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3"/>
                <w:szCs w:val="13"/>
                <w:color w:val="auto"/>
              </w:rPr>
            </w:pPr>
          </w:p>
        </w:tc>
        <w:tc>
          <w:tcPr>
            <w:tcW w:w="11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3"/>
                <w:szCs w:val="13"/>
                <w:color w:val="auto"/>
              </w:rPr>
            </w:pPr>
          </w:p>
        </w:tc>
        <w:tc>
          <w:tcPr>
            <w:tcW w:w="1000" w:type="dxa"/>
            <w:vAlign w:val="bottom"/>
          </w:tcPr>
          <w:p>
            <w:pPr>
              <w:jc w:val="center"/>
              <w:ind w:right="212"/>
              <w:spacing w:after="0" w:line="160"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188"/>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66"/>
              <w:spacing w:after="0" w:line="160" w:lineRule="exact"/>
              <w:rPr>
                <w:sz w:val="20"/>
                <w:szCs w:val="20"/>
                <w:color w:val="auto"/>
              </w:rPr>
            </w:pPr>
            <w:r>
              <w:rPr>
                <w:rFonts w:ascii="Times New Roman" w:cs="Times New Roman" w:eastAsia="Times New Roman" w:hAnsi="Times New Roman"/>
                <w:sz w:val="16"/>
                <w:szCs w:val="16"/>
                <w:b w:val="1"/>
                <w:bCs w:val="1"/>
                <w:color w:val="auto"/>
              </w:rPr>
              <w:t>Inputs</w:t>
            </w:r>
          </w:p>
        </w:tc>
      </w:tr>
      <w:tr>
        <w:trPr>
          <w:trHeight w:val="174"/>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06"/>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32"/>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88"/>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86"/>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26"/>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1,802,712</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20"/>
                <w:szCs w:val="20"/>
                <w:color w:val="auto"/>
                <w:w w:val="97"/>
              </w:rPr>
              <w:t>1,802,712</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90,226</w:t>
            </w: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2"/>
              <w:spacing w:after="0"/>
              <w:rPr>
                <w:sz w:val="20"/>
                <w:szCs w:val="20"/>
                <w:color w:val="auto"/>
              </w:rPr>
            </w:pPr>
            <w:r>
              <w:rPr>
                <w:rFonts w:ascii="Times New Roman" w:cs="Times New Roman" w:eastAsia="Times New Roman" w:hAnsi="Times New Roman"/>
                <w:sz w:val="20"/>
                <w:szCs w:val="20"/>
                <w:color w:val="auto"/>
              </w:rPr>
              <w:t>2,170</w:t>
            </w:r>
          </w:p>
        </w:tc>
        <w:tc>
          <w:tcPr>
            <w:tcW w:w="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ind w:right="148"/>
              <w:spacing w:after="0"/>
              <w:rPr>
                <w:sz w:val="20"/>
                <w:szCs w:val="20"/>
                <w:color w:val="auto"/>
              </w:rPr>
            </w:pPr>
            <w:r>
              <w:rPr>
                <w:rFonts w:ascii="Times New Roman" w:cs="Times New Roman" w:eastAsia="Times New Roman" w:hAnsi="Times New Roman"/>
                <w:sz w:val="20"/>
                <w:szCs w:val="20"/>
                <w:color w:val="auto"/>
              </w:rPr>
              <w:t>88,056</w:t>
            </w:r>
          </w:p>
        </w:tc>
        <w:tc>
          <w:tcPr>
            <w:tcW w:w="36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Fixed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550,000</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20"/>
                <w:szCs w:val="20"/>
                <w:color w:val="auto"/>
              </w:rPr>
              <w:t>550,000</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Interest rate collar</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5,769</w:t>
            </w: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ind w:right="148"/>
              <w:spacing w:after="0"/>
              <w:rPr>
                <w:sz w:val="20"/>
                <w:szCs w:val="20"/>
                <w:color w:val="auto"/>
              </w:rPr>
            </w:pPr>
            <w:r>
              <w:rPr>
                <w:rFonts w:ascii="Times New Roman" w:cs="Times New Roman" w:eastAsia="Times New Roman" w:hAnsi="Times New Roman"/>
                <w:sz w:val="20"/>
                <w:szCs w:val="20"/>
                <w:color w:val="auto"/>
              </w:rPr>
              <w:t>5,769</w:t>
            </w:r>
          </w:p>
        </w:tc>
        <w:tc>
          <w:tcPr>
            <w:tcW w:w="36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8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2"/>
        </w:trPr>
        <w:tc>
          <w:tcPr>
            <w:tcW w:w="4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(see Note 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73,744</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48"/>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73,744</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Benefit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Defined Contribution Plans</w:t>
      </w:r>
    </w:p>
    <w:p>
      <w:pPr>
        <w:spacing w:after="0" w:line="23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established a retirement savings plan under Section 401(k) of the Internal Revenue Code covering its U.S. non-union employees in July 2000. The plan allows employees to defer, within prescribed limits, a percentage of their income through contributions to this plan. The Company matches 50% of employee contributions, up to 6% of employees’ eligible compensation. During the years ended December 31, 2024, 2023 and 2022, the Company recorded matching contribution expenses of $9.6 million, $10.2 million, and $8.7 million, respectively.</w:t>
      </w:r>
    </w:p>
    <w:p>
      <w:pPr>
        <w:spacing w:after="0" w:line="22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2024, 2023 and 2022, the Company recorded matching contribution expenses of $17.1 million, $16.3 million, and $17.0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Multi-Employer Pension Plans</w:t>
      </w:r>
    </w:p>
    <w:p>
      <w:pPr>
        <w:spacing w:after="0" w:line="23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2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table outlines the Company’s participation in multi-employer pension plans. The “EIN/Pension Plan Number” column provides the Employer Identification Number (“EIN”) and the three-digit plan number. The most recent Pension Protection Act Zone Status (“Zone Status”) is based on information certified by each plan’s actuary and represents plan information available in 2024 and 2023, the plans’ two most recent fiscal year-ends. Plans certified in the green zone are</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200"/>
          </w:cols>
          <w:pgMar w:left="840" w:top="664" w:right="840" w:bottom="3"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at least 80% funded and plans certified in the red zone are generally less than 65% funded and require a rehabilitation plan. As of December 31, 2024 and 2023, all plans requiring a rehabilitation plan have had the respective plan implemented.</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participates in the following multi-employer pension plans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Zone Status</w:t>
            </w:r>
          </w:p>
        </w:tc>
        <w:tc>
          <w:tcPr>
            <w:tcW w:w="24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Contributions by the Company</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160"/>
        </w:trPr>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EIN/</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Company</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of Collective</w:t>
            </w:r>
          </w:p>
        </w:tc>
      </w:tr>
      <w:tr>
        <w:trPr>
          <w:trHeight w:val="160"/>
        </w:trPr>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Pension Plan</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Contribution</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Bargaining</w:t>
            </w:r>
          </w:p>
        </w:tc>
      </w:tr>
      <w:tr>
        <w:trPr>
          <w:trHeight w:val="200"/>
        </w:trPr>
        <w:tc>
          <w:tcPr>
            <w:tcW w:w="94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Pension Fund</w:t>
            </w:r>
          </w:p>
        </w:tc>
        <w:tc>
          <w:tcPr>
            <w:tcW w:w="440" w:type="dxa"/>
            <w:vAlign w:val="bottom"/>
          </w:tcPr>
          <w:p>
            <w:pPr>
              <w:spacing w:after="0"/>
              <w:rPr>
                <w:sz w:val="17"/>
                <w:szCs w:val="17"/>
                <w:color w:val="auto"/>
              </w:rPr>
            </w:pPr>
          </w:p>
        </w:tc>
        <w:tc>
          <w:tcPr>
            <w:tcW w:w="1180" w:type="dxa"/>
            <w:vAlign w:val="bottom"/>
            <w:tcBorders>
              <w:bottom w:val="single" w:sz="8" w:color="auto"/>
            </w:tcBorders>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Employer</w:t>
            </w:r>
          </w:p>
        </w:tc>
        <w:tc>
          <w:tcPr>
            <w:tcW w:w="60" w:type="dxa"/>
            <w:vAlign w:val="bottom"/>
          </w:tcPr>
          <w:p>
            <w:pPr>
              <w:spacing w:after="0"/>
              <w:rPr>
                <w:sz w:val="17"/>
                <w:szCs w:val="17"/>
                <w:color w:val="auto"/>
              </w:rPr>
            </w:pPr>
          </w:p>
        </w:tc>
        <w:tc>
          <w:tcPr>
            <w:tcW w:w="15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Pr>
          <w:p>
            <w:pPr>
              <w:spacing w:after="0"/>
              <w:rPr>
                <w:sz w:val="17"/>
                <w:szCs w:val="17"/>
                <w:color w:val="auto"/>
              </w:rPr>
            </w:pPr>
          </w:p>
        </w:tc>
        <w:tc>
          <w:tcPr>
            <w:tcW w:w="700" w:type="dxa"/>
            <w:vAlign w:val="bottom"/>
            <w:tcBorders>
              <w:bottom w:val="single" w:sz="8" w:color="auto"/>
            </w:tcBorders>
          </w:tcPr>
          <w:p>
            <w:pPr>
              <w:ind w:left="120"/>
              <w:spacing w:after="0" w:line="201"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7"/>
                <w:szCs w:val="17"/>
                <w:color w:val="auto"/>
              </w:rPr>
            </w:pPr>
          </w:p>
        </w:tc>
        <w:tc>
          <w:tcPr>
            <w:tcW w:w="680" w:type="dxa"/>
            <w:vAlign w:val="bottom"/>
            <w:tcBorders>
              <w:bottom w:val="single" w:sz="8" w:color="auto"/>
            </w:tcBorders>
          </w:tcPr>
          <w:p>
            <w:pPr>
              <w:ind w:left="120"/>
              <w:spacing w:after="0" w:line="201"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7"/>
                <w:szCs w:val="17"/>
                <w:color w:val="auto"/>
              </w:rPr>
            </w:pPr>
          </w:p>
        </w:tc>
        <w:tc>
          <w:tcPr>
            <w:tcW w:w="760" w:type="dxa"/>
            <w:vAlign w:val="bottom"/>
            <w:tcBorders>
              <w:bottom w:val="single" w:sz="8" w:color="auto"/>
            </w:tcBorders>
          </w:tcPr>
          <w:p>
            <w:pPr>
              <w:jc w:val="right"/>
              <w:ind w:right="127"/>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ind w:right="127"/>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760" w:type="dxa"/>
            <w:vAlign w:val="bottom"/>
            <w:tcBorders>
              <w:bottom w:val="single" w:sz="8" w:color="auto"/>
            </w:tcBorders>
          </w:tcPr>
          <w:p>
            <w:pPr>
              <w:jc w:val="right"/>
              <w:ind w:right="127"/>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&gt; 5%</w:t>
            </w:r>
          </w:p>
        </w:tc>
        <w:tc>
          <w:tcPr>
            <w:tcW w:w="6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Agreements</w:t>
            </w:r>
          </w:p>
        </w:tc>
      </w:tr>
      <w:tr>
        <w:trPr>
          <w:trHeight w:val="282"/>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Southern</w:t>
            </w:r>
          </w:p>
        </w:tc>
        <w:tc>
          <w:tcPr>
            <w:tcW w:w="11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5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0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4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Nevada</w:t>
            </w:r>
          </w:p>
        </w:tc>
        <w:tc>
          <w:tcPr>
            <w:tcW w:w="11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Culinary and</w:t>
            </w:r>
          </w:p>
        </w:tc>
        <w:tc>
          <w:tcPr>
            <w:tcW w:w="11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Bartenders</w:t>
            </w:r>
          </w:p>
        </w:tc>
        <w:tc>
          <w:tcPr>
            <w:tcW w:w="11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Wynn Las</w:t>
            </w: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58"/>
        </w:trPr>
        <w:tc>
          <w:tcPr>
            <w:tcW w:w="1380" w:type="dxa"/>
            <w:vAlign w:val="bottom"/>
            <w:gridSpan w:val="2"/>
            <w:shd w:val="clear" w:color="auto" w:fill="E0E0E0"/>
          </w:tcPr>
          <w:p>
            <w:pPr>
              <w:spacing w:after="0" w:line="258" w:lineRule="exact"/>
              <w:rPr>
                <w:sz w:val="20"/>
                <w:szCs w:val="20"/>
                <w:color w:val="auto"/>
              </w:rPr>
            </w:pPr>
            <w:r>
              <w:rPr>
                <w:rFonts w:ascii="Times New Roman" w:cs="Times New Roman" w:eastAsia="Times New Roman" w:hAnsi="Times New Roman"/>
                <w:sz w:val="20"/>
                <w:szCs w:val="20"/>
                <w:color w:val="auto"/>
              </w:rPr>
              <w:t>Pension Plan</w:t>
            </w:r>
            <w:r>
              <w:rPr>
                <w:rFonts w:ascii="Times New Roman" w:cs="Times New Roman" w:eastAsia="Times New Roman" w:hAnsi="Times New Roman"/>
                <w:sz w:val="26"/>
                <w:szCs w:val="26"/>
                <w:color w:val="auto"/>
                <w:vertAlign w:val="superscript"/>
              </w:rPr>
              <w:t>(2)</w:t>
            </w:r>
          </w:p>
        </w:tc>
        <w:tc>
          <w:tcPr>
            <w:tcW w:w="11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Vegas, LLC</w:t>
            </w:r>
          </w:p>
        </w:tc>
        <w:tc>
          <w:tcPr>
            <w:tcW w:w="1580" w:type="dxa"/>
            <w:vAlign w:val="bottom"/>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88-6016617/1</w:t>
            </w:r>
          </w:p>
        </w:tc>
        <w:tc>
          <w:tcPr>
            <w:tcW w:w="60" w:type="dxa"/>
            <w:vAlign w:val="bottom"/>
            <w:shd w:val="clear" w:color="auto" w:fill="E0E0E0"/>
          </w:tcPr>
          <w:p>
            <w:pPr>
              <w:spacing w:after="0"/>
              <w:rPr>
                <w:sz w:val="22"/>
                <w:szCs w:val="22"/>
                <w:color w:val="auto"/>
              </w:rPr>
            </w:pPr>
          </w:p>
        </w:tc>
        <w:tc>
          <w:tcPr>
            <w:tcW w:w="76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Green</w:t>
            </w:r>
          </w:p>
        </w:tc>
        <w:tc>
          <w:tcPr>
            <w:tcW w:w="74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Green</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$17,272</w:t>
            </w:r>
          </w:p>
        </w:tc>
        <w:tc>
          <w:tcPr>
            <w:tcW w:w="8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$15,849</w:t>
            </w: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$13,462</w:t>
            </w:r>
          </w:p>
        </w:tc>
        <w:tc>
          <w:tcPr>
            <w:tcW w:w="60" w:type="dxa"/>
            <w:vAlign w:val="bottom"/>
            <w:shd w:val="clear" w:color="auto" w:fill="E0E0E0"/>
          </w:tcPr>
          <w:p>
            <w:pPr>
              <w:spacing w:after="0"/>
              <w:rPr>
                <w:sz w:val="22"/>
                <w:szCs w:val="22"/>
                <w:color w:val="auto"/>
              </w:rPr>
            </w:pPr>
          </w:p>
        </w:tc>
        <w:tc>
          <w:tcPr>
            <w:tcW w:w="940" w:type="dxa"/>
            <w:vAlign w:val="bottom"/>
            <w:gridSpan w:val="2"/>
            <w:shd w:val="clear" w:color="auto" w:fill="E0E0E0"/>
          </w:tcPr>
          <w:p>
            <w:pPr>
              <w:jc w:val="center"/>
              <w:ind w:right="20"/>
              <w:spacing w:after="0"/>
              <w:rPr>
                <w:sz w:val="20"/>
                <w:szCs w:val="20"/>
                <w:color w:val="auto"/>
              </w:rPr>
            </w:pPr>
            <w:r>
              <w:rPr>
                <w:rFonts w:ascii="Times New Roman" w:cs="Times New Roman" w:eastAsia="Times New Roman" w:hAnsi="Times New Roman"/>
                <w:sz w:val="20"/>
                <w:szCs w:val="20"/>
                <w:color w:val="auto"/>
              </w:rPr>
              <w:t>Yes</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11/30/2028</w:t>
            </w:r>
          </w:p>
        </w:tc>
      </w:tr>
      <w:tr>
        <w:trPr>
          <w:trHeight w:val="282"/>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Western</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Conference of</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Teamsters</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Pension Trust</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Wynn Las</w:t>
            </w:r>
          </w:p>
        </w:tc>
        <w:tc>
          <w:tcPr>
            <w:tcW w:w="15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91-6145047/</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Fund</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Vegas, LLC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217718,217830</w:t>
            </w:r>
          </w:p>
        </w:tc>
        <w:tc>
          <w:tcPr>
            <w:tcW w:w="6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Green</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Green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1"/>
                <w:szCs w:val="21"/>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No</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7/31/2029</w:t>
            </w:r>
          </w:p>
        </w:tc>
      </w:tr>
      <w:tr>
        <w:trPr>
          <w:trHeight w:val="291"/>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UNITE HERE!</w:t>
            </w:r>
          </w:p>
        </w:tc>
        <w:tc>
          <w:tcPr>
            <w:tcW w:w="11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5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0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4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Workers and</w:t>
            </w:r>
          </w:p>
        </w:tc>
        <w:tc>
          <w:tcPr>
            <w:tcW w:w="11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Hospitality</w:t>
            </w:r>
          </w:p>
        </w:tc>
        <w:tc>
          <w:tcPr>
            <w:tcW w:w="11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Employers</w:t>
            </w:r>
          </w:p>
        </w:tc>
        <w:tc>
          <w:tcPr>
            <w:tcW w:w="11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Variable</w:t>
            </w:r>
          </w:p>
        </w:tc>
        <w:tc>
          <w:tcPr>
            <w:tcW w:w="11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Encore</w:t>
            </w: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40"/>
        </w:trPr>
        <w:tc>
          <w:tcPr>
            <w:tcW w:w="1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Defined Benefit</w:t>
            </w:r>
          </w:p>
        </w:tc>
        <w:tc>
          <w:tcPr>
            <w:tcW w:w="11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Boston</w:t>
            </w:r>
          </w:p>
        </w:tc>
        <w:tc>
          <w:tcPr>
            <w:tcW w:w="60" w:type="dxa"/>
            <w:vAlign w:val="bottom"/>
            <w:shd w:val="clear" w:color="auto" w:fill="E0E0E0"/>
          </w:tcPr>
          <w:p>
            <w:pPr>
              <w:spacing w:after="0"/>
              <w:rPr>
                <w:sz w:val="20"/>
                <w:szCs w:val="20"/>
                <w:color w:val="auto"/>
              </w:rPr>
            </w:pPr>
          </w:p>
        </w:tc>
        <w:tc>
          <w:tcPr>
            <w:tcW w:w="15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shd w:val="clear" w:color="auto" w:fill="E0E0E0"/>
          </w:tcPr>
          <w:p>
            <w:pPr>
              <w:spacing w:after="0"/>
              <w:rPr>
                <w:sz w:val="20"/>
                <w:szCs w:val="20"/>
                <w:color w:val="auto"/>
              </w:rPr>
            </w:pPr>
          </w:p>
        </w:tc>
      </w:tr>
      <w:tr>
        <w:trPr>
          <w:trHeight w:val="258"/>
        </w:trPr>
        <w:tc>
          <w:tcPr>
            <w:tcW w:w="1380" w:type="dxa"/>
            <w:vAlign w:val="bottom"/>
            <w:gridSpan w:val="2"/>
            <w:shd w:val="clear" w:color="auto" w:fill="E0E0E0"/>
          </w:tcPr>
          <w:p>
            <w:pPr>
              <w:spacing w:after="0" w:line="258" w:lineRule="exact"/>
              <w:rPr>
                <w:sz w:val="20"/>
                <w:szCs w:val="20"/>
                <w:color w:val="auto"/>
              </w:rPr>
            </w:pPr>
            <w:r>
              <w:rPr>
                <w:rFonts w:ascii="Times New Roman" w:cs="Times New Roman" w:eastAsia="Times New Roman" w:hAnsi="Times New Roman"/>
                <w:sz w:val="20"/>
                <w:szCs w:val="20"/>
                <w:color w:val="auto"/>
              </w:rPr>
              <w:t>Pension Fund</w:t>
            </w:r>
            <w:r>
              <w:rPr>
                <w:rFonts w:ascii="Times New Roman" w:cs="Times New Roman" w:eastAsia="Times New Roman" w:hAnsi="Times New Roman"/>
                <w:sz w:val="26"/>
                <w:szCs w:val="26"/>
                <w:color w:val="auto"/>
                <w:vertAlign w:val="superscript"/>
              </w:rPr>
              <w:t>(3)</w:t>
            </w:r>
          </w:p>
        </w:tc>
        <w:tc>
          <w:tcPr>
            <w:tcW w:w="11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Harbor</w:t>
            </w:r>
          </w:p>
        </w:tc>
        <w:tc>
          <w:tcPr>
            <w:tcW w:w="1580" w:type="dxa"/>
            <w:vAlign w:val="bottom"/>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45-4227067/026</w:t>
            </w:r>
          </w:p>
        </w:tc>
        <w:tc>
          <w:tcPr>
            <w:tcW w:w="60" w:type="dxa"/>
            <w:vAlign w:val="bottom"/>
            <w:shd w:val="clear" w:color="auto" w:fill="E0E0E0"/>
          </w:tcPr>
          <w:p>
            <w:pPr>
              <w:spacing w:after="0"/>
              <w:rPr>
                <w:sz w:val="22"/>
                <w:szCs w:val="22"/>
                <w:color w:val="auto"/>
              </w:rPr>
            </w:pPr>
          </w:p>
        </w:tc>
        <w:tc>
          <w:tcPr>
            <w:tcW w:w="76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Green</w:t>
            </w:r>
          </w:p>
        </w:tc>
        <w:tc>
          <w:tcPr>
            <w:tcW w:w="74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Green</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3,955</w:t>
            </w:r>
          </w:p>
        </w:tc>
        <w:tc>
          <w:tcPr>
            <w:tcW w:w="60" w:type="dxa"/>
            <w:vAlign w:val="bottom"/>
            <w:shd w:val="clear" w:color="auto" w:fill="E0E0E0"/>
          </w:tcPr>
          <w:p>
            <w:pPr>
              <w:spacing w:after="0"/>
              <w:rPr>
                <w:sz w:val="22"/>
                <w:szCs w:val="22"/>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22"/>
                <w:szCs w:val="22"/>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E0E0E0"/>
          </w:tcPr>
          <w:p>
            <w:pPr>
              <w:jc w:val="center"/>
              <w:ind w:right="20"/>
              <w:spacing w:after="0"/>
              <w:rPr>
                <w:sz w:val="20"/>
                <w:szCs w:val="20"/>
                <w:color w:val="auto"/>
              </w:rPr>
            </w:pPr>
            <w:r>
              <w:rPr>
                <w:rFonts w:ascii="Times New Roman" w:cs="Times New Roman" w:eastAsia="Times New Roman" w:hAnsi="Times New Roman"/>
                <w:sz w:val="20"/>
                <w:szCs w:val="20"/>
                <w:color w:val="auto"/>
                <w:w w:val="97"/>
              </w:rPr>
              <w:t>No</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8/31/2026</w:t>
            </w:r>
          </w:p>
        </w:tc>
      </w:tr>
      <w:tr>
        <w:trPr>
          <w:trHeight w:val="282"/>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New England</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Encore</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0"/>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Teamster</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Boston</w:t>
            </w: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1"/>
        </w:trPr>
        <w:tc>
          <w:tcPr>
            <w:tcW w:w="1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Pension Fund</w:t>
            </w:r>
            <w:r>
              <w:rPr>
                <w:rFonts w:ascii="Times New Roman" w:cs="Times New Roman" w:eastAsia="Times New Roman" w:hAnsi="Times New Roman"/>
                <w:sz w:val="26"/>
                <w:szCs w:val="26"/>
                <w:color w:val="auto"/>
                <w:vertAlign w:val="superscript"/>
              </w:rPr>
              <w:t>(3)</w:t>
            </w:r>
          </w:p>
        </w:tc>
        <w:tc>
          <w:tcPr>
            <w:tcW w:w="1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Harbor</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04-6372430/001</w:t>
            </w:r>
          </w:p>
        </w:tc>
        <w:tc>
          <w:tcPr>
            <w:tcW w:w="60" w:type="dxa"/>
            <w:vAlign w:val="bottom"/>
          </w:tcPr>
          <w:p>
            <w:pPr>
              <w:spacing w:after="0"/>
              <w:rPr>
                <w:sz w:val="24"/>
                <w:szCs w:val="24"/>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5"/>
              </w:rPr>
              <w:t>Red</w:t>
            </w:r>
            <w:r>
              <w:rPr>
                <w:rFonts w:ascii="Times New Roman" w:cs="Times New Roman" w:eastAsia="Times New Roman" w:hAnsi="Times New Roman"/>
                <w:sz w:val="26"/>
                <w:szCs w:val="26"/>
                <w:color w:val="auto"/>
                <w:w w:val="95"/>
                <w:vertAlign w:val="superscript"/>
              </w:rPr>
              <w:t>(4)</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5"/>
              </w:rPr>
              <w:t>Red</w:t>
            </w:r>
            <w:r>
              <w:rPr>
                <w:rFonts w:ascii="Times New Roman" w:cs="Times New Roman" w:eastAsia="Times New Roman" w:hAnsi="Times New Roman"/>
                <w:sz w:val="26"/>
                <w:szCs w:val="26"/>
                <w:color w:val="auto"/>
                <w:w w:val="95"/>
                <w:vertAlign w:val="superscript"/>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No</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8/31/2026</w:t>
            </w:r>
          </w:p>
        </w:tc>
      </w:tr>
    </w:tbl>
    <w:p>
      <w:pPr>
        <w:spacing w:after="0" w:line="128" w:lineRule="exact"/>
        <w:rPr>
          <w:sz w:val="20"/>
          <w:szCs w:val="20"/>
          <w:color w:val="auto"/>
        </w:rPr>
      </w:pPr>
    </w:p>
    <w:p>
      <w:pPr>
        <w:ind w:left="320" w:hanging="320"/>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plan status for plan years ending in 2023 and 2022, which are the the most recent years for which plan data is available.</w:t>
      </w:r>
    </w:p>
    <w:p>
      <w:pPr>
        <w:spacing w:after="0" w:line="26"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union employees under the terms of the collective-bargaining agreements with the Culinary Workers Union, Local 226, and Bartenders Union, Local 165.</w:t>
      </w:r>
    </w:p>
    <w:p>
      <w:pPr>
        <w:spacing w:after="0" w:line="11"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Contributions by the Company began on January 1, 2024.</w:t>
      </w:r>
    </w:p>
    <w:p>
      <w:pPr>
        <w:spacing w:after="0" w:line="16"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 has implemented a rehabilitation plan for the plan years presented.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Customer Contract Liabilities</w:t>
      </w:r>
    </w:p>
    <w:p>
      <w:pPr>
        <w:spacing w:after="0" w:line="283"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In providing goods and services to its customers, there is often a timing difference between the Company receiving cash and the Company recording revenue for providing services or holding events.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Company’s primary liabilities associated with customer contracts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Increase/</w:t>
            </w:r>
          </w:p>
        </w:tc>
      </w:tr>
      <w:tr>
        <w:trPr>
          <w:trHeight w:val="176"/>
        </w:trPr>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63"/>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83"/>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66"/>
              <w:spacing w:after="0" w:line="177" w:lineRule="exact"/>
              <w:rPr>
                <w:sz w:val="20"/>
                <w:szCs w:val="20"/>
                <w:color w:val="auto"/>
              </w:rPr>
            </w:pPr>
            <w:r>
              <w:rPr>
                <w:rFonts w:ascii="Times New Roman" w:cs="Times New Roman" w:eastAsia="Times New Roman" w:hAnsi="Times New Roman"/>
                <w:sz w:val="16"/>
                <w:szCs w:val="16"/>
                <w:b w:val="1"/>
                <w:bCs w:val="1"/>
                <w:color w:val="auto"/>
                <w:w w:val="99"/>
              </w:rPr>
              <w:t>(Decrease)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263"/>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83"/>
              <w:spacing w:after="0" w:line="17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940" w:type="dxa"/>
            <w:vAlign w:val="bottom"/>
            <w:gridSpan w:val="2"/>
          </w:tcPr>
          <w:p>
            <w:pPr>
              <w:jc w:val="right"/>
              <w:ind w:right="23"/>
              <w:spacing w:after="0" w:line="177" w:lineRule="exact"/>
              <w:rPr>
                <w:sz w:val="20"/>
                <w:szCs w:val="20"/>
                <w:color w:val="auto"/>
              </w:rPr>
            </w:pPr>
            <w:r>
              <w:rPr>
                <w:rFonts w:ascii="Times New Roman" w:cs="Times New Roman" w:eastAsia="Times New Roman" w:hAnsi="Times New Roman"/>
                <w:sz w:val="16"/>
                <w:szCs w:val="16"/>
                <w:b w:val="1"/>
                <w:bCs w:val="1"/>
                <w:color w:val="auto"/>
              </w:rPr>
              <w:t>(Decrease)</w:t>
            </w:r>
          </w:p>
        </w:tc>
      </w:tr>
      <w:tr>
        <w:trPr>
          <w:trHeight w:val="24"/>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2"/>
        </w:trPr>
        <w:tc>
          <w:tcPr>
            <w:tcW w:w="35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Casino outstanding chips and front money</w:t>
            </w: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r>
      <w:tr>
        <w:trPr>
          <w:trHeight w:val="258"/>
        </w:trPr>
        <w:tc>
          <w:tcPr>
            <w:tcW w:w="3540" w:type="dxa"/>
            <w:vAlign w:val="bottom"/>
            <w:shd w:val="clear" w:color="auto" w:fill="E0E0E0"/>
          </w:tcPr>
          <w:p>
            <w:pPr>
              <w:ind w:left="40"/>
              <w:spacing w:after="0" w:line="258" w:lineRule="exact"/>
              <w:rPr>
                <w:sz w:val="20"/>
                <w:szCs w:val="20"/>
                <w:color w:val="auto"/>
              </w:rPr>
            </w:pPr>
            <w:r>
              <w:rPr>
                <w:rFonts w:ascii="Times New Roman" w:cs="Times New Roman" w:eastAsia="Times New Roman" w:hAnsi="Times New Roman"/>
                <w:sz w:val="20"/>
                <w:szCs w:val="20"/>
                <w:color w:val="auto"/>
              </w:rPr>
              <w:t>deposits</w:t>
            </w:r>
            <w:r>
              <w:rPr>
                <w:rFonts w:ascii="Times New Roman" w:cs="Times New Roman" w:eastAsia="Times New Roman" w:hAnsi="Times New Roman"/>
                <w:sz w:val="26"/>
                <w:szCs w:val="26"/>
                <w:color w:val="auto"/>
                <w:vertAlign w:val="superscript"/>
              </w:rPr>
              <w:t>(1)</w:t>
            </w:r>
          </w:p>
        </w:tc>
        <w:tc>
          <w:tcPr>
            <w:tcW w:w="22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409,928</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433,269</w:t>
            </w: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(23,341)</w:t>
            </w:r>
          </w:p>
        </w:tc>
        <w:tc>
          <w:tcPr>
            <w:tcW w:w="3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433,269</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390,531</w:t>
            </w:r>
          </w:p>
        </w:tc>
        <w:tc>
          <w:tcPr>
            <w:tcW w:w="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42,738</w:t>
            </w:r>
          </w:p>
        </w:tc>
      </w:tr>
      <w:tr>
        <w:trPr>
          <w:trHeight w:val="300"/>
        </w:trPr>
        <w:tc>
          <w:tcPr>
            <w:tcW w:w="3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Advance room deposits and ticket sales</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4,621</w:t>
            </w:r>
          </w:p>
        </w:tc>
      </w:tr>
      <w:tr>
        <w:trPr>
          <w:trHeight w:val="300"/>
        </w:trPr>
        <w:tc>
          <w:tcPr>
            <w:tcW w:w="35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Other gaming-related liabilities</w:t>
            </w:r>
            <w:r>
              <w:rPr>
                <w:rFonts w:ascii="Times New Roman" w:cs="Times New Roman" w:eastAsia="Times New Roman" w:hAnsi="Times New Roman"/>
                <w:sz w:val="26"/>
                <w:szCs w:val="26"/>
                <w:color w:val="auto"/>
                <w:vertAlign w:val="superscript"/>
              </w:rPr>
              <w:t>(3)</w:t>
            </w: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15,458</w:t>
            </w: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24,964</w:t>
            </w:r>
          </w:p>
        </w:tc>
        <w:tc>
          <w:tcPr>
            <w:tcW w:w="1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(9,506)</w:t>
            </w:r>
          </w:p>
        </w:tc>
        <w:tc>
          <w:tcPr>
            <w:tcW w:w="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24,964</w:t>
            </w: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31,265</w:t>
            </w: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(6,301)</w:t>
            </w:r>
          </w:p>
        </w:tc>
      </w:tr>
      <w:tr>
        <w:trPr>
          <w:trHeight w:val="290"/>
        </w:trPr>
        <w:tc>
          <w:tcPr>
            <w:tcW w:w="3540" w:type="dxa"/>
            <w:vAlign w:val="bottom"/>
          </w:tcPr>
          <w:p>
            <w:pPr>
              <w:ind w:left="40"/>
              <w:spacing w:after="0" w:line="290" w:lineRule="exact"/>
              <w:rPr>
                <w:sz w:val="20"/>
                <w:szCs w:val="20"/>
                <w:color w:val="auto"/>
              </w:rPr>
            </w:pPr>
            <w:r>
              <w:rPr>
                <w:rFonts w:ascii="Times New Roman" w:cs="Times New Roman" w:eastAsia="Times New Roman" w:hAnsi="Times New Roman"/>
                <w:sz w:val="20"/>
                <w:szCs w:val="20"/>
                <w:color w:val="auto"/>
              </w:rPr>
              <w:t>Loyalty program and related liabilities</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29,489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31,106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31,106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35,083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(3,977)</w:t>
            </w:r>
          </w:p>
        </w:tc>
      </w:tr>
      <w:tr>
        <w:trPr>
          <w:trHeight w:val="277"/>
        </w:trPr>
        <w:tc>
          <w:tcPr>
            <w:tcW w:w="3540" w:type="dxa"/>
            <w:vAlign w:val="bottom"/>
            <w:shd w:val="clear" w:color="auto" w:fill="E0E0E0"/>
          </w:tcPr>
          <w:p>
            <w:pPr>
              <w:spacing w:after="0"/>
              <w:rPr>
                <w:sz w:val="24"/>
                <w:szCs w:val="24"/>
                <w:color w:val="auto"/>
              </w:rPr>
            </w:pPr>
          </w:p>
        </w:tc>
        <w:tc>
          <w:tcPr>
            <w:tcW w:w="22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539,335</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578,979</w:t>
            </w:r>
          </w:p>
        </w:tc>
        <w:tc>
          <w:tcPr>
            <w:tcW w:w="2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(39,644)</w:t>
            </w:r>
          </w:p>
        </w:tc>
        <w:tc>
          <w:tcPr>
            <w:tcW w:w="3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578,979</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541,898</w:t>
            </w:r>
          </w:p>
        </w:tc>
        <w:tc>
          <w:tcPr>
            <w:tcW w:w="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37,081</w:t>
            </w:r>
          </w:p>
        </w:tc>
      </w:tr>
      <w:tr>
        <w:trPr>
          <w:trHeight w:val="23"/>
        </w:trPr>
        <w:tc>
          <w:tcPr>
            <w:tcW w:w="354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192" w:lineRule="exact"/>
        <w:rPr>
          <w:sz w:val="20"/>
          <w:szCs w:val="20"/>
          <w:color w:val="auto"/>
        </w:rPr>
      </w:pPr>
    </w:p>
    <w:p>
      <w:pPr>
        <w:jc w:val="both"/>
        <w:ind w:left="320" w:hanging="320"/>
        <w:spacing w:after="0" w:line="253"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200"/>
          </w:cols>
          <w:pgMar w:left="840" w:top="664" w:right="840" w:bottom="3"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7" w:lineRule="exact"/>
        <w:rPr>
          <w:sz w:val="20"/>
          <w:szCs w:val="20"/>
          <w:color w:val="auto"/>
        </w:rPr>
      </w:pPr>
    </w:p>
    <w:p>
      <w:pPr>
        <w:jc w:val="both"/>
        <w:ind w:left="320" w:hanging="320"/>
        <w:spacing w:after="0" w:line="256"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4"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spacing w:after="0" w:line="22"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Stock-Based Compensation</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has adopted equity plans that allow for grants of stock-based compensation awards. The following sections describe each of these plans.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Resorts, Limited Second Amended and Restated 2014 Omnibus Incentive Plan (the “WRL Omnibus Plan”)</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January 2017, the Company adopted the WRL Omnibus Plan after approval from its stockholders, which was adopted for a period of 10 years. From time to time, the Company reserves additional shares of its common stock for issuance under the WRL Omnibus Plan. The WRL Omnibus Plan allows for the grant of stock options, restricted stock, restricted stock units, stock appreciation rights, performance awards, and other share-based awards to eligible participants.</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May 2024, the Company’s shareholders approved an amendment to the WRL Omnibus Plan that increases the shares authorized for issuance by 2,000,000 shares, for an aggregate number of shares authorized for issuance to 7,909,390 shares.</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2024, the Company had 3,000,262 shares of its common stock available for grant as share-based awards under the WRL Omnibus Plan.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Macau, Limited Share Option and Share Award Plans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 The maximum number of shares which may be issued pursuant to WML’s stock-based compensation plans is a combined aggregate of 523,843,160 shares. As of December 31, 2024, there were 512,897,160 shares available for issuance under WML’s stock-based compensation plans.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Share Option Plan (“WML Share Option Plan”)</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WML adopted the WML Share Option Plan in May 2023 to supersede its share option plan adopted in May 2019. The WML share option plan allows for the grant of stock options to purchase shares of WML to eligible directors and employees of WML, its subsidiaries, and related entities, and service providers of WML and its subsidiaries. The WML Share Option Plan is administered by WML’s board of directors, which has the discretion on the vesting and service requirements, exercise price, performance targets to exercise if applicable and other conditions, subject to certain limits. The WML Share Option Plan was adopted for a period of 10 years commencing from May 25,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Employee Share Ownership Scheme (the “WML Share Award Plan”)</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WML adopted the WML Share Award Plan in May 2023 to supersede its employee ownership scheme adopted on June 30, 2014. The Share Award Plan allows for the grant of nonvested shares of WML’s common stock to eligible directors and employees of WML, its subsidiaries, and related entities, and service providers of WML and its subsidiaries. The WML Share Award Plan was adopted for a period of 10 years commencing from May 25, 2023.</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200"/>
          </w:cols>
          <w:pgMar w:left="840" w:top="664" w:right="840" w:bottom="3"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summary of stock option activity for the year ended December 31, 2024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0"/>
        </w:trPr>
        <w:tc>
          <w:tcPr>
            <w:tcW w:w="5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94"/>
              </w:rPr>
              <w:t>Weighted</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5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Aggregate</w:t>
            </w:r>
          </w:p>
        </w:tc>
      </w:tr>
      <w:tr>
        <w:trPr>
          <w:trHeight w:val="160"/>
        </w:trPr>
        <w:tc>
          <w:tcPr>
            <w:tcW w:w="5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Intrinsic</w:t>
            </w:r>
          </w:p>
        </w:tc>
      </w:tr>
      <w:tr>
        <w:trPr>
          <w:trHeight w:val="174"/>
        </w:trPr>
        <w:tc>
          <w:tcPr>
            <w:tcW w:w="5820" w:type="dxa"/>
            <w:vAlign w:val="bottom"/>
          </w:tcPr>
          <w:p>
            <w:pPr>
              <w:spacing w:after="0"/>
              <w:rPr>
                <w:sz w:val="15"/>
                <w:szCs w:val="15"/>
                <w:color w:val="auto"/>
              </w:rPr>
            </w:pPr>
          </w:p>
        </w:tc>
        <w:tc>
          <w:tcPr>
            <w:tcW w:w="1080" w:type="dxa"/>
            <w:vAlign w:val="bottom"/>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4"/>
              <w:spacing w:after="0" w:line="175" w:lineRule="exact"/>
              <w:rPr>
                <w:sz w:val="20"/>
                <w:szCs w:val="20"/>
                <w:color w:val="auto"/>
              </w:rPr>
            </w:pPr>
            <w:r>
              <w:rPr>
                <w:rFonts w:ascii="Times New Roman" w:cs="Times New Roman" w:eastAsia="Times New Roman" w:hAnsi="Times New Roman"/>
                <w:sz w:val="16"/>
                <w:szCs w:val="16"/>
                <w:b w:val="1"/>
                <w:bCs w:val="1"/>
                <w:color w:val="auto"/>
                <w:w w:val="95"/>
              </w:rPr>
              <w:t>Price</w:t>
            </w:r>
          </w:p>
        </w:tc>
        <w:tc>
          <w:tcPr>
            <w:tcW w:w="20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Term (in years)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b w:val="1"/>
                <w:bCs w:val="1"/>
                <w:color w:val="auto"/>
              </w:rPr>
              <w:t>Value</w:t>
            </w:r>
          </w:p>
        </w:tc>
      </w:tr>
      <w:tr>
        <w:trPr>
          <w:trHeight w:val="26"/>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0"/>
        </w:trPr>
        <w:tc>
          <w:tcPr>
            <w:tcW w:w="5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WRL Omnibus Plan</w:t>
            </w: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5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Outstanding as of January 1, 2024</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23,985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w w:val="88"/>
              </w:rPr>
              <w:t>61.48</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w w:val="88"/>
              </w:rPr>
              <w:t>58.85</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58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Forfeited or expired</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E0E0E0"/>
            </w:tcBorders>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E0E0E0"/>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3"/>
                <w:szCs w:val="23"/>
                <w:color w:val="auto"/>
              </w:rPr>
            </w:pPr>
          </w:p>
        </w:tc>
        <w:tc>
          <w:tcPr>
            <w:tcW w:w="104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880" w:type="dxa"/>
            <w:vAlign w:val="bottom"/>
            <w:tcBorders>
              <w:bottom w:val="single" w:sz="8" w:color="E0E0E0"/>
            </w:tcBorders>
            <w:shd w:val="clear" w:color="auto" w:fill="E0E0E0"/>
          </w:tcPr>
          <w:p>
            <w:pPr>
              <w:spacing w:after="0"/>
              <w:rPr>
                <w:sz w:val="23"/>
                <w:szCs w:val="23"/>
                <w:color w:val="auto"/>
              </w:rPr>
            </w:pPr>
          </w:p>
        </w:tc>
      </w:tr>
      <w:tr>
        <w:trPr>
          <w:trHeight w:val="260"/>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as of December 31, 2024</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6,700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b w:val="1"/>
                <w:bCs w:val="1"/>
                <w:color w:val="auto"/>
                <w:w w:val="88"/>
              </w:rPr>
              <w:t>68.25</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b w:val="1"/>
                <w:bCs w:val="1"/>
                <w:color w:val="auto"/>
                <w:w w:val="95"/>
              </w:rPr>
              <w:t>0.8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119,997</w:t>
            </w:r>
          </w:p>
        </w:tc>
      </w:tr>
      <w:tr>
        <w:trPr>
          <w:trHeight w:val="24"/>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8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Fully vested and expected to vest as of December 31, 2024</w:t>
            </w:r>
          </w:p>
        </w:tc>
        <w:tc>
          <w:tcPr>
            <w:tcW w:w="1080" w:type="dxa"/>
            <w:vAlign w:val="bottom"/>
            <w:tcBorders>
              <w:bottom w:val="single" w:sz="8" w:color="auto"/>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6,700</w:t>
            </w:r>
          </w:p>
        </w:tc>
        <w:tc>
          <w:tcPr>
            <w:tcW w:w="320" w:type="dxa"/>
            <w:vAlign w:val="bottom"/>
            <w:tcBorders>
              <w:bottom w:val="single" w:sz="8" w:color="E0E0E0"/>
            </w:tcBorders>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E0E0E0"/>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w w:val="88"/>
              </w:rPr>
              <w:t>68.25</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color w:val="auto"/>
                <w:w w:val="95"/>
              </w:rPr>
              <w:t>0.8</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0E0E0"/>
            </w:tcBorders>
            <w:shd w:val="clear" w:color="auto" w:fill="E0E0E0"/>
          </w:tcPr>
          <w:p>
            <w:pPr>
              <w:ind w:left="180"/>
              <w:spacing w:after="0"/>
              <w:rPr>
                <w:sz w:val="20"/>
                <w:szCs w:val="20"/>
                <w:color w:val="auto"/>
              </w:rPr>
            </w:pPr>
            <w:r>
              <w:rPr>
                <w:rFonts w:ascii="Times New Roman" w:cs="Times New Roman" w:eastAsia="Times New Roman" w:hAnsi="Times New Roman"/>
                <w:sz w:val="20"/>
                <w:szCs w:val="20"/>
                <w:color w:val="auto"/>
              </w:rPr>
              <w:t>119,997</w:t>
            </w:r>
          </w:p>
        </w:tc>
      </w:tr>
      <w:tr>
        <w:trPr>
          <w:trHeight w:val="24"/>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Exercisable as of December 31, 2024</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6,700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w w:val="88"/>
              </w:rPr>
              <w:t>68.25</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5"/>
              </w:rPr>
              <w:t>0.8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119,997</w:t>
            </w:r>
          </w:p>
        </w:tc>
      </w:tr>
      <w:tr>
        <w:trPr>
          <w:trHeight w:val="24"/>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20" w:type="dxa"/>
            <w:vAlign w:val="bottom"/>
            <w:shd w:val="clear" w:color="auto" w:fill="E0E0E0"/>
          </w:tcPr>
          <w:p>
            <w:pPr>
              <w:spacing w:after="0"/>
              <w:rPr>
                <w:sz w:val="23"/>
                <w:szCs w:val="23"/>
                <w:color w:val="auto"/>
              </w:rPr>
            </w:pPr>
          </w:p>
        </w:tc>
        <w:tc>
          <w:tcPr>
            <w:tcW w:w="108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20" w:type="dxa"/>
            <w:vAlign w:val="bottom"/>
            <w:shd w:val="clear" w:color="auto" w:fill="E0E0E0"/>
          </w:tcPr>
          <w:p>
            <w:pPr>
              <w:spacing w:after="0"/>
              <w:rPr>
                <w:sz w:val="23"/>
                <w:szCs w:val="23"/>
                <w:color w:val="auto"/>
              </w:rPr>
            </w:pPr>
          </w:p>
        </w:tc>
        <w:tc>
          <w:tcPr>
            <w:tcW w:w="52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04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40" w:type="dxa"/>
            <w:vAlign w:val="bottom"/>
            <w:shd w:val="clear" w:color="auto" w:fill="E0E0E0"/>
          </w:tcPr>
          <w:p>
            <w:pPr>
              <w:spacing w:after="0"/>
              <w:rPr>
                <w:sz w:val="23"/>
                <w:szCs w:val="23"/>
                <w:color w:val="auto"/>
              </w:rPr>
            </w:pPr>
          </w:p>
        </w:tc>
        <w:tc>
          <w:tcPr>
            <w:tcW w:w="880" w:type="dxa"/>
            <w:vAlign w:val="bottom"/>
            <w:shd w:val="clear" w:color="auto" w:fill="E0E0E0"/>
          </w:tcPr>
          <w:p>
            <w:pPr>
              <w:spacing w:after="0"/>
              <w:rPr>
                <w:sz w:val="23"/>
                <w:szCs w:val="23"/>
                <w:color w:val="auto"/>
              </w:rPr>
            </w:pPr>
          </w:p>
        </w:tc>
      </w:tr>
      <w:tr>
        <w:trPr>
          <w:trHeight w:val="271"/>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WML Share Option Plan</w:t>
            </w: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Outstanding as of January 1, 2024</w:t>
            </w:r>
          </w:p>
        </w:tc>
        <w:tc>
          <w:tcPr>
            <w:tcW w:w="1080" w:type="dxa"/>
            <w:vAlign w:val="bottom"/>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37,220,400</w:t>
            </w:r>
          </w:p>
        </w:tc>
        <w:tc>
          <w:tcPr>
            <w:tcW w:w="32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1.52</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4,983,000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0.75</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Exercised</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66"/>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 or 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(644,000)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4.00</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0"/>
        </w:trPr>
        <w:tc>
          <w:tcPr>
            <w:tcW w:w="58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as of December 31, 2024</w:t>
            </w:r>
          </w:p>
        </w:tc>
        <w:tc>
          <w:tcPr>
            <w:tcW w:w="1080" w:type="dxa"/>
            <w:vAlign w:val="bottom"/>
            <w:tcBorders>
              <w:bottom w:val="single" w:sz="8" w:color="auto"/>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41,559,400</w:t>
            </w:r>
          </w:p>
        </w:tc>
        <w:tc>
          <w:tcPr>
            <w:tcW w:w="320" w:type="dxa"/>
            <w:vAlign w:val="bottom"/>
            <w:tcBorders>
              <w:bottom w:val="single" w:sz="8" w:color="E0E0E0"/>
            </w:tcBorders>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Borders>
              <w:bottom w:val="single" w:sz="8" w:color="E0E0E0"/>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1.40</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b w:val="1"/>
                <w:bCs w:val="1"/>
                <w:color w:val="auto"/>
                <w:w w:val="95"/>
              </w:rPr>
              <w:t>6.4</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E0E0E0"/>
            </w:tcBorders>
            <w:shd w:val="clear" w:color="auto" w:fill="E0E0E0"/>
          </w:tcPr>
          <w:p>
            <w:pPr>
              <w:ind w:left="180"/>
              <w:spacing w:after="0"/>
              <w:rPr>
                <w:sz w:val="20"/>
                <w:szCs w:val="20"/>
                <w:color w:val="auto"/>
              </w:rPr>
            </w:pPr>
            <w:r>
              <w:rPr>
                <w:rFonts w:ascii="Times New Roman" w:cs="Times New Roman" w:eastAsia="Times New Roman" w:hAnsi="Times New Roman"/>
                <w:sz w:val="20"/>
                <w:szCs w:val="20"/>
                <w:b w:val="1"/>
                <w:bCs w:val="1"/>
                <w:color w:val="auto"/>
              </w:rPr>
              <w:t>419,076</w:t>
            </w:r>
          </w:p>
        </w:tc>
      </w:tr>
      <w:tr>
        <w:trPr>
          <w:trHeight w:val="24"/>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Fully vested and expected to vest as of December 31, 2024</w:t>
            </w: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41,559,400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1.40</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5"/>
              </w:rPr>
              <w:t>6.4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419,076</w:t>
            </w:r>
          </w:p>
        </w:tc>
      </w:tr>
      <w:tr>
        <w:trPr>
          <w:trHeight w:val="24"/>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8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Exercisable as of December 31, 2024</w:t>
            </w:r>
          </w:p>
        </w:tc>
        <w:tc>
          <w:tcPr>
            <w:tcW w:w="1080" w:type="dxa"/>
            <w:vAlign w:val="bottom"/>
            <w:tcBorders>
              <w:bottom w:val="single" w:sz="8" w:color="auto"/>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24,287,400</w:t>
            </w:r>
          </w:p>
        </w:tc>
        <w:tc>
          <w:tcPr>
            <w:tcW w:w="320" w:type="dxa"/>
            <w:vAlign w:val="bottom"/>
            <w:tcBorders>
              <w:bottom w:val="single" w:sz="8" w:color="E0E0E0"/>
            </w:tcBorders>
            <w:gridSpan w:val="2"/>
            <w:shd w:val="clear" w:color="auto" w:fill="E0E0E0"/>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E0E0E0"/>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auto"/>
              </w:rPr>
              <w:t>1.75</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color w:val="auto"/>
                <w:w w:val="95"/>
              </w:rPr>
              <w:t>5.2</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0E0E0"/>
            </w:tcBorders>
            <w:shd w:val="clear" w:color="auto" w:fill="E0E0E0"/>
          </w:tcPr>
          <w:p>
            <w:pPr>
              <w:ind w:left="180"/>
              <w:spacing w:after="0"/>
              <w:rPr>
                <w:sz w:val="20"/>
                <w:szCs w:val="20"/>
                <w:color w:val="auto"/>
              </w:rPr>
            </w:pPr>
            <w:r>
              <w:rPr>
                <w:rFonts w:ascii="Times New Roman" w:cs="Times New Roman" w:eastAsia="Times New Roman" w:hAnsi="Times New Roman"/>
                <w:sz w:val="20"/>
                <w:szCs w:val="20"/>
                <w:color w:val="auto"/>
              </w:rPr>
              <w:t>167,630</w:t>
            </w:r>
          </w:p>
        </w:tc>
      </w:tr>
      <w:tr>
        <w:trPr>
          <w:trHeight w:val="24"/>
        </w:trPr>
        <w:tc>
          <w:tcPr>
            <w:tcW w:w="5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bl>
    <w:p>
      <w:pPr>
        <w:spacing w:after="0" w:line="30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is provided for stock options under the Company’s stock-based compensation plans (in thousands, except weighted average grant date fair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7"/>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7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4"/>
        </w:trPr>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7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0"/>
        </w:trPr>
        <w:tc>
          <w:tcPr>
            <w:tcW w:w="7120" w:type="dxa"/>
            <w:vAlign w:val="bottom"/>
            <w:shd w:val="clear" w:color="auto" w:fill="E0E0E0"/>
          </w:tcPr>
          <w:p>
            <w:pPr>
              <w:ind w:left="60"/>
              <w:spacing w:after="0" w:line="280" w:lineRule="exact"/>
              <w:rPr>
                <w:sz w:val="20"/>
                <w:szCs w:val="20"/>
                <w:color w:val="auto"/>
              </w:rPr>
            </w:pPr>
            <w:r>
              <w:rPr>
                <w:rFonts w:ascii="Times New Roman" w:cs="Times New Roman" w:eastAsia="Times New Roman" w:hAnsi="Times New Roman"/>
                <w:sz w:val="20"/>
                <w:szCs w:val="20"/>
                <w:b w:val="1"/>
                <w:bCs w:val="1"/>
                <w:i w:val="1"/>
                <w:iCs w:val="1"/>
                <w:color w:val="auto"/>
              </w:rPr>
              <w:t xml:space="preserve">WRL Omnibus Plan </w:t>
            </w:r>
            <w:r>
              <w:rPr>
                <w:rFonts w:ascii="Times New Roman" w:cs="Times New Roman" w:eastAsia="Times New Roman" w:hAnsi="Times New Roman"/>
                <w:sz w:val="25"/>
                <w:szCs w:val="25"/>
                <w:b w:val="1"/>
                <w:bCs w:val="1"/>
                <w:color w:val="auto"/>
                <w:vertAlign w:val="superscript"/>
              </w:rPr>
              <w:t>(1)</w:t>
            </w:r>
          </w:p>
        </w:tc>
        <w:tc>
          <w:tcPr>
            <w:tcW w:w="200" w:type="dxa"/>
            <w:vAlign w:val="bottom"/>
            <w:shd w:val="clear" w:color="auto" w:fill="E0E0E0"/>
          </w:tcPr>
          <w:p>
            <w:pPr>
              <w:spacing w:after="0"/>
              <w:rPr>
                <w:sz w:val="24"/>
                <w:szCs w:val="24"/>
                <w:color w:val="auto"/>
              </w:rPr>
            </w:pPr>
          </w:p>
        </w:tc>
        <w:tc>
          <w:tcPr>
            <w:tcW w:w="6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6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780" w:type="dxa"/>
            <w:vAlign w:val="bottom"/>
            <w:shd w:val="clear" w:color="auto" w:fill="E0E0E0"/>
          </w:tcPr>
          <w:p>
            <w:pPr>
              <w:spacing w:after="0"/>
              <w:rPr>
                <w:sz w:val="24"/>
                <w:szCs w:val="24"/>
                <w:color w:val="auto"/>
              </w:rPr>
            </w:pPr>
          </w:p>
        </w:tc>
      </w:tr>
      <w:tr>
        <w:trPr>
          <w:trHeight w:val="271"/>
        </w:trPr>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w:t>
            </w:r>
          </w:p>
        </w:tc>
      </w:tr>
      <w:tr>
        <w:trPr>
          <w:trHeight w:val="289"/>
        </w:trPr>
        <w:tc>
          <w:tcPr>
            <w:tcW w:w="7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Intrinsic value of stock options exercised</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auto"/>
              </w:rPr>
              <w:t>832</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1,475</w:t>
            </w:r>
          </w:p>
        </w:tc>
        <w:tc>
          <w:tcPr>
            <w:tcW w:w="4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1"/>
        </w:trPr>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received from the exercise of stock options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1,017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7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6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6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780" w:type="dxa"/>
            <w:vAlign w:val="bottom"/>
            <w:shd w:val="clear" w:color="auto" w:fill="E0E0E0"/>
          </w:tcPr>
          <w:p>
            <w:pPr>
              <w:spacing w:after="0"/>
              <w:rPr>
                <w:sz w:val="24"/>
                <w:szCs w:val="24"/>
                <w:color w:val="auto"/>
              </w:rPr>
            </w:pPr>
          </w:p>
        </w:tc>
      </w:tr>
      <w:tr>
        <w:trPr>
          <w:trHeight w:val="280"/>
        </w:trPr>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0"/>
        </w:trPr>
        <w:tc>
          <w:tcPr>
            <w:tcW w:w="7120" w:type="dxa"/>
            <w:vAlign w:val="bottom"/>
            <w:shd w:val="clear" w:color="auto" w:fill="E0E0E0"/>
          </w:tcPr>
          <w:p>
            <w:pPr>
              <w:ind w:left="60"/>
              <w:spacing w:after="0" w:line="280" w:lineRule="exact"/>
              <w:rPr>
                <w:sz w:val="20"/>
                <w:szCs w:val="20"/>
                <w:color w:val="auto"/>
              </w:rPr>
            </w:pPr>
            <w:r>
              <w:rPr>
                <w:rFonts w:ascii="Times New Roman" w:cs="Times New Roman" w:eastAsia="Times New Roman" w:hAnsi="Times New Roman"/>
                <w:sz w:val="20"/>
                <w:szCs w:val="20"/>
                <w:b w:val="1"/>
                <w:bCs w:val="1"/>
                <w:i w:val="1"/>
                <w:iCs w:val="1"/>
                <w:color w:val="auto"/>
              </w:rPr>
              <w:t xml:space="preserve">WML Share Option Plan </w:t>
            </w:r>
            <w:r>
              <w:rPr>
                <w:rFonts w:ascii="Times New Roman" w:cs="Times New Roman" w:eastAsia="Times New Roman" w:hAnsi="Times New Roman"/>
                <w:sz w:val="25"/>
                <w:szCs w:val="25"/>
                <w:b w:val="1"/>
                <w:bCs w:val="1"/>
                <w:color w:val="auto"/>
                <w:vertAlign w:val="superscript"/>
              </w:rPr>
              <w:t>(2)</w:t>
            </w:r>
          </w:p>
        </w:tc>
        <w:tc>
          <w:tcPr>
            <w:tcW w:w="200" w:type="dxa"/>
            <w:vAlign w:val="bottom"/>
            <w:shd w:val="clear" w:color="auto" w:fill="E0E0E0"/>
          </w:tcPr>
          <w:p>
            <w:pPr>
              <w:spacing w:after="0"/>
              <w:rPr>
                <w:sz w:val="24"/>
                <w:szCs w:val="24"/>
                <w:color w:val="auto"/>
              </w:rPr>
            </w:pPr>
          </w:p>
        </w:tc>
        <w:tc>
          <w:tcPr>
            <w:tcW w:w="6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6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780" w:type="dxa"/>
            <w:vAlign w:val="bottom"/>
            <w:shd w:val="clear" w:color="auto" w:fill="E0E0E0"/>
          </w:tcPr>
          <w:p>
            <w:pPr>
              <w:spacing w:after="0"/>
              <w:rPr>
                <w:sz w:val="24"/>
                <w:szCs w:val="24"/>
                <w:color w:val="auto"/>
              </w:rPr>
            </w:pPr>
          </w:p>
        </w:tc>
      </w:tr>
      <w:tr>
        <w:trPr>
          <w:trHeight w:val="271"/>
        </w:trPr>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0.25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w:t>
            </w:r>
          </w:p>
        </w:tc>
      </w:tr>
      <w:tr>
        <w:trPr>
          <w:trHeight w:val="289"/>
        </w:trPr>
        <w:tc>
          <w:tcPr>
            <w:tcW w:w="7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Intrinsic value of stock options exercised</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7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Cash received from the exercise of stock options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68" w:lineRule="exact"/>
        <w:rPr>
          <w:sz w:val="20"/>
          <w:szCs w:val="20"/>
          <w:color w:val="auto"/>
        </w:rPr>
      </w:pPr>
    </w:p>
    <w:p>
      <w:pPr>
        <w:ind w:left="320" w:hanging="320"/>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there was no unamortized compensation expense related to stock options.</w:t>
      </w:r>
    </w:p>
    <w:p>
      <w:pPr>
        <w:spacing w:after="0" w:line="26"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there was $4.3 million of unamortized compensation expense related to stock options, which is expected to be recognized over a weighted average period of 3.26 years.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200"/>
          </w:cols>
          <w:pgMar w:left="840" w:top="664" w:right="840" w:bottom="3"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Valuation Inputs</w:t>
      </w:r>
    </w:p>
    <w:p>
      <w:pPr>
        <w:spacing w:after="0" w:line="22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fair value of stock options granted under the WRL Omnibus Plan was estimated on the date of grant using the following weighted average assumption: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580" w:type="dxa"/>
            <w:vAlign w:val="bottom"/>
            <w:gridSpan w:val="5"/>
          </w:tcPr>
          <w:p>
            <w:pPr>
              <w:jc w:val="center"/>
              <w:ind w:left="60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Pr>
          <w:p>
            <w:pPr>
              <w:spacing w:after="0"/>
              <w:rPr>
                <w:sz w:val="16"/>
                <w:szCs w:val="16"/>
                <w:color w:val="auto"/>
              </w:rPr>
            </w:pPr>
          </w:p>
        </w:tc>
      </w:tr>
      <w:tr>
        <w:trPr>
          <w:trHeight w:val="26"/>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920" w:type="dxa"/>
            <w:vAlign w:val="bottom"/>
          </w:tcPr>
          <w:p>
            <w:pPr>
              <w:spacing w:after="0"/>
              <w:rPr>
                <w:sz w:val="16"/>
                <w:szCs w:val="16"/>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00"/>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960" w:type="dxa"/>
            <w:vAlign w:val="bottom"/>
            <w:shd w:val="clear" w:color="auto" w:fill="E0E0E0"/>
          </w:tcPr>
          <w:p>
            <w:pPr>
              <w:ind w:left="540"/>
              <w:spacing w:after="0"/>
              <w:rPr>
                <w:sz w:val="20"/>
                <w:szCs w:val="20"/>
                <w:color w:val="auto"/>
              </w:rPr>
            </w:pPr>
            <w:r>
              <w:rPr>
                <w:rFonts w:ascii="Times New Roman" w:cs="Times New Roman" w:eastAsia="Times New Roman" w:hAnsi="Times New Roman"/>
                <w:sz w:val="20"/>
                <w:szCs w:val="20"/>
                <w:color w:val="auto"/>
                <w:w w:val="95"/>
              </w:rPr>
              <w:t>— %</w:t>
            </w:r>
          </w:p>
        </w:tc>
        <w:tc>
          <w:tcPr>
            <w:tcW w:w="200" w:type="dxa"/>
            <w:vAlign w:val="bottom"/>
            <w:shd w:val="clear" w:color="auto" w:fill="E0E0E0"/>
          </w:tcPr>
          <w:p>
            <w:pPr>
              <w:spacing w:after="0"/>
              <w:rPr>
                <w:sz w:val="24"/>
                <w:szCs w:val="24"/>
                <w:color w:val="auto"/>
              </w:rPr>
            </w:pPr>
          </w:p>
        </w:tc>
        <w:tc>
          <w:tcPr>
            <w:tcW w:w="1420" w:type="dxa"/>
            <w:vAlign w:val="bottom"/>
            <w:gridSpan w:val="3"/>
            <w:shd w:val="clear" w:color="auto" w:fill="E0E0E0"/>
          </w:tcPr>
          <w:p>
            <w:pPr>
              <w:ind w:left="54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91"/>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9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 %</w:t>
            </w:r>
          </w:p>
        </w:tc>
        <w:tc>
          <w:tcPr>
            <w:tcW w:w="200" w:type="dxa"/>
            <w:vAlign w:val="bottom"/>
          </w:tcPr>
          <w:p>
            <w:pPr>
              <w:spacing w:after="0"/>
              <w:rPr>
                <w:sz w:val="24"/>
                <w:szCs w:val="24"/>
                <w:color w:val="auto"/>
              </w:rPr>
            </w:pPr>
          </w:p>
        </w:tc>
        <w:tc>
          <w:tcPr>
            <w:tcW w:w="14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56.9 %</w:t>
            </w:r>
          </w:p>
        </w:tc>
      </w:tr>
      <w:tr>
        <w:trPr>
          <w:trHeight w:val="309"/>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shd w:val="clear" w:color="auto" w:fill="E0E0E0"/>
          </w:tcPr>
          <w:p>
            <w:pPr>
              <w:ind w:left="540"/>
              <w:spacing w:after="0"/>
              <w:rPr>
                <w:sz w:val="20"/>
                <w:szCs w:val="20"/>
                <w:color w:val="auto"/>
              </w:rPr>
            </w:pPr>
            <w:r>
              <w:rPr>
                <w:rFonts w:ascii="Times New Roman" w:cs="Times New Roman" w:eastAsia="Times New Roman" w:hAnsi="Times New Roman"/>
                <w:sz w:val="20"/>
                <w:szCs w:val="20"/>
                <w:color w:val="auto"/>
                <w:w w:val="95"/>
              </w:rPr>
              <w:t>— %</w:t>
            </w:r>
          </w:p>
        </w:tc>
        <w:tc>
          <w:tcPr>
            <w:tcW w:w="200" w:type="dxa"/>
            <w:vAlign w:val="bottom"/>
            <w:shd w:val="clear" w:color="auto" w:fill="E0E0E0"/>
          </w:tcPr>
          <w:p>
            <w:pPr>
              <w:spacing w:after="0"/>
              <w:rPr>
                <w:sz w:val="24"/>
                <w:szCs w:val="24"/>
                <w:color w:val="auto"/>
              </w:rPr>
            </w:pPr>
          </w:p>
        </w:tc>
        <w:tc>
          <w:tcPr>
            <w:tcW w:w="1420" w:type="dxa"/>
            <w:vAlign w:val="bottom"/>
            <w:gridSpan w:val="3"/>
            <w:shd w:val="clear" w:color="auto" w:fill="E0E0E0"/>
          </w:tcPr>
          <w:p>
            <w:pPr>
              <w:ind w:left="54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2.7 %</w:t>
            </w:r>
          </w:p>
        </w:tc>
      </w:tr>
      <w:tr>
        <w:trPr>
          <w:trHeight w:val="282"/>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9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4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1.8</w:t>
            </w:r>
          </w:p>
        </w:tc>
      </w:tr>
    </w:tbl>
    <w:p>
      <w:pPr>
        <w:spacing w:after="0" w:line="28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fair value of stock options granted under WML’s Share Option Plan was estimated on the date of grant using the following weighted average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Pr>
          <w:p>
            <w:pPr>
              <w:spacing w:after="0"/>
              <w:rPr>
                <w:sz w:val="16"/>
                <w:szCs w:val="16"/>
                <w:color w:val="auto"/>
              </w:rPr>
            </w:pPr>
          </w:p>
        </w:tc>
      </w:tr>
      <w:tr>
        <w:trPr>
          <w:trHeight w:val="26"/>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6920" w:type="dxa"/>
            <w:vAlign w:val="bottom"/>
          </w:tcPr>
          <w:p>
            <w:pPr>
              <w:spacing w:after="0"/>
              <w:rPr>
                <w:sz w:val="17"/>
                <w:szCs w:val="17"/>
                <w:color w:val="auto"/>
              </w:rPr>
            </w:pPr>
          </w:p>
        </w:tc>
        <w:tc>
          <w:tcPr>
            <w:tcW w:w="96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00"/>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5.4 %</w:t>
            </w:r>
          </w:p>
        </w:tc>
        <w:tc>
          <w:tcPr>
            <w:tcW w:w="1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91"/>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53.8 %</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45.7 %</w:t>
            </w:r>
          </w:p>
        </w:tc>
      </w:tr>
      <w:tr>
        <w:trPr>
          <w:trHeight w:val="309"/>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1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3.2 %</w:t>
            </w:r>
          </w:p>
        </w:tc>
      </w:tr>
      <w:tr>
        <w:trPr>
          <w:trHeight w:val="282"/>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96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rPr>
              <w:t>6.5</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6.5</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Nonvested and performance nonvested shares</w:t>
      </w:r>
    </w:p>
    <w:p>
      <w:pPr>
        <w:spacing w:after="0" w:line="22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summary of nonvested and performance nonvested share activity under the Company’s stock-based compensation plans for the year ended December 31,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60"/>
        </w:trPr>
        <w:tc>
          <w:tcPr>
            <w:tcW w:w="8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r>
      <w:tr>
        <w:trPr>
          <w:trHeight w:val="160"/>
        </w:trPr>
        <w:tc>
          <w:tcPr>
            <w:tcW w:w="8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76"/>
        </w:trPr>
        <w:tc>
          <w:tcPr>
            <w:tcW w:w="8120" w:type="dxa"/>
            <w:vAlign w:val="bottom"/>
          </w:tcPr>
          <w:p>
            <w:pPr>
              <w:spacing w:after="0"/>
              <w:rPr>
                <w:sz w:val="15"/>
                <w:szCs w:val="15"/>
                <w:color w:val="auto"/>
              </w:rPr>
            </w:pPr>
          </w:p>
        </w:tc>
        <w:tc>
          <w:tcPr>
            <w:tcW w:w="1100" w:type="dxa"/>
            <w:vAlign w:val="bottom"/>
          </w:tcPr>
          <w:p>
            <w:pPr>
              <w:jc w:val="right"/>
              <w:ind w:right="222"/>
              <w:spacing w:after="0" w:line="177" w:lineRule="exact"/>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00"/>
        </w:trPr>
        <w:tc>
          <w:tcPr>
            <w:tcW w:w="8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WRL Omnibus Plan</w:t>
            </w:r>
          </w:p>
        </w:tc>
        <w:tc>
          <w:tcPr>
            <w:tcW w:w="1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62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r>
      <w:tr>
        <w:trPr>
          <w:trHeight w:val="291"/>
        </w:trPr>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977,658</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96.63</w:t>
            </w:r>
          </w:p>
        </w:tc>
        <w:tc>
          <w:tcPr>
            <w:tcW w:w="20" w:type="dxa"/>
            <w:vAlign w:val="bottom"/>
          </w:tcPr>
          <w:p>
            <w:pPr>
              <w:spacing w:after="0"/>
              <w:rPr>
                <w:sz w:val="24"/>
                <w:szCs w:val="24"/>
                <w:color w:val="auto"/>
              </w:rPr>
            </w:pPr>
          </w:p>
        </w:tc>
      </w:tr>
      <w:tr>
        <w:trPr>
          <w:trHeight w:val="309"/>
        </w:trPr>
        <w:tc>
          <w:tcPr>
            <w:tcW w:w="8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597,633</w:t>
            </w:r>
          </w:p>
        </w:tc>
        <w:tc>
          <w:tcPr>
            <w:tcW w:w="340" w:type="dxa"/>
            <w:vAlign w:val="bottom"/>
            <w:gridSpan w:val="3"/>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93.12</w:t>
            </w:r>
          </w:p>
        </w:tc>
        <w:tc>
          <w:tcPr>
            <w:tcW w:w="20" w:type="dxa"/>
            <w:vAlign w:val="bottom"/>
            <w:shd w:val="clear" w:color="auto" w:fill="E0E0E0"/>
          </w:tcPr>
          <w:p>
            <w:pPr>
              <w:spacing w:after="0"/>
              <w:rPr>
                <w:sz w:val="24"/>
                <w:szCs w:val="24"/>
                <w:color w:val="auto"/>
              </w:rPr>
            </w:pPr>
          </w:p>
        </w:tc>
      </w:tr>
      <w:tr>
        <w:trPr>
          <w:trHeight w:val="291"/>
        </w:trPr>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(526,612)</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w:t>
            </w:r>
          </w:p>
        </w:tc>
        <w:tc>
          <w:tcPr>
            <w:tcW w:w="20" w:type="dxa"/>
            <w:vAlign w:val="bottom"/>
          </w:tcPr>
          <w:p>
            <w:pPr>
              <w:spacing w:after="0"/>
              <w:rPr>
                <w:sz w:val="24"/>
                <w:szCs w:val="24"/>
                <w:color w:val="auto"/>
              </w:rPr>
            </w:pPr>
          </w:p>
        </w:tc>
      </w:tr>
      <w:tr>
        <w:trPr>
          <w:trHeight w:val="295"/>
        </w:trPr>
        <w:tc>
          <w:tcPr>
            <w:tcW w:w="81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(29,708)</w:t>
            </w:r>
          </w:p>
        </w:tc>
        <w:tc>
          <w:tcPr>
            <w:tcW w:w="220" w:type="dxa"/>
            <w:vAlign w:val="bottom"/>
            <w:tcBorders>
              <w:bottom w:val="single" w:sz="8" w:color="E0E0E0"/>
            </w:tcBorders>
            <w:gridSpan w:val="2"/>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ind w:left="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6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4"/>
              </w:rPr>
              <w:t>102.97</w:t>
            </w:r>
          </w:p>
        </w:tc>
        <w:tc>
          <w:tcPr>
            <w:tcW w:w="20" w:type="dxa"/>
            <w:vAlign w:val="bottom"/>
            <w:tcBorders>
              <w:bottom w:val="single" w:sz="8" w:color="E0E0E0"/>
            </w:tcBorders>
            <w:shd w:val="clear" w:color="auto" w:fill="E0E0E0"/>
          </w:tcPr>
          <w:p>
            <w:pPr>
              <w:spacing w:after="0"/>
              <w:rPr>
                <w:sz w:val="24"/>
                <w:szCs w:val="24"/>
                <w:color w:val="auto"/>
              </w:rPr>
            </w:pPr>
          </w:p>
        </w:tc>
      </w:tr>
      <w:tr>
        <w:trPr>
          <w:trHeight w:val="281"/>
        </w:trPr>
        <w:tc>
          <w:tcPr>
            <w:tcW w:w="8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1,018,971</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95.52</w:t>
            </w:r>
          </w:p>
        </w:tc>
        <w:tc>
          <w:tcPr>
            <w:tcW w:w="20" w:type="dxa"/>
            <w:vAlign w:val="bottom"/>
          </w:tcPr>
          <w:p>
            <w:pPr>
              <w:spacing w:after="0"/>
              <w:rPr>
                <w:sz w:val="24"/>
                <w:szCs w:val="24"/>
                <w:color w:val="auto"/>
              </w:rPr>
            </w:pPr>
          </w:p>
        </w:tc>
      </w:tr>
      <w:tr>
        <w:trPr>
          <w:trHeight w:val="23"/>
        </w:trPr>
        <w:tc>
          <w:tcPr>
            <w:tcW w:w="812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81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62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r>
      <w:tr>
        <w:trPr>
          <w:trHeight w:val="291"/>
        </w:trPr>
        <w:tc>
          <w:tcPr>
            <w:tcW w:w="8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WML Share Award Plan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9"/>
        </w:trPr>
        <w:tc>
          <w:tcPr>
            <w:tcW w:w="8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2024</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22,331,806</w:t>
            </w:r>
          </w:p>
        </w:tc>
        <w:tc>
          <w:tcPr>
            <w:tcW w:w="340" w:type="dxa"/>
            <w:vAlign w:val="bottom"/>
            <w:gridSpan w:val="3"/>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0.92</w:t>
            </w:r>
          </w:p>
        </w:tc>
        <w:tc>
          <w:tcPr>
            <w:tcW w:w="20" w:type="dxa"/>
            <w:vAlign w:val="bottom"/>
            <w:shd w:val="clear" w:color="auto" w:fill="E0E0E0"/>
          </w:tcPr>
          <w:p>
            <w:pPr>
              <w:spacing w:after="0"/>
              <w:rPr>
                <w:sz w:val="24"/>
                <w:szCs w:val="24"/>
                <w:color w:val="auto"/>
              </w:rPr>
            </w:pPr>
          </w:p>
        </w:tc>
      </w:tr>
      <w:tr>
        <w:trPr>
          <w:trHeight w:val="291"/>
        </w:trPr>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8,931,255</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20" w:type="dxa"/>
            <w:vAlign w:val="bottom"/>
          </w:tcPr>
          <w:p>
            <w:pPr>
              <w:spacing w:after="0"/>
              <w:rPr>
                <w:sz w:val="24"/>
                <w:szCs w:val="24"/>
                <w:color w:val="auto"/>
              </w:rPr>
            </w:pPr>
          </w:p>
        </w:tc>
      </w:tr>
      <w:tr>
        <w:trPr>
          <w:trHeight w:val="309"/>
        </w:trPr>
        <w:tc>
          <w:tcPr>
            <w:tcW w:w="8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(5,487,607)</w:t>
            </w:r>
          </w:p>
        </w:tc>
        <w:tc>
          <w:tcPr>
            <w:tcW w:w="340" w:type="dxa"/>
            <w:vAlign w:val="bottom"/>
            <w:gridSpan w:val="3"/>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0" w:type="dxa"/>
            <w:vAlign w:val="bottom"/>
            <w:shd w:val="clear" w:color="auto" w:fill="E0E0E0"/>
          </w:tcPr>
          <w:p>
            <w:pPr>
              <w:spacing w:after="0"/>
              <w:rPr>
                <w:sz w:val="24"/>
                <w:szCs w:val="24"/>
                <w:color w:val="auto"/>
              </w:rPr>
            </w:pPr>
          </w:p>
        </w:tc>
      </w:tr>
      <w:tr>
        <w:trPr>
          <w:trHeight w:val="286"/>
        </w:trPr>
        <w:tc>
          <w:tcPr>
            <w:tcW w:w="8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(1,253,005)</w:t>
            </w:r>
          </w:p>
        </w:tc>
        <w:tc>
          <w:tcPr>
            <w:tcW w:w="220" w:type="dxa"/>
            <w:vAlign w:val="bottom"/>
            <w:gridSpan w:val="2"/>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0.95</w:t>
            </w:r>
          </w:p>
        </w:tc>
        <w:tc>
          <w:tcPr>
            <w:tcW w:w="20" w:type="dxa"/>
            <w:vAlign w:val="bottom"/>
          </w:tcPr>
          <w:p>
            <w:pPr>
              <w:spacing w:after="0"/>
              <w:rPr>
                <w:sz w:val="24"/>
                <w:szCs w:val="24"/>
                <w:color w:val="auto"/>
              </w:rPr>
            </w:pPr>
          </w:p>
        </w:tc>
      </w:tr>
      <w:tr>
        <w:trPr>
          <w:trHeight w:val="281"/>
        </w:trPr>
        <w:tc>
          <w:tcPr>
            <w:tcW w:w="8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2024</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24,522,449</w:t>
            </w:r>
          </w:p>
        </w:tc>
        <w:tc>
          <w:tcPr>
            <w:tcW w:w="340" w:type="dxa"/>
            <w:vAlign w:val="bottom"/>
            <w:gridSpan w:val="3"/>
            <w:shd w:val="clear" w:color="auto" w:fill="E0E0E0"/>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0.89</w:t>
            </w:r>
          </w:p>
        </w:tc>
        <w:tc>
          <w:tcPr>
            <w:tcW w:w="20" w:type="dxa"/>
            <w:vAlign w:val="bottom"/>
            <w:shd w:val="clear" w:color="auto" w:fill="E0E0E0"/>
          </w:tcPr>
          <w:p>
            <w:pPr>
              <w:spacing w:after="0"/>
              <w:rPr>
                <w:sz w:val="24"/>
                <w:szCs w:val="24"/>
                <w:color w:val="auto"/>
              </w:rPr>
            </w:pPr>
          </w:p>
        </w:tc>
      </w:tr>
      <w:tr>
        <w:trPr>
          <w:trHeight w:val="23"/>
        </w:trPr>
        <w:tc>
          <w:tcPr>
            <w:tcW w:w="8120" w:type="dxa"/>
            <w:vAlign w:val="bottom"/>
            <w:tcBorders>
              <w:top w:val="single" w:sz="8" w:color="E0E0E0"/>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E0E0E0"/>
            </w:tcBorders>
          </w:tcPr>
          <w:p>
            <w:pPr>
              <w:spacing w:after="0"/>
              <w:rPr>
                <w:sz w:val="2"/>
                <w:szCs w:val="2"/>
                <w:color w:val="auto"/>
              </w:rPr>
            </w:pPr>
          </w:p>
        </w:tc>
      </w:tr>
    </w:tbl>
    <w:p>
      <w:pPr>
        <w:spacing w:after="0" w:line="26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Certain members of the executive management team receive grants of nonvested share awards that are subject to service and performance conditions. Generally, these awards vest if certain fair share metrics (as approved by the Company’s Compensation Committee of the Board of Directors) are attained over a one-, two-, or three-year performance period. The Company records expense for these awards if it determines that vesting is probable. At December 31, 2024, all performance nonvested awards were deemed to be probable of vesting; however, none of the performance criteria contingencies have been resolved. The activity for these performance nonvested shares is included in the table above.</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200"/>
          </w:cols>
          <w:pgMar w:left="840" w:top="664" w:right="840" w:bottom="3" w:gutter="0" w:footer="0" w:header="0"/>
          <w:type w:val="continuous"/>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right="20" w:firstLine="400"/>
        <w:spacing w:after="0" w:line="238" w:lineRule="auto"/>
        <w:rPr>
          <w:sz w:val="20"/>
          <w:szCs w:val="20"/>
          <w:color w:val="auto"/>
        </w:rPr>
      </w:pPr>
      <w:r>
        <w:rPr>
          <w:rFonts w:ascii="Times New Roman" w:cs="Times New Roman" w:eastAsia="Times New Roman" w:hAnsi="Times New Roman"/>
          <w:sz w:val="20"/>
          <w:szCs w:val="20"/>
          <w:color w:val="auto"/>
        </w:rPr>
        <w:t>The following is provided for the share awards under the Company’s stock-based compensation plans (in thousands, except weighted average grant date fair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0"/>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WRL Omnibus Plan</w:t>
            </w: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91"/>
        </w:trPr>
        <w:tc>
          <w:tcPr>
            <w:tcW w:w="6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62.34</w:t>
            </w:r>
          </w:p>
        </w:tc>
      </w:tr>
      <w:tr>
        <w:trPr>
          <w:trHeight w:val="309"/>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Fair value of shares vested</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49,544</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56,689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52,965</w:t>
            </w:r>
          </w:p>
        </w:tc>
      </w:tr>
      <w:tr>
        <w:trPr>
          <w:trHeight w:val="300"/>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WML Share Award Plan</w:t>
            </w: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91"/>
        </w:trPr>
        <w:tc>
          <w:tcPr>
            <w:tcW w:w="6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0.62</w:t>
            </w:r>
          </w:p>
        </w:tc>
      </w:tr>
      <w:tr>
        <w:trPr>
          <w:trHeight w:val="309"/>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Fair value of shares vested</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4,422</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3,941</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20,547</w:t>
            </w:r>
          </w:p>
        </w:tc>
      </w:tr>
    </w:tbl>
    <w:p>
      <w:pPr>
        <w:spacing w:after="0" w:line="298" w:lineRule="exact"/>
        <w:rPr>
          <w:sz w:val="20"/>
          <w:szCs w:val="20"/>
          <w:color w:val="auto"/>
        </w:rPr>
      </w:pPr>
    </w:p>
    <w:p>
      <w:pPr>
        <w:jc w:val="both"/>
        <w:ind w:right="20"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2024, there was $54.5 million of unamortized compensation expense related to nonvested shares under the WRL Omnibus Plan, which is expected to be recognized over a weighted average period of 1.88 years. As of December 31, 2024, there was $11.2 million of unamortized compensation expense under the WML Share Award Plan, which is expected to be recognized over a weighted average period of 2.09 years.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Share Units (“PSUs”)</w:t>
      </w:r>
    </w:p>
    <w:p>
      <w:pPr>
        <w:spacing w:after="0" w:line="256" w:lineRule="exact"/>
        <w:rPr>
          <w:sz w:val="20"/>
          <w:szCs w:val="20"/>
          <w:color w:val="auto"/>
        </w:rPr>
      </w:pPr>
    </w:p>
    <w:p>
      <w:pPr>
        <w:jc w:val="both"/>
        <w:ind w:right="20" w:firstLine="400"/>
        <w:spacing w:after="0" w:line="245" w:lineRule="auto"/>
        <w:rPr>
          <w:sz w:val="20"/>
          <w:szCs w:val="20"/>
          <w:color w:val="auto"/>
        </w:rPr>
      </w:pPr>
      <w:r>
        <w:rPr>
          <w:rFonts w:ascii="Times New Roman" w:cs="Times New Roman" w:eastAsia="Times New Roman" w:hAnsi="Times New Roman"/>
          <w:sz w:val="20"/>
          <w:szCs w:val="20"/>
          <w:color w:val="auto"/>
        </w:rPr>
        <w:t>Certain members of the Wynn Resorts executive management team receive grants of PSUs that are subject to service and market conditions. Each PSU represents the right to receive between 0 and 1.6 shares of Wynn Resorts common stock depending on the performance of the common stock over a three-year period. The summary of PSU activity during the year ended December 31, 2024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60"/>
        </w:trPr>
        <w:tc>
          <w:tcPr>
            <w:tcW w:w="8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60"/>
        </w:trPr>
        <w:tc>
          <w:tcPr>
            <w:tcW w:w="8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74"/>
        </w:trPr>
        <w:tc>
          <w:tcPr>
            <w:tcW w:w="8100" w:type="dxa"/>
            <w:vAlign w:val="bottom"/>
          </w:tcPr>
          <w:p>
            <w:pPr>
              <w:spacing w:after="0"/>
              <w:rPr>
                <w:sz w:val="15"/>
                <w:szCs w:val="15"/>
                <w:color w:val="auto"/>
              </w:rPr>
            </w:pPr>
          </w:p>
        </w:tc>
        <w:tc>
          <w:tcPr>
            <w:tcW w:w="760" w:type="dxa"/>
            <w:vAlign w:val="bottom"/>
          </w:tcPr>
          <w:p>
            <w:pPr>
              <w:jc w:val="right"/>
              <w:ind w:right="103"/>
              <w:spacing w:after="0" w:line="175" w:lineRule="exact"/>
              <w:rPr>
                <w:sz w:val="20"/>
                <w:szCs w:val="20"/>
                <w:color w:val="auto"/>
              </w:rPr>
            </w:pPr>
            <w:r>
              <w:rPr>
                <w:rFonts w:ascii="Times New Roman" w:cs="Times New Roman" w:eastAsia="Times New Roman" w:hAnsi="Times New Roman"/>
                <w:sz w:val="16"/>
                <w:szCs w:val="16"/>
                <w:b w:val="1"/>
                <w:bCs w:val="1"/>
                <w:color w:val="auto"/>
              </w:rPr>
              <w:t>Units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9"/>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26"/>
        </w:trPr>
        <w:tc>
          <w:tcPr>
            <w:tcW w:w="8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00"/>
        </w:trPr>
        <w:tc>
          <w:tcPr>
            <w:tcW w:w="8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2024</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24,910</w:t>
            </w:r>
          </w:p>
        </w:tc>
        <w:tc>
          <w:tcPr>
            <w:tcW w:w="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121.70</w:t>
            </w:r>
          </w:p>
        </w:tc>
      </w:tr>
      <w:tr>
        <w:trPr>
          <w:trHeight w:val="291"/>
        </w:trPr>
        <w:tc>
          <w:tcPr>
            <w:tcW w:w="8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110.40</w:t>
            </w:r>
          </w:p>
        </w:tc>
      </w:tr>
      <w:tr>
        <w:trPr>
          <w:trHeight w:val="309"/>
        </w:trPr>
        <w:tc>
          <w:tcPr>
            <w:tcW w:w="8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8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8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2024</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50,795</w:t>
            </w:r>
          </w:p>
        </w:tc>
        <w:tc>
          <w:tcPr>
            <w:tcW w:w="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115.94</w:t>
            </w:r>
          </w:p>
        </w:tc>
      </w:tr>
      <w:tr>
        <w:trPr>
          <w:trHeight w:val="23"/>
        </w:trPr>
        <w:tc>
          <w:tcPr>
            <w:tcW w:w="8100" w:type="dxa"/>
            <w:vAlign w:val="bottom"/>
            <w:tcBorders>
              <w:top w:val="single" w:sz="8" w:color="E0E0E0"/>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298" w:lineRule="exact"/>
        <w:rPr>
          <w:sz w:val="20"/>
          <w:szCs w:val="20"/>
          <w:color w:val="auto"/>
        </w:rPr>
      </w:pPr>
    </w:p>
    <w:p>
      <w:pPr>
        <w:jc w:val="both"/>
        <w:ind w:right="20" w:firstLine="400"/>
        <w:spacing w:after="0" w:line="238" w:lineRule="auto"/>
        <w:rPr>
          <w:sz w:val="20"/>
          <w:szCs w:val="20"/>
          <w:color w:val="auto"/>
        </w:rPr>
      </w:pPr>
      <w:r>
        <w:rPr>
          <w:rFonts w:ascii="Times New Roman" w:cs="Times New Roman" w:eastAsia="Times New Roman" w:hAnsi="Times New Roman"/>
          <w:sz w:val="20"/>
          <w:szCs w:val="20"/>
          <w:color w:val="auto"/>
        </w:rPr>
        <w:t>The fair value of PSUs granted under the WRL Omnibus Plan was estimated on the date of grant using the following weighted average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9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4"/>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8240" w:type="dxa"/>
            <w:vAlign w:val="bottom"/>
          </w:tcPr>
          <w:p>
            <w:pPr>
              <w:spacing w:after="0"/>
              <w:rPr>
                <w:sz w:val="17"/>
                <w:szCs w:val="17"/>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84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r>
      <w:tr>
        <w:trPr>
          <w:trHeight w:val="300"/>
        </w:trPr>
        <w:tc>
          <w:tcPr>
            <w:tcW w:w="82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45%</w:t>
            </w:r>
          </w:p>
        </w:tc>
        <w:tc>
          <w:tcPr>
            <w:tcW w:w="9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24"/>
                <w:szCs w:val="24"/>
                <w:color w:val="auto"/>
              </w:rPr>
            </w:pPr>
          </w:p>
        </w:tc>
      </w:tr>
      <w:tr>
        <w:trPr>
          <w:trHeight w:val="282"/>
        </w:trPr>
        <w:tc>
          <w:tcPr>
            <w:tcW w:w="82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Incentive Bonus</w:t>
      </w:r>
    </w:p>
    <w:p>
      <w:pPr>
        <w:spacing w:after="0" w:line="256"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$7.8 million, $8.0 million and $6.6 million for each of the years ended December 31, 2024, 2023 and 2022, respectively. The Company settled its obligations for the 2024, 2023, and 2022 annual incentive bonuses by issuing 94,350, 84,130, and 67,320 of vested shares with a weighted-average grant date fair value of $82.45, $95.26, and $98.61, in January of the respective following year.</w:t>
      </w:r>
    </w:p>
    <w:p>
      <w:pPr>
        <w:sectPr>
          <w:pgSz w:w="11880" w:h="15480" w:orient="portrait"/>
          <w:cols w:equalWidth="0" w:num="1">
            <w:col w:w="10220"/>
          </w:cols>
          <w:pgMar w:left="840" w:top="664" w:right="820" w:bottom="3" w:gutter="0" w:footer="0" w:header="0"/>
        </w:sect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220"/>
          </w:cols>
          <w:pgMar w:left="840" w:top="664" w:right="820" w:bottom="3"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Cost</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total compensation cost for stock-based compensation plans was recorded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Casino</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3,065</w:t>
            </w:r>
          </w:p>
        </w:tc>
        <w:tc>
          <w:tcPr>
            <w:tcW w:w="5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5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12,401</w:t>
            </w:r>
          </w:p>
        </w:tc>
      </w:tr>
      <w:tr>
        <w:trPr>
          <w:trHeight w:val="291"/>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Rooms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w:t>
            </w:r>
          </w:p>
        </w:tc>
      </w:tr>
      <w:tr>
        <w:trPr>
          <w:trHeight w:val="309"/>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Food and beverage</w:t>
            </w: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1,636</w:t>
            </w: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2,417</w:t>
            </w:r>
          </w:p>
        </w:tc>
      </w:tr>
      <w:tr>
        <w:trPr>
          <w:trHeight w:val="291"/>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10,964</w:t>
            </w:r>
          </w:p>
        </w:tc>
      </w:tr>
      <w:tr>
        <w:trPr>
          <w:trHeight w:val="295"/>
        </w:trPr>
        <w:tc>
          <w:tcPr>
            <w:tcW w:w="57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51,631</w:t>
            </w:r>
          </w:p>
        </w:tc>
        <w:tc>
          <w:tcPr>
            <w:tcW w:w="20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51,686</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40,593</w:t>
            </w:r>
          </w:p>
        </w:tc>
      </w:tr>
      <w:tr>
        <w:trPr>
          <w:trHeight w:val="286"/>
        </w:trPr>
        <w:tc>
          <w:tcPr>
            <w:tcW w:w="57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stock-based compensation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59,029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64,515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67,627</w:t>
            </w:r>
          </w:p>
        </w:tc>
      </w:tr>
      <w:tr>
        <w:trPr>
          <w:trHeight w:val="294"/>
        </w:trPr>
        <w:tc>
          <w:tcPr>
            <w:tcW w:w="57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stock-based compensation capitalized</w:t>
            </w: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5,242</w:t>
            </w:r>
          </w:p>
        </w:tc>
        <w:tc>
          <w:tcPr>
            <w:tcW w:w="20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5,268</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3,246</w:t>
            </w:r>
          </w:p>
        </w:tc>
      </w:tr>
      <w:tr>
        <w:trPr>
          <w:trHeight w:val="281"/>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stock-based compensation costs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64,271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69,783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70,873</w:t>
            </w:r>
          </w:p>
        </w:tc>
      </w:tr>
      <w:tr>
        <w:trPr>
          <w:trHeight w:val="23"/>
        </w:trPr>
        <w:tc>
          <w:tcPr>
            <w:tcW w:w="57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years ended December 31, 2024, 2023 and 2022, the Company recognized income tax benefits related to stock-based compensation expense in the Consolidated Statements of Operations of $9.9 million, $10.0 million, and $9.3 million, respectively. Additionally, during the years ended December 31, 2024, 2023, and 2022, the Company realized tax benefits related to stock option exercises and restricted stock vesting of $5.8 million, $7.5 million, and $8.9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Income Taxes</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Consolidated income (loss) before taxes for United States (“U.S.”) and foreign operations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0"/>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251,003</w:t>
            </w:r>
          </w:p>
        </w:tc>
        <w:tc>
          <w:tcPr>
            <w:tcW w:w="5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142,775</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339,513</w:t>
            </w:r>
          </w:p>
        </w:tc>
      </w:tr>
      <w:tr>
        <w:trPr>
          <w:trHeight w:val="286"/>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392,395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142,608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(1,039,549)</w:t>
            </w:r>
          </w:p>
        </w:tc>
      </w:tr>
      <w:tr>
        <w:trPr>
          <w:trHeight w:val="281"/>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643,398</w:t>
            </w:r>
          </w:p>
        </w:tc>
        <w:tc>
          <w:tcPr>
            <w:tcW w:w="5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285,383</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(700,036)</w:t>
            </w:r>
          </w:p>
        </w:tc>
      </w:tr>
      <w:tr>
        <w:trPr>
          <w:trHeight w:val="23"/>
        </w:trPr>
        <w:tc>
          <w:tcPr>
            <w:tcW w:w="5700" w:type="dxa"/>
            <w:vAlign w:val="bottom"/>
            <w:tcBorders>
              <w:top w:val="single" w:sz="8" w:color="E0E0E0"/>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income tax provision (benefit) attributable to income before income taxes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U.S. Federal</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r>
      <w:tr>
        <w:trPr>
          <w:trHeight w:val="309"/>
        </w:trPr>
        <w:tc>
          <w:tcPr>
            <w:tcW w:w="5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U.S. State</w:t>
            </w: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9,496</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6,337</w:t>
            </w: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2,882</w:t>
            </w:r>
          </w:p>
        </w:tc>
      </w:tr>
      <w:tr>
        <w:trPr>
          <w:trHeight w:val="286"/>
        </w:trPr>
        <w:tc>
          <w:tcPr>
            <w:tcW w:w="5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2,510</w:t>
            </w:r>
          </w:p>
        </w:tc>
      </w:tr>
      <w:tr>
        <w:trPr>
          <w:trHeight w:val="281"/>
        </w:trPr>
        <w:tc>
          <w:tcPr>
            <w:tcW w:w="57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10,531</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5,895</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6,217</w:t>
            </w:r>
          </w:p>
        </w:tc>
      </w:tr>
      <w:tr>
        <w:trPr>
          <w:trHeight w:val="285"/>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8"/>
        </w:trPr>
        <w:tc>
          <w:tcPr>
            <w:tcW w:w="5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U.S. Federal</w:t>
            </w: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(4,585)</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(483,786)</w:t>
            </w: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1,450</w:t>
            </w:r>
          </w:p>
        </w:tc>
      </w:tr>
      <w:tr>
        <w:trPr>
          <w:trHeight w:val="291"/>
        </w:trPr>
        <w:tc>
          <w:tcPr>
            <w:tcW w:w="5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U.S. 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(20,310)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w:t>
            </w:r>
          </w:p>
        </w:tc>
      </w:tr>
      <w:tr>
        <w:trPr>
          <w:trHeight w:val="295"/>
        </w:trPr>
        <w:tc>
          <w:tcPr>
            <w:tcW w:w="57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1,367</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1"/>
        </w:trPr>
        <w:tc>
          <w:tcPr>
            <w:tcW w:w="57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(6,849)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(502,729)</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3,115</w:t>
            </w:r>
          </w:p>
        </w:tc>
      </w:tr>
      <w:tr>
        <w:trPr>
          <w:trHeight w:val="280"/>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income tax provision (benefit)</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3,682</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(496,834)</w:t>
            </w:r>
          </w:p>
        </w:tc>
        <w:tc>
          <w:tcPr>
            <w:tcW w:w="5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9,332</w:t>
            </w:r>
          </w:p>
        </w:tc>
      </w:tr>
      <w:tr>
        <w:trPr>
          <w:trHeight w:val="23"/>
        </w:trPr>
        <w:tc>
          <w:tcPr>
            <w:tcW w:w="5700" w:type="dxa"/>
            <w:vAlign w:val="bottom"/>
            <w:tcBorders>
              <w:top w:val="single" w:sz="8" w:color="E0E0E0"/>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200"/>
          </w:cols>
          <w:pgMar w:left="840" w:top="664" w:right="840" w:bottom="3"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reconciliation of the U.S. federal statutory tax rate to the actual tax rate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6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4"/>
        </w:trPr>
        <w:tc>
          <w:tcPr>
            <w:tcW w:w="654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34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r>
      <w:tr>
        <w:trPr>
          <w:trHeight w:val="26"/>
        </w:trPr>
        <w:tc>
          <w:tcPr>
            <w:tcW w:w="6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300"/>
        </w:trPr>
        <w:tc>
          <w:tcPr>
            <w:tcW w:w="6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U.S. Federal statutory rate</w:t>
            </w: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tax</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6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tax credits, net of valuation allowance</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(139.8)%</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Non-taxable foreign income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309"/>
        </w:trPr>
        <w:tc>
          <w:tcPr>
            <w:tcW w:w="6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12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91"/>
        </w:trPr>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Valuation allowance, other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95"/>
        </w:trPr>
        <w:tc>
          <w:tcPr>
            <w:tcW w:w="6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 net</w:t>
            </w: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200" w:type="dxa"/>
            <w:vAlign w:val="bottom"/>
            <w:tcBorders>
              <w:bottom w:val="single" w:sz="8" w:color="E0E0E0"/>
            </w:tcBorders>
            <w:shd w:val="clear" w:color="auto" w:fill="E0E0E0"/>
          </w:tcPr>
          <w:p>
            <w:pPr>
              <w:spacing w:after="0"/>
              <w:rPr>
                <w:sz w:val="24"/>
                <w:szCs w:val="24"/>
                <w:color w:val="auto"/>
              </w:rPr>
            </w:pPr>
          </w:p>
        </w:tc>
        <w:tc>
          <w:tcPr>
            <w:tcW w:w="106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1"/>
        </w:trPr>
        <w:tc>
          <w:tcPr>
            <w:tcW w:w="6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Effective income tax rate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0.6 %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(174.1)%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r>
      <w:tr>
        <w:trPr>
          <w:trHeight w:val="23"/>
        </w:trPr>
        <w:tc>
          <w:tcPr>
            <w:tcW w:w="654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2024, Wynn Macau SA received an exemption from Macau’s 12% Complementary Tax on casino gaming profits from January 1, 2023 through December 31, 2027. For the year ended December 31, 2023, the Company was exempt from the payment of Macau Complementary Tax totaling $77.4 million or $0.69 per diluted share. For the year ended December 31, 2024, the Company was exempt from the payment of Macau Complementary Tax totaling $107.3 million or $0.97 per diluted share. The Company’s non-gaming profits remain subject to the Macau Complementary Tax and its casino winnings remain subject to the Macau special gaming tax and other levies in accordance with its concession agreement.</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200"/>
          </w:cols>
          <w:pgMar w:left="840" w:top="664" w:right="840" w:bottom="3"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tax effects of significant temporary differences representing net deferred tax assets and liabilities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assets—U.S.: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 tax credit carryforwards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533,473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1,244,149</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Disallowed interest expense carryforward</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157,586</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156,224</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 operating loss carryforward</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169,598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160,778</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Lease liability</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370,110</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371,032</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72,286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50,903</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Receivables, inventories, accrued liabilities and other</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21,491</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21,854</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Stock-based compensation</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9,984</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 tax credit carryforwards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21,562</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19,813</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Intangibles and related other</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41,914</w:t>
            </w:r>
          </w:p>
        </w:tc>
      </w:tr>
      <w:tr>
        <w:trPr>
          <w:trHeight w:val="295"/>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1,858</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1,393,355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2,076,651</w:t>
            </w:r>
          </w:p>
        </w:tc>
      </w:tr>
      <w:tr>
        <w:trPr>
          <w:trHeight w:val="294"/>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(479,854)</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(1,172,982)</w:t>
            </w:r>
          </w:p>
        </w:tc>
      </w:tr>
      <w:tr>
        <w:trPr>
          <w:trHeight w:val="281"/>
        </w:trPr>
        <w:tc>
          <w:tcPr>
            <w:tcW w:w="7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913,501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903,669</w:t>
            </w:r>
          </w:p>
        </w:tc>
      </w:tr>
      <w:tr>
        <w:trPr>
          <w:trHeight w:val="293"/>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liabilities—U.S.: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Leased asset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(371,032)</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Prepaid insurance, maintenance and taxes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(15,447)</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(16,186)</w:t>
            </w:r>
          </w:p>
        </w:tc>
      </w:tr>
      <w:tr>
        <w:trPr>
          <w:trHeight w:val="286"/>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(20,228)</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(15,584)</w:t>
            </w:r>
          </w:p>
        </w:tc>
      </w:tr>
      <w:tr>
        <w:trPr>
          <w:trHeight w:val="281"/>
        </w:trPr>
        <w:tc>
          <w:tcPr>
            <w:tcW w:w="76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(405,785)</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(402,802)</w:t>
            </w:r>
          </w:p>
        </w:tc>
      </w:tr>
      <w:tr>
        <w:trPr>
          <w:trHeight w:val="285"/>
        </w:trPr>
        <w:tc>
          <w:tcPr>
            <w:tcW w:w="76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assets—Foreign:</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8"/>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32,114</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78,842</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91,884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87,849</w:t>
            </w:r>
          </w:p>
        </w:tc>
      </w:tr>
      <w:tr>
        <w:trPr>
          <w:trHeight w:val="295"/>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2,952</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3,275</w:t>
            </w:r>
          </w:p>
        </w:tc>
      </w:tr>
      <w:tr>
        <w:trPr>
          <w:trHeight w:val="286"/>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126,950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169,966</w:t>
            </w:r>
          </w:p>
        </w:tc>
      </w:tr>
      <w:tr>
        <w:trPr>
          <w:trHeight w:val="294"/>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(124,791)</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(167,599)</w:t>
            </w:r>
          </w:p>
        </w:tc>
      </w:tr>
      <w:tr>
        <w:trPr>
          <w:trHeight w:val="281"/>
        </w:trPr>
        <w:tc>
          <w:tcPr>
            <w:tcW w:w="7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2,159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2,367</w:t>
            </w:r>
          </w:p>
        </w:tc>
      </w:tr>
      <w:tr>
        <w:trPr>
          <w:trHeight w:val="293"/>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liabilities—Foreign:</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6"/>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(2,357)</w:t>
            </w:r>
          </w:p>
        </w:tc>
      </w:tr>
      <w:tr>
        <w:trPr>
          <w:trHeight w:val="281"/>
        </w:trPr>
        <w:tc>
          <w:tcPr>
            <w:tcW w:w="76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(2,159)</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(2,357)</w:t>
            </w:r>
          </w:p>
        </w:tc>
      </w:tr>
      <w:tr>
        <w:trPr>
          <w:trHeight w:val="293"/>
        </w:trPr>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7"/>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Net deferred tax asset</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507,716</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500,877</w:t>
            </w:r>
          </w:p>
        </w:tc>
      </w:tr>
      <w:tr>
        <w:trPr>
          <w:trHeight w:val="23"/>
        </w:trPr>
        <w:tc>
          <w:tcPr>
            <w:tcW w:w="76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2024, the Company had foreign tax credit (“FTC”) carryforwards (net of uncertain tax positions) of $533.5 million. Of this amount, $47.2 million will expire in 2025, and $486.3 million will expire in 2027. The Company has a disallowed interest carryforward of $688.3 million which does not expire. As of December 31, 2024, the Company had U.S. federal and state tax loss carryforwards of $658.9 million. As of December 31, 2023, the Company had U.S. federal and state tax loss carryforwards of $624.6 million. U.S. federal tax loss carryforwards do not expire. State net operating losses generally carry forward 20 years and will begin to expire in 2040. The Company has foreign tax losses available of $38.2 million, $55.1 million and $154.6 million related to losses incurred in the tax years ended December 31, 2024, 2023 and 2022, respectively. The majority of foreign tax loss carryforwards expire in 2027, 2026, and 2025, respectively.</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200"/>
          </w:cols>
          <w:pgMar w:left="840" w:top="664" w:right="840" w:bottom="3"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 back, the reversal of net taxable temporary differences, the duration of statutory carryforward periods and tax planning strategies. The need for valuation allowances against deferred tax assets will be assessed on a continuous basis and, as a result, the allowance may increase or decrease based on changes in facts and circumstances.</w:t>
      </w:r>
    </w:p>
    <w:p>
      <w:pPr>
        <w:spacing w:after="0" w:line="29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2024, the Company recorded a $735.9 million net decrease to valuation allowances, including a $693.3 million decrease to valuation allowance on FTC carryforwards. Of the $693.3 million net decrease, $614.9 million relates to expirations of FTCs in 2024 and the remaining $78.4 million represents FTCs more likely than not to be realized based on changes in future taxable income and tax planning strategies.</w:t>
      </w:r>
    </w:p>
    <w:p>
      <w:pPr>
        <w:spacing w:after="0" w:line="29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2023, the Company considered both the achievement of sustained profitability and cumulative income as well as forecasted income and tax planning strategies to be significant forms of positive evidence. The Company determined that the positive evidence outweighed the negative evidence and supported a release of a portion of the valuation allowance. Therefore, the Company recorded a $1.10 billion net decrease to valuation allowances, including a $971.7 million decrease to valuation allowance on FTC carryforwards. Of the $971.7 million decrease, $97.5 million related to utilization and $572.6 million related to expirations of FTCs in 2023. The remaining $301.6 million represented FTCs more likely than not to be realized based on future taxable income and tax planning strategies. The Company also recorded a $158.0 million decrease in valuation allowance on disallowed interest expense carryforward.</w:t>
      </w:r>
    </w:p>
    <w:p>
      <w:pPr>
        <w:spacing w:after="0" w:line="29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2024 and 2023, the Company had valuation allowances provided on its deferred tax assets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Pr>
          <w:p>
            <w:pPr>
              <w:spacing w:after="0"/>
              <w:rPr>
                <w:sz w:val="16"/>
                <w:szCs w:val="16"/>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tax credits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247,973</w:t>
            </w:r>
          </w:p>
        </w:tc>
        <w:tc>
          <w:tcPr>
            <w:tcW w:w="680" w:type="dxa"/>
            <w:vAlign w:val="bottom"/>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941,249</w:t>
            </w:r>
          </w:p>
        </w:tc>
      </w:tr>
      <w:tr>
        <w:trPr>
          <w:trHeight w:val="291"/>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36,850</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46,084</w:t>
            </w:r>
          </w:p>
        </w:tc>
      </w:tr>
      <w:tr>
        <w:trPr>
          <w:trHeight w:val="309"/>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U.S. loss carryforwards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169,598</w:t>
            </w:r>
          </w:p>
        </w:tc>
        <w:tc>
          <w:tcPr>
            <w:tcW w:w="200" w:type="dxa"/>
            <w:vAlign w:val="bottom"/>
            <w:shd w:val="clear" w:color="auto" w:fill="E0E0E0"/>
          </w:tcPr>
          <w:p>
            <w:pPr>
              <w:spacing w:after="0"/>
              <w:rPr>
                <w:sz w:val="24"/>
                <w:szCs w:val="24"/>
                <w:color w:val="auto"/>
              </w:rPr>
            </w:pPr>
          </w:p>
        </w:tc>
        <w:tc>
          <w:tcPr>
            <w:tcW w:w="48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160,778</w:t>
            </w:r>
          </w:p>
        </w:tc>
      </w:tr>
      <w:tr>
        <w:trPr>
          <w:trHeight w:val="291"/>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U.S. deferred tax assets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25,432</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24,872</w:t>
            </w:r>
          </w:p>
        </w:tc>
      </w:tr>
      <w:tr>
        <w:trPr>
          <w:trHeight w:val="309"/>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loss carryforwards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32,674</w:t>
            </w:r>
          </w:p>
        </w:tc>
        <w:tc>
          <w:tcPr>
            <w:tcW w:w="200" w:type="dxa"/>
            <w:vAlign w:val="bottom"/>
            <w:shd w:val="clear" w:color="auto" w:fill="E0E0E0"/>
          </w:tcPr>
          <w:p>
            <w:pPr>
              <w:spacing w:after="0"/>
              <w:rPr>
                <w:sz w:val="24"/>
                <w:szCs w:val="24"/>
                <w:color w:val="auto"/>
              </w:rPr>
            </w:pPr>
          </w:p>
        </w:tc>
        <w:tc>
          <w:tcPr>
            <w:tcW w:w="48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80,569</w:t>
            </w:r>
          </w:p>
        </w:tc>
      </w:tr>
      <w:tr>
        <w:trPr>
          <w:trHeight w:val="286"/>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foreign deferred tax assets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92,118</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87,029</w:t>
            </w:r>
          </w:p>
        </w:tc>
      </w:tr>
      <w:tr>
        <w:trPr>
          <w:trHeight w:val="281"/>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604,645</w:t>
            </w:r>
          </w:p>
        </w:tc>
        <w:tc>
          <w:tcPr>
            <w:tcW w:w="680" w:type="dxa"/>
            <w:vAlign w:val="bottom"/>
            <w:gridSpan w:val="2"/>
            <w:shd w:val="clear" w:color="auto" w:fill="E0E0E0"/>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1,340,581</w:t>
            </w:r>
          </w:p>
        </w:tc>
      </w:tr>
      <w:tr>
        <w:trPr>
          <w:trHeight w:val="23"/>
        </w:trPr>
        <w:tc>
          <w:tcPr>
            <w:tcW w:w="736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had the following activity for unrecognized tax benefits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0"/>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135,671</w:t>
            </w:r>
          </w:p>
        </w:tc>
        <w:tc>
          <w:tcPr>
            <w:tcW w:w="3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135,979</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141,515</w:t>
            </w: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Increases based on tax positions of the current year</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15,818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12,068</w:t>
            </w:r>
          </w:p>
        </w:tc>
      </w:tr>
      <w:tr>
        <w:trPr>
          <w:trHeight w:val="309"/>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Reductions based on tax positions of prior years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(2,637)</w:t>
            </w:r>
          </w:p>
        </w:tc>
      </w:tr>
      <w:tr>
        <w:trPr>
          <w:trHeight w:val="286"/>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Reductions due to lapse in statutes of limitations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(16,288)</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(16,126)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(14,967)</w:t>
            </w:r>
          </w:p>
        </w:tc>
      </w:tr>
      <w:tr>
        <w:trPr>
          <w:trHeight w:val="281"/>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end of period</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131,018</w:t>
            </w:r>
          </w:p>
        </w:tc>
        <w:tc>
          <w:tcPr>
            <w:tcW w:w="3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135,671</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135,979</w:t>
            </w:r>
          </w:p>
        </w:tc>
      </w:tr>
      <w:tr>
        <w:trPr>
          <w:trHeight w:val="23"/>
        </w:trPr>
        <w:tc>
          <w:tcPr>
            <w:tcW w:w="606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34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2024, 2023 and 2022, unrecognized tax benefits of $130.9 million, $135.7 million and $135.9 million, respectively, were recorded as reductions in deferred income taxes, net. The Company had $0.1 million of unrecognized tax benefits recorded in other long-term liabilities as of December 31, 2024. The Company had no unrecognized tax benefits recorded in other long-term liabilities as of December 31, 2023 and 2022.</w:t>
      </w:r>
    </w:p>
    <w:p>
      <w:pPr>
        <w:sectPr>
          <w:pgSz w:w="11880" w:h="15480" w:orient="portrait"/>
          <w:cols w:equalWidth="0" w:num="1">
            <w:col w:w="10200"/>
          </w:cols>
          <w:pgMar w:left="840" w:top="664" w:right="840" w:bottom="3"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200"/>
          </w:cols>
          <w:pgMar w:left="840" w:top="664" w:right="840" w:bottom="3"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2024, 2023 and 2022, $65.8 million, $69.0 million and $69.0 million, respectively, of unrecognized tax benefits would, if recognized, impact the effective tax rate.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recognizes penalties and interest related to unrecognized tax benefits in the provision for income taxes.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each of the years ended December 31, 2024, 2023 and 2022, the Company recognized no interest and penalties.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anticipates that the 2020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increase up to $2.6 million over the next 12 months.</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2020 domestic income tax returns remain subject to examination by the IRS to the extent tax attributes carryforward to future years. The Company’s 2021 to 2023 domestic income tax returns also remain subject to examination by the IRS. The Company’s 2020 to 2023 Macau income tax returns remain subject to examination by the Financial Services Bureau.</w:t>
      </w:r>
    </w:p>
    <w:p>
      <w:pPr>
        <w:spacing w:after="0" w:line="26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has participated in the IRS Compliance Assurance Program (“CAP”) for the 2012 through 2024 tax years and will continue to participate in the IRS CAP for the 2025 tax year.</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January 2025, the Financial Services Bureau commenced an examination of the 2021 Macau income tax return of Wynn Macau SA.</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On December 31, 2024, 2023 and 2022, the statute of limitations for the 2019, 2018, and 2017 Macau Complementary tax return expired, respectively. As a result of the expiration of the statute of limitations for the Macau Complementary Tax return, the total amount of unrecognized tax benefits decreased by $16.3 million, $16.1 million, and $15.0 million, respectively.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Earnings Per Share</w:t>
      </w:r>
    </w:p>
    <w:p>
      <w:pPr>
        <w:spacing w:after="0" w:line="1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share-based awards outstanding under the WRL Omnibus Plan.</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200"/>
          </w:cols>
          <w:pgMar w:left="840" w:top="664" w:right="840" w:bottom="3"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weighted average number of common and common equivalent shares used in the calculation of basic and diluted EPS consisted of the following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
        </w:trPr>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32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460" w:type="dxa"/>
            <w:vAlign w:val="bottom"/>
            <w:gridSpan w:val="3"/>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 - basic</w:t>
            </w:r>
          </w:p>
        </w:tc>
        <w:tc>
          <w:tcPr>
            <w:tcW w:w="30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501,078</w:t>
            </w:r>
          </w:p>
        </w:tc>
        <w:tc>
          <w:tcPr>
            <w:tcW w:w="400" w:type="dxa"/>
            <w:vAlign w:val="bottom"/>
            <w:gridSpan w:val="3"/>
            <w:shd w:val="clear" w:color="auto" w:fill="E0E0E0"/>
          </w:tcPr>
          <w:p>
            <w:pPr>
              <w:ind w:left="3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729,994</w:t>
            </w: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3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c>
          <w:tcPr>
            <w:tcW w:w="0" w:type="dxa"/>
            <w:vAlign w:val="bottom"/>
          </w:tcPr>
          <w:p>
            <w:pPr>
              <w:spacing w:after="0"/>
              <w:rPr>
                <w:sz w:val="1"/>
                <w:szCs w:val="1"/>
                <w:color w:val="auto"/>
              </w:rPr>
            </w:pPr>
          </w:p>
        </w:tc>
      </w:tr>
      <w:tr>
        <w:trPr>
          <w:trHeight w:val="284"/>
        </w:trPr>
        <w:tc>
          <w:tcPr>
            <w:tcW w:w="6460" w:type="dxa"/>
            <w:vAlign w:val="bottom"/>
            <w:tcBorders>
              <w:top w:val="single" w:sz="8" w:color="E0E0E0"/>
            </w:tcBorders>
            <w:gridSpan w:val="3"/>
          </w:tcPr>
          <w:p>
            <w:pPr>
              <w:ind w:left="460"/>
              <w:spacing w:after="0"/>
              <w:rPr>
                <w:sz w:val="20"/>
                <w:szCs w:val="20"/>
                <w:color w:val="auto"/>
              </w:rPr>
            </w:pPr>
            <w:r>
              <w:rPr>
                <w:rFonts w:ascii="Times New Roman" w:cs="Times New Roman" w:eastAsia="Times New Roman" w:hAnsi="Times New Roman"/>
                <w:sz w:val="20"/>
                <w:szCs w:val="20"/>
                <w:color w:val="auto"/>
              </w:rPr>
              <w:t>Effect of dilutive securities of Wynn Resorts, Limited subsidiaries:</w:t>
            </w:r>
          </w:p>
        </w:tc>
        <w:tc>
          <w:tcPr>
            <w:tcW w:w="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E0E0E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E0E0E0"/>
            </w:tcBorders>
          </w:tcPr>
          <w:p>
            <w:pPr>
              <w:spacing w:after="0"/>
              <w:rPr>
                <w:sz w:val="24"/>
                <w:szCs w:val="24"/>
                <w:color w:val="auto"/>
              </w:rPr>
            </w:pPr>
          </w:p>
        </w:tc>
        <w:tc>
          <w:tcPr>
            <w:tcW w:w="20" w:type="dxa"/>
            <w:vAlign w:val="bottom"/>
            <w:tcBorders>
              <w:top w:val="single" w:sz="8" w:color="E0E0E0"/>
            </w:tcBorders>
          </w:tcPr>
          <w:p>
            <w:pPr>
              <w:spacing w:after="0"/>
              <w:rPr>
                <w:sz w:val="24"/>
                <w:szCs w:val="24"/>
                <w:color w:val="auto"/>
              </w:rPr>
            </w:pPr>
          </w:p>
        </w:tc>
        <w:tc>
          <w:tcPr>
            <w:tcW w:w="40" w:type="dxa"/>
            <w:vAlign w:val="bottom"/>
            <w:tcBorders>
              <w:top w:val="single" w:sz="8" w:color="E0E0E0"/>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460" w:type="dxa"/>
            <w:vAlign w:val="bottom"/>
            <w:tcBorders>
              <w:bottom w:val="single" w:sz="8" w:color="E0E0E0"/>
            </w:tcBorders>
            <w:gridSpan w:val="3"/>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Assumed conversion of WML Convertible Bonds</w:t>
            </w:r>
          </w:p>
        </w:tc>
        <w:tc>
          <w:tcPr>
            <w:tcW w:w="300" w:type="dxa"/>
            <w:vAlign w:val="bottom"/>
            <w:tcBorders>
              <w:bottom w:val="single" w:sz="8" w:color="auto"/>
            </w:tcBorders>
            <w:shd w:val="clear" w:color="auto" w:fill="E0E0E0"/>
          </w:tcPr>
          <w:p>
            <w:pPr>
              <w:spacing w:after="0"/>
              <w:rPr>
                <w:sz w:val="24"/>
                <w:szCs w:val="24"/>
                <w:color w:val="auto"/>
              </w:rPr>
            </w:pPr>
          </w:p>
        </w:tc>
        <w:tc>
          <w:tcPr>
            <w:tcW w:w="740" w:type="dxa"/>
            <w:vAlign w:val="bottom"/>
            <w:tcBorders>
              <w:bottom w:val="single" w:sz="8" w:color="auto"/>
            </w:tcBorders>
            <w:gridSpan w:val="4"/>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(21,005)</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(16,495)</w:t>
            </w:r>
          </w:p>
        </w:tc>
        <w:tc>
          <w:tcPr>
            <w:tcW w:w="140" w:type="dxa"/>
            <w:vAlign w:val="bottom"/>
            <w:tcBorders>
              <w:bottom w:val="single" w:sz="8" w:color="E0E0E0"/>
            </w:tcBorders>
            <w:shd w:val="clear" w:color="auto" w:fill="E0E0E0"/>
          </w:tcPr>
          <w:p>
            <w:pPr>
              <w:spacing w:after="0"/>
              <w:rPr>
                <w:sz w:val="24"/>
                <w:szCs w:val="24"/>
                <w:color w:val="auto"/>
              </w:rPr>
            </w:pPr>
          </w:p>
        </w:tc>
        <w:tc>
          <w:tcPr>
            <w:tcW w:w="20" w:type="dxa"/>
            <w:vAlign w:val="bottom"/>
            <w:tcBorders>
              <w:bottom w:val="single" w:sz="8" w:color="E0E0E0"/>
            </w:tcBorders>
            <w:shd w:val="clear" w:color="auto" w:fill="E0E0E0"/>
          </w:tcPr>
          <w:p>
            <w:pPr>
              <w:spacing w:after="0"/>
              <w:rPr>
                <w:sz w:val="24"/>
                <w:szCs w:val="24"/>
                <w:color w:val="auto"/>
              </w:rPr>
            </w:pPr>
          </w:p>
        </w:tc>
        <w:tc>
          <w:tcPr>
            <w:tcW w:w="4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64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 - diluted</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480,073</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713,499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c>
          <w:tcPr>
            <w:tcW w:w="0" w:type="dxa"/>
            <w:vAlign w:val="bottom"/>
          </w:tcPr>
          <w:p>
            <w:pPr>
              <w:spacing w:after="0"/>
              <w:rPr>
                <w:sz w:val="1"/>
                <w:szCs w:val="1"/>
                <w:color w:val="auto"/>
              </w:rPr>
            </w:pPr>
          </w:p>
        </w:tc>
      </w:tr>
      <w:tr>
        <w:trPr>
          <w:trHeight w:val="308"/>
        </w:trPr>
        <w:tc>
          <w:tcPr>
            <w:tcW w:w="328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c>
          <w:tcPr>
            <w:tcW w:w="238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460" w:type="dxa"/>
            <w:vAlign w:val="bottom"/>
            <w:gridSpan w:val="3"/>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300" w:type="dxa"/>
            <w:vAlign w:val="bottom"/>
            <w:shd w:val="clear" w:color="auto" w:fill="E0E0E0"/>
          </w:tcPr>
          <w:p>
            <w:pPr>
              <w:spacing w:after="0"/>
              <w:rPr>
                <w:sz w:val="24"/>
                <w:szCs w:val="24"/>
                <w:color w:val="auto"/>
              </w:rPr>
            </w:pPr>
          </w:p>
        </w:tc>
        <w:tc>
          <w:tcPr>
            <w:tcW w:w="6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109,966</w:t>
            </w: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112,523</w:t>
            </w: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113,623</w:t>
            </w:r>
          </w:p>
        </w:tc>
        <w:tc>
          <w:tcPr>
            <w:tcW w:w="0" w:type="dxa"/>
            <w:vAlign w:val="bottom"/>
          </w:tcPr>
          <w:p>
            <w:pPr>
              <w:spacing w:after="0"/>
              <w:rPr>
                <w:sz w:val="1"/>
                <w:szCs w:val="1"/>
                <w:color w:val="auto"/>
              </w:rPr>
            </w:pPr>
          </w:p>
        </w:tc>
      </w:tr>
      <w:tr>
        <w:trPr>
          <w:trHeight w:val="282"/>
        </w:trPr>
        <w:tc>
          <w:tcPr>
            <w:tcW w:w="64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Potential dilutive effect of stock options, nonvested, and performance</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nonvested shares</w:t>
            </w:r>
          </w:p>
        </w:tc>
        <w:tc>
          <w:tcPr>
            <w:tcW w:w="8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8"/>
        </w:trPr>
        <w:tc>
          <w:tcPr>
            <w:tcW w:w="6460" w:type="dxa"/>
            <w:vAlign w:val="bottom"/>
            <w:gridSpan w:val="3"/>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Weighted average common and common equivalent shares</w:t>
            </w: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800" w:type="dxa"/>
            <w:vAlign w:val="bottom"/>
            <w:tcBorders>
              <w:bottom w:val="single" w:sz="8" w:color="E0E0E0"/>
            </w:tcBorders>
            <w:shd w:val="clear" w:color="auto" w:fill="E0E0E0"/>
          </w:tcPr>
          <w:p>
            <w:pPr>
              <w:spacing w:after="0"/>
              <w:rPr>
                <w:sz w:val="21"/>
                <w:szCs w:val="21"/>
                <w:color w:val="auto"/>
              </w:rPr>
            </w:pPr>
          </w:p>
        </w:tc>
        <w:tc>
          <w:tcPr>
            <w:tcW w:w="2380" w:type="dxa"/>
            <w:vAlign w:val="bottom"/>
            <w:tcBorders>
              <w:bottom w:val="single" w:sz="8" w:color="E0E0E0"/>
            </w:tcBorders>
            <w:shd w:val="clear" w:color="auto" w:fill="E0E0E0"/>
          </w:tcPr>
          <w:p>
            <w:pPr>
              <w:spacing w:after="0"/>
              <w:rPr>
                <w:sz w:val="21"/>
                <w:szCs w:val="21"/>
                <w:color w:val="auto"/>
              </w:rPr>
            </w:pPr>
          </w:p>
        </w:tc>
        <w:tc>
          <w:tcPr>
            <w:tcW w:w="300" w:type="dxa"/>
            <w:vAlign w:val="bottom"/>
            <w:tcBorders>
              <w:bottom w:val="single" w:sz="8" w:color="auto"/>
            </w:tcBorders>
            <w:shd w:val="clear" w:color="auto" w:fill="E0E0E0"/>
          </w:tcPr>
          <w:p>
            <w:pPr>
              <w:spacing w:after="0"/>
              <w:rPr>
                <w:sz w:val="21"/>
                <w:szCs w:val="21"/>
                <w:color w:val="auto"/>
              </w:rPr>
            </w:pPr>
          </w:p>
        </w:tc>
        <w:tc>
          <w:tcPr>
            <w:tcW w:w="660" w:type="dxa"/>
            <w:vAlign w:val="bottom"/>
            <w:tcBorders>
              <w:bottom w:val="single" w:sz="8" w:color="auto"/>
            </w:tcBorders>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110,267</w:t>
            </w:r>
          </w:p>
        </w:tc>
        <w:tc>
          <w:tcPr>
            <w:tcW w:w="80" w:type="dxa"/>
            <w:vAlign w:val="bottom"/>
            <w:tcBorders>
              <w:bottom w:val="single" w:sz="8" w:color="auto"/>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112,855</w:t>
            </w:r>
          </w:p>
        </w:tc>
        <w:tc>
          <w:tcPr>
            <w:tcW w:w="60" w:type="dxa"/>
            <w:vAlign w:val="bottom"/>
            <w:tcBorders>
              <w:bottom w:val="single" w:sz="8" w:color="auto"/>
            </w:tcBorders>
            <w:shd w:val="clear" w:color="auto" w:fill="E0E0E0"/>
          </w:tcPr>
          <w:p>
            <w:pPr>
              <w:spacing w:after="0"/>
              <w:rPr>
                <w:sz w:val="21"/>
                <w:szCs w:val="21"/>
                <w:color w:val="auto"/>
              </w:rPr>
            </w:pPr>
          </w:p>
        </w:tc>
        <w:tc>
          <w:tcPr>
            <w:tcW w:w="14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40" w:type="dxa"/>
            <w:vAlign w:val="bottom"/>
            <w:tcBorders>
              <w:bottom w:val="single" w:sz="8" w:color="E0E0E0"/>
            </w:tcBorders>
            <w:shd w:val="clear" w:color="auto" w:fill="E0E0E0"/>
          </w:tcPr>
          <w:p>
            <w:pPr>
              <w:spacing w:after="0"/>
              <w:rPr>
                <w:sz w:val="21"/>
                <w:szCs w:val="21"/>
                <w:color w:val="auto"/>
              </w:rPr>
            </w:pPr>
          </w:p>
        </w:tc>
        <w:tc>
          <w:tcPr>
            <w:tcW w:w="34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113,623</w:t>
            </w:r>
          </w:p>
        </w:tc>
        <w:tc>
          <w:tcPr>
            <w:tcW w:w="0" w:type="dxa"/>
            <w:vAlign w:val="bottom"/>
          </w:tcPr>
          <w:p>
            <w:pPr>
              <w:spacing w:after="0"/>
              <w:rPr>
                <w:sz w:val="1"/>
                <w:szCs w:val="1"/>
                <w:color w:val="auto"/>
              </w:rPr>
            </w:pPr>
          </w:p>
        </w:tc>
      </w:tr>
      <w:tr>
        <w:trPr>
          <w:trHeight w:val="23"/>
        </w:trPr>
        <w:tc>
          <w:tcPr>
            <w:tcW w:w="408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60" w:type="dxa"/>
            <w:vAlign w:val="bottom"/>
            <w:gridSpan w:val="3"/>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Wynn Resorts, Limited per common</w:t>
            </w: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share, basic</w:t>
            </w:r>
          </w:p>
        </w:tc>
        <w:tc>
          <w:tcPr>
            <w:tcW w:w="800" w:type="dxa"/>
            <w:vAlign w:val="bottom"/>
            <w:shd w:val="clear" w:color="auto" w:fill="E0E0E0"/>
          </w:tcPr>
          <w:p>
            <w:pPr>
              <w:spacing w:after="0"/>
              <w:rPr>
                <w:sz w:val="21"/>
                <w:szCs w:val="21"/>
                <w:color w:val="auto"/>
              </w:rPr>
            </w:pPr>
          </w:p>
        </w:tc>
        <w:tc>
          <w:tcPr>
            <w:tcW w:w="2380" w:type="dxa"/>
            <w:vAlign w:val="bottom"/>
            <w:shd w:val="clear" w:color="auto" w:fill="E0E0E0"/>
          </w:tcPr>
          <w:p>
            <w:pPr>
              <w:spacing w:after="0"/>
              <w:rPr>
                <w:sz w:val="21"/>
                <w:szCs w:val="21"/>
                <w:color w:val="auto"/>
              </w:rPr>
            </w:pPr>
          </w:p>
        </w:tc>
        <w:tc>
          <w:tcPr>
            <w:tcW w:w="30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400" w:type="dxa"/>
            <w:vAlign w:val="bottom"/>
            <w:gridSpan w:val="3"/>
            <w:shd w:val="clear" w:color="auto" w:fill="E0E0E0"/>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6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0" w:type="dxa"/>
            <w:vAlign w:val="bottom"/>
          </w:tcPr>
          <w:p>
            <w:pPr>
              <w:spacing w:after="0"/>
              <w:rPr>
                <w:sz w:val="1"/>
                <w:szCs w:val="1"/>
                <w:color w:val="auto"/>
              </w:rPr>
            </w:pPr>
          </w:p>
        </w:tc>
      </w:tr>
      <w:tr>
        <w:trPr>
          <w:trHeight w:val="24"/>
        </w:trPr>
        <w:tc>
          <w:tcPr>
            <w:tcW w:w="6460" w:type="dxa"/>
            <w:vAlign w:val="bottom"/>
            <w:tcBorders>
              <w:top w:val="single" w:sz="8" w:color="E0E0E0"/>
              <w:bottom w:val="single" w:sz="8" w:color="E0E0E0"/>
            </w:tcBorders>
            <w:gridSpan w:val="3"/>
            <w:vMerge w:val="restart"/>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Wynn Resorts, Limited per common</w:t>
            </w:r>
          </w:p>
        </w:tc>
        <w:tc>
          <w:tcPr>
            <w:tcW w:w="3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E0E0E0"/>
            </w:tcBorders>
          </w:tcPr>
          <w:p>
            <w:pPr>
              <w:spacing w:after="0"/>
              <w:rPr>
                <w:sz w:val="2"/>
                <w:szCs w:val="2"/>
                <w:color w:val="auto"/>
              </w:rPr>
            </w:pPr>
          </w:p>
        </w:tc>
        <w:tc>
          <w:tcPr>
            <w:tcW w:w="20" w:type="dxa"/>
            <w:vAlign w:val="bottom"/>
            <w:tcBorders>
              <w:top w:val="single" w:sz="8" w:color="E0E0E0"/>
            </w:tcBorders>
          </w:tcPr>
          <w:p>
            <w:pPr>
              <w:spacing w:after="0"/>
              <w:rPr>
                <w:sz w:val="2"/>
                <w:szCs w:val="2"/>
                <w:color w:val="auto"/>
              </w:rPr>
            </w:pPr>
          </w:p>
        </w:tc>
        <w:tc>
          <w:tcPr>
            <w:tcW w:w="40" w:type="dxa"/>
            <w:vAlign w:val="bottom"/>
            <w:tcBorders>
              <w:top w:val="single" w:sz="8" w:color="E0E0E0"/>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gridSpan w:val="3"/>
            <w:vMerge w:val="continue"/>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2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share, diluted</w:t>
            </w:r>
          </w:p>
        </w:tc>
        <w:tc>
          <w:tcPr>
            <w:tcW w:w="8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80" w:type="dxa"/>
            <w:vAlign w:val="bottom"/>
            <w:gridSpan w:val="2"/>
            <w:shd w:val="clear" w:color="auto" w:fill="E0E0E0"/>
          </w:tcPr>
          <w:p>
            <w:pPr>
              <w:spacing w:after="0"/>
              <w:rPr>
                <w:sz w:val="24"/>
                <w:szCs w:val="24"/>
                <w:color w:val="auto"/>
              </w:rPr>
            </w:pPr>
          </w:p>
        </w:tc>
        <w:tc>
          <w:tcPr>
            <w:tcW w:w="238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Anti-dilutive stock options, nonvested, and performance nonvested</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shares excluded from the calculation of diluted net income per share</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0" w:type="dxa"/>
            <w:vAlign w:val="bottom"/>
          </w:tcPr>
          <w:p>
            <w:pPr>
              <w:spacing w:after="0"/>
              <w:rPr>
                <w:sz w:val="1"/>
                <w:szCs w:val="1"/>
                <w:color w:val="auto"/>
              </w:rPr>
            </w:pPr>
          </w:p>
        </w:tc>
      </w:tr>
      <w:tr>
        <w:trPr>
          <w:trHeight w:val="28"/>
        </w:trPr>
        <w:tc>
          <w:tcPr>
            <w:tcW w:w="3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16 - Leases</w:t>
            </w:r>
          </w:p>
        </w:tc>
        <w:tc>
          <w:tcPr>
            <w:tcW w:w="8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32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2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Lessee Arrangements</w:t>
            </w: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following  table  summarizes</w:t>
            </w:r>
          </w:p>
        </w:tc>
        <w:tc>
          <w:tcPr>
            <w:tcW w:w="3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the  balance  sheet  classification  of</w:t>
            </w:r>
          </w:p>
        </w:tc>
        <w:tc>
          <w:tcPr>
            <w:tcW w:w="3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w:t>
            </w:r>
          </w:p>
        </w:tc>
        <w:tc>
          <w:tcPr>
            <w:tcW w:w="10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Company’s</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lease  assets</w:t>
            </w:r>
          </w:p>
        </w:tc>
        <w:tc>
          <w:tcPr>
            <w:tcW w:w="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and  liabilities</w:t>
            </w:r>
          </w:p>
        </w:tc>
        <w:tc>
          <w:tcPr>
            <w:tcW w:w="0" w:type="dxa"/>
            <w:vAlign w:val="bottom"/>
          </w:tcPr>
          <w:p>
            <w:pPr>
              <w:spacing w:after="0"/>
              <w:rPr>
                <w:sz w:val="1"/>
                <w:szCs w:val="1"/>
                <w:color w:val="auto"/>
              </w:rPr>
            </w:pPr>
          </w:p>
        </w:tc>
      </w:tr>
      <w:tr>
        <w:trPr>
          <w:trHeight w:val="24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
        </w:trPr>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8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32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leases</w:t>
            </w:r>
          </w:p>
        </w:tc>
        <w:tc>
          <w:tcPr>
            <w:tcW w:w="800" w:type="dxa"/>
            <w:vAlign w:val="bottom"/>
            <w:shd w:val="clear" w:color="auto" w:fill="E0E0E0"/>
          </w:tcPr>
          <w:p>
            <w:pPr>
              <w:spacing w:after="0"/>
              <w:rPr>
                <w:sz w:val="24"/>
                <w:szCs w:val="24"/>
                <w:color w:val="auto"/>
              </w:rPr>
            </w:pPr>
          </w:p>
        </w:tc>
        <w:tc>
          <w:tcPr>
            <w:tcW w:w="23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Operating lease assets</w:t>
            </w: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2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7"/>
              </w:rPr>
              <w:t>1,797,276</w:t>
            </w: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1,832,896</w:t>
            </w:r>
          </w:p>
        </w:tc>
        <w:tc>
          <w:tcPr>
            <w:tcW w:w="0" w:type="dxa"/>
            <w:vAlign w:val="bottom"/>
          </w:tcPr>
          <w:p>
            <w:pPr>
              <w:spacing w:after="0"/>
              <w:rPr>
                <w:sz w:val="1"/>
                <w:szCs w:val="1"/>
                <w:color w:val="auto"/>
              </w:rPr>
            </w:pPr>
          </w:p>
        </w:tc>
      </w:tr>
      <w:tr>
        <w:trPr>
          <w:trHeight w:val="291"/>
        </w:trPr>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leases</w:t>
            </w:r>
          </w:p>
        </w:tc>
        <w:tc>
          <w:tcPr>
            <w:tcW w:w="800" w:type="dxa"/>
            <w:vAlign w:val="bottom"/>
          </w:tcPr>
          <w:p>
            <w:pPr>
              <w:spacing w:after="0"/>
              <w:rPr>
                <w:sz w:val="24"/>
                <w:szCs w:val="24"/>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94,656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43,078</w:t>
            </w:r>
          </w:p>
        </w:tc>
        <w:tc>
          <w:tcPr>
            <w:tcW w:w="0" w:type="dxa"/>
            <w:vAlign w:val="bottom"/>
          </w:tcPr>
          <w:p>
            <w:pPr>
              <w:spacing w:after="0"/>
              <w:rPr>
                <w:sz w:val="1"/>
                <w:szCs w:val="1"/>
                <w:color w:val="auto"/>
              </w:rPr>
            </w:pPr>
          </w:p>
        </w:tc>
      </w:tr>
      <w:tr>
        <w:trPr>
          <w:trHeight w:val="309"/>
        </w:trPr>
        <w:tc>
          <w:tcPr>
            <w:tcW w:w="328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c>
          <w:tcPr>
            <w:tcW w:w="238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leases</w:t>
            </w:r>
          </w:p>
        </w:tc>
        <w:tc>
          <w:tcPr>
            <w:tcW w:w="800" w:type="dxa"/>
            <w:vAlign w:val="bottom"/>
            <w:shd w:val="clear" w:color="auto" w:fill="E0E0E0"/>
          </w:tcPr>
          <w:p>
            <w:pPr>
              <w:spacing w:after="0"/>
              <w:rPr>
                <w:sz w:val="24"/>
                <w:szCs w:val="24"/>
                <w:color w:val="auto"/>
              </w:rPr>
            </w:pPr>
          </w:p>
        </w:tc>
        <w:tc>
          <w:tcPr>
            <w:tcW w:w="238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2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10,869</w:t>
            </w: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9,295</w:t>
            </w:r>
          </w:p>
        </w:tc>
        <w:tc>
          <w:tcPr>
            <w:tcW w:w="0" w:type="dxa"/>
            <w:vAlign w:val="bottom"/>
          </w:tcPr>
          <w:p>
            <w:pPr>
              <w:spacing w:after="0"/>
              <w:rPr>
                <w:sz w:val="1"/>
                <w:szCs w:val="1"/>
                <w:color w:val="auto"/>
              </w:rPr>
            </w:pPr>
          </w:p>
        </w:tc>
      </w:tr>
      <w:tr>
        <w:trPr>
          <w:trHeight w:val="291"/>
        </w:trPr>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leases</w:t>
            </w:r>
          </w:p>
        </w:tc>
        <w:tc>
          <w:tcPr>
            <w:tcW w:w="80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13,412</w:t>
            </w:r>
          </w:p>
        </w:tc>
        <w:tc>
          <w:tcPr>
            <w:tcW w:w="0" w:type="dxa"/>
            <w:vAlign w:val="bottom"/>
          </w:tcPr>
          <w:p>
            <w:pPr>
              <w:spacing w:after="0"/>
              <w:rPr>
                <w:sz w:val="1"/>
                <w:szCs w:val="1"/>
                <w:color w:val="auto"/>
              </w:rPr>
            </w:pPr>
          </w:p>
        </w:tc>
      </w:tr>
      <w:tr>
        <w:trPr>
          <w:trHeight w:val="309"/>
        </w:trPr>
        <w:tc>
          <w:tcPr>
            <w:tcW w:w="328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c>
          <w:tcPr>
            <w:tcW w:w="238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Non-current liabilities</w:t>
            </w: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2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leases</w:t>
            </w:r>
          </w:p>
        </w:tc>
        <w:tc>
          <w:tcPr>
            <w:tcW w:w="800" w:type="dxa"/>
            <w:vAlign w:val="bottom"/>
            <w:shd w:val="clear" w:color="auto" w:fill="E0E0E0"/>
          </w:tcPr>
          <w:p>
            <w:pPr>
              <w:spacing w:after="0"/>
              <w:rPr>
                <w:sz w:val="24"/>
                <w:szCs w:val="24"/>
                <w:color w:val="auto"/>
              </w:rPr>
            </w:pPr>
          </w:p>
        </w:tc>
        <w:tc>
          <w:tcPr>
            <w:tcW w:w="3340" w:type="dxa"/>
            <w:vAlign w:val="bottom"/>
            <w:gridSpan w:val="5"/>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2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7"/>
              </w:rPr>
              <w:t>1,623,890</w:t>
            </w:r>
          </w:p>
        </w:tc>
        <w:tc>
          <w:tcPr>
            <w:tcW w:w="6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1,631,749</w:t>
            </w:r>
          </w:p>
        </w:tc>
        <w:tc>
          <w:tcPr>
            <w:tcW w:w="0" w:type="dxa"/>
            <w:vAlign w:val="bottom"/>
          </w:tcPr>
          <w:p>
            <w:pPr>
              <w:spacing w:after="0"/>
              <w:rPr>
                <w:sz w:val="1"/>
                <w:szCs w:val="1"/>
                <w:color w:val="auto"/>
              </w:rPr>
            </w:pPr>
          </w:p>
        </w:tc>
      </w:tr>
      <w:tr>
        <w:trPr>
          <w:trHeight w:val="282"/>
        </w:trPr>
        <w:tc>
          <w:tcPr>
            <w:tcW w:w="3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leases</w:t>
            </w:r>
          </w:p>
        </w:tc>
        <w:tc>
          <w:tcPr>
            <w:tcW w:w="80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71,592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200"/>
          </w:cols>
          <w:pgMar w:left="840" w:top="664" w:right="840" w:bottom="3"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tables disclose the components of the Company’s lease cost, supplemental cash flow disclosures, and other information regarding the Company’s lease arrangements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 cost</w:t>
            </w:r>
          </w:p>
        </w:tc>
        <w:tc>
          <w:tcPr>
            <w:tcW w:w="34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17,146</w:t>
            </w:r>
          </w:p>
        </w:tc>
        <w:tc>
          <w:tcPr>
            <w:tcW w:w="200" w:type="dxa"/>
            <w:vAlign w:val="bottom"/>
            <w:shd w:val="clear" w:color="auto" w:fill="E0E0E0"/>
          </w:tcPr>
          <w:p>
            <w:pPr>
              <w:spacing w:after="0"/>
              <w:rPr>
                <w:sz w:val="24"/>
                <w:szCs w:val="24"/>
                <w:color w:val="auto"/>
              </w:rPr>
            </w:pPr>
          </w:p>
        </w:tc>
        <w:tc>
          <w:tcPr>
            <w:tcW w:w="2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17,173</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18,321</w:t>
            </w:r>
          </w:p>
        </w:tc>
        <w:tc>
          <w:tcPr>
            <w:tcW w:w="0" w:type="dxa"/>
            <w:vAlign w:val="bottom"/>
          </w:tcPr>
          <w:p>
            <w:pPr>
              <w:spacing w:after="0"/>
              <w:rPr>
                <w:sz w:val="1"/>
                <w:szCs w:val="1"/>
                <w:color w:val="auto"/>
              </w:rPr>
            </w:pPr>
          </w:p>
        </w:tc>
      </w:tr>
      <w:tr>
        <w:trPr>
          <w:trHeight w:val="279"/>
        </w:trPr>
        <w:tc>
          <w:tcPr>
            <w:tcW w:w="6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Triple-net operating lease cost related to Encore Boston Harbor</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141,576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11,773</w:t>
            </w:r>
          </w:p>
        </w:tc>
        <w:tc>
          <w:tcPr>
            <w:tcW w:w="0" w:type="dxa"/>
            <w:vAlign w:val="bottom"/>
          </w:tcPr>
          <w:p>
            <w:pPr>
              <w:spacing w:after="0"/>
              <w:rPr>
                <w:sz w:val="1"/>
                <w:szCs w:val="1"/>
                <w:color w:val="auto"/>
              </w:rPr>
            </w:pPr>
          </w:p>
        </w:tc>
      </w:tr>
      <w:tr>
        <w:trPr>
          <w:trHeight w:val="297"/>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Short-term lease cost</w:t>
            </w:r>
          </w:p>
        </w:tc>
        <w:tc>
          <w:tcPr>
            <w:tcW w:w="34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30,443</w:t>
            </w: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27,468</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21,060</w:t>
            </w:r>
          </w:p>
        </w:tc>
        <w:tc>
          <w:tcPr>
            <w:tcW w:w="0" w:type="dxa"/>
            <w:vAlign w:val="bottom"/>
          </w:tcPr>
          <w:p>
            <w:pPr>
              <w:spacing w:after="0"/>
              <w:rPr>
                <w:sz w:val="1"/>
                <w:szCs w:val="1"/>
                <w:color w:val="auto"/>
              </w:rPr>
            </w:pPr>
          </w:p>
        </w:tc>
      </w:tr>
      <w:tr>
        <w:trPr>
          <w:trHeight w:val="279"/>
        </w:trPr>
        <w:tc>
          <w:tcPr>
            <w:tcW w:w="6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Amortization of leasehold interests in land</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13,728</w:t>
            </w:r>
          </w:p>
        </w:tc>
        <w:tc>
          <w:tcPr>
            <w:tcW w:w="0" w:type="dxa"/>
            <w:vAlign w:val="bottom"/>
          </w:tcPr>
          <w:p>
            <w:pPr>
              <w:spacing w:after="0"/>
              <w:rPr>
                <w:sz w:val="1"/>
                <w:szCs w:val="1"/>
                <w:color w:val="auto"/>
              </w:rPr>
            </w:pPr>
          </w:p>
        </w:tc>
      </w:tr>
      <w:tr>
        <w:trPr>
          <w:trHeight w:val="297"/>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Variable lease cost</w:t>
            </w:r>
          </w:p>
        </w:tc>
        <w:tc>
          <w:tcPr>
            <w:tcW w:w="34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2,493</w:t>
            </w: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1,868</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1,081</w:t>
            </w:r>
          </w:p>
        </w:tc>
        <w:tc>
          <w:tcPr>
            <w:tcW w:w="0" w:type="dxa"/>
            <w:vAlign w:val="bottom"/>
          </w:tcPr>
          <w:p>
            <w:pPr>
              <w:spacing w:after="0"/>
              <w:rPr>
                <w:sz w:val="1"/>
                <w:szCs w:val="1"/>
                <w:color w:val="auto"/>
              </w:rPr>
            </w:pPr>
          </w:p>
        </w:tc>
      </w:tr>
      <w:tr>
        <w:trPr>
          <w:trHeight w:val="274"/>
        </w:trPr>
        <w:tc>
          <w:tcPr>
            <w:tcW w:w="6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interest cost</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3,391</w:t>
            </w:r>
          </w:p>
        </w:tc>
        <w:tc>
          <w:tcPr>
            <w:tcW w:w="2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2,363</w:t>
            </w:r>
          </w:p>
        </w:tc>
        <w:tc>
          <w:tcPr>
            <w:tcW w:w="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340" w:type="dxa"/>
            <w:vAlign w:val="bottom"/>
            <w:tcBorders>
              <w:bottom w:val="single" w:sz="8" w:color="auto"/>
            </w:tcBorders>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208,753</w:t>
            </w:r>
          </w:p>
        </w:tc>
        <w:tc>
          <w:tcPr>
            <w:tcW w:w="20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auto"/>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204,260</w:t>
            </w:r>
          </w:p>
        </w:tc>
        <w:tc>
          <w:tcPr>
            <w:tcW w:w="20" w:type="dxa"/>
            <w:vAlign w:val="bottom"/>
            <w:tcBorders>
              <w:bottom w:val="single" w:sz="8" w:color="auto"/>
            </w:tcBorders>
            <w:shd w:val="clear" w:color="auto" w:fill="E0E0E0"/>
          </w:tcPr>
          <w:p>
            <w:pPr>
              <w:spacing w:after="0"/>
              <w:rPr>
                <w:sz w:val="23"/>
                <w:szCs w:val="23"/>
                <w:color w:val="auto"/>
              </w:rPr>
            </w:pPr>
          </w:p>
        </w:tc>
        <w:tc>
          <w:tcPr>
            <w:tcW w:w="180" w:type="dxa"/>
            <w:vAlign w:val="bottom"/>
            <w:tcBorders>
              <w:bottom w:val="single" w:sz="8" w:color="E0E0E0"/>
            </w:tcBorders>
            <w:shd w:val="clear" w:color="auto" w:fill="E0E0E0"/>
          </w:tcPr>
          <w:p>
            <w:pPr>
              <w:spacing w:after="0"/>
              <w:rPr>
                <w:sz w:val="23"/>
                <w:szCs w:val="23"/>
                <w:color w:val="auto"/>
              </w:rPr>
            </w:pPr>
          </w:p>
        </w:tc>
        <w:tc>
          <w:tcPr>
            <w:tcW w:w="2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68,094</w:t>
            </w: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cash flow disclosures:</w:t>
            </w: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6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 liabilities arising from obtaining operating lease assets</w:t>
            </w:r>
          </w:p>
        </w:tc>
        <w:tc>
          <w:tcPr>
            <w:tcW w:w="34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3,803</w:t>
            </w:r>
          </w:p>
        </w:tc>
        <w:tc>
          <w:tcPr>
            <w:tcW w:w="200" w:type="dxa"/>
            <w:vAlign w:val="bottom"/>
            <w:shd w:val="clear" w:color="auto" w:fill="E0E0E0"/>
          </w:tcPr>
          <w:p>
            <w:pPr>
              <w:spacing w:after="0"/>
              <w:rPr>
                <w:sz w:val="24"/>
                <w:szCs w:val="24"/>
                <w:color w:val="auto"/>
              </w:rPr>
            </w:pPr>
          </w:p>
        </w:tc>
        <w:tc>
          <w:tcPr>
            <w:tcW w:w="2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26,657</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7"/>
              </w:rPr>
              <w:t>1,519,628</w:t>
            </w:r>
          </w:p>
        </w:tc>
        <w:tc>
          <w:tcPr>
            <w:tcW w:w="0" w:type="dxa"/>
            <w:vAlign w:val="bottom"/>
          </w:tcPr>
          <w:p>
            <w:pPr>
              <w:spacing w:after="0"/>
              <w:rPr>
                <w:sz w:val="1"/>
                <w:szCs w:val="1"/>
                <w:color w:val="auto"/>
              </w:rPr>
            </w:pPr>
          </w:p>
        </w:tc>
      </w:tr>
      <w:tr>
        <w:trPr>
          <w:trHeight w:val="279"/>
        </w:trPr>
        <w:tc>
          <w:tcPr>
            <w:tcW w:w="6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liabilities arising from obtaining finance lease assets</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80,021</w:t>
            </w:r>
          </w:p>
        </w:tc>
        <w:tc>
          <w:tcPr>
            <w:tcW w:w="20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w:t>
            </w:r>
          </w:p>
        </w:tc>
        <w:tc>
          <w:tcPr>
            <w:tcW w:w="0" w:type="dxa"/>
            <w:vAlign w:val="bottom"/>
          </w:tcPr>
          <w:p>
            <w:pPr>
              <w:spacing w:after="0"/>
              <w:rPr>
                <w:sz w:val="1"/>
                <w:szCs w:val="1"/>
                <w:color w:val="auto"/>
              </w:rPr>
            </w:pPr>
          </w:p>
        </w:tc>
      </w:tr>
      <w:tr>
        <w:trPr>
          <w:trHeight w:val="297"/>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34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Cash used in operating activities - Operating leases</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141,004</w:t>
            </w:r>
          </w:p>
        </w:tc>
        <w:tc>
          <w:tcPr>
            <w:tcW w:w="20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139,054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0" w:type="dxa"/>
            <w:vAlign w:val="bottom"/>
          </w:tcPr>
          <w:p>
            <w:pPr>
              <w:spacing w:after="0"/>
              <w:rPr>
                <w:sz w:val="1"/>
                <w:szCs w:val="1"/>
                <w:color w:val="auto"/>
              </w:rPr>
            </w:pPr>
          </w:p>
        </w:tc>
      </w:tr>
      <w:tr>
        <w:trPr>
          <w:trHeight w:val="297"/>
        </w:trPr>
        <w:tc>
          <w:tcPr>
            <w:tcW w:w="64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Cash used in financing activities - Finance leases</w:t>
            </w:r>
          </w:p>
        </w:tc>
        <w:tc>
          <w:tcPr>
            <w:tcW w:w="340" w:type="dxa"/>
            <w:vAlign w:val="bottom"/>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19,219</w:t>
            </w:r>
          </w:p>
        </w:tc>
        <w:tc>
          <w:tcPr>
            <w:tcW w:w="200" w:type="dxa"/>
            <w:vAlign w:val="bottom"/>
            <w:shd w:val="clear" w:color="auto" w:fill="E0E0E0"/>
          </w:tcPr>
          <w:p>
            <w:pPr>
              <w:spacing w:after="0"/>
              <w:rPr>
                <w:sz w:val="24"/>
                <w:szCs w:val="24"/>
                <w:color w:val="auto"/>
              </w:rPr>
            </w:pPr>
          </w:p>
        </w:tc>
        <w:tc>
          <w:tcPr>
            <w:tcW w:w="2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19,267</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18,188</w:t>
            </w:r>
          </w:p>
        </w:tc>
        <w:tc>
          <w:tcPr>
            <w:tcW w:w="0" w:type="dxa"/>
            <w:vAlign w:val="bottom"/>
          </w:tcPr>
          <w:p>
            <w:pPr>
              <w:spacing w:after="0"/>
              <w:rPr>
                <w:sz w:val="1"/>
                <w:szCs w:val="1"/>
                <w:color w:val="auto"/>
              </w:rPr>
            </w:pPr>
          </w:p>
        </w:tc>
      </w:tr>
      <w:tr>
        <w:trPr>
          <w:trHeight w:val="420"/>
        </w:trPr>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9"/>
          </w:tcPr>
          <w:p>
            <w:pPr>
              <w:jc w:val="right"/>
              <w:ind w:right="744"/>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6"/>
        </w:trPr>
        <w:tc>
          <w:tcPr>
            <w:tcW w:w="64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Other information:</w:t>
            </w:r>
          </w:p>
        </w:tc>
        <w:tc>
          <w:tcPr>
            <w:tcW w:w="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6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 Operating leases</w:t>
            </w:r>
          </w:p>
        </w:tc>
        <w:tc>
          <w:tcPr>
            <w:tcW w:w="340" w:type="dxa"/>
            <w:vAlign w:val="bottom"/>
            <w:shd w:val="clear" w:color="auto" w:fill="E0E0E0"/>
          </w:tcPr>
          <w:p>
            <w:pPr>
              <w:spacing w:after="0"/>
              <w:rPr>
                <w:sz w:val="24"/>
                <w:szCs w:val="24"/>
                <w:color w:val="auto"/>
              </w:rPr>
            </w:pPr>
          </w:p>
        </w:tc>
        <w:tc>
          <w:tcPr>
            <w:tcW w:w="10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29.1 years</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40" w:type="dxa"/>
            <w:vAlign w:val="bottom"/>
            <w:gridSpan w:val="4"/>
            <w:shd w:val="clear" w:color="auto" w:fill="E0E0E0"/>
          </w:tcPr>
          <w:p>
            <w:pPr>
              <w:jc w:val="right"/>
              <w:ind w:right="300"/>
              <w:spacing w:after="0"/>
              <w:rPr>
                <w:sz w:val="20"/>
                <w:szCs w:val="20"/>
                <w:color w:val="auto"/>
              </w:rPr>
            </w:pPr>
            <w:r>
              <w:rPr>
                <w:rFonts w:ascii="Times New Roman" w:cs="Times New Roman" w:eastAsia="Times New Roman" w:hAnsi="Times New Roman"/>
                <w:sz w:val="20"/>
                <w:szCs w:val="20"/>
                <w:color w:val="auto"/>
              </w:rPr>
              <w:t>30.1 years</w:t>
            </w:r>
          </w:p>
        </w:tc>
        <w:tc>
          <w:tcPr>
            <w:tcW w:w="1000" w:type="dxa"/>
            <w:vAlign w:val="bottom"/>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31.1 years</w:t>
            </w:r>
          </w:p>
        </w:tc>
        <w:tc>
          <w:tcPr>
            <w:tcW w:w="0" w:type="dxa"/>
            <w:vAlign w:val="bottom"/>
          </w:tcPr>
          <w:p>
            <w:pPr>
              <w:spacing w:after="0"/>
              <w:rPr>
                <w:sz w:val="1"/>
                <w:szCs w:val="1"/>
                <w:color w:val="auto"/>
              </w:rPr>
            </w:pPr>
          </w:p>
        </w:tc>
      </w:tr>
      <w:tr>
        <w:trPr>
          <w:trHeight w:val="291"/>
        </w:trPr>
        <w:tc>
          <w:tcPr>
            <w:tcW w:w="6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 Finance leases</w:t>
            </w: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 years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19.7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16.0 years</w:t>
            </w:r>
          </w:p>
        </w:tc>
        <w:tc>
          <w:tcPr>
            <w:tcW w:w="0" w:type="dxa"/>
            <w:vAlign w:val="bottom"/>
          </w:tcPr>
          <w:p>
            <w:pPr>
              <w:spacing w:after="0"/>
              <w:rPr>
                <w:sz w:val="1"/>
                <w:szCs w:val="1"/>
                <w:color w:val="auto"/>
              </w:rPr>
            </w:pPr>
          </w:p>
        </w:tc>
      </w:tr>
      <w:tr>
        <w:trPr>
          <w:trHeight w:val="309"/>
        </w:trPr>
        <w:tc>
          <w:tcPr>
            <w:tcW w:w="64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020" w:type="dxa"/>
            <w:vAlign w:val="bottom"/>
            <w:gridSpan w:val="2"/>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0" w:type="dxa"/>
            <w:vAlign w:val="bottom"/>
          </w:tcPr>
          <w:p>
            <w:pPr>
              <w:spacing w:after="0"/>
              <w:rPr>
                <w:sz w:val="1"/>
                <w:szCs w:val="1"/>
                <w:color w:val="auto"/>
              </w:rPr>
            </w:pPr>
          </w:p>
        </w:tc>
      </w:tr>
      <w:tr>
        <w:trPr>
          <w:trHeight w:val="309"/>
        </w:trPr>
        <w:tc>
          <w:tcPr>
            <w:tcW w:w="6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 Finance leases</w:t>
            </w:r>
          </w:p>
        </w:tc>
        <w:tc>
          <w:tcPr>
            <w:tcW w:w="340" w:type="dxa"/>
            <w:vAlign w:val="bottom"/>
            <w:shd w:val="clear" w:color="auto" w:fill="E0E0E0"/>
          </w:tcPr>
          <w:p>
            <w:pPr>
              <w:spacing w:after="0"/>
              <w:rPr>
                <w:sz w:val="24"/>
                <w:szCs w:val="24"/>
                <w:color w:val="auto"/>
              </w:rPr>
            </w:pPr>
          </w:p>
        </w:tc>
        <w:tc>
          <w:tcPr>
            <w:tcW w:w="10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6.3 %</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2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an analysis of lease liability maturities as of December 31,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141,522</w:t>
            </w:r>
          </w:p>
        </w:tc>
        <w:tc>
          <w:tcPr>
            <w:tcW w:w="520" w:type="dxa"/>
            <w:vAlign w:val="bottom"/>
            <w:gridSpan w:val="2"/>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23,412</w:t>
            </w:r>
          </w:p>
        </w:tc>
        <w:tc>
          <w:tcPr>
            <w:tcW w:w="0" w:type="dxa"/>
            <w:vAlign w:val="bottom"/>
          </w:tcPr>
          <w:p>
            <w:pPr>
              <w:spacing w:after="0"/>
              <w:rPr>
                <w:sz w:val="1"/>
                <w:szCs w:val="1"/>
                <w:color w:val="auto"/>
              </w:rPr>
            </w:pPr>
          </w:p>
        </w:tc>
      </w:tr>
      <w:tr>
        <w:trPr>
          <w:trHeight w:val="291"/>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142,422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23,080</w:t>
            </w:r>
          </w:p>
        </w:tc>
        <w:tc>
          <w:tcPr>
            <w:tcW w:w="0" w:type="dxa"/>
            <w:vAlign w:val="bottom"/>
          </w:tcPr>
          <w:p>
            <w:pPr>
              <w:spacing w:after="0"/>
              <w:rPr>
                <w:sz w:val="1"/>
                <w:szCs w:val="1"/>
                <w:color w:val="auto"/>
              </w:rPr>
            </w:pPr>
          </w:p>
        </w:tc>
      </w:tr>
      <w:tr>
        <w:trPr>
          <w:trHeight w:val="309"/>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144,767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22,175</w:t>
            </w:r>
          </w:p>
        </w:tc>
        <w:tc>
          <w:tcPr>
            <w:tcW w:w="0" w:type="dxa"/>
            <w:vAlign w:val="bottom"/>
          </w:tcPr>
          <w:p>
            <w:pPr>
              <w:spacing w:after="0"/>
              <w:rPr>
                <w:sz w:val="1"/>
                <w:szCs w:val="1"/>
                <w:color w:val="auto"/>
              </w:rPr>
            </w:pPr>
          </w:p>
        </w:tc>
      </w:tr>
      <w:tr>
        <w:trPr>
          <w:trHeight w:val="291"/>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145,727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17,377</w:t>
            </w:r>
          </w:p>
        </w:tc>
        <w:tc>
          <w:tcPr>
            <w:tcW w:w="0" w:type="dxa"/>
            <w:vAlign w:val="bottom"/>
          </w:tcPr>
          <w:p>
            <w:pPr>
              <w:spacing w:after="0"/>
              <w:rPr>
                <w:sz w:val="1"/>
                <w:szCs w:val="1"/>
                <w:color w:val="auto"/>
              </w:rPr>
            </w:pPr>
          </w:p>
        </w:tc>
      </w:tr>
      <w:tr>
        <w:trPr>
          <w:trHeight w:val="309"/>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147,932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0" w:type="dxa"/>
            <w:vAlign w:val="bottom"/>
          </w:tcPr>
          <w:p>
            <w:pPr>
              <w:spacing w:after="0"/>
              <w:rPr>
                <w:sz w:val="1"/>
                <w:szCs w:val="1"/>
                <w:color w:val="auto"/>
              </w:rPr>
            </w:pPr>
          </w:p>
        </w:tc>
      </w:tr>
      <w:tr>
        <w:trPr>
          <w:trHeight w:val="286"/>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3,680,177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60,806</w:t>
            </w:r>
          </w:p>
        </w:tc>
        <w:tc>
          <w:tcPr>
            <w:tcW w:w="0" w:type="dxa"/>
            <w:vAlign w:val="bottom"/>
          </w:tcPr>
          <w:p>
            <w:pPr>
              <w:spacing w:after="0"/>
              <w:rPr>
                <w:sz w:val="1"/>
                <w:szCs w:val="1"/>
                <w:color w:val="auto"/>
              </w:rPr>
            </w:pPr>
          </w:p>
        </w:tc>
      </w:tr>
      <w:tr>
        <w:trPr>
          <w:trHeight w:val="281"/>
        </w:trPr>
        <w:tc>
          <w:tcPr>
            <w:tcW w:w="7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undiscounted cash flows</w:t>
            </w: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4,402,547</w:t>
            </w:r>
          </w:p>
        </w:tc>
        <w:tc>
          <w:tcPr>
            <w:tcW w:w="520" w:type="dxa"/>
            <w:vAlign w:val="bottom"/>
            <w:gridSpan w:val="2"/>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147,839</w:t>
            </w:r>
          </w:p>
        </w:tc>
        <w:tc>
          <w:tcPr>
            <w:tcW w:w="0" w:type="dxa"/>
            <w:vAlign w:val="bottom"/>
          </w:tcPr>
          <w:p>
            <w:pPr>
              <w:spacing w:after="0"/>
              <w:rPr>
                <w:sz w:val="1"/>
                <w:szCs w:val="1"/>
                <w:color w:val="auto"/>
              </w:rPr>
            </w:pPr>
          </w:p>
        </w:tc>
      </w:tr>
      <w:tr>
        <w:trPr>
          <w:trHeight w:val="23"/>
        </w:trPr>
        <w:tc>
          <w:tcPr>
            <w:tcW w:w="7360" w:type="dxa"/>
            <w:vAlign w:val="bottom"/>
            <w:tcBorders>
              <w:top w:val="single" w:sz="8" w:color="E0E0E0"/>
              <w:bottom w:val="single" w:sz="8" w:color="E0E0E0"/>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Present value</w:t>
            </w: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7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36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10,869</w:t>
            </w:r>
          </w:p>
        </w:tc>
        <w:tc>
          <w:tcPr>
            <w:tcW w:w="520" w:type="dxa"/>
            <w:vAlign w:val="bottom"/>
            <w:gridSpan w:val="2"/>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18,367</w:t>
            </w:r>
          </w:p>
        </w:tc>
        <w:tc>
          <w:tcPr>
            <w:tcW w:w="0" w:type="dxa"/>
            <w:vAlign w:val="bottom"/>
          </w:tcPr>
          <w:p>
            <w:pPr>
              <w:spacing w:after="0"/>
              <w:rPr>
                <w:sz w:val="1"/>
                <w:szCs w:val="1"/>
                <w:color w:val="auto"/>
              </w:rPr>
            </w:pPr>
          </w:p>
        </w:tc>
      </w:tr>
      <w:tr>
        <w:trPr>
          <w:trHeight w:val="286"/>
        </w:trPr>
        <w:tc>
          <w:tcPr>
            <w:tcW w:w="73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1,623,890</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71,592</w:t>
            </w:r>
          </w:p>
        </w:tc>
        <w:tc>
          <w:tcPr>
            <w:tcW w:w="0" w:type="dxa"/>
            <w:vAlign w:val="bottom"/>
          </w:tcPr>
          <w:p>
            <w:pPr>
              <w:spacing w:after="0"/>
              <w:rPr>
                <w:sz w:val="1"/>
                <w:szCs w:val="1"/>
                <w:color w:val="auto"/>
              </w:rPr>
            </w:pPr>
          </w:p>
        </w:tc>
      </w:tr>
      <w:tr>
        <w:trPr>
          <w:trHeight w:val="281"/>
        </w:trPr>
        <w:tc>
          <w:tcPr>
            <w:tcW w:w="73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320" w:type="dxa"/>
            <w:vAlign w:val="bottom"/>
            <w:tcBorders>
              <w:bottom w:val="single" w:sz="8" w:color="auto"/>
            </w:tcBorders>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1,634,759</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89,959</w:t>
            </w:r>
          </w:p>
        </w:tc>
        <w:tc>
          <w:tcPr>
            <w:tcW w:w="0" w:type="dxa"/>
            <w:vAlign w:val="bottom"/>
          </w:tcPr>
          <w:p>
            <w:pPr>
              <w:spacing w:after="0"/>
              <w:rPr>
                <w:sz w:val="1"/>
                <w:szCs w:val="1"/>
                <w:color w:val="auto"/>
              </w:rPr>
            </w:pPr>
          </w:p>
        </w:tc>
      </w:tr>
      <w:tr>
        <w:trPr>
          <w:trHeight w:val="280"/>
        </w:trPr>
        <w:tc>
          <w:tcPr>
            <w:tcW w:w="7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Interest on lease liabilities</w:t>
            </w:r>
          </w:p>
        </w:tc>
        <w:tc>
          <w:tcPr>
            <w:tcW w:w="3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2,767,788</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200"/>
          </w:cols>
          <w:pgMar w:left="840" w:top="664" w:right="840" w:bottom="3"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Encore Boston Harbor Lease</w:t>
      </w:r>
    </w:p>
    <w:p>
      <w:pPr>
        <w:spacing w:after="0" w:line="29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leases the real estate assets of Encore Boston Harbor pursuant to a triple-net operating lease agreement with an initial term of 30 years from December 2022 to November 2052, which may be renewed for one additional thirty-year term. The lease has an initial base rent of $100 million per year, which increases at a fixed rate of 1.75% per year for the first ten years and the greater of 1.75% or change in consumer price index, subject to a cap of 2.5%, each year for the remaining term of the lease. In addition, certain fixed payments in lieu of taxes (“PILOT”) made on behalf of the lessor are included in lease payments for the purpose of measuring the associated operating lease assets and liabilities.</w:t>
      </w:r>
    </w:p>
    <w:p>
      <w:pPr>
        <w:spacing w:after="0" w:line="28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lease payments, inclusive of PILOT payments, are $126.4 million in 2025, $128.8 million in 2026, $131.3 million in 2027, $133.7 million in 2028, $136.3 million in 2029, and $3.29 billion thereafter. At December 31, 2024 and 2023, the total liability associated with the lease was $1.51 billion.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Ground Leases</w:t>
      </w: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Undeveloped Land - Las Vegas</w:t>
      </w:r>
    </w:p>
    <w:p>
      <w:pPr>
        <w:spacing w:after="0" w:line="29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$4.0 million per year from 2025 to 2029 and total payments of $343.8 million thereafter. As of December 31, 2024 and 2023, the liability associated with this lease was $65.2 million and $64.8 million, respectively.</w:t>
      </w:r>
    </w:p>
    <w:p>
      <w:pPr>
        <w:spacing w:after="0" w:line="28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At December 31, 2024 and 2023, operating lease assets included approximately $81.3 million and $82.5 million, respectively, related to an amount allocated to the leasehold interest in land upon the acquisition of a group of assets in 2018.</w:t>
      </w:r>
    </w:p>
    <w:p>
      <w:pPr>
        <w:spacing w:after="0" w:line="29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expects that the amortization of this amount will be $1.1 million each year from 2025 through 2096 and $0.7 million in 2097.</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Macau Land Concessions</w:t>
      </w:r>
    </w:p>
    <w:p>
      <w:pPr>
        <w:spacing w:after="0" w:line="29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$1.5 million per year through 2028, $1.3 million in 2029, and total payments of $7.2 million thereafter through 2037. At December 31, 2024 and 2023, the total liability associated with these leases was $9.8 million and $10.4 million, respectively.</w:t>
      </w:r>
    </w:p>
    <w:p>
      <w:pPr>
        <w:spacing w:after="0" w:line="28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At December 31, 2024 and 2023, operating lease assets included $129.5 million and $141.2 million of leasehold interests in land related to the Wynn Palace and Wynn Macau land concessions. The Company expects that the amortization associated with these leasehold interests will be approximately $12.6 million per year from 2025 through 2028, approximately $11.3 million in 2029, approximately $9.2 million per year from 2030 through 2036 and approximately $3.1 million in 2037.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Lessor Arrangements</w:t>
            </w:r>
          </w:p>
        </w:tc>
        <w:tc>
          <w:tcPr>
            <w:tcW w:w="3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507"/>
        </w:trPr>
        <w:tc>
          <w:tcPr>
            <w:tcW w:w="22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following  table</w:t>
            </w:r>
          </w:p>
        </w:tc>
        <w:tc>
          <w:tcPr>
            <w:tcW w:w="4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presents  the  minimum  and  contingent  operating</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lease</w:t>
            </w:r>
          </w:p>
        </w:tc>
        <w:tc>
          <w:tcPr>
            <w:tcW w:w="6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income</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for  the</w:t>
            </w: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periods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presented</w:t>
            </w:r>
          </w:p>
        </w:tc>
      </w:tr>
      <w:tr>
        <w:trPr>
          <w:trHeight w:val="240"/>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3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9"/>
        </w:trPr>
        <w:tc>
          <w:tcPr>
            <w:tcW w:w="22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Pr>
          <w:p>
            <w:pPr>
              <w:spacing w:after="0"/>
              <w:rPr>
                <w:sz w:val="24"/>
                <w:szCs w:val="24"/>
                <w:color w:val="auto"/>
              </w:rPr>
            </w:pPr>
          </w:p>
        </w:tc>
      </w:tr>
      <w:tr>
        <w:trPr>
          <w:trHeight w:val="26"/>
        </w:trPr>
        <w:tc>
          <w:tcPr>
            <w:tcW w:w="22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4"/>
        </w:trPr>
        <w:tc>
          <w:tcPr>
            <w:tcW w:w="2220" w:type="dxa"/>
            <w:vAlign w:val="bottom"/>
          </w:tcPr>
          <w:p>
            <w:pPr>
              <w:spacing w:after="0"/>
              <w:rPr>
                <w:sz w:val="16"/>
                <w:szCs w:val="16"/>
                <w:color w:val="auto"/>
              </w:rPr>
            </w:pPr>
          </w:p>
        </w:tc>
        <w:tc>
          <w:tcPr>
            <w:tcW w:w="50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22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00"/>
        </w:trPr>
        <w:tc>
          <w:tcPr>
            <w:tcW w:w="22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Minimum rental income</w:t>
            </w:r>
          </w:p>
        </w:tc>
        <w:tc>
          <w:tcPr>
            <w:tcW w:w="4340" w:type="dxa"/>
            <w:vAlign w:val="bottom"/>
            <w:gridSpan w:val="2"/>
            <w:shd w:val="clear" w:color="auto" w:fill="E0E0E0"/>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8"/>
              </w:rPr>
              <w:t>138,604</w:t>
            </w:r>
          </w:p>
        </w:tc>
        <w:tc>
          <w:tcPr>
            <w:tcW w:w="66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131,901</w:t>
            </w:r>
          </w:p>
        </w:tc>
        <w:tc>
          <w:tcPr>
            <w:tcW w:w="68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126,226</w:t>
            </w:r>
          </w:p>
        </w:tc>
      </w:tr>
      <w:tr>
        <w:trPr>
          <w:trHeight w:val="286"/>
        </w:trPr>
        <w:tc>
          <w:tcPr>
            <w:tcW w:w="2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Contingent rental income</w:t>
            </w:r>
          </w:p>
        </w:tc>
        <w:tc>
          <w:tcPr>
            <w:tcW w:w="3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66,526</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96,831</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62,586</w:t>
            </w:r>
          </w:p>
        </w:tc>
      </w:tr>
      <w:tr>
        <w:trPr>
          <w:trHeight w:val="281"/>
        </w:trPr>
        <w:tc>
          <w:tcPr>
            <w:tcW w:w="22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rental income</w:t>
            </w:r>
          </w:p>
        </w:tc>
        <w:tc>
          <w:tcPr>
            <w:tcW w:w="4340" w:type="dxa"/>
            <w:vAlign w:val="bottom"/>
            <w:gridSpan w:val="2"/>
            <w:shd w:val="clear" w:color="auto" w:fill="E0E0E0"/>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205,130</w:t>
            </w:r>
          </w:p>
        </w:tc>
        <w:tc>
          <w:tcPr>
            <w:tcW w:w="66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228,732</w:t>
            </w:r>
          </w:p>
        </w:tc>
        <w:tc>
          <w:tcPr>
            <w:tcW w:w="68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188,812</w:t>
            </w:r>
          </w:p>
        </w:tc>
      </w:tr>
      <w:tr>
        <w:trPr>
          <w:trHeight w:val="23"/>
        </w:trPr>
        <w:tc>
          <w:tcPr>
            <w:tcW w:w="2220" w:type="dxa"/>
            <w:vAlign w:val="bottom"/>
            <w:tcBorders>
              <w:top w:val="single" w:sz="8" w:color="E0E0E0"/>
            </w:tcBorders>
          </w:tcPr>
          <w:p>
            <w:pPr>
              <w:spacing w:after="0"/>
              <w:rPr>
                <w:sz w:val="2"/>
                <w:szCs w:val="2"/>
                <w:color w:val="auto"/>
              </w:rPr>
            </w:pPr>
          </w:p>
        </w:tc>
        <w:tc>
          <w:tcPr>
            <w:tcW w:w="3840" w:type="dxa"/>
            <w:vAlign w:val="bottom"/>
            <w:tcBorders>
              <w:top w:val="single" w:sz="8" w:color="E0E0E0"/>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200"/>
          </w:cols>
          <w:pgMar w:left="840" w:top="664" w:right="840" w:bottom="3"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the future minimum rentals to be received under operating leases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6"/>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00"/>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4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135,387</w:t>
            </w:r>
          </w:p>
        </w:tc>
        <w:tc>
          <w:tcPr>
            <w:tcW w:w="140" w:type="dxa"/>
            <w:vAlign w:val="bottom"/>
            <w:shd w:val="clear" w:color="auto" w:fill="E0E0E0"/>
          </w:tcPr>
          <w:p>
            <w:pPr>
              <w:spacing w:after="0"/>
              <w:rPr>
                <w:sz w:val="24"/>
                <w:szCs w:val="24"/>
                <w:color w:val="auto"/>
              </w:rPr>
            </w:pPr>
          </w:p>
        </w:tc>
      </w:tr>
      <w:tr>
        <w:trPr>
          <w:trHeight w:val="291"/>
        </w:trPr>
        <w:tc>
          <w:tcPr>
            <w:tcW w:w="8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104,509</w:t>
            </w:r>
          </w:p>
        </w:tc>
        <w:tc>
          <w:tcPr>
            <w:tcW w:w="140" w:type="dxa"/>
            <w:vAlign w:val="bottom"/>
          </w:tcPr>
          <w:p>
            <w:pPr>
              <w:spacing w:after="0"/>
              <w:rPr>
                <w:sz w:val="24"/>
                <w:szCs w:val="24"/>
                <w:color w:val="auto"/>
              </w:rPr>
            </w:pPr>
          </w:p>
        </w:tc>
      </w:tr>
      <w:tr>
        <w:trPr>
          <w:trHeight w:val="309"/>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14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86,405</w:t>
            </w:r>
          </w:p>
        </w:tc>
        <w:tc>
          <w:tcPr>
            <w:tcW w:w="140" w:type="dxa"/>
            <w:vAlign w:val="bottom"/>
            <w:shd w:val="clear" w:color="auto" w:fill="E0E0E0"/>
          </w:tcPr>
          <w:p>
            <w:pPr>
              <w:spacing w:after="0"/>
              <w:rPr>
                <w:sz w:val="24"/>
                <w:szCs w:val="24"/>
                <w:color w:val="auto"/>
              </w:rPr>
            </w:pPr>
          </w:p>
        </w:tc>
      </w:tr>
      <w:tr>
        <w:trPr>
          <w:trHeight w:val="291"/>
        </w:trPr>
        <w:tc>
          <w:tcPr>
            <w:tcW w:w="8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59,360</w:t>
            </w:r>
          </w:p>
        </w:tc>
        <w:tc>
          <w:tcPr>
            <w:tcW w:w="140" w:type="dxa"/>
            <w:vAlign w:val="bottom"/>
          </w:tcPr>
          <w:p>
            <w:pPr>
              <w:spacing w:after="0"/>
              <w:rPr>
                <w:sz w:val="24"/>
                <w:szCs w:val="24"/>
                <w:color w:val="auto"/>
              </w:rPr>
            </w:pPr>
          </w:p>
        </w:tc>
      </w:tr>
      <w:tr>
        <w:trPr>
          <w:trHeight w:val="309"/>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14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33,977</w:t>
            </w:r>
          </w:p>
        </w:tc>
        <w:tc>
          <w:tcPr>
            <w:tcW w:w="140" w:type="dxa"/>
            <w:vAlign w:val="bottom"/>
            <w:shd w:val="clear" w:color="auto" w:fill="E0E0E0"/>
          </w:tcPr>
          <w:p>
            <w:pPr>
              <w:spacing w:after="0"/>
              <w:rPr>
                <w:sz w:val="24"/>
                <w:szCs w:val="24"/>
                <w:color w:val="auto"/>
              </w:rPr>
            </w:pPr>
          </w:p>
        </w:tc>
      </w:tr>
      <w:tr>
        <w:trPr>
          <w:trHeight w:val="286"/>
        </w:trPr>
        <w:tc>
          <w:tcPr>
            <w:tcW w:w="8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93,451</w:t>
            </w:r>
          </w:p>
        </w:tc>
        <w:tc>
          <w:tcPr>
            <w:tcW w:w="140" w:type="dxa"/>
            <w:vAlign w:val="bottom"/>
          </w:tcPr>
          <w:p>
            <w:pPr>
              <w:spacing w:after="0"/>
              <w:rPr>
                <w:sz w:val="24"/>
                <w:szCs w:val="24"/>
                <w:color w:val="auto"/>
              </w:rPr>
            </w:pPr>
          </w:p>
        </w:tc>
      </w:tr>
      <w:tr>
        <w:trPr>
          <w:trHeight w:val="281"/>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future minimum rentals</w:t>
            </w:r>
          </w:p>
        </w:tc>
        <w:tc>
          <w:tcPr>
            <w:tcW w:w="4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513,089</w:t>
            </w:r>
          </w:p>
        </w:tc>
        <w:tc>
          <w:tcPr>
            <w:tcW w:w="140" w:type="dxa"/>
            <w:vAlign w:val="bottom"/>
            <w:shd w:val="clear" w:color="auto" w:fill="E0E0E0"/>
          </w:tcPr>
          <w:p>
            <w:pPr>
              <w:spacing w:after="0"/>
              <w:rPr>
                <w:sz w:val="24"/>
                <w:szCs w:val="24"/>
                <w:color w:val="auto"/>
              </w:rPr>
            </w:pPr>
          </w:p>
        </w:tc>
      </w:tr>
      <w:tr>
        <w:trPr>
          <w:trHeight w:val="23"/>
        </w:trPr>
        <w:tc>
          <w:tcPr>
            <w:tcW w:w="8680" w:type="dxa"/>
            <w:vAlign w:val="bottom"/>
            <w:tcBorders>
              <w:top w:val="single" w:sz="8" w:color="E0E0E0"/>
            </w:tcBorders>
          </w:tcPr>
          <w:p>
            <w:pPr>
              <w:spacing w:after="0"/>
              <w:rPr>
                <w:sz w:val="2"/>
                <w:szCs w:val="2"/>
                <w:color w:val="auto"/>
              </w:rPr>
            </w:pPr>
          </w:p>
        </w:tc>
        <w:tc>
          <w:tcPr>
            <w:tcW w:w="14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E0E0E0"/>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Related Party Transactions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Al Marjan Island Agreements</w:t>
      </w:r>
    </w:p>
    <w:p>
      <w:pPr>
        <w:spacing w:after="0" w:line="25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2022, the Company, its co-investors in Wynn Al Marjan Island, and Island 3 entered into agreements whereby the Company has agreed to perform certain design and development services with respect to Wynn Al Marjan Island as well as certain related preopening services, in exchange for the reimbursement of its costs incurred in performing such services. The Company has additionally agreed to perform management services at Wynn Al Marjan Island upon its opening, expected to be in 2027. The Company billed Island 3 $49.5 million and $28.3 million for reimbursable costs during the years ended December 31, 2024 and 2023, respectively. As of December 31, 2024 and 2023, the Company was owed $6.9 million and $8.7 million, respectively, by Island 3, for reimbursable costs recorded in “Prepaid expenses and other” in the accompanying consolidated balance sheets.</w:t>
      </w:r>
    </w:p>
    <w:p>
      <w:pPr>
        <w:spacing w:after="0" w:line="24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February 2025, a wholly-owned subsidiary of Island 3 entered into a financing arrangement to fund the construction of Wynn Al Marjan Island, in connection with which the Company and the government of Ras Al Khaimah entered into a completion guarantee agreement, as described in Note 18, “Commitments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Cooperation Agreement</w:t>
      </w:r>
    </w:p>
    <w:p>
      <w:pPr>
        <w:spacing w:after="0" w:line="25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Amounts Due to Officers, Directors and Former Directors</w:t>
      </w:r>
    </w:p>
    <w:p>
      <w:pPr>
        <w:spacing w:after="0" w:line="25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2024 and 2023, these net deposit balances with the Company were immaterial, as were the services provided.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Gaming Concession</w:t>
      </w:r>
    </w:p>
    <w:p>
      <w:pPr>
        <w:spacing w:after="0" w:line="25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addition to the fixed and variable gaming premium and property transfer agreement payment obligations as described in Note 5, “Property and Equipment, net” and Note 6, “Goodwill and Intangible Assets, net,” Wynn Macau SA committed to make certain non-gaming and gaming investments in the amount of MOP21.03 billion (approximately $2.63 billion) over the course of the ten-year term of the Gaming Concession Contract. MOP19.80 billion (approximately $2.48 billion) of the</w:t>
      </w:r>
    </w:p>
    <w:p>
      <w:pPr>
        <w:sectPr>
          <w:pgSz w:w="11880" w:h="15480" w:orient="portrait"/>
          <w:cols w:equalWidth="0" w:num="1">
            <w:col w:w="10200"/>
          </w:cols>
          <w:pgMar w:left="840" w:top="664" w:right="840" w:bottom="3"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200"/>
          </w:cols>
          <w:pgMar w:left="840" w:top="664" w:right="840" w:bottom="3"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w:t>
      </w:r>
    </w:p>
    <w:p>
      <w:pPr>
        <w:spacing w:after="0" w:line="24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Additionally, Wynn Macau SA committed to make the following payments throughout the term of the Gaming Concession Contract:</w:t>
      </w:r>
    </w:p>
    <w:p>
      <w:pPr>
        <w:spacing w:after="0" w:line="248" w:lineRule="exact"/>
        <w:rPr>
          <w:sz w:val="20"/>
          <w:szCs w:val="20"/>
          <w:color w:val="auto"/>
        </w:rPr>
      </w:pPr>
    </w:p>
    <w:p>
      <w:pPr>
        <w:jc w:val="both"/>
        <w:ind w:firstLine="400"/>
        <w:spacing w:after="0" w:line="248" w:lineRule="auto"/>
        <w:tabs>
          <w:tab w:leader="none" w:pos="65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gaming premium - The Company is obligated to pay a special annual gaming premium if the average of the gross gaming revenues of the Company’s gaming tables and gaming machines is lower than a certain minimum amount determined by the Macau government. A minimum average annual gross gaming revenue of MOP7.0 million (approximately $0.9 million) per gaming table and MOP300,000 (approximately $38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 No special gaming premium was paid for the year ended December 31, 2024 and 2023.</w:t>
      </w:r>
    </w:p>
    <w:p>
      <w:pPr>
        <w:spacing w:after="0" w:line="242" w:lineRule="exact"/>
        <w:rPr>
          <w:rFonts w:ascii="Times New Roman" w:cs="Times New Roman" w:eastAsia="Times New Roman" w:hAnsi="Times New Roman"/>
          <w:sz w:val="20"/>
          <w:szCs w:val="20"/>
          <w:color w:val="auto"/>
        </w:rPr>
      </w:pPr>
    </w:p>
    <w:p>
      <w:pPr>
        <w:jc w:val="both"/>
        <w:ind w:firstLine="400"/>
        <w:spacing w:after="0" w:line="247" w:lineRule="auto"/>
        <w:tabs>
          <w:tab w:leader="none" w:pos="70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w:t>
      </w:r>
    </w:p>
    <w:p>
      <w:pPr>
        <w:spacing w:after="0" w:line="227" w:lineRule="exact"/>
        <w:rPr>
          <w:rFonts w:ascii="Times New Roman" w:cs="Times New Roman" w:eastAsia="Times New Roman" w:hAnsi="Times New Roman"/>
          <w:sz w:val="20"/>
          <w:szCs w:val="20"/>
          <w:color w:val="auto"/>
        </w:rPr>
      </w:pPr>
    </w:p>
    <w:p>
      <w:pPr>
        <w:ind w:left="760" w:hanging="360"/>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gaming tax assessed at the rate of 35% of gross gaming 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Al Marjan Island Funding Commitment</w:t>
      </w:r>
    </w:p>
    <w:p>
      <w:pPr>
        <w:spacing w:after="0" w:line="24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2022, the Company, its co-investors in Wynn Al Marjan Island, and Island 3 entered into agreements whereby the Company is required to contribute capital to Island 3 to fund 40% of the project design and development costs in exchange for a pro-rata share of equity in Island 3. During the year ended December 31, 2024, the Company contributed $541.7 million of cash into Island 3, bringing our life-to-date cash contributions to $631.7 million. The cash contributed during the year was used primarily to fund our pro rata portion of the purchase of approximately 155 acres of land underlying the Wynn Al Marjan Island development site, including the remaining 70 acres of land on Island 3 for potential future development (the “Marjan Land Bank”). The remaining 40% pro-rata share of the required equity for the construction of Wynn Al Marjan Island is estimated to be between $700 million and $775 million inclusive of capitalized interest, fees, and certain improvements on the Island. Wynn Al Marjan Island is currently expected to open in 2027.</w:t>
      </w:r>
    </w:p>
    <w:p>
      <w:pPr>
        <w:spacing w:after="0" w:line="24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February 2025, Wynn Al Marjan Island FZ-LLC (the “Borrower”), a wholly-owned subsidiary of Island 3, an unconsolidated affiliate, entered into a facility agreement with a syndicate of lenders (the “Al Marjan Facility Agreement”) which provides the Borrower with approximately $2.4 billion (or equivalent in local currency) delayed draw secured term loan facility to finance the development of Wynn Al Marjan Island (the “Al Marjan Facility”).</w:t>
      </w:r>
    </w:p>
    <w:p>
      <w:pPr>
        <w:spacing w:after="0" w:line="2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and the other secured parties (collectively, the “Secured Parties”) under the Al Marjan Facility Agreement (the “Security Agent”).</w:t>
      </w:r>
    </w:p>
    <w:p>
      <w:pPr>
        <w:spacing w:after="0" w:line="2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Under the terms of the Completion Guarantee, the Al Marjan Guarantors, irrevocably and unconditionally jointly and severally, (a) have guaranteed to each Secured Party punctual performance by the Borrower of certain of its obligations under the Al Marjan Facility Agreement, and (b) have undertaken with each Secured Party: (i) to provide, within 10 business days upon receiving written demand by the Security Agent, (A) sufficient funds to ensure that practical completion of the project (as provided in the Al Marjan Facility Agreement) takes place no later than June 30, 2028 and (B) to fund amounts equal to any project cost overruns, to the extent the Borrower fails to fund such overruns; and (ii) to pay, whenever the Borrower does not pay, interest, commitment fees and other finance costs payable under the Al Marjan Facility Agreement as well as scheduled payments under any interest rate hedging agreement.</w:t>
      </w:r>
    </w:p>
    <w:p>
      <w:pPr>
        <w:sectPr>
          <w:pgSz w:w="11880" w:h="15480" w:orient="portrait"/>
          <w:cols w:equalWidth="0" w:num="1">
            <w:col w:w="10200"/>
          </w:cols>
          <w:pgMar w:left="840" w:top="664" w:right="840" w:bottom="3"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200"/>
          </w:cols>
          <w:pgMar w:left="840" w:top="664" w:right="840" w:bottom="3"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upon the occurrence of certain specified events of default, change of control events or credit rating downgrades under the Al Marjan Facility Agreement or the occurrence of certain commercial gaming license related events (including, among others, the loss of the commercial gaming license permitting the Borrower to conduct commercial gaming at the project and as further provided in the Al Marjan Facility Agreement), the Al Marjan Guarantors, irrevocably and unconditionally jointly and severally, have undertaken to pay, to the extent the Borrower does not pay, all then outstanding principal, interest, hedging liabilities and any and all other amounts and expenses then due and payable under the Al Marjan Facility Agreement and related agreements, within 10 business days upon receiving written demand by the Security Agent (or, in respect of the occurrence of certain commercial gaming license related events, if later, on the date falling 180 days following the occurrence of such event).</w:t>
      </w:r>
    </w:p>
    <w:p>
      <w:pPr>
        <w:spacing w:after="0" w:line="25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Agreements</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2024, future payment amounts of $106.9 million, $70.2 million, $32.3 million, $4.6 million, $1.5 million, and $1.3 million will be paid during the years ending December 31, 2025, 2026, 2027, 2028, 2029, and thereafter,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25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has additional commitments for open purchase orders, construction contracts, payment obligations to communities surrounding Encore Boston Harbor, and performance and other miscellaneous contracts. As of December 31, 2024, the Company was obligated under these arrangements to make future minimum payments as follows (in thousands):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328,603</w:t>
            </w:r>
          </w:p>
        </w:tc>
      </w:tr>
      <w:tr>
        <w:trPr>
          <w:trHeight w:val="291"/>
        </w:trPr>
        <w:tc>
          <w:tcPr>
            <w:tcW w:w="8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65,906</w:t>
            </w:r>
          </w:p>
        </w:tc>
      </w:tr>
      <w:tr>
        <w:trPr>
          <w:trHeight w:val="309"/>
        </w:trPr>
        <w:tc>
          <w:tcPr>
            <w:tcW w:w="8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42,341</w:t>
            </w:r>
          </w:p>
        </w:tc>
      </w:tr>
      <w:tr>
        <w:trPr>
          <w:trHeight w:val="291"/>
        </w:trPr>
        <w:tc>
          <w:tcPr>
            <w:tcW w:w="8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34,726</w:t>
            </w:r>
          </w:p>
        </w:tc>
      </w:tr>
      <w:tr>
        <w:trPr>
          <w:trHeight w:val="309"/>
        </w:trPr>
        <w:tc>
          <w:tcPr>
            <w:tcW w:w="8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29,764</w:t>
            </w:r>
          </w:p>
        </w:tc>
      </w:tr>
      <w:tr>
        <w:trPr>
          <w:trHeight w:val="286"/>
        </w:trPr>
        <w:tc>
          <w:tcPr>
            <w:tcW w:w="8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78,873</w:t>
            </w:r>
          </w:p>
        </w:tc>
      </w:tr>
      <w:tr>
        <w:trPr>
          <w:trHeight w:val="281"/>
        </w:trPr>
        <w:tc>
          <w:tcPr>
            <w:tcW w:w="89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minimum payments</w:t>
            </w:r>
          </w:p>
        </w:tc>
        <w:tc>
          <w:tcPr>
            <w:tcW w:w="32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580,213</w:t>
            </w:r>
          </w:p>
        </w:tc>
      </w:tr>
      <w:tr>
        <w:trPr>
          <w:trHeight w:val="23"/>
        </w:trPr>
        <w:tc>
          <w:tcPr>
            <w:tcW w:w="8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Letters of Credit</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2024, the Company had outstanding letters of credit of $14.7 million.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5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Securities Class Action</w:t>
      </w:r>
    </w:p>
    <w:p>
      <w:pPr>
        <w:spacing w:after="0" w:line="25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On February 20, 2018, a putative securities class action was filed against the Company and certain current and former officers of the Company in the United States District Court, Southern District of New York (which was subsequently</w:t>
      </w:r>
    </w:p>
    <w:p>
      <w:pPr>
        <w:sectPr>
          <w:pgSz w:w="11880" w:h="15480" w:orient="portrait"/>
          <w:cols w:equalWidth="0" w:num="1">
            <w:col w:w="10200"/>
          </w:cols>
          <w:pgMar w:left="840" w:top="664" w:right="840" w:bottom="3"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200"/>
          </w:cols>
          <w:pgMar w:left="840" w:top="664" w:right="840" w:bottom="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transferred to the United States District Court, District of Nevada) by John V. Ferris and Joann M. Ferris on behalf of all persons who purchased the Company’s common stock between February 28, 2014 and January 25, 2018. The complaint alleged, among other things, certain violations of federal securities laws and sought to recover unspecified damages as well as attorneys’ fees, costs and related expenses for the plaintiffs. On July 28, 2021, the court dismissed certain of plaintiffs’ claims, including all claims against current CEO Craig Billings and the individual directors, and allowed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On August 22, 2024, the parties reached an agreement to settle the action, in its entirety, for the amount of $70.0 million, of which the Company contributed $9.4 million. The court preliminarily approved the settlement on October 10, 2024, and issued its final approval of the settlement on January 27, 2025. The Company’s $9.4 million net contribution toward the settlement is recorded within Property charges and other expenses within the accompanying Consolidated Statements of Operations for the year ended December 31, 2024.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Federal Investigation</w:t>
      </w:r>
    </w:p>
    <w:p>
      <w:pPr>
        <w:spacing w:after="0" w:line="27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From time to time, the Company receives regulatory inquiries about compliance with anti-money laundering laws. The Company received requests for information from the U.S. Attorney’s Office for the Southern District of California (“USAO”) relating to its anti-money laundering policies and procedures, and beginning in 2020 received several grand jury subpoenas regarding various transactions at Wynn Las Vegas relating to certain patrons and agents who reside or operate in foreign jurisdictions. On September 6, 2024, Wynn Las Vegas entered into a non-prosecution agreement (the “NPA”) with the USAO and the United States Department of Justice (the “DOJ”) resolving such investigation. Pursuant to the NPA, Wynn Las Vegas agreed to forfeit $130.0 million in funds involved in transactions at issue and continue to make certain enhancements to its compliance program. The DOJ agreed that, subject to Wynn Las Vegas’s fulfillment of its obligations under the NPA, it will not bring any criminal charges against Wynn Las Vegas concerning the subject matter of its investigation, subject to standard reservations of rights and certain reserved claims. In reaching the resolution set forth in the NPA, the DOJ took into account the historical nature of the transactions at issue; Wynn Las Vegas’s cooperation with the DOJ’s multi-year investigation; that Wynn Las Vegas no longer employs or is affiliated with any of the individuals implicated in the transactions at issue; and Wynn Las Vegas’s extensive remedial measures, many of which were undertaken prior to the parties entering into the NPA. The NPA resolves all prior U.S. federal regulatory inquiries commenced in or about 2014 regarding compliance by Wynn Las Vegas with 18 U.S.C. § 1960 and the Bank Secrecy Act. The $130.0 million forfeiture is recorded within Property charges and other expenses within the accompanying Consolidated Statements of Operations for the year ended December 31, 2024. As set forth in the NPA, Wynn Las Vegas paid $65.0 million in 2024 and recorded the remaining $65.0 million (which will be paid in 2025) in Other accrued liabilities on the Consolidated Balance Sheet as of December 31,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Retail Joint Venture</w:t>
      </w:r>
    </w:p>
    <w:p>
      <w:pPr>
        <w:spacing w:after="0" w:line="27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December 2016, the Company entered into the Retail Joint Venture with Crown Acquisitions Inc. (“Crown”) to own and operate approximately 88,000 square feet of existing retail space at Wynn Las Vegas. In November 2017 and March 2022, the Company contributed approximately 74,000 square feet and 70,000 square feet of additional retail space to the Retail Joint Venture.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27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27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200"/>
          </w:cols>
          <w:pgMar w:left="840" w:top="664" w:right="840" w:bottom="3"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2024 and 2023, the Retail Joint Venture had total assets of $100.3 million and $102.5 million, respectively, and total liabilities of $605.8 million and $621.9 million, respectively. The Retail Joint Venture’s total liabilities as of December 31, 2024 and 2023 included long-term debt of $597.3 million and $614.1 million, respectively, net of debt issuance costs, related to the outstanding borrowings under the Retail Term Loan.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 Segment Information</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The primary profitability measure used by the Company’s CEO to review segment operating results and allocate resources is Adjusted Property EBITDAR.</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Corporate and other is presented solely for the purpose of reconciliation and is not a reportable segment. During the twelve months ended December 31, 2024, Wynn Interactive Ltd. no longer met the requirements for a reportable segment. As a result, its assets and results of operations are presented in Corporate and other and previous period amounts have been reclassified to be consistent with the current period presentation.</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200"/>
          </w:cols>
          <w:pgMar w:left="840" w:top="664" w:right="840" w:bottom="3"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tables present the Company’s segment information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0"/>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180"/>
              <w:spacing w:after="0" w:line="170" w:lineRule="exact"/>
              <w:rPr>
                <w:sz w:val="20"/>
                <w:szCs w:val="20"/>
                <w:color w:val="auto"/>
              </w:rPr>
            </w:pPr>
            <w:r>
              <w:rPr>
                <w:rFonts w:ascii="Times New Roman" w:cs="Times New Roman" w:eastAsia="Times New Roman" w:hAnsi="Times New Roman"/>
                <w:sz w:val="16"/>
                <w:szCs w:val="16"/>
                <w:b w:val="1"/>
                <w:bCs w:val="1"/>
                <w:color w:val="auto"/>
              </w:rPr>
              <w:t>Encore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64"/>
              <w:spacing w:after="0" w:line="160" w:lineRule="exact"/>
              <w:rPr>
                <w:sz w:val="20"/>
                <w:szCs w:val="20"/>
                <w:color w:val="auto"/>
              </w:rPr>
            </w:pPr>
            <w:r>
              <w:rPr>
                <w:rFonts w:ascii="Times New Roman" w:cs="Times New Roman" w:eastAsia="Times New Roman" w:hAnsi="Times New Roman"/>
                <w:sz w:val="16"/>
                <w:szCs w:val="16"/>
                <w:b w:val="1"/>
                <w:bCs w:val="1"/>
                <w:color w:val="auto"/>
              </w:rPr>
              <w:t>Las Vegas</w:t>
            </w:r>
          </w:p>
        </w:tc>
        <w:tc>
          <w:tcPr>
            <w:tcW w:w="60" w:type="dxa"/>
            <w:vAlign w:val="bottom"/>
          </w:tcPr>
          <w:p>
            <w:pPr>
              <w:spacing w:after="0"/>
              <w:rPr>
                <w:sz w:val="13"/>
                <w:szCs w:val="13"/>
                <w:color w:val="auto"/>
              </w:rPr>
            </w:pPr>
          </w:p>
        </w:tc>
        <w:tc>
          <w:tcPr>
            <w:tcW w:w="86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Boston</w:t>
            </w:r>
          </w:p>
        </w:tc>
        <w:tc>
          <w:tcPr>
            <w:tcW w:w="60" w:type="dxa"/>
            <w:vAlign w:val="bottom"/>
          </w:tcPr>
          <w:p>
            <w:pPr>
              <w:spacing w:after="0"/>
              <w:rPr>
                <w:sz w:val="13"/>
                <w:szCs w:val="13"/>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4300" w:type="dxa"/>
            <w:vAlign w:val="bottom"/>
          </w:tcPr>
          <w:p>
            <w:pPr>
              <w:spacing w:after="0"/>
              <w:rPr>
                <w:sz w:val="15"/>
                <w:szCs w:val="15"/>
                <w:color w:val="auto"/>
              </w:rPr>
            </w:pPr>
          </w:p>
        </w:tc>
        <w:tc>
          <w:tcPr>
            <w:tcW w:w="10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Wynn Palace</w:t>
            </w:r>
          </w:p>
        </w:tc>
        <w:tc>
          <w:tcPr>
            <w:tcW w:w="60" w:type="dxa"/>
            <w:vAlign w:val="bottom"/>
          </w:tcPr>
          <w:p>
            <w:pPr>
              <w:spacing w:after="0"/>
              <w:rPr>
                <w:sz w:val="15"/>
                <w:szCs w:val="15"/>
                <w:color w:val="auto"/>
              </w:rPr>
            </w:pPr>
          </w:p>
        </w:tc>
        <w:tc>
          <w:tcPr>
            <w:tcW w:w="100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Wynn Macau</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
              <w:spacing w:after="0" w:line="175" w:lineRule="exact"/>
              <w:rPr>
                <w:sz w:val="20"/>
                <w:szCs w:val="20"/>
                <w:color w:val="auto"/>
              </w:rPr>
            </w:pPr>
            <w:r>
              <w:rPr>
                <w:rFonts w:ascii="Times New Roman" w:cs="Times New Roman" w:eastAsia="Times New Roman" w:hAnsi="Times New Roman"/>
                <w:sz w:val="16"/>
                <w:szCs w:val="16"/>
                <w:b w:val="1"/>
                <w:bCs w:val="1"/>
                <w:color w:val="auto"/>
                <w:w w:val="96"/>
              </w:rPr>
              <w:t>Operations</w:t>
            </w:r>
          </w:p>
        </w:tc>
        <w:tc>
          <w:tcPr>
            <w:tcW w:w="60" w:type="dxa"/>
            <w:vAlign w:val="bottom"/>
          </w:tcPr>
          <w:p>
            <w:pPr>
              <w:spacing w:after="0"/>
              <w:rPr>
                <w:sz w:val="15"/>
                <w:szCs w:val="15"/>
                <w:color w:val="auto"/>
              </w:rPr>
            </w:pPr>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Harbor</w:t>
            </w:r>
          </w:p>
        </w:tc>
        <w:tc>
          <w:tcPr>
            <w:tcW w:w="60" w:type="dxa"/>
            <w:vAlign w:val="bottom"/>
          </w:tcPr>
          <w:p>
            <w:pPr>
              <w:spacing w:after="0"/>
              <w:rPr>
                <w:sz w:val="15"/>
                <w:szCs w:val="15"/>
                <w:color w:val="auto"/>
              </w:rPr>
            </w:pPr>
          </w:p>
        </w:tc>
        <w:tc>
          <w:tcPr>
            <w:tcW w:w="7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and Other</w:t>
            </w:r>
          </w:p>
        </w:tc>
        <w:tc>
          <w:tcPr>
            <w:tcW w:w="60" w:type="dxa"/>
            <w:vAlign w:val="bottom"/>
          </w:tcPr>
          <w:p>
            <w:pPr>
              <w:spacing w:after="0"/>
              <w:rPr>
                <w:sz w:val="15"/>
                <w:szCs w:val="15"/>
                <w:color w:val="auto"/>
              </w:rPr>
            </w:pPr>
          </w:p>
        </w:tc>
        <w:tc>
          <w:tcPr>
            <w:tcW w:w="1000" w:type="dxa"/>
            <w:vAlign w:val="bottom"/>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4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0"/>
        </w:trPr>
        <w:tc>
          <w:tcPr>
            <w:tcW w:w="43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6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r>
      <w:tr>
        <w:trPr>
          <w:trHeight w:val="280"/>
        </w:trPr>
        <w:tc>
          <w:tcPr>
            <w:tcW w:w="4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Casino</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1,795,604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1,230,351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$635,314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$4,261,357</w:t>
            </w:r>
          </w:p>
        </w:tc>
      </w:tr>
      <w:tr>
        <w:trPr>
          <w:trHeight w:val="280"/>
        </w:trPr>
        <w:tc>
          <w:tcPr>
            <w:tcW w:w="43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Rooms</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202,936</w:t>
            </w: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100,631</w:t>
            </w: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845,660</w:t>
            </w:r>
          </w:p>
        </w:tc>
        <w:tc>
          <w:tcPr>
            <w:tcW w:w="9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92,831</w:t>
            </w: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1,242,058</w:t>
            </w:r>
          </w:p>
        </w:tc>
      </w:tr>
      <w:tr>
        <w:trPr>
          <w:trHeight w:val="280"/>
        </w:trPr>
        <w:tc>
          <w:tcPr>
            <w:tcW w:w="4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Food and beverage</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125,398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80,779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778,538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84,402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1,069,117</w:t>
            </w:r>
          </w:p>
        </w:tc>
      </w:tr>
      <w:tr>
        <w:trPr>
          <w:trHeight w:val="270"/>
        </w:trPr>
        <w:tc>
          <w:tcPr>
            <w:tcW w:w="4300" w:type="dxa"/>
            <w:vAlign w:val="bottom"/>
            <w:tcBorders>
              <w:bottom w:val="single" w:sz="8" w:color="E0E0E0"/>
            </w:tcBorders>
            <w:shd w:val="clear" w:color="auto" w:fill="E0E0E0"/>
          </w:tcPr>
          <w:p>
            <w:pPr>
              <w:ind w:left="400"/>
              <w:spacing w:after="0" w:line="270" w:lineRule="exact"/>
              <w:rPr>
                <w:sz w:val="20"/>
                <w:szCs w:val="20"/>
                <w:color w:val="auto"/>
              </w:rPr>
            </w:pPr>
            <w:r>
              <w:rPr>
                <w:rFonts w:ascii="Times New Roman" w:cs="Times New Roman" w:eastAsia="Times New Roman" w:hAnsi="Times New Roman"/>
                <w:sz w:val="20"/>
                <w:szCs w:val="20"/>
                <w:color w:val="auto"/>
              </w:rPr>
              <w:t>Entertainment, retail and other</w:t>
            </w:r>
            <w:r>
              <w:rPr>
                <w:rFonts w:ascii="Times New Roman" w:cs="Times New Roman" w:eastAsia="Times New Roman" w:hAnsi="Times New Roman"/>
                <w:sz w:val="26"/>
                <w:szCs w:val="26"/>
                <w:color w:val="auto"/>
                <w:vertAlign w:val="superscript"/>
              </w:rPr>
              <w:t>(1)</w:t>
            </w:r>
          </w:p>
        </w:tc>
        <w:tc>
          <w:tcPr>
            <w:tcW w:w="120" w:type="dxa"/>
            <w:vAlign w:val="bottom"/>
            <w:tcBorders>
              <w:bottom w:val="single" w:sz="8" w:color="auto"/>
            </w:tcBorders>
            <w:shd w:val="clear" w:color="auto" w:fill="E0E0E0"/>
          </w:tcPr>
          <w:p>
            <w:pPr>
              <w:spacing w:after="0"/>
              <w:rPr>
                <w:sz w:val="23"/>
                <w:szCs w:val="23"/>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93,733</w:t>
            </w:r>
          </w:p>
        </w:tc>
        <w:tc>
          <w:tcPr>
            <w:tcW w:w="6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52,885</w:t>
            </w:r>
          </w:p>
        </w:tc>
        <w:tc>
          <w:tcPr>
            <w:tcW w:w="6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347,627</w:t>
            </w:r>
          </w:p>
        </w:tc>
        <w:tc>
          <w:tcPr>
            <w:tcW w:w="60" w:type="dxa"/>
            <w:vAlign w:val="bottom"/>
            <w:tcBorders>
              <w:bottom w:val="single" w:sz="8" w:color="E0E0E0"/>
            </w:tcBorders>
            <w:shd w:val="clear" w:color="auto" w:fill="E0E0E0"/>
          </w:tcPr>
          <w:p>
            <w:pPr>
              <w:spacing w:after="0"/>
              <w:rPr>
                <w:sz w:val="23"/>
                <w:szCs w:val="23"/>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44,617</w:t>
            </w:r>
          </w:p>
        </w:tc>
        <w:tc>
          <w:tcPr>
            <w:tcW w:w="6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6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4"/>
              </w:rPr>
              <w:t>16,567</w:t>
            </w:r>
          </w:p>
        </w:tc>
        <w:tc>
          <w:tcPr>
            <w:tcW w:w="60" w:type="dxa"/>
            <w:vAlign w:val="bottom"/>
            <w:tcBorders>
              <w:bottom w:val="single" w:sz="8" w:color="E0E0E0"/>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555,429</w:t>
            </w:r>
          </w:p>
        </w:tc>
      </w:tr>
      <w:tr>
        <w:trPr>
          <w:trHeight w:val="270"/>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operating revenues</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2,217,671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1,464,646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2,571,913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857,164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4"/>
              </w:rPr>
              <w:t>16,567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7,127,961</w:t>
            </w:r>
          </w:p>
        </w:tc>
      </w:tr>
      <w:tr>
        <w:trPr>
          <w:trHeight w:val="280"/>
        </w:trPr>
        <w:tc>
          <w:tcPr>
            <w:tcW w:w="43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6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r>
      <w:tr>
        <w:trPr>
          <w:trHeight w:val="280"/>
        </w:trPr>
        <w:tc>
          <w:tcPr>
            <w:tcW w:w="4300" w:type="dxa"/>
            <w:vAlign w:val="bottom"/>
          </w:tcPr>
          <w:p>
            <w:pPr>
              <w:ind w:left="400"/>
              <w:spacing w:after="0" w:line="280" w:lineRule="exact"/>
              <w:rPr>
                <w:sz w:val="20"/>
                <w:szCs w:val="20"/>
                <w:color w:val="auto"/>
              </w:rPr>
            </w:pPr>
            <w:r>
              <w:rPr>
                <w:rFonts w:ascii="Times New Roman" w:cs="Times New Roman" w:eastAsia="Times New Roman" w:hAnsi="Times New Roman"/>
                <w:sz w:val="20"/>
                <w:szCs w:val="20"/>
                <w:color w:val="auto"/>
              </w:rPr>
              <w:t>Cost of revenue</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533,331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410,810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1,549,877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422,974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17,283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0"/>
        </w:trPr>
        <w:tc>
          <w:tcPr>
            <w:tcW w:w="43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Gaming taxes</w:t>
            </w:r>
            <w:r>
              <w:rPr>
                <w:rFonts w:ascii="Times New Roman" w:cs="Times New Roman" w:eastAsia="Times New Roman" w:hAnsi="Times New Roman"/>
                <w:sz w:val="26"/>
                <w:szCs w:val="26"/>
                <w:color w:val="auto"/>
                <w:vertAlign w:val="superscript"/>
              </w:rPr>
              <w:t>(3)</w:t>
            </w: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950,630</w:t>
            </w:r>
          </w:p>
        </w:tc>
        <w:tc>
          <w:tcPr>
            <w:tcW w:w="6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611,984</w:t>
            </w:r>
          </w:p>
        </w:tc>
        <w:tc>
          <w:tcPr>
            <w:tcW w:w="6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75,274</w:t>
            </w:r>
          </w:p>
        </w:tc>
        <w:tc>
          <w:tcPr>
            <w:tcW w:w="6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187,062</w:t>
            </w:r>
          </w:p>
        </w:tc>
        <w:tc>
          <w:tcPr>
            <w:tcW w:w="6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6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3,819</w:t>
            </w:r>
          </w:p>
        </w:tc>
        <w:tc>
          <w:tcPr>
            <w:tcW w:w="60" w:type="dxa"/>
            <w:vAlign w:val="bottom"/>
            <w:tcBorders>
              <w:bottom w:val="single" w:sz="8" w:color="E0E0E0"/>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spacing w:after="0"/>
              <w:rPr>
                <w:sz w:val="24"/>
                <w:szCs w:val="24"/>
                <w:color w:val="auto"/>
              </w:rPr>
            </w:pPr>
          </w:p>
        </w:tc>
      </w:tr>
      <w:tr>
        <w:trPr>
          <w:trHeight w:val="300"/>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Property EBITDAR</w:t>
            </w:r>
            <w:r>
              <w:rPr>
                <w:rFonts w:ascii="Times New Roman" w:cs="Times New Roman" w:eastAsia="Times New Roman" w:hAnsi="Times New Roman"/>
                <w:sz w:val="26"/>
                <w:szCs w:val="26"/>
                <w:b w:val="1"/>
                <w:bCs w:val="1"/>
                <w:color w:val="auto"/>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733,710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441,852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946,762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247,128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(4,535)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2,364,917</w:t>
            </w:r>
          </w:p>
        </w:tc>
      </w:tr>
      <w:tr>
        <w:trPr>
          <w:trHeight w:val="270"/>
        </w:trPr>
        <w:tc>
          <w:tcPr>
            <w:tcW w:w="4300" w:type="dxa"/>
            <w:vAlign w:val="bottom"/>
            <w:shd w:val="clear" w:color="auto" w:fill="E0E0E0"/>
          </w:tcPr>
          <w:p>
            <w:pPr>
              <w:spacing w:after="0"/>
              <w:rPr>
                <w:sz w:val="23"/>
                <w:szCs w:val="23"/>
                <w:color w:val="auto"/>
              </w:rPr>
            </w:pPr>
          </w:p>
        </w:tc>
        <w:tc>
          <w:tcPr>
            <w:tcW w:w="120" w:type="dxa"/>
            <w:vAlign w:val="bottom"/>
            <w:tcBorders>
              <w:top w:val="single" w:sz="8" w:color="auto"/>
            </w:tcBorders>
            <w:shd w:val="clear" w:color="auto" w:fill="E0E0E0"/>
          </w:tcPr>
          <w:p>
            <w:pPr>
              <w:spacing w:after="0"/>
              <w:rPr>
                <w:sz w:val="23"/>
                <w:szCs w:val="23"/>
                <w:color w:val="auto"/>
              </w:rPr>
            </w:pPr>
          </w:p>
        </w:tc>
        <w:tc>
          <w:tcPr>
            <w:tcW w:w="880" w:type="dxa"/>
            <w:vAlign w:val="bottom"/>
            <w:tcBorders>
              <w:top w:val="single" w:sz="8" w:color="auto"/>
            </w:tcBorders>
            <w:shd w:val="clear" w:color="auto" w:fill="E0E0E0"/>
          </w:tcPr>
          <w:p>
            <w:pPr>
              <w:spacing w:after="0"/>
              <w:rPr>
                <w:sz w:val="23"/>
                <w:szCs w:val="23"/>
                <w:color w:val="auto"/>
              </w:rPr>
            </w:pPr>
          </w:p>
        </w:tc>
        <w:tc>
          <w:tcPr>
            <w:tcW w:w="60" w:type="dxa"/>
            <w:vAlign w:val="bottom"/>
            <w:shd w:val="clear" w:color="auto" w:fill="E0E0E0"/>
          </w:tcPr>
          <w:p>
            <w:pPr>
              <w:spacing w:after="0"/>
              <w:rPr>
                <w:sz w:val="23"/>
                <w:szCs w:val="23"/>
                <w:color w:val="auto"/>
              </w:rPr>
            </w:pPr>
          </w:p>
        </w:tc>
        <w:tc>
          <w:tcPr>
            <w:tcW w:w="120" w:type="dxa"/>
            <w:vAlign w:val="bottom"/>
            <w:tcBorders>
              <w:top w:val="single" w:sz="8" w:color="auto"/>
            </w:tcBorders>
            <w:shd w:val="clear" w:color="auto" w:fill="E0E0E0"/>
          </w:tcPr>
          <w:p>
            <w:pPr>
              <w:spacing w:after="0"/>
              <w:rPr>
                <w:sz w:val="23"/>
                <w:szCs w:val="23"/>
                <w:color w:val="auto"/>
              </w:rPr>
            </w:pPr>
          </w:p>
        </w:tc>
        <w:tc>
          <w:tcPr>
            <w:tcW w:w="880" w:type="dxa"/>
            <w:vAlign w:val="bottom"/>
            <w:tcBorders>
              <w:top w:val="single" w:sz="8" w:color="auto"/>
            </w:tcBorders>
            <w:shd w:val="clear" w:color="auto" w:fill="E0E0E0"/>
          </w:tcPr>
          <w:p>
            <w:pPr>
              <w:spacing w:after="0"/>
              <w:rPr>
                <w:sz w:val="23"/>
                <w:szCs w:val="23"/>
                <w:color w:val="auto"/>
              </w:rPr>
            </w:pPr>
          </w:p>
        </w:tc>
        <w:tc>
          <w:tcPr>
            <w:tcW w:w="60" w:type="dxa"/>
            <w:vAlign w:val="bottom"/>
            <w:shd w:val="clear" w:color="auto" w:fill="E0E0E0"/>
          </w:tcPr>
          <w:p>
            <w:pPr>
              <w:spacing w:after="0"/>
              <w:rPr>
                <w:sz w:val="23"/>
                <w:szCs w:val="23"/>
                <w:color w:val="auto"/>
              </w:rPr>
            </w:pPr>
          </w:p>
        </w:tc>
        <w:tc>
          <w:tcPr>
            <w:tcW w:w="120" w:type="dxa"/>
            <w:vAlign w:val="bottom"/>
            <w:tcBorders>
              <w:top w:val="single" w:sz="8" w:color="auto"/>
            </w:tcBorders>
            <w:shd w:val="clear" w:color="auto" w:fill="E0E0E0"/>
          </w:tcPr>
          <w:p>
            <w:pPr>
              <w:spacing w:after="0"/>
              <w:rPr>
                <w:sz w:val="23"/>
                <w:szCs w:val="23"/>
                <w:color w:val="auto"/>
              </w:rPr>
            </w:pPr>
          </w:p>
        </w:tc>
        <w:tc>
          <w:tcPr>
            <w:tcW w:w="880" w:type="dxa"/>
            <w:vAlign w:val="bottom"/>
            <w:tcBorders>
              <w:top w:val="single" w:sz="8" w:color="auto"/>
            </w:tcBorders>
            <w:shd w:val="clear" w:color="auto" w:fill="E0E0E0"/>
          </w:tcPr>
          <w:p>
            <w:pPr>
              <w:spacing w:after="0"/>
              <w:rPr>
                <w:sz w:val="23"/>
                <w:szCs w:val="23"/>
                <w:color w:val="auto"/>
              </w:rPr>
            </w:pPr>
          </w:p>
        </w:tc>
        <w:tc>
          <w:tcPr>
            <w:tcW w:w="60" w:type="dxa"/>
            <w:vAlign w:val="bottom"/>
            <w:shd w:val="clear" w:color="auto" w:fill="E0E0E0"/>
          </w:tcPr>
          <w:p>
            <w:pPr>
              <w:spacing w:after="0"/>
              <w:rPr>
                <w:sz w:val="23"/>
                <w:szCs w:val="23"/>
                <w:color w:val="auto"/>
              </w:rPr>
            </w:pPr>
          </w:p>
        </w:tc>
        <w:tc>
          <w:tcPr>
            <w:tcW w:w="860" w:type="dxa"/>
            <w:vAlign w:val="bottom"/>
            <w:tcBorders>
              <w:top w:val="single" w:sz="8" w:color="auto"/>
            </w:tcBorders>
            <w:shd w:val="clear" w:color="auto" w:fill="E0E0E0"/>
          </w:tcPr>
          <w:p>
            <w:pPr>
              <w:spacing w:after="0"/>
              <w:rPr>
                <w:sz w:val="23"/>
                <w:szCs w:val="23"/>
                <w:color w:val="auto"/>
              </w:rPr>
            </w:pPr>
          </w:p>
        </w:tc>
        <w:tc>
          <w:tcPr>
            <w:tcW w:w="60" w:type="dxa"/>
            <w:vAlign w:val="bottom"/>
            <w:shd w:val="clear" w:color="auto" w:fill="E0E0E0"/>
          </w:tcPr>
          <w:p>
            <w:pPr>
              <w:spacing w:after="0"/>
              <w:rPr>
                <w:sz w:val="23"/>
                <w:szCs w:val="23"/>
                <w:color w:val="auto"/>
              </w:rPr>
            </w:pPr>
          </w:p>
        </w:tc>
        <w:tc>
          <w:tcPr>
            <w:tcW w:w="120" w:type="dxa"/>
            <w:vAlign w:val="bottom"/>
            <w:tcBorders>
              <w:top w:val="single" w:sz="8" w:color="auto"/>
            </w:tcBorders>
            <w:shd w:val="clear" w:color="auto" w:fill="E0E0E0"/>
          </w:tcPr>
          <w:p>
            <w:pPr>
              <w:spacing w:after="0"/>
              <w:rPr>
                <w:sz w:val="23"/>
                <w:szCs w:val="23"/>
                <w:color w:val="auto"/>
              </w:rPr>
            </w:pPr>
          </w:p>
        </w:tc>
        <w:tc>
          <w:tcPr>
            <w:tcW w:w="620" w:type="dxa"/>
            <w:vAlign w:val="bottom"/>
            <w:tcBorders>
              <w:top w:val="single" w:sz="8" w:color="auto"/>
            </w:tcBorders>
            <w:shd w:val="clear" w:color="auto" w:fill="E0E0E0"/>
          </w:tcPr>
          <w:p>
            <w:pPr>
              <w:spacing w:after="0"/>
              <w:rPr>
                <w:sz w:val="23"/>
                <w:szCs w:val="23"/>
                <w:color w:val="auto"/>
              </w:rPr>
            </w:pPr>
          </w:p>
        </w:tc>
        <w:tc>
          <w:tcPr>
            <w:tcW w:w="60" w:type="dxa"/>
            <w:vAlign w:val="bottom"/>
            <w:shd w:val="clear" w:color="auto" w:fill="E0E0E0"/>
          </w:tcPr>
          <w:p>
            <w:pPr>
              <w:spacing w:after="0"/>
              <w:rPr>
                <w:sz w:val="23"/>
                <w:szCs w:val="23"/>
                <w:color w:val="auto"/>
              </w:rPr>
            </w:pPr>
          </w:p>
        </w:tc>
        <w:tc>
          <w:tcPr>
            <w:tcW w:w="1000" w:type="dxa"/>
            <w:vAlign w:val="bottom"/>
            <w:tcBorders>
              <w:top w:val="single" w:sz="8" w:color="auto"/>
            </w:tcBorders>
            <w:shd w:val="clear" w:color="auto" w:fill="E0E0E0"/>
          </w:tcPr>
          <w:p>
            <w:pPr>
              <w:spacing w:after="0"/>
              <w:rPr>
                <w:sz w:val="23"/>
                <w:szCs w:val="23"/>
                <w:color w:val="auto"/>
              </w:rPr>
            </w:pPr>
          </w:p>
        </w:tc>
      </w:tr>
    </w:tbl>
    <w:p>
      <w:pPr>
        <w:spacing w:after="0" w:line="54"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rPr>
          <w:sz w:val="20"/>
          <w:szCs w:val="20"/>
          <w:color w:val="auto"/>
        </w:rPr>
      </w:pPr>
      <w:r>
        <w:rPr>
          <w:rFonts w:ascii="Times New Roman" w:cs="Times New Roman" w:eastAsia="Times New Roman" w:hAnsi="Times New Roman"/>
          <w:sz w:val="20"/>
          <w:szCs w:val="20"/>
          <w:b w:val="1"/>
          <w:bCs w:val="1"/>
          <w:color w:val="auto"/>
        </w:rPr>
        <w:t>Other operating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477000" cy="17716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4" o:spid="_x0000_s1029" style="position:absolute;margin-left:0pt;margin-top:-0.1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Pre-opening</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477000" cy="17716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5" o:spid="_x0000_s1030" style="position:absolute;margin-left:0pt;margin-top:-0.0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Property charges and other</w:t>
      </w:r>
      <w:r>
        <w:rPr>
          <w:rFonts w:ascii="Times New Roman" w:cs="Times New Roman" w:eastAsia="Times New Roman" w:hAnsi="Times New Roman"/>
          <w:sz w:val="26"/>
          <w:szCs w:val="26"/>
          <w:color w:val="auto"/>
          <w:vertAlign w:val="superscript"/>
        </w:rPr>
        <w:t>(5)</w:t>
      </w:r>
    </w:p>
    <w:p>
      <w:pPr>
        <w:ind w:left="400"/>
        <w:spacing w:after="0" w:line="217" w:lineRule="auto"/>
        <w:rPr>
          <w:sz w:val="20"/>
          <w:szCs w:val="20"/>
          <w:color w:val="auto"/>
        </w:rPr>
      </w:pPr>
      <w:r>
        <w:rPr>
          <w:rFonts w:ascii="Times New Roman" w:cs="Times New Roman" w:eastAsia="Times New Roman" w:hAnsi="Times New Roman"/>
          <w:sz w:val="20"/>
          <w:szCs w:val="20"/>
          <w:color w:val="auto"/>
        </w:rPr>
        <w:t>Corporate expense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477000" cy="17716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6" o:spid="_x0000_s1031" style="position:absolute;margin-left:0pt;margin-top:0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Triple-net operating lease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477000" cy="17716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7" o:spid="_x0000_s1032" style="position:absolute;margin-left:0pt;margin-top:-0.0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color w:val="auto"/>
        </w:rPr>
        <w:t>Total other operating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477000" cy="17716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8" o:spid="_x0000_s1033" style="position:absolute;margin-left:0pt;margin-top:-0.1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non-operating income and expenses</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477000" cy="17716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9" o:spid="_x0000_s1034" style="position:absolute;margin-left:0pt;margin-top:-0.0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Interest expense, net of amounts capitalized</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Change in derivatives fair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477000" cy="17716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10" o:spid="_x0000_s1035" style="position:absolute;margin-left:0pt;margin-top:-0.0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Loss on debt financing transactions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477000" cy="17716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11" o:spid="_x0000_s1036" style="position:absolute;margin-left:0pt;margin-top:-0.0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2"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20"/>
          <w:szCs w:val="20"/>
          <w:b w:val="1"/>
          <w:bCs w:val="1"/>
          <w:color w:val="auto"/>
        </w:rPr>
        <w:t>Total other non-operating income and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before income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477000" cy="17716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12" o:spid="_x0000_s1037" style="position:absolute;margin-left:0pt;margin-top:-0.1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Provision for income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477000" cy="17716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165"/>
                        </a:xfrm>
                        <a:prstGeom prst="rect">
                          <a:avLst/>
                        </a:prstGeom>
                        <a:solidFill>
                          <a:srgbClr val="E0E0E0"/>
                        </a:solidFill>
                      </wps:spPr>
                      <wps:bodyPr/>
                    </wps:wsp>
                  </a:graphicData>
                </a:graphic>
              </wp:anchor>
            </w:drawing>
          </mc:Choice>
          <mc:Fallback>
            <w:pict>
              <v:rect id="Shape 13" o:spid="_x0000_s1038" style="position:absolute;margin-left:0pt;margin-top:-0.1499pt;width:510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attributable to Wynn Resorts, Limited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9,355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658,895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215,095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148,236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59,029</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141,576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-4445</wp:posOffset>
                </wp:positionV>
                <wp:extent cx="6350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3499pt" to="49pt,-0.3499pt" o:allowincell="f" strokecolor="#000000" strokeweight="0.5pt"/>
            </w:pict>
          </mc:Fallback>
        </mc:AlternateContent>
      </w:r>
    </w:p>
    <w:p>
      <w:pPr>
        <w:spacing w:after="0" w:line="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1,232,186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1,132,731</w:t>
      </w:r>
    </w:p>
    <w:p>
      <w:pPr>
        <w:spacing w:after="0" w:line="32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130,342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(688,410)</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42,478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(2,913)</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29,170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-4445</wp:posOffset>
                </wp:positionV>
                <wp:extent cx="6350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3499pt" to="49pt,-0.3499pt" o:allowincell="f" strokecolor="#000000" strokeweight="0.5pt"/>
            </w:pict>
          </mc:Fallback>
        </mc:AlternateConten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(489,333)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-5715</wp:posOffset>
                </wp:positionV>
                <wp:extent cx="6350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4499pt" to="49pt,-0.4499pt" o:allowincell="f" strokecolor="#000000" strokeweight="0.5pt"/>
            </w:pict>
          </mc:Fallback>
        </mc:AlternateContent>
      </w:r>
    </w:p>
    <w:p>
      <w:pPr>
        <w:spacing w:after="0" w:line="3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643,398</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(3,682)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-4445</wp:posOffset>
                </wp:positionV>
                <wp:extent cx="6350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3499pt" to="49pt,-0.3499pt" o:allowincell="f" strokecolor="#000000" strokeweight="0.5pt"/>
            </w:pict>
          </mc:Fallback>
        </mc:AlternateContent>
      </w:r>
    </w:p>
    <w:p>
      <w:pPr>
        <w:spacing w:after="0" w:line="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639,716</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(138,638)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-4445</wp:posOffset>
                </wp:positionV>
                <wp:extent cx="6350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3499pt" to="49pt,-0.3499pt" o:allowincell="f" strokecolor="#000000" strokeweight="0.5pt"/>
            </w:pict>
          </mc:Fallback>
        </mc:AlternateContent>
      </w:r>
    </w:p>
    <w:p>
      <w:pPr>
        <w:spacing w:after="0" w:line="3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  501,078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-5080</wp:posOffset>
                </wp:positionV>
                <wp:extent cx="6350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3999pt" to="49pt,-0.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19685</wp:posOffset>
                </wp:positionV>
                <wp:extent cx="6350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5pt" to="49pt,1.55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8500" w:space="720"/>
            <w:col w:w="980"/>
          </w:cols>
          <w:pgMar w:left="840" w:top="664" w:right="840" w:bottom="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200"/>
          </w:cols>
          <w:pgMar w:left="840" w:top="664" w:right="840" w:bottom="3"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Encore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0"/>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04"/>
              <w:spacing w:after="0" w:line="160" w:lineRule="exact"/>
              <w:rPr>
                <w:sz w:val="20"/>
                <w:szCs w:val="20"/>
                <w:color w:val="auto"/>
              </w:rPr>
            </w:pPr>
            <w:r>
              <w:rPr>
                <w:rFonts w:ascii="Times New Roman" w:cs="Times New Roman" w:eastAsia="Times New Roman" w:hAnsi="Times New Roman"/>
                <w:sz w:val="16"/>
                <w:szCs w:val="16"/>
                <w:b w:val="1"/>
                <w:bCs w:val="1"/>
                <w:color w:val="auto"/>
              </w:rPr>
              <w:t>Wynn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04"/>
              <w:spacing w:after="0" w:line="160" w:lineRule="exact"/>
              <w:rPr>
                <w:sz w:val="20"/>
                <w:szCs w:val="20"/>
                <w:color w:val="auto"/>
              </w:rPr>
            </w:pPr>
            <w:r>
              <w:rPr>
                <w:rFonts w:ascii="Times New Roman" w:cs="Times New Roman" w:eastAsia="Times New Roman" w:hAnsi="Times New Roman"/>
                <w:sz w:val="16"/>
                <w:szCs w:val="16"/>
                <w:b w:val="1"/>
                <w:bCs w:val="1"/>
                <w:color w:val="auto"/>
              </w:rPr>
              <w:t>Wynn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64"/>
              <w:spacing w:after="0" w:line="160" w:lineRule="exact"/>
              <w:rPr>
                <w:sz w:val="20"/>
                <w:szCs w:val="20"/>
                <w:color w:val="auto"/>
              </w:rPr>
            </w:pPr>
            <w:r>
              <w:rPr>
                <w:rFonts w:ascii="Times New Roman" w:cs="Times New Roman" w:eastAsia="Times New Roman" w:hAnsi="Times New Roman"/>
                <w:sz w:val="16"/>
                <w:szCs w:val="16"/>
                <w:b w:val="1"/>
                <w:bCs w:val="1"/>
                <w:color w:val="auto"/>
              </w:rPr>
              <w:t>Las Vegas</w:t>
            </w:r>
          </w:p>
        </w:tc>
        <w:tc>
          <w:tcPr>
            <w:tcW w:w="200" w:type="dxa"/>
            <w:vAlign w:val="bottom"/>
          </w:tcPr>
          <w:p>
            <w:pPr>
              <w:spacing w:after="0"/>
              <w:rPr>
                <w:sz w:val="13"/>
                <w:szCs w:val="13"/>
                <w:color w:val="auto"/>
              </w:rPr>
            </w:pPr>
          </w:p>
        </w:tc>
        <w:tc>
          <w:tcPr>
            <w:tcW w:w="86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Boston</w:t>
            </w:r>
          </w:p>
        </w:tc>
        <w:tc>
          <w:tcPr>
            <w:tcW w:w="200" w:type="dxa"/>
            <w:vAlign w:val="bottom"/>
          </w:tcPr>
          <w:p>
            <w:pPr>
              <w:spacing w:after="0"/>
              <w:rPr>
                <w:sz w:val="13"/>
                <w:szCs w:val="13"/>
                <w:color w:val="auto"/>
              </w:rPr>
            </w:pPr>
          </w:p>
        </w:tc>
        <w:tc>
          <w:tcPr>
            <w:tcW w:w="8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4"/>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Palace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64"/>
              <w:spacing w:after="0" w:line="175" w:lineRule="exact"/>
              <w:rPr>
                <w:sz w:val="20"/>
                <w:szCs w:val="20"/>
                <w:color w:val="auto"/>
              </w:rPr>
            </w:pPr>
            <w:r>
              <w:rPr>
                <w:rFonts w:ascii="Times New Roman" w:cs="Times New Roman" w:eastAsia="Times New Roman" w:hAnsi="Times New Roman"/>
                <w:sz w:val="16"/>
                <w:szCs w:val="16"/>
                <w:b w:val="1"/>
                <w:bCs w:val="1"/>
                <w:color w:val="auto"/>
              </w:rPr>
              <w:t>Macau</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
              <w:spacing w:after="0" w:line="175" w:lineRule="exact"/>
              <w:rPr>
                <w:sz w:val="20"/>
                <w:szCs w:val="20"/>
                <w:color w:val="auto"/>
              </w:rPr>
            </w:pPr>
            <w:r>
              <w:rPr>
                <w:rFonts w:ascii="Times New Roman" w:cs="Times New Roman" w:eastAsia="Times New Roman" w:hAnsi="Times New Roman"/>
                <w:sz w:val="16"/>
                <w:szCs w:val="16"/>
                <w:b w:val="1"/>
                <w:bCs w:val="1"/>
                <w:color w:val="auto"/>
                <w:w w:val="96"/>
              </w:rPr>
              <w:t>Operations</w:t>
            </w:r>
          </w:p>
        </w:tc>
        <w:tc>
          <w:tcPr>
            <w:tcW w:w="200" w:type="dxa"/>
            <w:vAlign w:val="bottom"/>
          </w:tcPr>
          <w:p>
            <w:pPr>
              <w:spacing w:after="0"/>
              <w:rPr>
                <w:sz w:val="15"/>
                <w:szCs w:val="15"/>
                <w:color w:val="auto"/>
              </w:rPr>
            </w:pPr>
          </w:p>
        </w:tc>
        <w:tc>
          <w:tcPr>
            <w:tcW w:w="86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Harbor</w:t>
            </w:r>
          </w:p>
        </w:tc>
        <w:tc>
          <w:tcPr>
            <w:tcW w:w="200" w:type="dxa"/>
            <w:vAlign w:val="bottom"/>
          </w:tcPr>
          <w:p>
            <w:pPr>
              <w:spacing w:after="0"/>
              <w:rPr>
                <w:sz w:val="15"/>
                <w:szCs w:val="15"/>
                <w:color w:val="auto"/>
              </w:rPr>
            </w:pPr>
          </w:p>
        </w:tc>
        <w:tc>
          <w:tcPr>
            <w:tcW w:w="8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200" w:type="dxa"/>
            <w:vAlign w:val="bottom"/>
          </w:tcPr>
          <w:p>
            <w:pPr>
              <w:spacing w:after="0"/>
              <w:rPr>
                <w:sz w:val="15"/>
                <w:szCs w:val="15"/>
                <w:color w:val="auto"/>
              </w:rPr>
            </w:pPr>
          </w:p>
        </w:tc>
        <w:tc>
          <w:tcPr>
            <w:tcW w:w="1000" w:type="dxa"/>
            <w:vAlign w:val="bottom"/>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00"/>
        </w:trPr>
        <w:tc>
          <w:tcPr>
            <w:tcW w:w="35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r>
      <w:tr>
        <w:trPr>
          <w:trHeight w:val="291"/>
        </w:trPr>
        <w:tc>
          <w:tcPr>
            <w:tcW w:w="3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Casino</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1,471,280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628,185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$648,668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$3,718,402</w:t>
            </w:r>
          </w:p>
        </w:tc>
      </w:tr>
      <w:tr>
        <w:trPr>
          <w:trHeight w:val="309"/>
        </w:trPr>
        <w:tc>
          <w:tcPr>
            <w:tcW w:w="35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Rooms</w:t>
            </w: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201,783</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109,308</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784,385</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90,195</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1,185,671</w:t>
            </w:r>
          </w:p>
        </w:tc>
      </w:tr>
      <w:tr>
        <w:trPr>
          <w:trHeight w:val="291"/>
        </w:trPr>
        <w:tc>
          <w:tcPr>
            <w:tcW w:w="3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Food and beverage</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104,566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68,017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770,401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85,653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1,028,637</w:t>
            </w:r>
          </w:p>
        </w:tc>
      </w:tr>
      <w:tr>
        <w:trPr>
          <w:trHeight w:val="299"/>
        </w:trPr>
        <w:tc>
          <w:tcPr>
            <w:tcW w:w="35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Entertainment, retail and other</w:t>
            </w:r>
            <w:r>
              <w:rPr>
                <w:rFonts w:ascii="Times New Roman" w:cs="Times New Roman" w:eastAsia="Times New Roman" w:hAnsi="Times New Roman"/>
                <w:sz w:val="26"/>
                <w:szCs w:val="26"/>
                <w:color w:val="auto"/>
                <w:vertAlign w:val="superscript"/>
              </w:rPr>
              <w:t>(1)</w:t>
            </w: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109,215</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65,940</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297,635</w:t>
            </w:r>
          </w:p>
        </w:tc>
        <w:tc>
          <w:tcPr>
            <w:tcW w:w="20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41,270</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85,127</w:t>
            </w:r>
          </w:p>
        </w:tc>
        <w:tc>
          <w:tcPr>
            <w:tcW w:w="200" w:type="dxa"/>
            <w:vAlign w:val="bottom"/>
            <w:tcBorders>
              <w:bottom w:val="single" w:sz="8" w:color="E0E0E0"/>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599,187</w:t>
            </w: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operating revenues</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1,886,844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1,213,534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2,480,606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865,786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85,127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r>
      <w:tr>
        <w:trPr>
          <w:trHeight w:val="308"/>
        </w:trPr>
        <w:tc>
          <w:tcPr>
            <w:tcW w:w="35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r>
      <w:tr>
        <w:trPr>
          <w:trHeight w:val="300"/>
        </w:trPr>
        <w:tc>
          <w:tcPr>
            <w:tcW w:w="3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Cost of revenue</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486,909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378,178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1,458,789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418,784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106,752</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0"/>
        </w:trPr>
        <w:tc>
          <w:tcPr>
            <w:tcW w:w="3500" w:type="dxa"/>
            <w:vAlign w:val="bottom"/>
            <w:tcBorders>
              <w:bottom w:val="single" w:sz="8" w:color="E0E0E0"/>
            </w:tcBorders>
            <w:shd w:val="clear" w:color="auto" w:fill="E0E0E0"/>
          </w:tcPr>
          <w:p>
            <w:pPr>
              <w:ind w:left="400"/>
              <w:spacing w:after="0" w:line="290" w:lineRule="exact"/>
              <w:rPr>
                <w:sz w:val="20"/>
                <w:szCs w:val="20"/>
                <w:color w:val="auto"/>
              </w:rPr>
            </w:pPr>
            <w:r>
              <w:rPr>
                <w:rFonts w:ascii="Times New Roman" w:cs="Times New Roman" w:eastAsia="Times New Roman" w:hAnsi="Times New Roman"/>
                <w:sz w:val="20"/>
                <w:szCs w:val="20"/>
                <w:color w:val="auto"/>
              </w:rPr>
              <w:t>Gaming taxes</w:t>
            </w:r>
            <w:r>
              <w:rPr>
                <w:rFonts w:ascii="Times New Roman" w:cs="Times New Roman" w:eastAsia="Times New Roman" w:hAnsi="Times New Roman"/>
                <w:sz w:val="26"/>
                <w:szCs w:val="26"/>
                <w:color w:val="auto"/>
                <w:vertAlign w:val="superscript"/>
              </w:rPr>
              <w:t>(3)</w:t>
            </w: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784,089</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497,265</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75,574</w:t>
            </w:r>
          </w:p>
        </w:tc>
        <w:tc>
          <w:tcPr>
            <w:tcW w:w="20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189,593</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21,021</w:t>
            </w:r>
          </w:p>
        </w:tc>
        <w:tc>
          <w:tcPr>
            <w:tcW w:w="200" w:type="dxa"/>
            <w:vAlign w:val="bottom"/>
            <w:tcBorders>
              <w:bottom w:val="single" w:sz="8" w:color="E0E0E0"/>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spacing w:after="0"/>
              <w:rPr>
                <w:sz w:val="24"/>
                <w:szCs w:val="24"/>
                <w:color w:val="auto"/>
              </w:rPr>
            </w:pPr>
          </w:p>
        </w:tc>
      </w:tr>
      <w:tr>
        <w:trPr>
          <w:trHeight w:val="280"/>
        </w:trPr>
        <w:tc>
          <w:tcPr>
            <w:tcW w:w="3500" w:type="dxa"/>
            <w:vAlign w:val="bottom"/>
          </w:tcPr>
          <w:p>
            <w:pPr>
              <w:spacing w:after="0" w:line="280" w:lineRule="exact"/>
              <w:rPr>
                <w:sz w:val="20"/>
                <w:szCs w:val="20"/>
                <w:color w:val="auto"/>
              </w:rPr>
            </w:pPr>
            <w:r>
              <w:rPr>
                <w:rFonts w:ascii="Times New Roman" w:cs="Times New Roman" w:eastAsia="Times New Roman" w:hAnsi="Times New Roman"/>
                <w:sz w:val="20"/>
                <w:szCs w:val="20"/>
                <w:b w:val="1"/>
                <w:bCs w:val="1"/>
                <w:color w:val="auto"/>
              </w:rPr>
              <w:t>Adjusted Property EBITDAR</w:t>
            </w:r>
            <w:r>
              <w:rPr>
                <w:rFonts w:ascii="Times New Roman" w:cs="Times New Roman" w:eastAsia="Times New Roman" w:hAnsi="Times New Roman"/>
                <w:sz w:val="26"/>
                <w:szCs w:val="26"/>
                <w:b w:val="1"/>
                <w:bCs w:val="1"/>
                <w:color w:val="auto"/>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615,846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338,091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946,243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257,409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(42,646)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2,114,943</w:t>
            </w:r>
          </w:p>
        </w:tc>
      </w:tr>
      <w:tr>
        <w:trPr>
          <w:trHeight w:val="290"/>
        </w:trPr>
        <w:tc>
          <w:tcPr>
            <w:tcW w:w="35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88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88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88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72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00" w:type="dxa"/>
            <w:vAlign w:val="bottom"/>
            <w:tcBorders>
              <w:top w:val="single" w:sz="8" w:color="auto"/>
            </w:tcBorders>
            <w:shd w:val="clear" w:color="auto" w:fill="E0E0E0"/>
          </w:tcPr>
          <w:p>
            <w:pPr>
              <w:spacing w:after="0"/>
              <w:rPr>
                <w:sz w:val="24"/>
                <w:szCs w:val="24"/>
                <w:color w:val="auto"/>
              </w:rPr>
            </w:pPr>
          </w:p>
        </w:tc>
      </w:tr>
    </w:tbl>
    <w:p>
      <w:pPr>
        <w:spacing w:after="0" w:line="54"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rPr>
          <w:sz w:val="20"/>
          <w:szCs w:val="20"/>
          <w:color w:val="auto"/>
        </w:rPr>
      </w:pPr>
      <w:r>
        <w:rPr>
          <w:rFonts w:ascii="Times New Roman" w:cs="Times New Roman" w:eastAsia="Times New Roman" w:hAnsi="Times New Roman"/>
          <w:sz w:val="20"/>
          <w:szCs w:val="20"/>
          <w:b w:val="1"/>
          <w:bCs w:val="1"/>
          <w:color w:val="auto"/>
        </w:rPr>
        <w:t>Other operating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6477000" cy="19050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21" o:spid="_x0000_s1046" style="position:absolute;margin-left:0pt;margin-top:0.8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Pre-opening</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477000" cy="1905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22" o:spid="_x0000_s1047" style="position:absolute;margin-left:0pt;margin-top:0.9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Impairment of goodwill and intangible assets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Property charges and other</w:t>
      </w:r>
      <w:r>
        <w:rPr>
          <w:rFonts w:ascii="Times New Roman" w:cs="Times New Roman" w:eastAsia="Times New Roman" w:hAnsi="Times New Roman"/>
          <w:sz w:val="26"/>
          <w:szCs w:val="26"/>
          <w:color w:val="auto"/>
          <w:vertAlign w:val="superscript"/>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6477000" cy="1898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89865"/>
                        </a:xfrm>
                        <a:prstGeom prst="rect">
                          <a:avLst/>
                        </a:prstGeom>
                        <a:solidFill>
                          <a:srgbClr val="E0E0E0"/>
                        </a:solidFill>
                      </wps:spPr>
                      <wps:bodyPr/>
                    </wps:wsp>
                  </a:graphicData>
                </a:graphic>
              </wp:anchor>
            </w:drawing>
          </mc:Choice>
          <mc:Fallback>
            <w:pict>
              <v:rect id="Shape 23" o:spid="_x0000_s1048" style="position:absolute;margin-left:0pt;margin-top:-2.5999pt;width:510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ind w:left="400"/>
        <w:spacing w:after="0" w:line="238" w:lineRule="auto"/>
        <w:rPr>
          <w:sz w:val="20"/>
          <w:szCs w:val="20"/>
          <w:color w:val="auto"/>
        </w:rPr>
      </w:pPr>
      <w:r>
        <w:rPr>
          <w:rFonts w:ascii="Times New Roman" w:cs="Times New Roman" w:eastAsia="Times New Roman" w:hAnsi="Times New Roman"/>
          <w:sz w:val="20"/>
          <w:szCs w:val="20"/>
          <w:color w:val="auto"/>
        </w:rPr>
        <w:t>Corporate expense and other</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Stock-based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477000" cy="19050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24" o:spid="_x0000_s1049" style="position:absolute;margin-left:0pt;margin-top:0.9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Triple-net operating lease expense</w:t>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color w:val="auto"/>
        </w:rPr>
        <w:t>Total other operating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6477000" cy="1778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800"/>
                        </a:xfrm>
                        <a:prstGeom prst="rect">
                          <a:avLst/>
                        </a:prstGeom>
                        <a:solidFill>
                          <a:srgbClr val="E0E0E0"/>
                        </a:solidFill>
                      </wps:spPr>
                      <wps:bodyPr/>
                    </wps:wsp>
                  </a:graphicData>
                </a:graphic>
              </wp:anchor>
            </w:drawing>
          </mc:Choice>
          <mc:Fallback>
            <w:pict>
              <v:rect id="Shape 25" o:spid="_x0000_s1050" style="position:absolute;margin-left:0pt;margin-top:0.8pt;width:510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non-operating income and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10160</wp:posOffset>
                </wp:positionV>
                <wp:extent cx="6477000" cy="1905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26" o:spid="_x0000_s1051" style="position:absolute;margin-left:0pt;margin-top:0.8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Interest income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Interest expense, net of amounts capitalized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477000" cy="1905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27" o:spid="_x0000_s1052" style="position:absolute;margin-left:0pt;margin-top:0.9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Change in derivatives fair value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Loss on debt financing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477000" cy="1905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28" o:spid="_x0000_s1053" style="position:absolute;margin-left:0pt;margin-top:0.9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Other</w:t>
      </w:r>
    </w:p>
    <w:p>
      <w:pPr>
        <w:spacing w:after="0" w:line="72"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20"/>
          <w:szCs w:val="20"/>
          <w:b w:val="1"/>
          <w:bCs w:val="1"/>
          <w:color w:val="auto"/>
        </w:rPr>
        <w:t>Total other non-operating income and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6477000" cy="1778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800"/>
                        </a:xfrm>
                        <a:prstGeom prst="rect">
                          <a:avLst/>
                        </a:prstGeom>
                        <a:solidFill>
                          <a:srgbClr val="E0E0E0"/>
                        </a:solidFill>
                      </wps:spPr>
                      <wps:bodyPr/>
                    </wps:wsp>
                  </a:graphicData>
                </a:graphic>
              </wp:anchor>
            </w:drawing>
          </mc:Choice>
          <mc:Fallback>
            <w:pict>
              <v:rect id="Shape 29" o:spid="_x0000_s1054" style="position:absolute;margin-left:0pt;margin-top:1.8pt;width:510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70" w:lineRule="exact"/>
        <w:rPr>
          <w:sz w:val="20"/>
          <w:szCs w:val="20"/>
          <w:color w:val="auto"/>
        </w:rPr>
      </w:pPr>
    </w:p>
    <w:p>
      <w:pPr>
        <w:jc w:val="right"/>
        <w:ind w:right="6120"/>
        <w:spacing w:after="0"/>
        <w:rPr>
          <w:sz w:val="20"/>
          <w:szCs w:val="20"/>
          <w:color w:val="auto"/>
        </w:rPr>
      </w:pPr>
      <w:r>
        <w:rPr>
          <w:rFonts w:ascii="Times New Roman" w:cs="Times New Roman" w:eastAsia="Times New Roman" w:hAnsi="Times New Roman"/>
          <w:sz w:val="20"/>
          <w:szCs w:val="20"/>
          <w:b w:val="1"/>
          <w:bCs w:val="1"/>
          <w:color w:val="auto"/>
        </w:rPr>
        <w:t>Income before income taxes</w:t>
      </w:r>
    </w:p>
    <w:p>
      <w:pPr>
        <w:spacing w:after="0" w:line="48" w:lineRule="exact"/>
        <w:rPr>
          <w:sz w:val="20"/>
          <w:szCs w:val="20"/>
          <w:color w:val="auto"/>
        </w:rPr>
      </w:pPr>
    </w:p>
    <w:p>
      <w:pPr>
        <w:jc w:val="right"/>
        <w:ind w:right="6120"/>
        <w:spacing w:after="0"/>
        <w:rPr>
          <w:sz w:val="20"/>
          <w:szCs w:val="20"/>
          <w:color w:val="auto"/>
        </w:rPr>
      </w:pPr>
      <w:r>
        <w:rPr>
          <w:rFonts w:ascii="Times New Roman" w:cs="Times New Roman" w:eastAsia="Times New Roman" w:hAnsi="Times New Roman"/>
          <w:sz w:val="20"/>
          <w:szCs w:val="20"/>
          <w:color w:val="auto"/>
        </w:rPr>
        <w:t>Benefit for income taxes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62230</wp:posOffset>
                </wp:positionV>
                <wp:extent cx="6477000" cy="1778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800"/>
                        </a:xfrm>
                        <a:prstGeom prst="rect">
                          <a:avLst/>
                        </a:prstGeom>
                        <a:solidFill>
                          <a:srgbClr val="E0E0E0"/>
                        </a:solidFill>
                      </wps:spPr>
                      <wps:bodyPr/>
                    </wps:wsp>
                  </a:graphicData>
                </a:graphic>
              </wp:anchor>
            </w:drawing>
          </mc:Choice>
          <mc:Fallback>
            <w:pict>
              <v:rect id="Shape 30" o:spid="_x0000_s1055" style="position:absolute;margin-left:0pt;margin-top:4.9pt;width:510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Net loss attributable to noncontrolling interests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62230</wp:posOffset>
                </wp:positionV>
                <wp:extent cx="6477000" cy="1778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77800"/>
                        </a:xfrm>
                        <a:prstGeom prst="rect">
                          <a:avLst/>
                        </a:prstGeom>
                        <a:solidFill>
                          <a:srgbClr val="E0E0E0"/>
                        </a:solidFill>
                      </wps:spPr>
                      <wps:bodyPr/>
                    </wps:wsp>
                  </a:graphicData>
                </a:graphic>
              </wp:anchor>
            </w:drawing>
          </mc:Choice>
          <mc:Fallback>
            <w:pict>
              <v:rect id="Shape 31" o:spid="_x0000_s1056" style="position:absolute;margin-left:0pt;margin-top:4.9pt;width:510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attributable to Wynn Resorts, Limited</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9,468</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687,270</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94,490</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130,877</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146,430</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64,515</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141,722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7620</wp:posOffset>
                </wp:positionV>
                <wp:extent cx="635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6pt" to="49pt,0.6pt" o:allowincell="f" strokecolor="#000000" strokeweight="0.5pt"/>
            </w:pict>
          </mc:Fallback>
        </mc:AlternateContent>
      </w:r>
    </w:p>
    <w:p>
      <w:pPr>
        <w:spacing w:after="0" w:line="5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1,274,772</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840,171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-5715</wp:posOffset>
                </wp:positionV>
                <wp:extent cx="635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4499pt" to="49pt,-0.4499pt" o:allowincell="f" strokecolor="#000000" strokeweight="0.5pt"/>
            </w:pict>
          </mc:Fallback>
        </mc:AlternateContent>
      </w:r>
    </w:p>
    <w:p>
      <w:pPr>
        <w:spacing w:after="0" w:line="32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175,785</w:t>
      </w:r>
    </w:p>
    <w:p>
      <w:pPr>
        <w:spacing w:after="0" w:line="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(751,509)</w:t>
      </w:r>
    </w:p>
    <w:p>
      <w:pPr>
        <w:spacing w:after="0" w:line="7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auto"/>
        </w:rPr>
        <w:t>45,098</w:t>
      </w:r>
    </w:p>
    <w:p>
      <w:pPr>
        <w:spacing w:after="0" w:line="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(12,683)</w:t>
      </w:r>
    </w:p>
    <w:p>
      <w:pPr>
        <w:spacing w:after="0" w:line="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(11,479)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7620</wp:posOffset>
                </wp:positionV>
                <wp:extent cx="6350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6pt" to="49pt,0.6pt" o:allowincell="f" strokecolor="#000000" strokeweight="0.5pt"/>
            </w:pict>
          </mc:Fallback>
        </mc:AlternateContent>
      </w:r>
    </w:p>
    <w:p>
      <w:pPr>
        <w:spacing w:after="0" w:line="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(554,788)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19685</wp:posOffset>
                </wp:positionV>
                <wp:extent cx="6350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5pt" to="49pt,1.55pt" o:allowincell="f" strokecolor="#000000" strokeweight="0.5pt"/>
            </w:pict>
          </mc:Fallback>
        </mc:AlternateConten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285,383</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496,834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58420</wp:posOffset>
                </wp:positionV>
                <wp:extent cx="635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4.6pt" to="49pt,4.6pt" o:allowincell="f" strokecolor="#000000" strokeweight="0.5pt"/>
            </w:pict>
          </mc:Fallback>
        </mc:AlternateConten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782,217</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(52,223)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58420</wp:posOffset>
                </wp:positionV>
                <wp:extent cx="6350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4.6pt" to="49pt,4.6pt" o:allowincell="f" strokecolor="#000000" strokeweight="0.5pt"/>
            </w:pict>
          </mc:Fallback>
        </mc:AlternateConten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729,994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-5080</wp:posOffset>
                </wp:positionV>
                <wp:extent cx="635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3999pt" to="49pt,-0.39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19685</wp:posOffset>
                </wp:positionV>
                <wp:extent cx="6350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5pt" to="49pt,1.55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8500" w:space="720"/>
            <w:col w:w="980"/>
          </w:cols>
          <w:pgMar w:left="840" w:top="664" w:right="840" w:bottom="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200"/>
          </w:cols>
          <w:pgMar w:left="840" w:top="664" w:right="840" w:bottom="3"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
        </w:trPr>
        <w:tc>
          <w:tcPr>
            <w:tcW w:w="3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0"/>
        </w:trPr>
        <w:tc>
          <w:tcPr>
            <w:tcW w:w="3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b w:val="1"/>
                <w:bCs w:val="1"/>
                <w:color w:val="auto"/>
              </w:rPr>
              <w:t>Encore</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0"/>
        </w:trPr>
        <w:tc>
          <w:tcPr>
            <w:tcW w:w="3740" w:type="dxa"/>
            <w:vAlign w:val="bottom"/>
          </w:tcPr>
          <w:p>
            <w:pPr>
              <w:spacing w:after="0"/>
              <w:rPr>
                <w:sz w:val="13"/>
                <w:szCs w:val="13"/>
                <w:color w:val="auto"/>
              </w:rPr>
            </w:pPr>
          </w:p>
        </w:tc>
        <w:tc>
          <w:tcPr>
            <w:tcW w:w="840" w:type="dxa"/>
            <w:vAlign w:val="bottom"/>
          </w:tcPr>
          <w:p>
            <w:pPr>
              <w:jc w:val="right"/>
              <w:ind w:right="124"/>
              <w:spacing w:after="0" w:line="160" w:lineRule="exact"/>
              <w:rPr>
                <w:sz w:val="20"/>
                <w:szCs w:val="20"/>
                <w:color w:val="auto"/>
              </w:rPr>
            </w:pPr>
            <w:r>
              <w:rPr>
                <w:rFonts w:ascii="Times New Roman" w:cs="Times New Roman" w:eastAsia="Times New Roman" w:hAnsi="Times New Roman"/>
                <w:sz w:val="16"/>
                <w:szCs w:val="16"/>
                <w:b w:val="1"/>
                <w:bCs w:val="1"/>
                <w:color w:val="auto"/>
              </w:rPr>
              <w:t>Wynn</w:t>
            </w:r>
          </w:p>
        </w:tc>
        <w:tc>
          <w:tcPr>
            <w:tcW w:w="200" w:type="dxa"/>
            <w:vAlign w:val="bottom"/>
          </w:tcPr>
          <w:p>
            <w:pPr>
              <w:spacing w:after="0"/>
              <w:rPr>
                <w:sz w:val="13"/>
                <w:szCs w:val="13"/>
                <w:color w:val="auto"/>
              </w:rPr>
            </w:pPr>
          </w:p>
        </w:tc>
        <w:tc>
          <w:tcPr>
            <w:tcW w:w="920" w:type="dxa"/>
            <w:vAlign w:val="bottom"/>
          </w:tcPr>
          <w:p>
            <w:pPr>
              <w:jc w:val="right"/>
              <w:ind w:right="150"/>
              <w:spacing w:after="0" w:line="160" w:lineRule="exact"/>
              <w:rPr>
                <w:sz w:val="20"/>
                <w:szCs w:val="20"/>
                <w:color w:val="auto"/>
              </w:rPr>
            </w:pPr>
            <w:r>
              <w:rPr>
                <w:rFonts w:ascii="Times New Roman" w:cs="Times New Roman" w:eastAsia="Times New Roman" w:hAnsi="Times New Roman"/>
                <w:sz w:val="16"/>
                <w:szCs w:val="16"/>
                <w:b w:val="1"/>
                <w:bCs w:val="1"/>
                <w:color w:val="auto"/>
              </w:rPr>
              <w:t>Wynn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64"/>
              <w:spacing w:after="0" w:line="160" w:lineRule="exact"/>
              <w:rPr>
                <w:sz w:val="20"/>
                <w:szCs w:val="20"/>
                <w:color w:val="auto"/>
              </w:rPr>
            </w:pPr>
            <w:r>
              <w:rPr>
                <w:rFonts w:ascii="Times New Roman" w:cs="Times New Roman" w:eastAsia="Times New Roman" w:hAnsi="Times New Roman"/>
                <w:sz w:val="16"/>
                <w:szCs w:val="16"/>
                <w:b w:val="1"/>
                <w:bCs w:val="1"/>
                <w:color w:val="auto"/>
              </w:rPr>
              <w:t>Las Vegas</w:t>
            </w:r>
          </w:p>
        </w:tc>
        <w:tc>
          <w:tcPr>
            <w:tcW w:w="200" w:type="dxa"/>
            <w:vAlign w:val="bottom"/>
          </w:tcPr>
          <w:p>
            <w:pPr>
              <w:spacing w:after="0"/>
              <w:rPr>
                <w:sz w:val="13"/>
                <w:szCs w:val="13"/>
                <w:color w:val="auto"/>
              </w:rPr>
            </w:pPr>
          </w:p>
        </w:tc>
        <w:tc>
          <w:tcPr>
            <w:tcW w:w="106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b w:val="1"/>
                <w:bCs w:val="1"/>
                <w:color w:val="auto"/>
              </w:rPr>
              <w:t>Boston</w:t>
            </w:r>
          </w:p>
        </w:tc>
        <w:tc>
          <w:tcPr>
            <w:tcW w:w="8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4"/>
        </w:trPr>
        <w:tc>
          <w:tcPr>
            <w:tcW w:w="3740" w:type="dxa"/>
            <w:vAlign w:val="bottom"/>
          </w:tcPr>
          <w:p>
            <w:pPr>
              <w:spacing w:after="0"/>
              <w:rPr>
                <w:sz w:val="15"/>
                <w:szCs w:val="15"/>
                <w:color w:val="auto"/>
              </w:rPr>
            </w:pPr>
          </w:p>
        </w:tc>
        <w:tc>
          <w:tcPr>
            <w:tcW w:w="840" w:type="dxa"/>
            <w:vAlign w:val="bottom"/>
          </w:tcPr>
          <w:p>
            <w:pPr>
              <w:jc w:val="right"/>
              <w:ind w:right="104"/>
              <w:spacing w:after="0" w:line="175" w:lineRule="exact"/>
              <w:rPr>
                <w:sz w:val="20"/>
                <w:szCs w:val="20"/>
                <w:color w:val="auto"/>
              </w:rPr>
            </w:pPr>
            <w:r>
              <w:rPr>
                <w:rFonts w:ascii="Times New Roman" w:cs="Times New Roman" w:eastAsia="Times New Roman" w:hAnsi="Times New Roman"/>
                <w:sz w:val="16"/>
                <w:szCs w:val="16"/>
                <w:b w:val="1"/>
                <w:bCs w:val="1"/>
                <w:color w:val="auto"/>
              </w:rPr>
              <w:t>Palace</w:t>
            </w:r>
          </w:p>
        </w:tc>
        <w:tc>
          <w:tcPr>
            <w:tcW w:w="200" w:type="dxa"/>
            <w:vAlign w:val="bottom"/>
          </w:tcPr>
          <w:p>
            <w:pPr>
              <w:spacing w:after="0"/>
              <w:rPr>
                <w:sz w:val="15"/>
                <w:szCs w:val="15"/>
                <w:color w:val="auto"/>
              </w:rPr>
            </w:pPr>
          </w:p>
        </w:tc>
        <w:tc>
          <w:tcPr>
            <w:tcW w:w="920" w:type="dxa"/>
            <w:vAlign w:val="bottom"/>
          </w:tcPr>
          <w:p>
            <w:pPr>
              <w:jc w:val="right"/>
              <w:ind w:right="130"/>
              <w:spacing w:after="0" w:line="175" w:lineRule="exact"/>
              <w:rPr>
                <w:sz w:val="20"/>
                <w:szCs w:val="20"/>
                <w:color w:val="auto"/>
              </w:rPr>
            </w:pPr>
            <w:r>
              <w:rPr>
                <w:rFonts w:ascii="Times New Roman" w:cs="Times New Roman" w:eastAsia="Times New Roman" w:hAnsi="Times New Roman"/>
                <w:sz w:val="16"/>
                <w:szCs w:val="16"/>
                <w:b w:val="1"/>
                <w:bCs w:val="1"/>
                <w:color w:val="auto"/>
              </w:rPr>
              <w:t>Macau</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4"/>
              <w:spacing w:after="0" w:line="175" w:lineRule="exact"/>
              <w:rPr>
                <w:sz w:val="20"/>
                <w:szCs w:val="20"/>
                <w:color w:val="auto"/>
              </w:rPr>
            </w:pPr>
            <w:r>
              <w:rPr>
                <w:rFonts w:ascii="Times New Roman" w:cs="Times New Roman" w:eastAsia="Times New Roman" w:hAnsi="Times New Roman"/>
                <w:sz w:val="16"/>
                <w:szCs w:val="16"/>
                <w:b w:val="1"/>
                <w:bCs w:val="1"/>
                <w:color w:val="auto"/>
                <w:w w:val="96"/>
              </w:rPr>
              <w:t>Operations</w:t>
            </w:r>
          </w:p>
        </w:tc>
        <w:tc>
          <w:tcPr>
            <w:tcW w:w="200" w:type="dxa"/>
            <w:vAlign w:val="bottom"/>
          </w:tcPr>
          <w:p>
            <w:pPr>
              <w:spacing w:after="0"/>
              <w:rPr>
                <w:sz w:val="15"/>
                <w:szCs w:val="15"/>
                <w:color w:val="auto"/>
              </w:rPr>
            </w:pPr>
          </w:p>
        </w:tc>
        <w:tc>
          <w:tcPr>
            <w:tcW w:w="1060" w:type="dxa"/>
            <w:vAlign w:val="bottom"/>
            <w:gridSpan w:val="2"/>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Harbor</w:t>
            </w:r>
          </w:p>
        </w:tc>
        <w:tc>
          <w:tcPr>
            <w:tcW w:w="8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3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5"/>
        </w:trPr>
        <w:tc>
          <w:tcPr>
            <w:tcW w:w="3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86"/>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Casino</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$255,886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$ 216,639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535,279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$624,738</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1,632,541</w:t>
            </w:r>
          </w:p>
        </w:tc>
      </w:tr>
      <w:tr>
        <w:trPr>
          <w:trHeight w:val="304"/>
        </w:trPr>
        <w:tc>
          <w:tcPr>
            <w:tcW w:w="37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Rooms</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40,079</w:t>
            </w:r>
          </w:p>
        </w:tc>
        <w:tc>
          <w:tcPr>
            <w:tcW w:w="11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25,691</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651,291</w:t>
            </w:r>
          </w:p>
        </w:tc>
        <w:tc>
          <w:tcPr>
            <w:tcW w:w="10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85,078</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802,138</w:t>
            </w:r>
          </w:p>
        </w:tc>
      </w:tr>
      <w:tr>
        <w:trPr>
          <w:trHeight w:val="286"/>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Food and beverage</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25,334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702,515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82,818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846,214</w:t>
            </w:r>
          </w:p>
        </w:tc>
      </w:tr>
      <w:tr>
        <w:trPr>
          <w:trHeight w:val="294"/>
        </w:trPr>
        <w:tc>
          <w:tcPr>
            <w:tcW w:w="3740" w:type="dxa"/>
            <w:vAlign w:val="bottom"/>
            <w:tcBorders>
              <w:bottom w:val="single" w:sz="8" w:color="E0E0E0"/>
            </w:tcBorders>
            <w:shd w:val="clear" w:color="auto" w:fill="E0E0E0"/>
          </w:tcPr>
          <w:p>
            <w:pPr>
              <w:ind w:left="400"/>
              <w:spacing w:after="0" w:line="294" w:lineRule="exact"/>
              <w:rPr>
                <w:sz w:val="20"/>
                <w:szCs w:val="20"/>
                <w:color w:val="auto"/>
              </w:rPr>
            </w:pPr>
            <w:r>
              <w:rPr>
                <w:rFonts w:ascii="Times New Roman" w:cs="Times New Roman" w:eastAsia="Times New Roman" w:hAnsi="Times New Roman"/>
                <w:sz w:val="20"/>
                <w:szCs w:val="20"/>
                <w:color w:val="auto"/>
              </w:rPr>
              <w:t>Entertainment, retail and other</w:t>
            </w:r>
            <w:r>
              <w:rPr>
                <w:rFonts w:ascii="Times New Roman" w:cs="Times New Roman" w:eastAsia="Times New Roman" w:hAnsi="Times New Roman"/>
                <w:sz w:val="26"/>
                <w:szCs w:val="26"/>
                <w:color w:val="auto"/>
                <w:vertAlign w:val="superscript"/>
              </w:rPr>
              <w:t>(1)</w:t>
            </w: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78,778</w:t>
            </w:r>
          </w:p>
        </w:tc>
        <w:tc>
          <w:tcPr>
            <w:tcW w:w="200" w:type="dxa"/>
            <w:vAlign w:val="bottom"/>
            <w:tcBorders>
              <w:bottom w:val="single" w:sz="8" w:color="E0E0E0"/>
            </w:tcBorders>
            <w:shd w:val="clear" w:color="auto" w:fill="E0E0E0"/>
          </w:tcPr>
          <w:p>
            <w:pPr>
              <w:spacing w:after="0"/>
              <w:rPr>
                <w:sz w:val="24"/>
                <w:szCs w:val="24"/>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43,585</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243,051</w:t>
            </w:r>
          </w:p>
        </w:tc>
        <w:tc>
          <w:tcPr>
            <w:tcW w:w="20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38,439</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72,078</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475,932</w:t>
            </w:r>
          </w:p>
        </w:tc>
      </w:tr>
      <w:tr>
        <w:trPr>
          <w:trHeight w:val="277"/>
        </w:trPr>
        <w:tc>
          <w:tcPr>
            <w:tcW w:w="3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operating 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410,289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311,249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2,132,136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831,073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72,078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3,756,825</w:t>
            </w:r>
          </w:p>
        </w:tc>
      </w:tr>
      <w:tr>
        <w:trPr>
          <w:trHeight w:val="243"/>
        </w:trPr>
        <w:tc>
          <w:tcPr>
            <w:tcW w:w="3740" w:type="dxa"/>
            <w:vAlign w:val="bottom"/>
            <w:shd w:val="clear" w:color="auto" w:fill="E0E0E0"/>
          </w:tcPr>
          <w:p>
            <w:pPr>
              <w:spacing w:after="0"/>
              <w:rPr>
                <w:sz w:val="21"/>
                <w:szCs w:val="21"/>
                <w:color w:val="auto"/>
              </w:rPr>
            </w:pPr>
          </w:p>
        </w:tc>
        <w:tc>
          <w:tcPr>
            <w:tcW w:w="8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88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7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880" w:type="dxa"/>
            <w:vAlign w:val="bottom"/>
            <w:shd w:val="clear" w:color="auto" w:fill="E0E0E0"/>
          </w:tcPr>
          <w:p>
            <w:pPr>
              <w:spacing w:after="0"/>
              <w:rPr>
                <w:sz w:val="21"/>
                <w:szCs w:val="21"/>
                <w:color w:val="auto"/>
              </w:rPr>
            </w:pPr>
          </w:p>
        </w:tc>
      </w:tr>
      <w:tr>
        <w:trPr>
          <w:trHeight w:val="295"/>
        </w:trPr>
        <w:tc>
          <w:tcPr>
            <w:tcW w:w="3740" w:type="dxa"/>
            <w:vAlign w:val="bottom"/>
          </w:tcPr>
          <w:p>
            <w:pPr>
              <w:ind w:left="400"/>
              <w:spacing w:after="0" w:line="294" w:lineRule="exact"/>
              <w:rPr>
                <w:sz w:val="20"/>
                <w:szCs w:val="20"/>
                <w:color w:val="auto"/>
              </w:rPr>
            </w:pPr>
            <w:r>
              <w:rPr>
                <w:rFonts w:ascii="Times New Roman" w:cs="Times New Roman" w:eastAsia="Times New Roman" w:hAnsi="Times New Roman"/>
                <w:sz w:val="20"/>
                <w:szCs w:val="20"/>
                <w:color w:val="auto"/>
              </w:rPr>
              <w:t>Cost of revenue</w:t>
            </w:r>
            <w:r>
              <w:rPr>
                <w:rFonts w:ascii="Times New Roman" w:cs="Times New Roman" w:eastAsia="Times New Roman" w:hAnsi="Times New Roman"/>
                <w:sz w:val="26"/>
                <w:szCs w:val="26"/>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365,064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319,443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1,265,818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405,413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148,233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5"/>
        </w:trPr>
        <w:tc>
          <w:tcPr>
            <w:tcW w:w="3740" w:type="dxa"/>
            <w:vAlign w:val="bottom"/>
            <w:tcBorders>
              <w:bottom w:val="single" w:sz="8" w:color="E0E0E0"/>
            </w:tcBorders>
            <w:shd w:val="clear" w:color="auto" w:fill="E0E0E0"/>
          </w:tcPr>
          <w:p>
            <w:pPr>
              <w:ind w:left="400"/>
              <w:spacing w:after="0" w:line="285" w:lineRule="exact"/>
              <w:rPr>
                <w:sz w:val="20"/>
                <w:szCs w:val="20"/>
                <w:color w:val="auto"/>
              </w:rPr>
            </w:pPr>
            <w:r>
              <w:rPr>
                <w:rFonts w:ascii="Times New Roman" w:cs="Times New Roman" w:eastAsia="Times New Roman" w:hAnsi="Times New Roman"/>
                <w:sz w:val="20"/>
                <w:szCs w:val="20"/>
                <w:color w:val="auto"/>
              </w:rPr>
              <w:t>Gaming taxes</w:t>
            </w:r>
            <w:r>
              <w:rPr>
                <w:rFonts w:ascii="Times New Roman" w:cs="Times New Roman" w:eastAsia="Times New Roman" w:hAnsi="Times New Roman"/>
                <w:sz w:val="26"/>
                <w:szCs w:val="26"/>
                <w:color w:val="auto"/>
                <w:vertAlign w:val="superscript"/>
              </w:rPr>
              <w:t>(3)</w:t>
            </w: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141,782</w:t>
            </w:r>
          </w:p>
        </w:tc>
        <w:tc>
          <w:tcPr>
            <w:tcW w:w="200" w:type="dxa"/>
            <w:vAlign w:val="bottom"/>
            <w:tcBorders>
              <w:bottom w:val="single" w:sz="8" w:color="E0E0E0"/>
            </w:tcBorders>
            <w:shd w:val="clear" w:color="auto" w:fill="E0E0E0"/>
          </w:tcPr>
          <w:p>
            <w:pPr>
              <w:spacing w:after="0"/>
              <w:rPr>
                <w:sz w:val="24"/>
                <w:szCs w:val="24"/>
                <w:color w:val="auto"/>
              </w:rPr>
            </w:pP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115,853</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65,223</w:t>
            </w:r>
          </w:p>
        </w:tc>
        <w:tc>
          <w:tcPr>
            <w:tcW w:w="20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182,274</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22,335</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spacing w:after="0"/>
              <w:rPr>
                <w:sz w:val="24"/>
                <w:szCs w:val="24"/>
                <w:color w:val="auto"/>
              </w:rPr>
            </w:pPr>
          </w:p>
        </w:tc>
      </w:tr>
      <w:tr>
        <w:trPr>
          <w:trHeight w:val="275"/>
        </w:trPr>
        <w:tc>
          <w:tcPr>
            <w:tcW w:w="3740" w:type="dxa"/>
            <w:vAlign w:val="bottom"/>
          </w:tcPr>
          <w:p>
            <w:pPr>
              <w:spacing w:after="0" w:line="275" w:lineRule="exact"/>
              <w:rPr>
                <w:sz w:val="20"/>
                <w:szCs w:val="20"/>
                <w:color w:val="auto"/>
              </w:rPr>
            </w:pPr>
            <w:r>
              <w:rPr>
                <w:rFonts w:ascii="Times New Roman" w:cs="Times New Roman" w:eastAsia="Times New Roman" w:hAnsi="Times New Roman"/>
                <w:sz w:val="20"/>
                <w:szCs w:val="20"/>
                <w:b w:val="1"/>
                <w:bCs w:val="1"/>
                <w:color w:val="auto"/>
              </w:rPr>
              <w:t>Adjusted Property EBITDAR</w:t>
            </w:r>
            <w:r>
              <w:rPr>
                <w:rFonts w:ascii="Times New Roman" w:cs="Times New Roman" w:eastAsia="Times New Roman" w:hAnsi="Times New Roman"/>
                <w:sz w:val="26"/>
                <w:szCs w:val="26"/>
                <w:b w:val="1"/>
                <w:bCs w:val="1"/>
                <w:color w:val="auto"/>
                <w:vertAlign w:val="superscript"/>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 (96,557)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(124,047)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801,095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243,386</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(98,490)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725,387</w:t>
            </w:r>
          </w:p>
        </w:tc>
      </w:tr>
      <w:tr>
        <w:trPr>
          <w:trHeight w:val="285"/>
        </w:trPr>
        <w:tc>
          <w:tcPr>
            <w:tcW w:w="3740" w:type="dxa"/>
            <w:vAlign w:val="bottom"/>
            <w:shd w:val="clear" w:color="auto" w:fill="E0E0E0"/>
          </w:tcPr>
          <w:p>
            <w:pPr>
              <w:spacing w:after="0"/>
              <w:rPr>
                <w:sz w:val="24"/>
                <w:szCs w:val="24"/>
                <w:color w:val="auto"/>
              </w:rPr>
            </w:pPr>
          </w:p>
        </w:tc>
        <w:tc>
          <w:tcPr>
            <w:tcW w:w="84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88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720" w:type="dxa"/>
            <w:vAlign w:val="bottom"/>
            <w:tcBorders>
              <w:top w:val="single" w:sz="8" w:color="auto"/>
            </w:tcBorders>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880" w:type="dxa"/>
            <w:vAlign w:val="bottom"/>
            <w:tcBorders>
              <w:top w:val="single" w:sz="8" w:color="auto"/>
            </w:tcBorders>
            <w:shd w:val="clear" w:color="auto" w:fill="E0E0E0"/>
          </w:tcPr>
          <w:p>
            <w:pPr>
              <w:spacing w:after="0"/>
              <w:rPr>
                <w:sz w:val="24"/>
                <w:szCs w:val="24"/>
                <w:color w:val="auto"/>
              </w:rPr>
            </w:pPr>
          </w:p>
        </w:tc>
      </w:tr>
      <w:tr>
        <w:trPr>
          <w:trHeight w:val="287"/>
        </w:trPr>
        <w:tc>
          <w:tcPr>
            <w:tcW w:w="3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operating expenses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3"/>
        </w:trPr>
        <w:tc>
          <w:tcPr>
            <w:tcW w:w="37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Pre-opening</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20,643</w:t>
            </w:r>
          </w:p>
        </w:tc>
      </w:tr>
      <w:tr>
        <w:trPr>
          <w:trHeight w:val="286"/>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692,318</w:t>
            </w:r>
          </w:p>
        </w:tc>
      </w:tr>
      <w:tr>
        <w:trPr>
          <w:trHeight w:val="304"/>
        </w:trPr>
        <w:tc>
          <w:tcPr>
            <w:tcW w:w="37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Gain on EBH Transactions, net</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(181,989)</w:t>
            </w:r>
          </w:p>
        </w:tc>
      </w:tr>
      <w:tr>
        <w:trPr>
          <w:trHeight w:val="286"/>
        </w:trPr>
        <w:tc>
          <w:tcPr>
            <w:tcW w:w="45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Impairment of goodwill and intangible assets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48,036</w:t>
            </w:r>
          </w:p>
        </w:tc>
      </w:tr>
      <w:tr>
        <w:trPr>
          <w:trHeight w:val="304"/>
        </w:trPr>
        <w:tc>
          <w:tcPr>
            <w:tcW w:w="37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Property charges and other</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65,116</w:t>
            </w:r>
          </w:p>
        </w:tc>
      </w:tr>
      <w:tr>
        <w:trPr>
          <w:trHeight w:val="286"/>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Corporate expense and other</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102,539</w:t>
            </w:r>
          </w:p>
        </w:tc>
      </w:tr>
      <w:tr>
        <w:trPr>
          <w:trHeight w:val="304"/>
        </w:trPr>
        <w:tc>
          <w:tcPr>
            <w:tcW w:w="37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67,627</w:t>
            </w:r>
          </w:p>
        </w:tc>
      </w:tr>
      <w:tr>
        <w:trPr>
          <w:trHeight w:val="277"/>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Triple-net operating lease expense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11,773</w:t>
            </w:r>
          </w:p>
        </w:tc>
      </w:tr>
      <w:tr>
        <w:trPr>
          <w:trHeight w:val="88"/>
        </w:trPr>
        <w:tc>
          <w:tcPr>
            <w:tcW w:w="3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272"/>
        </w:trPr>
        <w:tc>
          <w:tcPr>
            <w:tcW w:w="3740" w:type="dxa"/>
            <w:vAlign w:val="bottom"/>
            <w:tcBorders>
              <w:bottom w:val="single" w:sz="8" w:color="E0E0E0"/>
            </w:tcBorders>
            <w:shd w:val="clear" w:color="auto" w:fill="E0E0E0"/>
          </w:tcPr>
          <w:p>
            <w:pPr>
              <w:ind w:left="800"/>
              <w:spacing w:after="0"/>
              <w:rPr>
                <w:sz w:val="20"/>
                <w:szCs w:val="20"/>
                <w:color w:val="auto"/>
              </w:rPr>
            </w:pPr>
            <w:r>
              <w:rPr>
                <w:rFonts w:ascii="Times New Roman" w:cs="Times New Roman" w:eastAsia="Times New Roman" w:hAnsi="Times New Roman"/>
                <w:sz w:val="20"/>
                <w:szCs w:val="20"/>
                <w:b w:val="1"/>
                <w:bCs w:val="1"/>
                <w:color w:val="auto"/>
              </w:rPr>
              <w:t>Total other operating expenses</w:t>
            </w:r>
          </w:p>
        </w:tc>
        <w:tc>
          <w:tcPr>
            <w:tcW w:w="84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92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88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86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72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826,063</w:t>
            </w:r>
          </w:p>
        </w:tc>
      </w:tr>
      <w:tr>
        <w:trPr>
          <w:trHeight w:val="258"/>
        </w:trPr>
        <w:tc>
          <w:tcPr>
            <w:tcW w:w="3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loss</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(100,676)</w:t>
            </w:r>
          </w:p>
        </w:tc>
      </w:tr>
      <w:tr>
        <w:trPr>
          <w:trHeight w:val="285"/>
        </w:trPr>
        <w:tc>
          <w:tcPr>
            <w:tcW w:w="3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Other non-operating income and expenses</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86"/>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Interest income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29,758</w:t>
            </w:r>
          </w:p>
        </w:tc>
      </w:tr>
      <w:tr>
        <w:trPr>
          <w:trHeight w:val="304"/>
        </w:trPr>
        <w:tc>
          <w:tcPr>
            <w:tcW w:w="4580" w:type="dxa"/>
            <w:vAlign w:val="bottom"/>
            <w:gridSpan w:val="2"/>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Interest expense, net of amounts capitalized</w:t>
            </w: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(650,885)</w:t>
            </w:r>
          </w:p>
        </w:tc>
      </w:tr>
      <w:tr>
        <w:trPr>
          <w:trHeight w:val="286"/>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Change in derivatives fair value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15,956</w:t>
            </w:r>
          </w:p>
        </w:tc>
      </w:tr>
      <w:tr>
        <w:trPr>
          <w:trHeight w:val="304"/>
        </w:trPr>
        <w:tc>
          <w:tcPr>
            <w:tcW w:w="374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Loss on debt financing transactions</w:t>
            </w: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7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3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5,811</w:t>
            </w:r>
          </w:p>
        </w:tc>
      </w:tr>
      <w:tr>
        <w:trPr>
          <w:trHeight w:val="88"/>
        </w:trPr>
        <w:tc>
          <w:tcPr>
            <w:tcW w:w="4780" w:type="dxa"/>
            <w:vAlign w:val="bottom"/>
            <w:gridSpan w:val="3"/>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272"/>
        </w:trPr>
        <w:tc>
          <w:tcPr>
            <w:tcW w:w="5700" w:type="dxa"/>
            <w:vAlign w:val="bottom"/>
            <w:tcBorders>
              <w:bottom w:val="single" w:sz="8" w:color="E0E0E0"/>
            </w:tcBorders>
            <w:gridSpan w:val="4"/>
            <w:shd w:val="clear" w:color="auto" w:fill="E0E0E0"/>
          </w:tcPr>
          <w:p>
            <w:pPr>
              <w:ind w:left="800"/>
              <w:spacing w:after="0"/>
              <w:rPr>
                <w:sz w:val="20"/>
                <w:szCs w:val="20"/>
                <w:color w:val="auto"/>
              </w:rPr>
            </w:pPr>
            <w:r>
              <w:rPr>
                <w:rFonts w:ascii="Times New Roman" w:cs="Times New Roman" w:eastAsia="Times New Roman" w:hAnsi="Times New Roman"/>
                <w:sz w:val="20"/>
                <w:szCs w:val="20"/>
                <w:b w:val="1"/>
                <w:bCs w:val="1"/>
                <w:color w:val="auto"/>
              </w:rPr>
              <w:t>Total other non-operating income and expenses</w:t>
            </w: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88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86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72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(599,360)</w:t>
            </w:r>
          </w:p>
        </w:tc>
      </w:t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Loss before income taxes</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(700,036)</w:t>
            </w:r>
          </w:p>
        </w:tc>
      </w:tr>
      <w:tr>
        <w:trPr>
          <w:trHeight w:val="281"/>
        </w:trPr>
        <w:tc>
          <w:tcPr>
            <w:tcW w:w="374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84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92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88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72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(9,332)</w:t>
            </w:r>
          </w:p>
        </w:tc>
      </w:tr>
      <w:tr>
        <w:trPr>
          <w:trHeight w:val="269"/>
        </w:trPr>
        <w:tc>
          <w:tcPr>
            <w:tcW w:w="3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(709,368)</w:t>
            </w:r>
          </w:p>
        </w:tc>
      </w:tr>
      <w:tr>
        <w:trPr>
          <w:trHeight w:val="281"/>
        </w:trPr>
        <w:tc>
          <w:tcPr>
            <w:tcW w:w="4580" w:type="dxa"/>
            <w:vAlign w:val="bottom"/>
            <w:tcBorders>
              <w:bottom w:val="single" w:sz="8" w:color="E0E0E0"/>
            </w:tcBorders>
            <w:gridSpan w:val="2"/>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200" w:type="dxa"/>
            <w:vAlign w:val="bottom"/>
            <w:tcBorders>
              <w:bottom w:val="single" w:sz="8" w:color="E0E0E0"/>
            </w:tcBorders>
            <w:shd w:val="clear" w:color="auto" w:fill="E0E0E0"/>
          </w:tcPr>
          <w:p>
            <w:pPr>
              <w:spacing w:after="0"/>
              <w:rPr>
                <w:sz w:val="24"/>
                <w:szCs w:val="24"/>
                <w:color w:val="auto"/>
              </w:rPr>
            </w:pPr>
          </w:p>
        </w:tc>
        <w:tc>
          <w:tcPr>
            <w:tcW w:w="92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88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720" w:type="dxa"/>
            <w:vAlign w:val="bottom"/>
            <w:tcBorders>
              <w:bottom w:val="single" w:sz="8" w:color="E0E0E0"/>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285,512</w:t>
            </w:r>
          </w:p>
        </w:tc>
      </w:tr>
      <w:tr>
        <w:trPr>
          <w:trHeight w:val="273"/>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Net loss attributable to Wynn Resorts, Limited</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r>
      <w:tr>
        <w:trPr>
          <w:trHeight w:val="26"/>
        </w:trPr>
        <w:tc>
          <w:tcPr>
            <w:tcW w:w="3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20"/>
        <w:spacing w:after="0" w:line="246" w:lineRule="auto"/>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Corporate and other, includes lease revenue accounted for under lease accounting guidance. For more information on leases, see Note 16, “Leases”.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200"/>
          </w:cols>
          <w:pgMar w:left="840" w:top="664" w:right="840" w:bottom="3"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7" w:lineRule="exact"/>
        <w:rPr>
          <w:sz w:val="20"/>
          <w:szCs w:val="20"/>
          <w:color w:val="auto"/>
        </w:rPr>
      </w:pPr>
    </w:p>
    <w:p>
      <w:pPr>
        <w:ind w:left="320" w:hanging="320"/>
        <w:spacing w:after="0" w:line="246" w:lineRule="auto"/>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comprised of payroll, cost of goods sold, marketing, promotional, facilities, taxes and licenses (excluding gaming taxes) and other operating expenses.</w:t>
      </w:r>
    </w:p>
    <w:p>
      <w:pPr>
        <w:spacing w:after="0" w:line="11"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Las Vegas Operations, includes table and slot license fees.</w:t>
      </w:r>
    </w:p>
    <w:p>
      <w:pPr>
        <w:spacing w:after="0" w:line="26" w:lineRule="exact"/>
        <w:rPr>
          <w:rFonts w:ascii="Times New Roman" w:cs="Times New Roman" w:eastAsia="Times New Roman" w:hAnsi="Times New Roman"/>
          <w:sz w:val="16"/>
          <w:szCs w:val="16"/>
          <w:color w:val="auto"/>
        </w:rPr>
      </w:pPr>
    </w:p>
    <w:p>
      <w:pPr>
        <w:jc w:val="both"/>
        <w:ind w:left="320" w:hanging="320"/>
        <w:spacing w:after="0" w:line="260" w:lineRule="auto"/>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Property EBITDAR” is net income (loss) before interest, income taxes, depreciation and amortization, pre-opening expenses, gain on EBH Transaction, net, impairment of goodwill and intangible assets,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12" w:lineRule="exact"/>
        <w:rPr>
          <w:rFonts w:ascii="Times New Roman" w:cs="Times New Roman" w:eastAsia="Times New Roman" w:hAnsi="Times New Roman"/>
          <w:sz w:val="16"/>
          <w:szCs w:val="16"/>
          <w:color w:val="auto"/>
        </w:rPr>
      </w:pPr>
    </w:p>
    <w:p>
      <w:pPr>
        <w:jc w:val="both"/>
        <w:ind w:left="320" w:hanging="320"/>
        <w:spacing w:after="0" w:line="258" w:lineRule="auto"/>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2024, includes $130.0 million of forfeitures pursuant to the NPA, the Company’s $9.4 million contribution towards a legal settlement, $16.9 million of contract termination and other costs related to the closure of Wynn Interactive’s digital sports betting and casino gaming business. Property charges and other expenses for the year ended December 31, 2024 also included $61.5 million of expensed project costs related to a discontinued development project, partially offset by a gain of $24.6 million related to the sale of certain Wynn Interactive assets. For the year ended December 31, 2023, includes $94.9 million related to the Company’s decision to cease operating Wynn Interactive’s online sports betting and iGaming platform in certain jurisdictions.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Capital expenditures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 Operations: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9"/>
        </w:trPr>
        <w:tc>
          <w:tcPr>
            <w:tcW w:w="5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107,458</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66,262</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31,946</w:t>
            </w:r>
          </w:p>
        </w:tc>
      </w:tr>
      <w:tr>
        <w:trPr>
          <w:trHeight w:val="286"/>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57,669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25,602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13,003</w:t>
            </w:r>
          </w:p>
        </w:tc>
      </w:tr>
      <w:tr>
        <w:trPr>
          <w:trHeight w:val="294"/>
        </w:trPr>
        <w:tc>
          <w:tcPr>
            <w:tcW w:w="5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165,127</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91,864</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44,949</w:t>
            </w: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159,789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187,150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226,386</w:t>
            </w:r>
          </w:p>
        </w:tc>
      </w:tr>
      <w:tr>
        <w:trPr>
          <w:trHeight w:val="309"/>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32,652</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70,578</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20,187</w:t>
            </w:r>
          </w:p>
        </w:tc>
      </w:tr>
      <w:tr>
        <w:trPr>
          <w:trHeight w:val="286"/>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Corporate and other</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62,361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93,201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8,605</w:t>
            </w:r>
          </w:p>
        </w:tc>
      </w:tr>
      <w:tr>
        <w:trPr>
          <w:trHeight w:val="281"/>
        </w:trPr>
        <w:tc>
          <w:tcPr>
            <w:tcW w:w="5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419,929</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442,793</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300,127</w:t>
            </w: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26"/>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 Operations: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9"/>
        </w:trPr>
        <w:tc>
          <w:tcPr>
            <w:tcW w:w="5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2,813,190</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2,936,264</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2,884,073</w:t>
            </w:r>
          </w:p>
        </w:tc>
      </w:tr>
      <w:tr>
        <w:trPr>
          <w:trHeight w:val="291"/>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1,412,795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1,864,211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1,430,051</w:t>
            </w:r>
          </w:p>
        </w:tc>
      </w:tr>
      <w:tr>
        <w:trPr>
          <w:trHeight w:val="295"/>
        </w:trPr>
        <w:tc>
          <w:tcPr>
            <w:tcW w:w="5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 Macau</w:t>
            </w: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778,928</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886,175</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268,017</w:t>
            </w:r>
          </w:p>
        </w:tc>
      </w:tr>
      <w:tr>
        <w:trPr>
          <w:trHeight w:val="286"/>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5,004,913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5,686,650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4,582,141</w:t>
            </w:r>
          </w:p>
        </w:tc>
      </w:tr>
      <w:tr>
        <w:trPr>
          <w:trHeight w:val="308"/>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3,157,399</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3,173,247</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3,168,597</w:t>
            </w: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1,980,420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2,006,565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2,080,424</w:t>
            </w:r>
          </w:p>
        </w:tc>
      </w:tr>
      <w:tr>
        <w:trPr>
          <w:trHeight w:val="295"/>
        </w:trPr>
        <w:tc>
          <w:tcPr>
            <w:tcW w:w="56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Corporate and other</w:t>
            </w: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2,835,231</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3,129,761</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3,583,938</w:t>
            </w:r>
          </w:p>
        </w:tc>
      </w:tr>
      <w:tr>
        <w:trPr>
          <w:trHeight w:val="281"/>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12,977,963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13,996,223</w:t>
            </w:r>
          </w:p>
        </w:tc>
        <w:tc>
          <w:tcPr>
            <w:tcW w:w="20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13,415,100</w:t>
            </w:r>
          </w:p>
        </w:tc>
      </w:tr>
      <w:tr>
        <w:trPr>
          <w:trHeight w:val="23"/>
        </w:trPr>
        <w:tc>
          <w:tcPr>
            <w:tcW w:w="56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200"/>
          </w:cols>
          <w:pgMar w:left="840" w:top="664" w:right="840" w:bottom="3"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5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3,095,411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3,191,134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3,382,284</w:t>
            </w:r>
          </w:p>
        </w:tc>
      </w:tr>
      <w:tr>
        <w:trPr>
          <w:trHeight w:val="295"/>
        </w:trPr>
        <w:tc>
          <w:tcPr>
            <w:tcW w:w="59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6,019,723</w:t>
            </w:r>
          </w:p>
        </w:tc>
        <w:tc>
          <w:tcPr>
            <w:tcW w:w="2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5,585,943</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5,570,249</w:t>
            </w:r>
          </w:p>
        </w:tc>
      </w:tr>
      <w:tr>
        <w:trPr>
          <w:trHeight w:val="281"/>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9,115,134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8,777,077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8,952,533</w:t>
            </w:r>
          </w:p>
        </w:tc>
      </w:tr>
      <w:tr>
        <w:trPr>
          <w:trHeight w:val="23"/>
        </w:trPr>
        <w:tc>
          <w:tcPr>
            <w:tcW w:w="59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Consolidated Financial Information (Unaudited)</w:t>
      </w:r>
    </w:p>
    <w:p>
      <w:pPr>
        <w:spacing w:after="0" w:line="14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tables (in thousands, except per share data) present selected quarterly financial information for 2024 and 2023,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6"/>
          </w:tcPr>
          <w:p>
            <w:pPr>
              <w:jc w:val="center"/>
              <w:ind w:left="625"/>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2024</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Year</w:t>
            </w: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revenues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1,862,909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1,732,932</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1,693,323</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1,838,797</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7,127,961</w:t>
            </w:r>
          </w:p>
        </w:tc>
      </w:tr>
      <w:tr>
        <w:trPr>
          <w:trHeight w:val="291"/>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income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362,941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269,658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133,237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366,895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1,132,731</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176,498</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146,273</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(5,415)</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322,360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639,716</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9"/>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Resorts, Limited</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144,216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111,943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(32,053)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276,972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501,078</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Basic income (loss) per share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Diluted income (loss) per share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r>
      <w:tr>
        <w:trPr>
          <w:trHeight w:val="452"/>
        </w:trPr>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6"/>
          </w:tcPr>
          <w:p>
            <w:pPr>
              <w:jc w:val="center"/>
              <w:ind w:left="625"/>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Year</w:t>
            </w: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revenues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1,423,679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1,595,822</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1,671,936</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1,840,460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6,531,897</w:t>
            </w:r>
          </w:p>
        </w:tc>
      </w:tr>
      <w:tr>
        <w:trPr>
          <w:trHeight w:val="291"/>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income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169,515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250,336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62,595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357,725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840,171</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127,835</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(120,541)</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773,777</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782,217</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9"/>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Resorts, Limited</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105,184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(116,678)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729,156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729,994</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Basic income (loss) per share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6.49</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Diluted income (loss) per share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200"/>
          </w:cols>
          <w:pgMar w:left="840" w:top="664" w:right="840" w:bottom="3"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8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8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as defined in Rule 13a-15(f) and 15d-15(f) under the Exchange Act.</w:t>
      </w:r>
    </w:p>
    <w:p>
      <w:pPr>
        <w:spacing w:after="0" w:line="28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Based on our assessment, management believes that, as of December 31, 2024, our internal control over financial reporting was effective based on those criteria.</w:t>
      </w:r>
    </w:p>
    <w:p>
      <w:pPr>
        <w:spacing w:after="0" w:line="27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2024 has been audited by Ernst &amp; Young, LLP, an independent registered public accounting firm. Their attestation report appears under “Report of Independent Registered Public Accounting Firm on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8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such term is defined in Rules 13a-15(f) and 15d-15(f) under the Exchange Act) during the quarter ended December 31, 2024 that materially affected, or are reasonably likely to materially affect, our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Insider Trading Arrangements.</w:t>
      </w:r>
    </w:p>
    <w:p>
      <w:pPr>
        <w:spacing w:after="0" w:line="28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None of the Company’s directors or officers (as defined in Section 16 of the Exchange Act) adopted or terminated a “Rule 10b5-1 trading arrangement” or a “non-Rule 10b5-1 trading arrangement” (each as defined in Item 408(a) and (c) of Regulation S-K) during the Company’s fiscal quarter ended December 31, 2024.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00"/>
          </w:cols>
          <w:pgMar w:left="840" w:top="664" w:right="840" w:bottom="3"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200"/>
          </w:cols>
          <w:pgMar w:left="840" w:top="664" w:right="840" w:bottom="3"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Registrant’s definitive Proxy Statement for its 2025 Annual Meeting of Shareholders to be filed with the Securities and Exchange Commission within 120 days after December 31, 2024 (the “2025 Proxy Statement”) under the captions “Election of Directors,” “Executive Officers,” “Governance” and “Delinquent Section 16(a) Reports,” and is incorporated herein by reference.</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part of the Company’s commitment to integrity, the Board of Directors has adopted a Code of Business Conduct and Ethics (“Code”) applicable to all directors, officers and employees of the Company and its subsidiaries. This Code is periodically reviewed by the Board of Directors. In the event we determine to amend certain provisions of this Code, or the Board of Directors grants any waivers of its requirements for any of our directors or executive officers, we intend to disclose such amendments or waivers on our website at https://wynnresortslimited.gcs-web.com/corporate-governance/code-business-conduct-and-ethics to the extent required by the Nasdaq listing standards.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information called for by this item will be contained in the 2025 Proxy Statement under the captions “Non-Employee Director Compensation Table,” “Compensation Committee Report,” “Executive Compensation Tables,” “Summary Compensation Table” and “Compensation Discussion and Analysis” and is incorporated herein by reference. Although the Compensation Committee Report is being incorporated herein by reference, it shall not be deemed to be “filed” for purposes of Section 18 of the Exchange 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Certain information required by this item will be contained in the 2025 Proxy Statement under the caption “Certain Beneficial Ownership and Management” and is incorporated herein by reference.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160"/>
        </w:trPr>
        <w:tc>
          <w:tcPr>
            <w:tcW w:w="6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Securities</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Securities to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be Issued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Upon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Exercise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Price of</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3"/>
                <w:szCs w:val="13"/>
                <w:color w:val="auto"/>
              </w:rPr>
            </w:pPr>
          </w:p>
        </w:tc>
        <w:tc>
          <w:tcPr>
            <w:tcW w:w="10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(Excluding</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160"/>
        </w:trPr>
        <w:tc>
          <w:tcPr>
            <w:tcW w:w="63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and Rights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w w:val="99"/>
              </w:rPr>
              <w:t>and Rights</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in Column (a))</w:t>
            </w:r>
          </w:p>
        </w:tc>
      </w:tr>
      <w:tr>
        <w:trPr>
          <w:trHeight w:val="176"/>
        </w:trPr>
        <w:tc>
          <w:tcPr>
            <w:tcW w:w="630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106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5"/>
              <w:spacing w:after="0" w:line="177" w:lineRule="exact"/>
              <w:rPr>
                <w:sz w:val="20"/>
                <w:szCs w:val="20"/>
                <w:color w:val="auto"/>
              </w:rPr>
            </w:pPr>
            <w:r>
              <w:rPr>
                <w:rFonts w:ascii="Times New Roman" w:cs="Times New Roman" w:eastAsia="Times New Roman" w:hAnsi="Times New Roman"/>
                <w:sz w:val="16"/>
                <w:szCs w:val="16"/>
                <w:b w:val="1"/>
                <w:bCs w:val="1"/>
                <w:color w:val="auto"/>
              </w:rPr>
              <w:t>(b)</w:t>
            </w:r>
          </w:p>
        </w:tc>
        <w:tc>
          <w:tcPr>
            <w:tcW w:w="20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89"/>
              </w:rPr>
              <w:t>(c)</w:t>
            </w:r>
          </w:p>
        </w:tc>
      </w:tr>
      <w:tr>
        <w:trPr>
          <w:trHeight w:val="24"/>
        </w:trPr>
        <w:tc>
          <w:tcPr>
            <w:tcW w:w="63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00"/>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68.25</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3,000,262</w:t>
            </w:r>
          </w:p>
        </w:tc>
      </w:tr>
      <w:tr>
        <w:trPr>
          <w:trHeight w:val="286"/>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68.25</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3,000,262</w:t>
            </w:r>
          </w:p>
        </w:tc>
      </w:tr>
      <w:tr>
        <w:trPr>
          <w:trHeight w:val="23"/>
        </w:trPr>
        <w:tc>
          <w:tcPr>
            <w:tcW w:w="6300" w:type="dxa"/>
            <w:vAlign w:val="bottom"/>
            <w:tcBorders>
              <w:top w:val="single" w:sz="8" w:color="E0E0E0"/>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information called for by this item will be contained in the 2025 Proxy Statement under the captions “Certain Relationships and Transactions” and “Governance” and is incorporated herein by reference.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information called for by this item will be contained in the 2025 Proxy Statement under the caption “Ratification of Appointment of Registered Public Accounting Firm” and is incorporated herein by reference.</w:t>
      </w:r>
    </w:p>
    <w:p>
      <w:pPr>
        <w:sectPr>
          <w:pgSz w:w="11880" w:h="15480" w:orient="portrait"/>
          <w:cols w:equalWidth="0" w:num="1">
            <w:col w:w="10200"/>
          </w:cols>
          <w:pgMar w:left="840" w:top="664" w:right="840" w:bottom="3"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200"/>
          </w:cols>
          <w:pgMar w:left="840" w:top="664" w:right="840" w:bottom="3"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(a)1. The following consolidated financial statements of the Company are filed as part of this report under Item 8— “Financial Statements and Supplementary Data.”</w:t>
      </w:r>
    </w:p>
    <w:p>
      <w:pPr>
        <w:spacing w:after="0" w:line="251" w:lineRule="exact"/>
        <w:rPr>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of Independent Registered Public Accounting Firm</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Balance Sheets as of December 31, 2024 and 2023</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Operations for the years ended December 31, 2024, 2023, and 2022</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Comprehensive Income (Loss) for the years ended December 31, 2024, 2023, and 2022</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Stockholders’ Deficit for the years ended December 31, 2024, 2023, and 2022</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for the years ended December 31, 2024, 2023, and 2022</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Consolidated Financial Information (Unaudited)</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(a)2. Financial Statement Schedule filed in Part IV of this report:</w:t>
      </w:r>
    </w:p>
    <w:p>
      <w:pPr>
        <w:spacing w:after="0" w:line="250" w:lineRule="exact"/>
        <w:rPr>
          <w:sz w:val="20"/>
          <w:szCs w:val="20"/>
          <w:color w:val="auto"/>
        </w:rPr>
      </w:pPr>
    </w:p>
    <w:p>
      <w:pPr>
        <w:ind w:left="1200" w:hanging="600"/>
        <w:spacing w:after="0"/>
        <w:tabs>
          <w:tab w:leader="none" w:pos="12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II—Valuation and Qualifying Accounts</w:t>
      </w:r>
    </w:p>
    <w:p>
      <w:pPr>
        <w:spacing w:after="0" w:line="263"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VALUATION AND QUALIFYING ACCOUNTS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Write-offs,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0"/>
        </w:trPr>
        <w:tc>
          <w:tcPr>
            <w:tcW w:w="482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200" w:type="dxa"/>
            <w:vAlign w:val="bottom"/>
          </w:tcPr>
          <w:p>
            <w:pPr>
              <w:spacing w:after="0"/>
              <w:rPr>
                <w:sz w:val="13"/>
                <w:szCs w:val="13"/>
                <w:color w:val="auto"/>
              </w:rPr>
            </w:pPr>
          </w:p>
        </w:tc>
        <w:tc>
          <w:tcPr>
            <w:tcW w:w="1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Provision for</w:t>
            </w:r>
          </w:p>
        </w:tc>
        <w:tc>
          <w:tcPr>
            <w:tcW w:w="20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Net of</w:t>
            </w:r>
          </w:p>
        </w:tc>
        <w:tc>
          <w:tcPr>
            <w:tcW w:w="2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r>
      <w:tr>
        <w:trPr>
          <w:trHeight w:val="174"/>
        </w:trPr>
        <w:tc>
          <w:tcPr>
            <w:tcW w:w="48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5"/>
                <w:szCs w:val="15"/>
                <w:color w:val="auto"/>
              </w:rPr>
            </w:pPr>
          </w:p>
        </w:tc>
        <w:tc>
          <w:tcPr>
            <w:tcW w:w="106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Credit Losses</w:t>
            </w:r>
          </w:p>
        </w:tc>
        <w:tc>
          <w:tcPr>
            <w:tcW w:w="20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End of Year</w:t>
            </w:r>
          </w:p>
        </w:tc>
      </w:tr>
      <w:tr>
        <w:trPr>
          <w:trHeight w:val="26"/>
        </w:trPr>
        <w:tc>
          <w:tcPr>
            <w:tcW w:w="48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477000" cy="1905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40" o:spid="_x0000_s1065" style="position:absolute;margin-left:0pt;margin-top:0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Allowance for credit losses: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4,986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37,694</w:t>
            </w:r>
          </w:p>
        </w:tc>
      </w:tr>
      <w:tr>
        <w:trPr>
          <w:trHeight w:val="24"/>
        </w:trPr>
        <w:tc>
          <w:tcPr>
            <w:tcW w:w="48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76"/>
        </w:trPr>
        <w:tc>
          <w:tcPr>
            <w:tcW w:w="48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78,842</w:t>
            </w:r>
          </w:p>
        </w:tc>
        <w:tc>
          <w:tcPr>
            <w:tcW w:w="200" w:type="dxa"/>
            <w:vAlign w:val="bottom"/>
            <w:tcBorders>
              <w:bottom w:val="single" w:sz="8" w:color="E0E0E0"/>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00" w:type="dxa"/>
            <w:vAlign w:val="bottom"/>
            <w:tcBorders>
              <w:bottom w:val="single" w:sz="8" w:color="E0E0E0"/>
            </w:tcBorders>
            <w:shd w:val="clear" w:color="auto" w:fill="E0E0E0"/>
          </w:tcPr>
          <w:p>
            <w:pPr>
              <w:spacing w:after="0"/>
              <w:rPr>
                <w:sz w:val="24"/>
                <w:szCs w:val="24"/>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(34,803)</w:t>
            </w:r>
          </w:p>
        </w:tc>
        <w:tc>
          <w:tcPr>
            <w:tcW w:w="2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40,075</w:t>
            </w:r>
          </w:p>
        </w:tc>
      </w:tr>
      <w:tr>
        <w:trPr>
          <w:trHeight w:val="24"/>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4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78,842</w:t>
            </w:r>
          </w:p>
        </w:tc>
      </w:tr>
      <w:tr>
        <w:trPr>
          <w:trHeight w:val="24"/>
        </w:trPr>
        <w:tc>
          <w:tcPr>
            <w:tcW w:w="48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410"/>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0"/>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27"/>
              <w:spacing w:after="0" w:line="160"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5"/>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r>
      <w:tr>
        <w:trPr>
          <w:trHeight w:val="174"/>
        </w:trPr>
        <w:tc>
          <w:tcPr>
            <w:tcW w:w="488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5"/>
                <w:szCs w:val="15"/>
                <w:color w:val="auto"/>
              </w:rPr>
            </w:pPr>
          </w:p>
        </w:tc>
        <w:tc>
          <w:tcPr>
            <w:tcW w:w="1060" w:type="dxa"/>
            <w:vAlign w:val="bottom"/>
          </w:tcPr>
          <w:p>
            <w:pPr>
              <w:jc w:val="center"/>
              <w:ind w:right="27"/>
              <w:spacing w:after="0" w:line="175" w:lineRule="exact"/>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5"/>
                <w:szCs w:val="15"/>
                <w:color w:val="auto"/>
              </w:rPr>
            </w:pPr>
          </w:p>
        </w:tc>
        <w:tc>
          <w:tcPr>
            <w:tcW w:w="1060" w:type="dxa"/>
            <w:vAlign w:val="bottom"/>
          </w:tcPr>
          <w:p>
            <w:pPr>
              <w:jc w:val="right"/>
              <w:ind w:right="107"/>
              <w:spacing w:after="0" w:line="175" w:lineRule="exact"/>
              <w:rPr>
                <w:sz w:val="20"/>
                <w:szCs w:val="20"/>
                <w:color w:val="auto"/>
              </w:rPr>
            </w:pPr>
            <w:r>
              <w:rPr>
                <w:rFonts w:ascii="Times New Roman" w:cs="Times New Roman" w:eastAsia="Times New Roman" w:hAnsi="Times New Roman"/>
                <w:sz w:val="16"/>
                <w:szCs w:val="16"/>
                <w:b w:val="1"/>
                <w:bCs w:val="1"/>
                <w:color w:val="auto"/>
              </w:rPr>
              <w:t>Additions</w:t>
            </w:r>
          </w:p>
        </w:tc>
        <w:tc>
          <w:tcPr>
            <w:tcW w:w="200" w:type="dxa"/>
            <w:vAlign w:val="bottom"/>
          </w:tcPr>
          <w:p>
            <w:pPr>
              <w:spacing w:after="0"/>
              <w:rPr>
                <w:sz w:val="15"/>
                <w:szCs w:val="15"/>
                <w:color w:val="auto"/>
              </w:rPr>
            </w:pPr>
          </w:p>
        </w:tc>
        <w:tc>
          <w:tcPr>
            <w:tcW w:w="1260" w:type="dxa"/>
            <w:vAlign w:val="bottom"/>
          </w:tcPr>
          <w:p>
            <w:pPr>
              <w:jc w:val="right"/>
              <w:ind w:right="167"/>
              <w:spacing w:after="0" w:line="175" w:lineRule="exact"/>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85"/>
              <w:spacing w:after="0" w:line="175" w:lineRule="exact"/>
              <w:rPr>
                <w:sz w:val="20"/>
                <w:szCs w:val="20"/>
                <w:color w:val="auto"/>
              </w:rPr>
            </w:pPr>
            <w:r>
              <w:rPr>
                <w:rFonts w:ascii="Times New Roman" w:cs="Times New Roman" w:eastAsia="Times New Roman" w:hAnsi="Times New Roman"/>
                <w:sz w:val="16"/>
                <w:szCs w:val="16"/>
                <w:b w:val="1"/>
                <w:bCs w:val="1"/>
                <w:color w:val="auto"/>
              </w:rPr>
              <w:t>End of Year</w:t>
            </w:r>
          </w:p>
        </w:tc>
      </w:tr>
      <w:tr>
        <w:trPr>
          <w:trHeight w:val="26"/>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00"/>
        </w:trPr>
        <w:tc>
          <w:tcPr>
            <w:tcW w:w="48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Deferred income tax asset valuation allowance:</w:t>
            </w:r>
          </w:p>
        </w:tc>
        <w:tc>
          <w:tcPr>
            <w:tcW w:w="14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r>
      <w:tr>
        <w:trPr>
          <w:trHeight w:val="286"/>
        </w:trPr>
        <w:tc>
          <w:tcPr>
            <w:tcW w:w="4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1,340,581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50,568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(786,504)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604,645</w:t>
            </w:r>
          </w:p>
        </w:tc>
      </w:tr>
      <w:tr>
        <w:trPr>
          <w:trHeight w:val="24"/>
        </w:trPr>
        <w:tc>
          <w:tcPr>
            <w:tcW w:w="48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76"/>
        </w:trPr>
        <w:tc>
          <w:tcPr>
            <w:tcW w:w="48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2,437,202</w:t>
            </w:r>
          </w:p>
        </w:tc>
        <w:tc>
          <w:tcPr>
            <w:tcW w:w="200" w:type="dxa"/>
            <w:vAlign w:val="bottom"/>
            <w:tcBorders>
              <w:bottom w:val="single" w:sz="8" w:color="E0E0E0"/>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96,623</w:t>
            </w:r>
          </w:p>
        </w:tc>
        <w:tc>
          <w:tcPr>
            <w:tcW w:w="200" w:type="dxa"/>
            <w:vAlign w:val="bottom"/>
            <w:tcBorders>
              <w:bottom w:val="single" w:sz="8" w:color="E0E0E0"/>
            </w:tcBorders>
            <w:shd w:val="clear" w:color="auto" w:fill="E0E0E0"/>
          </w:tcPr>
          <w:p>
            <w:pPr>
              <w:spacing w:after="0"/>
              <w:rPr>
                <w:sz w:val="24"/>
                <w:szCs w:val="24"/>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(1,193,244)</w:t>
            </w:r>
          </w:p>
        </w:tc>
        <w:tc>
          <w:tcPr>
            <w:tcW w:w="2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1,340,581</w:t>
            </w:r>
          </w:p>
        </w:tc>
      </w:tr>
      <w:tr>
        <w:trPr>
          <w:trHeight w:val="24"/>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4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2,501,263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108,150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(172,211)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2,437,202</w:t>
            </w:r>
          </w:p>
        </w:tc>
      </w:tr>
      <w:tr>
        <w:trPr>
          <w:trHeight w:val="24"/>
        </w:trPr>
        <w:tc>
          <w:tcPr>
            <w:tcW w:w="48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0200"/>
          </w:cols>
          <w:pgMar w:left="840" w:top="664" w:right="840" w:bottom="3"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(a)3. Exhibits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Exhibits that are not filed herewith have been previously filed with the SEC and are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Incorporated by Reference</w:t>
            </w:r>
          </w:p>
        </w:tc>
      </w:tr>
      <w:tr>
        <w:trPr>
          <w:trHeight w:val="170"/>
        </w:trPr>
        <w:tc>
          <w:tcPr>
            <w:tcW w:w="720" w:type="dxa"/>
            <w:vAlign w:val="bottom"/>
          </w:tcPr>
          <w:p>
            <w:pPr>
              <w:jc w:val="center"/>
              <w:ind w:right="122"/>
              <w:spacing w:after="0" w:line="170"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720" w:type="dxa"/>
            <w:vAlign w:val="bottom"/>
          </w:tcPr>
          <w:p>
            <w:pPr>
              <w:jc w:val="center"/>
              <w:ind w:right="102"/>
              <w:spacing w:after="0" w:line="175" w:lineRule="exact"/>
              <w:rPr>
                <w:sz w:val="20"/>
                <w:szCs w:val="20"/>
                <w:color w:val="auto"/>
              </w:rPr>
            </w:pPr>
            <w:r>
              <w:rPr>
                <w:rFonts w:ascii="Times New Roman" w:cs="Times New Roman" w:eastAsia="Times New Roman" w:hAnsi="Times New Roman"/>
                <w:sz w:val="16"/>
                <w:szCs w:val="16"/>
                <w:b w:val="1"/>
                <w:bCs w:val="1"/>
                <w:color w:val="auto"/>
              </w:rPr>
              <w:t>No.</w:t>
            </w:r>
          </w:p>
        </w:tc>
        <w:tc>
          <w:tcPr>
            <w:tcW w:w="7660" w:type="dxa"/>
            <w:vAlign w:val="bottom"/>
            <w:tcBorders>
              <w:bottom w:val="single" w:sz="8" w:color="auto"/>
            </w:tcBorders>
          </w:tcPr>
          <w:p>
            <w:pPr>
              <w:ind w:left="354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6"/>
                <w:szCs w:val="16"/>
                <w:color w:val="auto"/>
              </w:rPr>
            </w:pPr>
          </w:p>
        </w:tc>
        <w:tc>
          <w:tcPr>
            <w:tcW w:w="780" w:type="dxa"/>
            <w:vAlign w:val="bottom"/>
            <w:tcBorders>
              <w:bottom w:val="single" w:sz="8" w:color="auto"/>
            </w:tcBorders>
          </w:tcPr>
          <w:p>
            <w:pPr>
              <w:jc w:val="center"/>
              <w:ind w:left="102"/>
              <w:spacing w:after="0" w:line="175" w:lineRule="exact"/>
              <w:rPr>
                <w:sz w:val="20"/>
                <w:szCs w:val="20"/>
                <w:color w:val="auto"/>
              </w:rPr>
            </w:pPr>
            <w:r>
              <w:rPr>
                <w:rFonts w:ascii="Times New Roman" w:cs="Times New Roman" w:eastAsia="Times New Roman" w:hAnsi="Times New Roman"/>
                <w:sz w:val="16"/>
                <w:szCs w:val="16"/>
                <w:b w:val="1"/>
                <w:bCs w:val="1"/>
                <w:color w:val="auto"/>
                <w:w w:val="99"/>
              </w:rPr>
              <w:t>Form</w:t>
            </w:r>
          </w:p>
        </w:tc>
        <w:tc>
          <w:tcPr>
            <w:tcW w:w="20" w:type="dxa"/>
            <w:vAlign w:val="bottom"/>
          </w:tcPr>
          <w:p>
            <w:pPr>
              <w:spacing w:after="0"/>
              <w:rPr>
                <w:sz w:val="16"/>
                <w:szCs w:val="16"/>
                <w:color w:val="auto"/>
              </w:rPr>
            </w:pPr>
          </w:p>
        </w:tc>
        <w:tc>
          <w:tcPr>
            <w:tcW w:w="1000" w:type="dxa"/>
            <w:vAlign w:val="bottom"/>
            <w:tcBorders>
              <w:bottom w:val="single" w:sz="8" w:color="auto"/>
            </w:tcBorders>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Filing Date</w:t>
            </w:r>
          </w:p>
        </w:tc>
        <w:tc>
          <w:tcPr>
            <w:tcW w:w="120" w:type="dxa"/>
            <w:vAlign w:val="bottom"/>
          </w:tcPr>
          <w:p>
            <w:pPr>
              <w:spacing w:after="0"/>
              <w:rPr>
                <w:sz w:val="16"/>
                <w:szCs w:val="16"/>
                <w:color w:val="auto"/>
              </w:rPr>
            </w:pPr>
          </w:p>
        </w:tc>
      </w:tr>
      <w:tr>
        <w:trPr>
          <w:trHeight w:val="322"/>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2.1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Equity Purchase Agreement, dated as of February 14, 2022 by and between Wynn MA, LLC</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2/14/2022</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Realty Income Corporation.</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3.1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Third Amended and Restated Articles of Incorporation of the Registrant.</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5/8/2015</w:t>
            </w:r>
          </w:p>
        </w:tc>
        <w:tc>
          <w:tcPr>
            <w:tcW w:w="120" w:type="dxa"/>
            <w:vAlign w:val="bottom"/>
          </w:tcPr>
          <w:p>
            <w:pPr>
              <w:spacing w:after="0"/>
              <w:rPr>
                <w:sz w:val="24"/>
                <w:szCs w:val="24"/>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3.2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Ninth Amended and Restated Bylaws of the Registrant.</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2/28/2020</w:t>
            </w:r>
          </w:p>
        </w:tc>
      </w:tr>
      <w:tr>
        <w:trPr>
          <w:trHeight w:val="290"/>
        </w:trPr>
        <w:tc>
          <w:tcPr>
            <w:tcW w:w="72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9"/>
              </w:rPr>
              <w:t>4.1.0</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Specimen certificate for shares of Common Stock, $0.01 par value per share of the</w:t>
            </w:r>
          </w:p>
        </w:tc>
        <w:tc>
          <w:tcPr>
            <w:tcW w:w="20" w:type="dxa"/>
            <w:vAlign w:val="bottom"/>
          </w:tcPr>
          <w:p>
            <w:pPr>
              <w:spacing w:after="0"/>
              <w:rPr>
                <w:sz w:val="24"/>
                <w:szCs w:val="24"/>
                <w:color w:val="auto"/>
              </w:rPr>
            </w:pPr>
          </w:p>
        </w:tc>
        <w:tc>
          <w:tcPr>
            <w:tcW w:w="780" w:type="dxa"/>
            <w:vAlign w:val="bottom"/>
          </w:tcPr>
          <w:p>
            <w:pPr>
              <w:jc w:val="center"/>
              <w:ind w:left="122"/>
              <w:spacing w:after="0"/>
              <w:rPr>
                <w:sz w:val="20"/>
                <w:szCs w:val="20"/>
                <w:color w:val="auto"/>
              </w:rPr>
            </w:pPr>
            <w:r>
              <w:rPr>
                <w:rFonts w:ascii="Times New Roman" w:cs="Times New Roman" w:eastAsia="Times New Roman" w:hAnsi="Times New Roman"/>
                <w:sz w:val="20"/>
                <w:szCs w:val="20"/>
                <w:color w:val="auto"/>
              </w:rPr>
              <w:t>S-1</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10/7/2002</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Registrant.</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9"/>
              </w:rPr>
              <w:t>4.1.1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Indenture, dated as of April 14, 2020, by and among Wynn Resorts Finance, LLC, and Wynn</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5/8/2020</w:t>
            </w:r>
          </w:p>
        </w:tc>
        <w:tc>
          <w:tcPr>
            <w:tcW w:w="120" w:type="dxa"/>
            <w:vAlign w:val="bottom"/>
          </w:tcPr>
          <w:p>
            <w:pPr>
              <w:spacing w:after="0"/>
              <w:rPr>
                <w:sz w:val="24"/>
                <w:szCs w:val="24"/>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Resorts Capital Corp., as joint and several obligors and the Guarantors named therein and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Bank National Association, as 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9"/>
              </w:rPr>
              <w:t>4.1.2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June 17, 2020, by and between Wynn Macau, Limited and Deutsche</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8/6/2020</w:t>
            </w:r>
          </w:p>
        </w:tc>
        <w:tc>
          <w:tcPr>
            <w:tcW w:w="120" w:type="dxa"/>
            <w:vAlign w:val="bottom"/>
          </w:tcPr>
          <w:p>
            <w:pPr>
              <w:spacing w:after="0"/>
              <w:rPr>
                <w:sz w:val="24"/>
                <w:szCs w:val="24"/>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Bank Trust Company Americas, as trustee, related to senior notes due 2026.</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9"/>
              </w:rPr>
              <w:t>4.1.3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Indenture, dated as of August 26, 2020, by and between Wynn Macau, Limited and Deutsche</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11/9/2020</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Bank Trust Company Americas, as trustee, related to senior notes due 2028.</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9"/>
              </w:rPr>
              <w:t>4.1.4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Supplemental Indenture, dated February 23, 2024, by and among Wynn Resorts Finance,</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2/23/2024</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LLC, and Wynn Resorts Capital Corp., as joint and several obligors and the Guarantors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named therein and U.S. Bank National Association, as 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02"/>
              <w:spacing w:after="0"/>
              <w:rPr>
                <w:sz w:val="20"/>
                <w:szCs w:val="20"/>
                <w:color w:val="auto"/>
              </w:rPr>
            </w:pPr>
            <w:r>
              <w:rPr>
                <w:rFonts w:ascii="Times New Roman" w:cs="Times New Roman" w:eastAsia="Times New Roman" w:hAnsi="Times New Roman"/>
                <w:sz w:val="20"/>
                <w:szCs w:val="20"/>
                <w:color w:val="auto"/>
                <w:w w:val="99"/>
              </w:rPr>
              <w:t>4.1.5</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Indenture, dated September 20, 2024, by and among Wynn Resorts Finance, LLC, and Wynn</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9/20/2024</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Resorts Capital Corp., as joint and several obligors and the Guarantors named therein and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Bank National Association, as 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Description of Registrant’s Securities.</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2/23/2024</w:t>
            </w: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4.3</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May 22, 2013, by and among Wynn Las Vegas, LLC, Wynn Las</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5/22/2013</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Vegas Capital Corp., the Guarantors named therein and U.S. Bank National Association, as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4.4</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Supplemental Indenture, dated as of February 18, 2015, to Indenture, dated as of May 22,</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3/2/2015</w:t>
            </w:r>
          </w:p>
        </w:tc>
        <w:tc>
          <w:tcPr>
            <w:tcW w:w="120" w:type="dxa"/>
            <w:vAlign w:val="bottom"/>
          </w:tcPr>
          <w:p>
            <w:pPr>
              <w:spacing w:after="0"/>
              <w:rPr>
                <w:sz w:val="24"/>
                <w:szCs w:val="24"/>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2013, by and among Wynn Las Vegas, LLC, Wynn Las Vegas Capital Corp., the Guarantors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named therein and U.S. Bank National Association, as 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4.5</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Second Supplemental Indenture, dated as of March 20, 2018, to Indenture, dated as of</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3/21/2018</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May 22, 2013, by and among Wynn Las Vegas, LLC, Wynn Las Vegas Capital Corp., the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guarantors party thereto and U.S. Bank National Association.</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4.6</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February 18, 2015, by and among Wynn Las Vegas, LLC, Wynn Las</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2/18/2015</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Vegas Capital Corp., the Guarantors named therein and U.S. Bank National Association, as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4.7</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May 11, 2017, by and among Wynn Las Vegas, LLC, Wynn Las</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5/11/2017</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Vegas Capital Corp., the Guarantors named therein and U.S. Bank National Association, as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4.8</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September 20, 2017, by and between Wynn Macau, Limited and</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11/8/2017</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relating to senior notes due 2024.</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rPr>
              <w:t>4.9</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September 20, 2017, by and between Wynn Macau, Limited and</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11/8/2017</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relating to senior notes due 2027.</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w w:val="97"/>
              </w:rPr>
              <w:t>4.10</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December 17, 2019, by and between Wynn Macau, Limited and</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2/28/2020</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related to senior notes due 2029.</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w w:val="97"/>
              </w:rPr>
              <w:t>4.11</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September 20, 2019, by and among Wynn Resorts Finance, LLC, and</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11/6/2019</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Wynn Resorts Capital Corp., as joint and several obligors and the Guarantors named therein</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U.S. Bank National Association, as 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0"/>
        </w:trPr>
        <w:tc>
          <w:tcPr>
            <w:tcW w:w="720" w:type="dxa"/>
            <w:vAlign w:val="bottom"/>
          </w:tcPr>
          <w:p>
            <w:pPr>
              <w:jc w:val="center"/>
              <w:ind w:right="122"/>
              <w:spacing w:after="0"/>
              <w:rPr>
                <w:sz w:val="20"/>
                <w:szCs w:val="20"/>
                <w:color w:val="auto"/>
              </w:rPr>
            </w:pPr>
            <w:r>
              <w:rPr>
                <w:rFonts w:ascii="Times New Roman" w:cs="Times New Roman" w:eastAsia="Times New Roman" w:hAnsi="Times New Roman"/>
                <w:sz w:val="20"/>
                <w:szCs w:val="20"/>
                <w:color w:val="auto"/>
                <w:w w:val="97"/>
              </w:rPr>
              <w:t>4.12</w:t>
            </w: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Indenture, dated as of February 16, 2023, by and among Wynn Resorts Finance, LLC, and</w:t>
            </w:r>
          </w:p>
        </w:tc>
        <w:tc>
          <w:tcPr>
            <w:tcW w:w="20" w:type="dxa"/>
            <w:vAlign w:val="bottom"/>
          </w:tcPr>
          <w:p>
            <w:pPr>
              <w:spacing w:after="0"/>
              <w:rPr>
                <w:sz w:val="24"/>
                <w:szCs w:val="24"/>
                <w:color w:val="auto"/>
              </w:rPr>
            </w:pP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2/16/2023</w:t>
            </w: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Wynn Resorts Capital Corp., as joint and several obligors and the Guarantors named therein</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720" w:type="dxa"/>
            <w:vAlign w:val="bottom"/>
          </w:tcPr>
          <w:p>
            <w:pPr>
              <w:spacing w:after="0"/>
              <w:rPr>
                <w:sz w:val="20"/>
                <w:szCs w:val="20"/>
                <w:color w:val="auto"/>
              </w:rPr>
            </w:pPr>
          </w:p>
        </w:tc>
        <w:tc>
          <w:tcPr>
            <w:tcW w:w="76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U.S. Bank National Association, as trustee.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320"/>
          </w:cols>
          <w:pgMar w:left="840" w:top="664" w:right="720" w:bottom="3" w:gutter="0" w:footer="0" w:header="0"/>
        </w:sectPr>
      </w:pP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10320"/>
          </w:cols>
          <w:pgMar w:left="840" w:top="664" w:right="720" w:bottom="3" w:gutter="0" w:footer="0" w:header="0"/>
          <w:type w:val="continuous"/>
        </w:sectPr>
      </w:pPr>
    </w:p>
    <w:bookmarkStart w:id="115" w:name="page116"/>
    <w:bookmarkEnd w:id="115"/>
    <w:p>
      <w:pPr>
        <w:spacing w:after="0" w:line="13" w:lineRule="exact"/>
        <w:rPr>
          <w:sz w:val="20"/>
          <w:szCs w:val="20"/>
          <w:color w:val="auto"/>
        </w:rPr>
      </w:pPr>
    </w:p>
    <w:p>
      <w:pPr>
        <w:ind w:left="460" w:hanging="899"/>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20"/>
          <w:szCs w:val="20"/>
          <w:color w:val="auto"/>
        </w:rPr>
        <w:t>Trust Deed, dated as of March 7, 2023, by and between Wynn Macau, Limited and DB Trustees (Hong Kong) Limited, as trustee, relating to convertible bonds due 2029 convertible into ordinary shares of Wynn Macau, Limited.</w:t>
      </w:r>
    </w:p>
    <w:p>
      <w:pPr>
        <w:spacing w:after="0" w:line="72" w:lineRule="exact"/>
        <w:rPr>
          <w:sz w:val="20"/>
          <w:szCs w:val="20"/>
          <w:color w:val="auto"/>
        </w:rPr>
      </w:pPr>
    </w:p>
    <w:p>
      <w:pPr>
        <w:ind w:left="460" w:right="100" w:hanging="899"/>
        <w:spacing w:after="0" w:line="245" w:lineRule="auto"/>
        <w:tabs>
          <w:tab w:leader="none" w:pos="4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Agency Agreement, dated as of March 7, 2023, by and between Wynn Macau, Limited, DB Trustees (Hong Kong) Limited, as trustee, and Deutsche Bank Trust Company Americas, as principal paying agent, principal conversion agent, transfer agent and registrar, relating to convertible bonds due 2029 convertible into ordinary shares of Wynn Macau, Limited.</w:t>
      </w:r>
    </w:p>
    <w:p>
      <w:pPr>
        <w:spacing w:after="0" w:line="72" w:lineRule="exact"/>
        <w:rPr>
          <w:sz w:val="20"/>
          <w:szCs w:val="20"/>
          <w:color w:val="auto"/>
        </w:rPr>
      </w:pPr>
    </w:p>
    <w:p>
      <w:pPr>
        <w:ind w:left="460" w:hanging="899"/>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Indenture, dated September 20, 2024, by and among Wynn Resorts Finance, LLC, and Wynn Resorts Capital Corp., as joint and several obligors and the Guarantors named therein and U.S. Bank National Association, as trustee.</w:t>
      </w:r>
    </w:p>
    <w:p>
      <w:pPr>
        <w:spacing w:after="0" w:line="72" w:lineRule="exact"/>
        <w:rPr>
          <w:sz w:val="20"/>
          <w:szCs w:val="20"/>
          <w:color w:val="auto"/>
        </w:rPr>
      </w:pPr>
    </w:p>
    <w:p>
      <w:pPr>
        <w:jc w:val="both"/>
        <w:ind w:left="460" w:right="20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Credit Agreement, dated as of September 20, 2019, by and among Wynn Resorts Finance, LLC, as borrower, the subsidiaries of borrower party hereto, as guarantors, Deutsche Bank AG New York Branch, as administrative agent and as collateral agent.</w:t>
      </w:r>
    </w:p>
    <w:p>
      <w:pPr>
        <w:spacing w:after="0" w:line="72" w:lineRule="exact"/>
        <w:rPr>
          <w:sz w:val="20"/>
          <w:szCs w:val="20"/>
          <w:color w:val="auto"/>
        </w:rPr>
      </w:pPr>
    </w:p>
    <w:p>
      <w:pPr>
        <w:ind w:left="460" w:right="6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Incremental Joinder Agreement No. 1, dated as of March 8, 2019, by and among Wynn Resorts, Limited, as borrower, Wynn Group Asia, Inc. and Wynn Resorts Holdings, LLC, as Guarantors, and Deutsche Bank AG New York Branch, as administrative agent.</w:t>
      </w:r>
    </w:p>
    <w:p>
      <w:pPr>
        <w:spacing w:after="0" w:line="72" w:lineRule="exact"/>
        <w:rPr>
          <w:sz w:val="20"/>
          <w:szCs w:val="20"/>
          <w:color w:val="auto"/>
        </w:rPr>
      </w:pPr>
    </w:p>
    <w:p>
      <w:pPr>
        <w:ind w:left="460" w:right="8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First Amendment to Credit Agreement, dated as of April 10, 2020, by and among Wynn Resorts Finance, LLC, as borrower, the subsidiaries of borrower party hereto, as guarantors, Deutsche Bank AG New York Branch, as administrative agent and as collateral agent.</w:t>
      </w:r>
    </w:p>
    <w:p>
      <w:pPr>
        <w:spacing w:after="0" w:line="72" w:lineRule="exact"/>
        <w:rPr>
          <w:sz w:val="20"/>
          <w:szCs w:val="20"/>
          <w:color w:val="auto"/>
        </w:rPr>
      </w:pPr>
    </w:p>
    <w:p>
      <w:pPr>
        <w:ind w:left="460" w:right="100" w:hanging="974"/>
        <w:spacing w:after="0" w:line="245" w:lineRule="auto"/>
        <w:tabs>
          <w:tab w:leader="none" w:pos="4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First Amendment to Term Loan Agreement, dated as of May 5, 2020, by and among Wynn/ CA Plaza Property Owner, LLC and Wynn/CA Property Owner, LLC, as borrowers, United Overseas Bank Limited, New York Agency, as administrative agent, and the lenders party thereto.</w:t>
      </w:r>
    </w:p>
    <w:p>
      <w:pPr>
        <w:spacing w:after="0" w:line="72" w:lineRule="exact"/>
        <w:rPr>
          <w:sz w:val="20"/>
          <w:szCs w:val="20"/>
          <w:color w:val="auto"/>
        </w:rPr>
      </w:pPr>
    </w:p>
    <w:p>
      <w:pPr>
        <w:jc w:val="both"/>
        <w:ind w:left="460" w:right="44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Amendment No. 2 to Credit Agreement, dated as of November 27, 2020, by and among Wynn Resorts Finance, LLC, as borrower, the subsidiaries of borrower party hereto, as guarantors, Deutsche Bank AG New York Branch, as administrative agent.</w:t>
      </w:r>
    </w:p>
    <w:p>
      <w:pPr>
        <w:spacing w:after="0" w:line="72" w:lineRule="exact"/>
        <w:rPr>
          <w:sz w:val="20"/>
          <w:szCs w:val="20"/>
          <w:color w:val="auto"/>
        </w:rPr>
      </w:pPr>
    </w:p>
    <w:p>
      <w:pPr>
        <w:ind w:left="460" w:right="8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Amendment No. 3 to Credit Agreement, dated as of May 17, 2023, by and among Wynn Resorts Finance, LLC, as borrower, the subsidiaries of borrower party hereto, as guarantors, Deutsche Bank AG New York Branch, as administrative agent.</w:t>
      </w:r>
    </w:p>
    <w:p>
      <w:pPr>
        <w:spacing w:after="0" w:line="72" w:lineRule="exact"/>
        <w:rPr>
          <w:sz w:val="20"/>
          <w:szCs w:val="20"/>
          <w:color w:val="auto"/>
        </w:rPr>
      </w:pPr>
    </w:p>
    <w:p>
      <w:pPr>
        <w:ind w:left="460" w:right="20" w:hanging="974"/>
        <w:spacing w:after="0" w:line="247" w:lineRule="auto"/>
        <w:tabs>
          <w:tab w:leader="none" w:pos="4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Exhibit A to Amendment No. 3 - Credit Agreement, dated as of September 20, 2019 (as amended by Amendment No. 1 dated as of April 10, 2020, Amendment No. 2 dated as of November 27, 2020, and Amendment No. 3 dated as of May 17, 2023), by and among Wynn Resorts Finance, LLC, as borrower, the subsidiaries of borrower party hereto, as guarantors, Deutsche Bank AG New York Branch, as administrative agent and as collateral agent.</w:t>
      </w:r>
    </w:p>
    <w:p>
      <w:pPr>
        <w:spacing w:after="0" w:line="68" w:lineRule="exact"/>
        <w:rPr>
          <w:sz w:val="20"/>
          <w:szCs w:val="20"/>
          <w:color w:val="auto"/>
        </w:rPr>
      </w:pPr>
    </w:p>
    <w:p>
      <w:pPr>
        <w:ind w:left="460" w:right="30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Concession Extension Contract for the Operation of Games of Chance or Other Games in Casinos in the Macau Special Administrative Region, dated June 23, 2022, between the Macau Special Administrative Region and Wynn Resorts (Macau), S.A.</w:t>
      </w:r>
    </w:p>
    <w:p>
      <w:pPr>
        <w:spacing w:after="0" w:line="72" w:lineRule="exact"/>
        <w:rPr>
          <w:sz w:val="20"/>
          <w:szCs w:val="20"/>
          <w:color w:val="auto"/>
        </w:rPr>
      </w:pPr>
    </w:p>
    <w:p>
      <w:pPr>
        <w:ind w:left="460" w:right="12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Lease, dated as of December 1, 2022 by and among EBH MA Property, LLC, MDC Encore Holdings, LLC, Wynn MA, LLC and Everett Property, LLC.</w:t>
      </w:r>
    </w:p>
    <w:p>
      <w:pPr>
        <w:spacing w:after="0" w:line="75" w:lineRule="exact"/>
        <w:rPr>
          <w:sz w:val="20"/>
          <w:szCs w:val="20"/>
          <w:color w:val="auto"/>
        </w:rPr>
      </w:pPr>
    </w:p>
    <w:p>
      <w:pPr>
        <w:jc w:val="both"/>
        <w:ind w:left="460" w:right="44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Amendment No. 4 to Credit Agreement, dated as of September 16, 2024, by and among Wynn Resorts Finance, LLC, as borrower, the subsidiaries of borrower party hereto, as guarantors, Deutsche Bank AG New York Branch, as administrative agent.</w:t>
      </w:r>
    </w:p>
    <w:p>
      <w:pPr>
        <w:spacing w:after="0" w:line="72" w:lineRule="exact"/>
        <w:rPr>
          <w:sz w:val="20"/>
          <w:szCs w:val="20"/>
          <w:color w:val="auto"/>
        </w:rPr>
      </w:pPr>
    </w:p>
    <w:p>
      <w:pPr>
        <w:ind w:left="460" w:right="200" w:hanging="1024"/>
        <w:spacing w:after="0" w:line="247" w:lineRule="auto"/>
        <w:tabs>
          <w:tab w:leader="none" w:pos="440" w:val="left"/>
        </w:tabs>
        <w:rPr>
          <w:sz w:val="20"/>
          <w:szCs w:val="20"/>
          <w:color w:val="auto"/>
        </w:rPr>
      </w:pPr>
      <w:r>
        <w:rPr>
          <w:rFonts w:ascii="Times New Roman" w:cs="Times New Roman" w:eastAsia="Times New Roman" w:hAnsi="Times New Roman"/>
          <w:sz w:val="20"/>
          <w:szCs w:val="20"/>
          <w:color w:val="auto"/>
        </w:rPr>
        <w:t>10.1.10</w:t>
      </w:r>
      <w:r>
        <w:rPr>
          <w:sz w:val="20"/>
          <w:szCs w:val="20"/>
          <w:color w:val="auto"/>
        </w:rPr>
        <w:tab/>
      </w:r>
      <w:r>
        <w:rPr>
          <w:rFonts w:ascii="Times New Roman" w:cs="Times New Roman" w:eastAsia="Times New Roman" w:hAnsi="Times New Roman"/>
          <w:sz w:val="20"/>
          <w:szCs w:val="20"/>
          <w:color w:val="auto"/>
        </w:rPr>
        <w:t>Exhibit A to Amendment No. 4 - Credit Agreement, dated as of September 20, 2019 (as amended by Amendment No. 1 dated as of April 10, 2020, Amendment No. 2 dated as of November 27, 2020, and Amendment No. 3 dated as of May 17, 2023, Amendment No. 4 dated as of September 16, 2024), by and among Wynn Resorts Finance, LLC, as borrower, the subsidiaries of borrower party hereto, as guarantors, Deutsche Bank AG New York Branch, as administrative agent and as collateral agent.</w:t>
      </w:r>
    </w:p>
    <w:p>
      <w:pPr>
        <w:spacing w:after="0" w:line="71" w:lineRule="exact"/>
        <w:rPr>
          <w:sz w:val="20"/>
          <w:szCs w:val="20"/>
          <w:color w:val="auto"/>
        </w:rPr>
      </w:pPr>
    </w:p>
    <w:p>
      <w:pPr>
        <w:ind w:left="460" w:right="40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Common Terms Agreement Sixth Amendment Agreement, dated December 21, 2018, between, among others, Wynn Resorts (Macau) S.A. as the company and Bank of China Limited, Macau Branch as security agent.</w:t>
      </w:r>
    </w:p>
    <w:p>
      <w:pPr>
        <w:spacing w:after="0" w:line="72" w:lineRule="exact"/>
        <w:rPr>
          <w:sz w:val="20"/>
          <w:szCs w:val="20"/>
          <w:color w:val="auto"/>
        </w:rPr>
      </w:pPr>
    </w:p>
    <w:p>
      <w:pPr>
        <w:ind w:left="460" w:right="22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Term Facility Agreement Fifth Amendment Agreement, dated December 21, 2018, by and among Wynn Resorts (Macau) S.A. and Bank of China Limited, Macau Branch as Hotel Facility Agent and Hotel Facility Lender.</w:t>
      </w:r>
    </w:p>
    <w:p>
      <w:pPr>
        <w:spacing w:after="0" w:line="20" w:lineRule="exact"/>
        <w:rPr>
          <w:sz w:val="20"/>
          <w:szCs w:val="20"/>
          <w:color w:val="auto"/>
        </w:rPr>
      </w:pPr>
      <w:r>
        <w:rPr>
          <w:sz w:val="20"/>
          <w:szCs w:val="20"/>
          <w:color w:val="auto"/>
        </w:rPr>
        <w:br w:type="column"/>
      </w: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3/7/2023</w:t>
      </w: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3/7/2023</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9/20/2024</w:t>
      </w:r>
    </w:p>
    <w:p>
      <w:pPr>
        <w:spacing w:after="0" w:line="200" w:lineRule="exact"/>
        <w:rPr>
          <w:sz w:val="20"/>
          <w:szCs w:val="20"/>
          <w:color w:val="auto"/>
        </w:rPr>
      </w:pPr>
    </w:p>
    <w:p>
      <w:pPr>
        <w:spacing w:after="0" w:line="3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11/6/2019</w:t>
      </w:r>
    </w:p>
    <w:p>
      <w:pPr>
        <w:spacing w:after="0" w:line="200" w:lineRule="exact"/>
        <w:rPr>
          <w:sz w:val="20"/>
          <w:szCs w:val="20"/>
          <w:color w:val="auto"/>
        </w:rPr>
      </w:pPr>
    </w:p>
    <w:p>
      <w:pPr>
        <w:spacing w:after="0" w:line="3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5/9/2019</w:t>
      </w:r>
    </w:p>
    <w:p>
      <w:pPr>
        <w:spacing w:after="0" w:line="200" w:lineRule="exact"/>
        <w:rPr>
          <w:sz w:val="20"/>
          <w:szCs w:val="20"/>
          <w:color w:val="auto"/>
        </w:rPr>
      </w:pPr>
    </w:p>
    <w:p>
      <w:pPr>
        <w:spacing w:after="0" w:line="3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5/8/2020</w:t>
      </w:r>
    </w:p>
    <w:p>
      <w:pPr>
        <w:spacing w:after="0" w:line="200" w:lineRule="exact"/>
        <w:rPr>
          <w:sz w:val="20"/>
          <w:szCs w:val="20"/>
          <w:color w:val="auto"/>
        </w:rPr>
      </w:pPr>
    </w:p>
    <w:p>
      <w:pPr>
        <w:spacing w:after="0" w:line="3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8/6/2020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2/26/2021</w:t>
      </w: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5/17/2023</w:t>
      </w: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5/17/2023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8/9/2022</w:t>
      </w: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12/1/2022</w:t>
      </w:r>
    </w:p>
    <w:p>
      <w:pPr>
        <w:spacing w:after="0" w:line="30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9/16/2024</w:t>
      </w:r>
    </w:p>
    <w:p>
      <w:pPr>
        <w:spacing w:after="0" w:line="200" w:lineRule="exact"/>
        <w:rPr>
          <w:sz w:val="20"/>
          <w:szCs w:val="20"/>
          <w:color w:val="auto"/>
        </w:rPr>
      </w:pPr>
    </w:p>
    <w:p>
      <w:pPr>
        <w:spacing w:after="0" w:line="34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9/16/2024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2/28/2019</w:t>
      </w:r>
    </w:p>
    <w:p>
      <w:pPr>
        <w:spacing w:after="0" w:line="200" w:lineRule="exact"/>
        <w:rPr>
          <w:sz w:val="20"/>
          <w:szCs w:val="20"/>
          <w:color w:val="auto"/>
        </w:rPr>
      </w:pPr>
    </w:p>
    <w:p>
      <w:pPr>
        <w:spacing w:after="0" w:line="3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2/28/2019</w:t>
      </w:r>
    </w:p>
    <w:p>
      <w:pPr>
        <w:spacing w:after="0" w:line="681" w:lineRule="exact"/>
        <w:rPr>
          <w:sz w:val="20"/>
          <w:szCs w:val="20"/>
          <w:color w:val="auto"/>
        </w:rPr>
      </w:pPr>
    </w:p>
    <w:p>
      <w:pPr>
        <w:sectPr>
          <w:pgSz w:w="11880" w:h="15480" w:orient="portrait"/>
          <w:cols w:equalWidth="0" w:num="2">
            <w:col w:w="7920" w:space="260"/>
            <w:col w:w="1420"/>
          </w:cols>
          <w:pgMar w:left="1440" w:top="713" w:right="840" w:bottom="3" w:gutter="0" w:footer="0" w:header="0"/>
        </w:sectPr>
      </w:pPr>
    </w:p>
    <w:p>
      <w:pPr>
        <w:spacing w:after="0" w:line="5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9600"/>
          </w:cols>
          <w:pgMar w:left="1440" w:top="713" w:right="840" w:bottom="3" w:gutter="0" w:footer="0" w:header="0"/>
          <w:type w:val="continuous"/>
        </w:sectPr>
      </w:pPr>
    </w:p>
    <w:bookmarkStart w:id="116" w:name="page117"/>
    <w:bookmarkEnd w:id="116"/>
    <w:p>
      <w:pPr>
        <w:spacing w:after="0" w:line="13" w:lineRule="exact"/>
        <w:rPr>
          <w:sz w:val="20"/>
          <w:szCs w:val="20"/>
          <w:color w:val="auto"/>
        </w:rPr>
      </w:pPr>
    </w:p>
    <w:p>
      <w:pPr>
        <w:ind w:left="460" w:right="80" w:hanging="974"/>
        <w:spacing w:after="0" w:line="236" w:lineRule="auto"/>
        <w:tabs>
          <w:tab w:leader="none" w:pos="4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Revolving Credit Facility Agreement Second Amendment Agreement, dated as of December 21, 2018, by and among Wynn Resorts (Macau) S.A. and Bank of China Limited, Macau Branch as Revolving Credit Facility Agent and Revolving Credit Facility Lender.</w:t>
      </w:r>
    </w:p>
    <w:p>
      <w:pPr>
        <w:spacing w:after="0" w:line="85" w:lineRule="exact"/>
        <w:rPr>
          <w:sz w:val="20"/>
          <w:szCs w:val="20"/>
          <w:color w:val="auto"/>
        </w:rPr>
      </w:pPr>
    </w:p>
    <w:p>
      <w:pPr>
        <w:ind w:left="460" w:right="440" w:hanging="974"/>
        <w:spacing w:after="0" w:line="236" w:lineRule="auto"/>
        <w:tabs>
          <w:tab w:leader="none" w:pos="4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Common Terms Agreement Fifth Amendment Agreement, dated September 30, 2015, between, among others, Wynn Resorts (Macau) S.A. as the company and Bank of China Limited, Macau Branch as security agent.</w:t>
      </w:r>
    </w:p>
    <w:p>
      <w:pPr>
        <w:spacing w:after="0" w:line="85" w:lineRule="exact"/>
        <w:rPr>
          <w:sz w:val="20"/>
          <w:szCs w:val="20"/>
          <w:color w:val="auto"/>
        </w:rPr>
      </w:pPr>
    </w:p>
    <w:p>
      <w:pPr>
        <w:ind w:left="460" w:right="80" w:hanging="974"/>
        <w:spacing w:after="0" w:line="236" w:lineRule="auto"/>
        <w:tabs>
          <w:tab w:leader="none" w:pos="44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Term Facility Agreement Fourth Amendment Agreement, dated September 30, 2015, by and among Wynn Resorts (Macau) S.A. and Bank of China Limited, Macau Branch as Hotel Facility Agent and Hotel Facility Lender.</w:t>
      </w:r>
    </w:p>
    <w:p>
      <w:pPr>
        <w:spacing w:after="0" w:line="85" w:lineRule="exact"/>
        <w:rPr>
          <w:sz w:val="20"/>
          <w:szCs w:val="20"/>
          <w:color w:val="auto"/>
        </w:rPr>
      </w:pPr>
    </w:p>
    <w:p>
      <w:pPr>
        <w:ind w:left="460" w:right="40" w:hanging="974"/>
        <w:spacing w:after="0" w:line="236" w:lineRule="auto"/>
        <w:tabs>
          <w:tab w:leader="none" w:pos="44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Revolving Credit Facility Agreement Amendment Agreement, dated as of September 30, 2015, by and among Wynn Resorts (Macau) S.A. and Bank of China Limited, Macau Branch as Revolving Credit Facility Agent and Revolving Credit Facility Lender.</w:t>
      </w:r>
    </w:p>
    <w:p>
      <w:pPr>
        <w:spacing w:after="0" w:line="85" w:lineRule="exact"/>
        <w:rPr>
          <w:sz w:val="20"/>
          <w:szCs w:val="20"/>
          <w:color w:val="auto"/>
        </w:rPr>
      </w:pPr>
    </w:p>
    <w:p>
      <w:pPr>
        <w:ind w:left="460" w:right="580" w:hanging="974"/>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Debenture, dated as of September 14, 2004, between Wynn Resorts (Macau), S.A. and Société Générale, Hong Kong Branch as the Security Agent.</w:t>
      </w:r>
    </w:p>
    <w:p>
      <w:pPr>
        <w:spacing w:after="0" w:line="82" w:lineRule="exact"/>
        <w:rPr>
          <w:sz w:val="20"/>
          <w:szCs w:val="20"/>
          <w:color w:val="auto"/>
        </w:rPr>
      </w:pPr>
    </w:p>
    <w:p>
      <w:pPr>
        <w:ind w:left="460" w:right="24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auto"/>
        </w:rPr>
        <w:t>Second Amendment Agreement to the Existing Facility Agreement, dated as of September 20, 2024, by and among WM Cayman Holdings Limited II, as borrower, Wynn Macau, Limited, as guarantor, and Bank of China Limited, Macau Branch, as agent and a syndicate of lenders.</w:t>
      </w:r>
    </w:p>
    <w:p>
      <w:pPr>
        <w:spacing w:after="0" w:line="84" w:lineRule="exact"/>
        <w:rPr>
          <w:sz w:val="20"/>
          <w:szCs w:val="20"/>
          <w:color w:val="auto"/>
        </w:rPr>
      </w:pPr>
    </w:p>
    <w:p>
      <w:pPr>
        <w:ind w:left="460" w:right="1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Term Loan Agreement, dated as of July 25, 2018, by and among Wynn/CA Plaza Property Owner, LLC and Wynn/CA Property Owner, LLC, as borrowers, United Overseas Bank Limited, New York Agency, as administrative agent and lead arranger, Fifth Third Bank, as joint lead arranger, Sumitomo Mitsui Banking Corporation, as joint lead arranger, Credit Agricole Corporate and Investment Bank, as managing agent, and the lenders party thereto.</w:t>
      </w:r>
    </w:p>
    <w:p>
      <w:pPr>
        <w:spacing w:after="0" w:line="89" w:lineRule="exact"/>
        <w:rPr>
          <w:sz w:val="20"/>
          <w:szCs w:val="20"/>
          <w:color w:val="auto"/>
        </w:rPr>
      </w:pPr>
    </w:p>
    <w:p>
      <w:pPr>
        <w:ind w:left="460" w:right="160" w:hanging="1049"/>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10.3.0.1</w:t>
      </w:r>
      <w:r>
        <w:rPr>
          <w:sz w:val="20"/>
          <w:szCs w:val="20"/>
          <w:color w:val="auto"/>
        </w:rPr>
        <w:tab/>
      </w:r>
      <w:r>
        <w:rPr>
          <w:rFonts w:ascii="Times New Roman" w:cs="Times New Roman" w:eastAsia="Times New Roman" w:hAnsi="Times New Roman"/>
          <w:sz w:val="20"/>
          <w:szCs w:val="20"/>
          <w:color w:val="auto"/>
        </w:rPr>
        <w:t>Second Amendment to Term Loan Agreement, dated as of June 2, 2023, by and among Wynn/CA Plaza Property Owner, LLC and Wynn/CA Property Owner, LLC, as borrowers, United Overseas Bank Limited, New York Agency, as administrative agent, and the lenders party thereto.</w:t>
      </w:r>
    </w:p>
    <w:p>
      <w:pPr>
        <w:spacing w:after="0" w:line="84" w:lineRule="exact"/>
        <w:rPr>
          <w:sz w:val="20"/>
          <w:szCs w:val="20"/>
          <w:color w:val="auto"/>
        </w:rPr>
      </w:pPr>
    </w:p>
    <w:p>
      <w:pPr>
        <w:ind w:left="460" w:right="180" w:hanging="974"/>
        <w:spacing w:after="0" w:line="236" w:lineRule="auto"/>
        <w:tabs>
          <w:tab w:leader="none" w:pos="44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Facility Agreement, dated as of September 16, 2021, by and among WM Cayman Holdings Limited II, as borrower, Wynn Macau, Limited, as guarantor, and Bank of China Limited, Macau Branch, as agent and a syndicate of lenders.</w:t>
      </w:r>
    </w:p>
    <w:p>
      <w:pPr>
        <w:spacing w:after="0" w:line="85" w:lineRule="exact"/>
        <w:rPr>
          <w:sz w:val="20"/>
          <w:szCs w:val="20"/>
          <w:color w:val="auto"/>
        </w:rPr>
      </w:pPr>
    </w:p>
    <w:p>
      <w:pPr>
        <w:ind w:left="460" w:right="20" w:hanging="974"/>
        <w:spacing w:after="0" w:line="236" w:lineRule="auto"/>
        <w:tabs>
          <w:tab w:leader="none" w:pos="44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Amendment to the Facility Agreement, dated as of May 5, 2022, by and among WM Cayman Holdings Limited II, as borrower, Wynn Macau, Limited, as guarantor, and Bank of China Limited, Macau Branch, as agent and a syndicate of lenders.</w:t>
      </w:r>
    </w:p>
    <w:p>
      <w:pPr>
        <w:spacing w:after="0" w:line="85" w:lineRule="exact"/>
        <w:rPr>
          <w:sz w:val="20"/>
          <w:szCs w:val="20"/>
          <w:color w:val="auto"/>
        </w:rPr>
      </w:pPr>
    </w:p>
    <w:p>
      <w:pPr>
        <w:ind w:left="460" w:right="18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Amendment and Restatement Agreement to Facility Agreement, dated as of June 27, 2023, by and among WM Cayman Holdings Limited II, as borrower, Wynn Macau, Limited, as guarantor, Bank of China Limited, Macau Branch, as agent and a syndicate of lenders party thereto.</w:t>
      </w:r>
    </w:p>
    <w:p>
      <w:pPr>
        <w:spacing w:after="0" w:line="84" w:lineRule="exact"/>
        <w:rPr>
          <w:sz w:val="20"/>
          <w:szCs w:val="20"/>
          <w:color w:val="auto"/>
        </w:rPr>
      </w:pPr>
    </w:p>
    <w:p>
      <w:pPr>
        <w:jc w:val="both"/>
        <w:ind w:left="460" w:right="2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Third Amendment to Term Loan Agreement and First Amendment to Recourse Indemnity Agreement, dated as of October 2, 2024, by and among Wynn/CA Plaza Property Owner, LLC and Wynn/CA Property Owner, LLC, as borrowers, United Overseas Bank Limited, New York Agency, as administrative agent, and the guarantors and lenders party thereto.</w:t>
      </w:r>
    </w:p>
    <w:p>
      <w:pPr>
        <w:spacing w:after="0" w:line="84" w:lineRule="exact"/>
        <w:rPr>
          <w:sz w:val="20"/>
          <w:szCs w:val="20"/>
          <w:color w:val="auto"/>
        </w:rPr>
      </w:pPr>
    </w:p>
    <w:p>
      <w:pPr>
        <w:ind w:left="4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20"/>
          <w:szCs w:val="20"/>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w:t>
      </w:r>
    </w:p>
    <w:p>
      <w:pPr>
        <w:spacing w:after="0" w:line="84" w:lineRule="exact"/>
        <w:rPr>
          <w:sz w:val="20"/>
          <w:szCs w:val="20"/>
          <w:color w:val="auto"/>
        </w:rPr>
      </w:pPr>
    </w:p>
    <w:p>
      <w:pPr>
        <w:ind w:left="460" w:right="12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20"/>
          <w:szCs w:val="20"/>
          <w:color w:val="auto"/>
        </w:rPr>
        <w:t>Concession Contract for Operating Casino Gaming or Other Forms of Gaming in the Macau Special Administrative Region, dated June 24, 2002, between the Macau Special Administrative Region and Wynn Resorts (Macau), S.A. (English translation of Chinese version of Concession Agreement).</w:t>
      </w:r>
    </w:p>
    <w:p>
      <w:pPr>
        <w:spacing w:after="0" w:line="84" w:lineRule="exact"/>
        <w:rPr>
          <w:sz w:val="20"/>
          <w:szCs w:val="20"/>
          <w:color w:val="auto"/>
        </w:rPr>
      </w:pPr>
    </w:p>
    <w:p>
      <w:pPr>
        <w:ind w:left="460" w:right="500" w:hanging="974"/>
        <w:spacing w:after="0" w:line="234" w:lineRule="auto"/>
        <w:tabs>
          <w:tab w:leader="none" w:pos="44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20"/>
          <w:szCs w:val="20"/>
          <w:color w:val="auto"/>
        </w:rPr>
        <w:t>Unofficial English translation of Land Concession Contract between the Macau Special Administrative Region and Wynn Resorts (Macau), S.A.</w:t>
      </w:r>
    </w:p>
    <w:p>
      <w:pPr>
        <w:spacing w:after="0" w:line="82" w:lineRule="exact"/>
        <w:rPr>
          <w:sz w:val="20"/>
          <w:szCs w:val="20"/>
          <w:color w:val="auto"/>
        </w:rPr>
      </w:pPr>
    </w:p>
    <w:p>
      <w:pPr>
        <w:ind w:left="460" w:right="4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10.4.4</w:t>
      </w:r>
      <w:r>
        <w:rPr>
          <w:sz w:val="20"/>
          <w:szCs w:val="20"/>
          <w:color w:val="auto"/>
        </w:rPr>
        <w:tab/>
      </w:r>
      <w:r>
        <w:rPr>
          <w:rFonts w:ascii="Times New Roman" w:cs="Times New Roman" w:eastAsia="Times New Roman" w:hAnsi="Times New Roman"/>
          <w:sz w:val="20"/>
          <w:szCs w:val="20"/>
          <w:color w:val="auto"/>
        </w:rPr>
        <w:t>Land Concession Contract, published on May 2, 2012, by and among Palo Real Estate Company Limited, Wynn Resorts (Macau), S.A. and the Macau Special Administrative Region of the People’s Republic of China (translated to English from traditional Chinese and Portuguese).</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2/28/2019</w:t>
      </w:r>
    </w:p>
    <w:p>
      <w:pPr>
        <w:spacing w:after="0" w:line="200" w:lineRule="exact"/>
        <w:rPr>
          <w:sz w:val="20"/>
          <w:szCs w:val="20"/>
          <w:color w:val="auto"/>
        </w:rPr>
      </w:pPr>
    </w:p>
    <w:p>
      <w:pPr>
        <w:spacing w:after="0" w:line="3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11/6/2015</w:t>
      </w:r>
    </w:p>
    <w:p>
      <w:pPr>
        <w:spacing w:after="0" w:line="200" w:lineRule="exact"/>
        <w:rPr>
          <w:sz w:val="20"/>
          <w:szCs w:val="20"/>
          <w:color w:val="auto"/>
        </w:rPr>
      </w:pPr>
    </w:p>
    <w:p>
      <w:pPr>
        <w:spacing w:after="0" w:line="3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11/6/2015</w:t>
      </w:r>
    </w:p>
    <w:p>
      <w:pPr>
        <w:spacing w:after="0" w:line="200" w:lineRule="exact"/>
        <w:rPr>
          <w:sz w:val="20"/>
          <w:szCs w:val="20"/>
          <w:color w:val="auto"/>
        </w:rPr>
      </w:pPr>
    </w:p>
    <w:p>
      <w:pPr>
        <w:spacing w:after="0" w:line="3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11/6/2015</w:t>
      </w:r>
    </w:p>
    <w:p>
      <w:pPr>
        <w:spacing w:after="0" w:line="200" w:lineRule="exact"/>
        <w:rPr>
          <w:sz w:val="20"/>
          <w:szCs w:val="20"/>
          <w:color w:val="auto"/>
        </w:rPr>
      </w:pPr>
    </w:p>
    <w:p>
      <w:pPr>
        <w:spacing w:after="0" w:line="3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00"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9/23/2024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7/30/2018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6/5/2023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11/9/2021</w:t>
      </w:r>
    </w:p>
    <w:p>
      <w:pPr>
        <w:spacing w:after="0" w:line="200" w:lineRule="exact"/>
        <w:rPr>
          <w:sz w:val="20"/>
          <w:szCs w:val="20"/>
          <w:color w:val="auto"/>
        </w:rPr>
      </w:pPr>
    </w:p>
    <w:p>
      <w:pPr>
        <w:spacing w:after="0" w:line="33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5/10/2022</w:t>
      </w:r>
    </w:p>
    <w:p>
      <w:pPr>
        <w:spacing w:after="0" w:line="200" w:lineRule="exact"/>
        <w:rPr>
          <w:sz w:val="20"/>
          <w:szCs w:val="20"/>
          <w:color w:val="auto"/>
        </w:rPr>
      </w:pPr>
    </w:p>
    <w:p>
      <w:pPr>
        <w:spacing w:after="0" w:line="333"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6/30/2023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10/3/2024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8/20/2002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9/18/2002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8/3/2004</w:t>
      </w:r>
    </w:p>
    <w:p>
      <w:pPr>
        <w:spacing w:after="0" w:line="3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5/2/2012</w:t>
      </w:r>
    </w:p>
    <w:p>
      <w:pPr>
        <w:spacing w:after="0" w:line="895" w:lineRule="exact"/>
        <w:rPr>
          <w:sz w:val="20"/>
          <w:szCs w:val="20"/>
          <w:color w:val="auto"/>
        </w:rPr>
      </w:pPr>
    </w:p>
    <w:p>
      <w:pPr>
        <w:sectPr>
          <w:pgSz w:w="11880" w:h="15480" w:orient="portrait"/>
          <w:cols w:equalWidth="0" w:num="2">
            <w:col w:w="7960" w:space="220"/>
            <w:col w:w="1420"/>
          </w:cols>
          <w:pgMar w:left="1440" w:top="654" w:right="840" w:bottom="3" w:gutter="0" w:footer="0" w:header="0"/>
        </w:sectPr>
      </w:pPr>
    </w:p>
    <w:p>
      <w:pPr>
        <w:spacing w:after="0" w:line="6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9600"/>
          </w:cols>
          <w:pgMar w:left="1440" w:top="654" w:right="840" w:bottom="3" w:gutter="0" w:footer="0" w:header="0"/>
          <w:type w:val="continuous"/>
        </w:sectPr>
      </w:pPr>
    </w:p>
    <w:bookmarkStart w:id="117" w:name="page118"/>
    <w:bookmarkEnd w:id="117"/>
    <w:p>
      <w:pPr>
        <w:spacing w:after="0" w:line="13" w:lineRule="exact"/>
        <w:rPr>
          <w:sz w:val="20"/>
          <w:szCs w:val="20"/>
          <w:color w:val="auto"/>
        </w:rPr>
      </w:pPr>
    </w:p>
    <w:p>
      <w:pPr>
        <w:ind w:left="4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20"/>
          <w:szCs w:val="20"/>
          <w:color w:val="auto"/>
        </w:rPr>
        <w:t>Bank Guarantee Reimbursement Agreement, dated as of September 14, 2004, between Wynn Resorts (Macau), S.A. and Banco Nacional Ultramarino.</w:t>
      </w:r>
    </w:p>
    <w:p>
      <w:pPr>
        <w:spacing w:after="0" w:line="83" w:lineRule="exact"/>
        <w:rPr>
          <w:sz w:val="20"/>
          <w:szCs w:val="20"/>
          <w:color w:val="auto"/>
        </w:rPr>
      </w:pPr>
    </w:p>
    <w:p>
      <w:pPr>
        <w:ind w:left="460" w:right="100" w:hanging="974"/>
        <w:spacing w:after="0" w:line="245" w:lineRule="auto"/>
        <w:tabs>
          <w:tab w:leader="none" w:pos="440" w:val="left"/>
        </w:tabs>
        <w:rPr>
          <w:sz w:val="20"/>
          <w:szCs w:val="20"/>
          <w:color w:val="auto"/>
        </w:rPr>
      </w:pPr>
      <w:r>
        <w:rPr>
          <w:rFonts w:ascii="Times New Roman" w:cs="Times New Roman" w:eastAsia="Times New Roman" w:hAnsi="Times New Roman"/>
          <w:sz w:val="20"/>
          <w:szCs w:val="20"/>
          <w:color w:val="auto"/>
        </w:rPr>
        <w:t>10.4.6</w:t>
      </w:r>
      <w:r>
        <w:rPr>
          <w:sz w:val="20"/>
          <w:szCs w:val="20"/>
          <w:color w:val="auto"/>
        </w:rPr>
        <w:tab/>
      </w:r>
      <w:r>
        <w:rPr>
          <w:rFonts w:ascii="Times New Roman" w:cs="Times New Roman" w:eastAsia="Times New Roman" w:hAnsi="Times New Roman"/>
          <w:sz w:val="20"/>
          <w:szCs w:val="20"/>
          <w:color w:val="auto"/>
        </w:rPr>
        <w:t>Concession Contract for Operating Casino Gaming or Other Forms of Gaming in the Macau Special Administrative Region, dated December 16, 2022, between the Macau Special Administrative Region and Wynn Resorts (Macau), S.A. (English translation of Chinese version).</w:t>
      </w:r>
    </w:p>
    <w:p>
      <w:pPr>
        <w:spacing w:after="0" w:line="80" w:lineRule="exact"/>
        <w:rPr>
          <w:sz w:val="20"/>
          <w:szCs w:val="20"/>
          <w:color w:val="auto"/>
        </w:rPr>
      </w:pPr>
    </w:p>
    <w:p>
      <w:pPr>
        <w:ind w:left="460" w:right="38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10.4.7</w:t>
      </w:r>
      <w:r>
        <w:rPr>
          <w:sz w:val="20"/>
          <w:szCs w:val="20"/>
          <w:color w:val="auto"/>
        </w:rPr>
        <w:tab/>
      </w:r>
      <w:r>
        <w:rPr>
          <w:rFonts w:ascii="Times New Roman" w:cs="Times New Roman" w:eastAsia="Times New Roman" w:hAnsi="Times New Roman"/>
          <w:sz w:val="20"/>
          <w:szCs w:val="20"/>
          <w:color w:val="auto"/>
        </w:rPr>
        <w:t>Deed of Reversion (Wynn Palace), dated as of December 30, 2022, by and among Wynn Resorts (Macau) S.A., Palo Real Estate Company Limited, and the Macau Special Administrative Region.</w:t>
      </w:r>
    </w:p>
    <w:p>
      <w:pPr>
        <w:spacing w:after="0" w:line="80" w:lineRule="exact"/>
        <w:rPr>
          <w:sz w:val="20"/>
          <w:szCs w:val="20"/>
          <w:color w:val="auto"/>
        </w:rPr>
      </w:pPr>
    </w:p>
    <w:p>
      <w:pPr>
        <w:ind w:left="460" w:right="3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10.4.8</w:t>
      </w:r>
      <w:r>
        <w:rPr>
          <w:sz w:val="20"/>
          <w:szCs w:val="20"/>
          <w:color w:val="auto"/>
        </w:rPr>
        <w:tab/>
      </w:r>
      <w:r>
        <w:rPr>
          <w:rFonts w:ascii="Times New Roman" w:cs="Times New Roman" w:eastAsia="Times New Roman" w:hAnsi="Times New Roman"/>
          <w:sz w:val="20"/>
          <w:szCs w:val="20"/>
          <w:color w:val="auto"/>
        </w:rPr>
        <w:t>Deed of Reversion (Wynn Macau), dated as of December 30, 2022, by and among Wynn Resorts (Macau) S.A. and the Macau Special Administrative Region.</w:t>
      </w:r>
    </w:p>
    <w:p>
      <w:pPr>
        <w:spacing w:after="0" w:line="83" w:lineRule="exact"/>
        <w:rPr>
          <w:sz w:val="20"/>
          <w:szCs w:val="20"/>
          <w:color w:val="auto"/>
        </w:rPr>
      </w:pPr>
    </w:p>
    <w:p>
      <w:pPr>
        <w:ind w:left="460" w:right="3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10.4.9</w:t>
      </w:r>
      <w:r>
        <w:rPr>
          <w:sz w:val="20"/>
          <w:szCs w:val="20"/>
          <w:color w:val="auto"/>
        </w:rPr>
        <w:tab/>
      </w:r>
      <w:r>
        <w:rPr>
          <w:rFonts w:ascii="Times New Roman" w:cs="Times New Roman" w:eastAsia="Times New Roman" w:hAnsi="Times New Roman"/>
          <w:sz w:val="20"/>
          <w:szCs w:val="20"/>
          <w:color w:val="auto"/>
        </w:rPr>
        <w:t>Handover Deed, dated as of December 30, 2022, by and between Wynn Resorts (Macau) S.A. and the Macau Special Administrative Region.</w:t>
      </w:r>
    </w:p>
    <w:p>
      <w:pPr>
        <w:spacing w:after="0" w:line="83" w:lineRule="exact"/>
        <w:rPr>
          <w:sz w:val="20"/>
          <w:szCs w:val="20"/>
          <w:color w:val="auto"/>
        </w:rPr>
      </w:pPr>
    </w:p>
    <w:p>
      <w:pPr>
        <w:ind w:left="460" w:right="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color w:val="auto"/>
        </w:rPr>
        <w:t>Corporate Allocation Agreement, dated as of September 19, 2009, by Wynn Macau, Limited and Wynn Resorts, Limited.</w:t>
      </w:r>
    </w:p>
    <w:p>
      <w:pPr>
        <w:spacing w:after="0" w:line="83" w:lineRule="exact"/>
        <w:rPr>
          <w:sz w:val="20"/>
          <w:szCs w:val="20"/>
          <w:color w:val="auto"/>
        </w:rPr>
      </w:pPr>
    </w:p>
    <w:p>
      <w:pPr>
        <w:ind w:left="460" w:right="2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10.5.2</w:t>
      </w:r>
      <w:r>
        <w:rPr>
          <w:sz w:val="20"/>
          <w:szCs w:val="20"/>
          <w:color w:val="auto"/>
        </w:rPr>
        <w:tab/>
      </w:r>
      <w:r>
        <w:rPr>
          <w:rFonts w:ascii="Times New Roman" w:cs="Times New Roman" w:eastAsia="Times New Roman" w:hAnsi="Times New Roman"/>
          <w:sz w:val="20"/>
          <w:szCs w:val="20"/>
          <w:color w:val="auto"/>
        </w:rPr>
        <w:t>Amended and Restated Corporate Allocation Agreement, dated as of September 19, 2009, by Wynn Resorts (Macau), S.A., and Wynn Resorts, Limited.</w:t>
      </w:r>
    </w:p>
    <w:p>
      <w:pPr>
        <w:spacing w:after="0" w:line="83" w:lineRule="exact"/>
        <w:rPr>
          <w:sz w:val="20"/>
          <w:szCs w:val="20"/>
          <w:color w:val="auto"/>
        </w:rPr>
      </w:pPr>
    </w:p>
    <w:p>
      <w:pPr>
        <w:ind w:left="460" w:right="28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10.5.3</w:t>
      </w:r>
      <w:r>
        <w:rPr>
          <w:sz w:val="20"/>
          <w:szCs w:val="20"/>
          <w:color w:val="auto"/>
        </w:rPr>
        <w:tab/>
      </w:r>
      <w:r>
        <w:rPr>
          <w:rFonts w:ascii="Times New Roman" w:cs="Times New Roman" w:eastAsia="Times New Roman" w:hAnsi="Times New Roman"/>
          <w:sz w:val="20"/>
          <w:szCs w:val="20"/>
          <w:color w:val="auto"/>
        </w:rPr>
        <w:t>Management Fee and Corporate Allocation Agreement, dated as of February 26, 2015, by and between Wynn Las Vegas, LLC and Wynn Resorts, Limited.</w:t>
      </w:r>
    </w:p>
    <w:p>
      <w:pPr>
        <w:spacing w:after="0" w:line="83" w:lineRule="exact"/>
        <w:rPr>
          <w:sz w:val="20"/>
          <w:szCs w:val="20"/>
          <w:color w:val="auto"/>
        </w:rPr>
      </w:pPr>
    </w:p>
    <w:p>
      <w:pPr>
        <w:ind w:left="460" w:right="16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10.5.4</w:t>
      </w:r>
      <w:r>
        <w:rPr>
          <w:sz w:val="20"/>
          <w:szCs w:val="20"/>
          <w:color w:val="auto"/>
        </w:rPr>
        <w:tab/>
      </w:r>
      <w:r>
        <w:rPr>
          <w:rFonts w:ascii="Times New Roman" w:cs="Times New Roman" w:eastAsia="Times New Roman" w:hAnsi="Times New Roman"/>
          <w:sz w:val="20"/>
          <w:szCs w:val="20"/>
          <w:color w:val="auto"/>
        </w:rPr>
        <w:t>Management Fee and Corporate Allocation Agreement, dated as of November 20, 2014, by and among Wynn MA, LLC and Wynn Resorts, Limited.</w:t>
      </w:r>
    </w:p>
    <w:p>
      <w:pPr>
        <w:spacing w:after="0" w:line="83" w:lineRule="exact"/>
        <w:rPr>
          <w:sz w:val="20"/>
          <w:szCs w:val="20"/>
          <w:color w:val="auto"/>
        </w:rPr>
      </w:pPr>
    </w:p>
    <w:p>
      <w:pPr>
        <w:ind w:left="460" w:right="380" w:hanging="974"/>
        <w:spacing w:after="0" w:line="261" w:lineRule="auto"/>
        <w:tabs>
          <w:tab w:leader="none" w:pos="440" w:val="left"/>
        </w:tabs>
        <w:rPr>
          <w:sz w:val="20"/>
          <w:szCs w:val="20"/>
          <w:color w:val="auto"/>
        </w:rPr>
      </w:pPr>
      <w:r>
        <w:rPr>
          <w:rFonts w:ascii="Times New Roman" w:cs="Times New Roman" w:eastAsia="Times New Roman" w:hAnsi="Times New Roman"/>
          <w:sz w:val="20"/>
          <w:szCs w:val="20"/>
          <w:color w:val="auto"/>
        </w:rPr>
        <w:t>10.6.1</w:t>
      </w:r>
      <w:r>
        <w:rPr>
          <w:sz w:val="20"/>
          <w:szCs w:val="20"/>
          <w:color w:val="auto"/>
        </w:rPr>
        <w:tab/>
      </w:r>
      <w:r>
        <w:rPr>
          <w:rFonts w:ascii="Times New Roman" w:cs="Times New Roman" w:eastAsia="Times New Roman" w:hAnsi="Times New Roman"/>
          <w:sz w:val="19"/>
          <w:szCs w:val="19"/>
          <w:color w:val="auto"/>
        </w:rPr>
        <w:t>Intellectual Property License Agreement, dated as of September 19, 2009, by and among Wynn Resorts Holdings, LLC, Wynn Resorts, Limited and Wynn Macau, Limited.</w:t>
      </w:r>
    </w:p>
    <w:p>
      <w:pPr>
        <w:spacing w:after="0" w:line="64" w:lineRule="exact"/>
        <w:rPr>
          <w:sz w:val="20"/>
          <w:szCs w:val="20"/>
          <w:color w:val="auto"/>
        </w:rPr>
      </w:pPr>
    </w:p>
    <w:p>
      <w:pPr>
        <w:ind w:left="460" w:right="160" w:hanging="974"/>
        <w:spacing w:after="0" w:line="243" w:lineRule="auto"/>
        <w:tabs>
          <w:tab w:leader="none" w:pos="440" w:val="left"/>
        </w:tabs>
        <w:rPr>
          <w:sz w:val="20"/>
          <w:szCs w:val="20"/>
          <w:color w:val="auto"/>
        </w:rPr>
      </w:pPr>
      <w:r>
        <w:rPr>
          <w:rFonts w:ascii="Times New Roman" w:cs="Times New Roman" w:eastAsia="Times New Roman" w:hAnsi="Times New Roman"/>
          <w:sz w:val="20"/>
          <w:szCs w:val="20"/>
          <w:color w:val="auto"/>
        </w:rPr>
        <w:t>10.6.2</w:t>
      </w:r>
      <w:r>
        <w:rPr>
          <w:sz w:val="20"/>
          <w:szCs w:val="20"/>
          <w:color w:val="auto"/>
        </w:rPr>
        <w:tab/>
      </w:r>
      <w:r>
        <w:rPr>
          <w:rFonts w:ascii="Times New Roman" w:cs="Times New Roman" w:eastAsia="Times New Roman" w:hAnsi="Times New Roman"/>
          <w:sz w:val="20"/>
          <w:szCs w:val="20"/>
          <w:color w:val="auto"/>
        </w:rPr>
        <w:t>Amended and Restated Intellectual Property License Agreement, dated as of September 19, 2009, by and among Wynn Resorts Holdings, LLC, Wynn Resorts, Limited and Wynn Resorts (Macau), S.A.</w:t>
      </w:r>
    </w:p>
    <w:p>
      <w:pPr>
        <w:spacing w:after="0" w:line="80" w:lineRule="exact"/>
        <w:rPr>
          <w:sz w:val="20"/>
          <w:szCs w:val="20"/>
          <w:color w:val="auto"/>
        </w:rPr>
      </w:pPr>
    </w:p>
    <w:p>
      <w:pPr>
        <w:ind w:left="460" w:right="100" w:hanging="974"/>
        <w:spacing w:after="0" w:line="261" w:lineRule="auto"/>
        <w:tabs>
          <w:tab w:leader="none" w:pos="440" w:val="left"/>
        </w:tabs>
        <w:rPr>
          <w:sz w:val="20"/>
          <w:szCs w:val="20"/>
          <w:color w:val="auto"/>
        </w:rPr>
      </w:pPr>
      <w:r>
        <w:rPr>
          <w:rFonts w:ascii="Times New Roman" w:cs="Times New Roman" w:eastAsia="Times New Roman" w:hAnsi="Times New Roman"/>
          <w:sz w:val="20"/>
          <w:szCs w:val="20"/>
          <w:color w:val="auto"/>
        </w:rPr>
        <w:t>10.6.3</w:t>
      </w:r>
      <w:r>
        <w:rPr>
          <w:sz w:val="20"/>
          <w:szCs w:val="20"/>
          <w:color w:val="auto"/>
        </w:rPr>
        <w:tab/>
      </w:r>
      <w:r>
        <w:rPr>
          <w:rFonts w:ascii="Times New Roman" w:cs="Times New Roman" w:eastAsia="Times New Roman" w:hAnsi="Times New Roman"/>
          <w:sz w:val="19"/>
          <w:szCs w:val="19"/>
          <w:color w:val="auto"/>
        </w:rPr>
        <w:t>2015 Intellectual Property License Agreement, dated as of February 26, 2015, by and between Wynn Resorts Holdings, LLC, Wynn Resorts, Limited and Wynn Las Vegas, LLC.</w:t>
      </w:r>
    </w:p>
    <w:p>
      <w:pPr>
        <w:spacing w:after="0" w:line="64" w:lineRule="exact"/>
        <w:rPr>
          <w:sz w:val="20"/>
          <w:szCs w:val="20"/>
          <w:color w:val="auto"/>
        </w:rPr>
      </w:pPr>
    </w:p>
    <w:p>
      <w:pPr>
        <w:ind w:left="460" w:right="540" w:hanging="974"/>
        <w:spacing w:after="0" w:line="261" w:lineRule="auto"/>
        <w:tabs>
          <w:tab w:leader="none" w:pos="440" w:val="left"/>
        </w:tabs>
        <w:rPr>
          <w:sz w:val="20"/>
          <w:szCs w:val="20"/>
          <w:color w:val="auto"/>
        </w:rPr>
      </w:pPr>
      <w:r>
        <w:rPr>
          <w:rFonts w:ascii="Times New Roman" w:cs="Times New Roman" w:eastAsia="Times New Roman" w:hAnsi="Times New Roman"/>
          <w:sz w:val="20"/>
          <w:szCs w:val="20"/>
          <w:color w:val="auto"/>
        </w:rPr>
        <w:t>10.6.4</w:t>
      </w:r>
      <w:r>
        <w:rPr>
          <w:sz w:val="20"/>
          <w:szCs w:val="20"/>
          <w:color w:val="auto"/>
        </w:rPr>
        <w:tab/>
      </w:r>
      <w:r>
        <w:rPr>
          <w:rFonts w:ascii="Times New Roman" w:cs="Times New Roman" w:eastAsia="Times New Roman" w:hAnsi="Times New Roman"/>
          <w:sz w:val="19"/>
          <w:szCs w:val="19"/>
          <w:color w:val="auto"/>
        </w:rPr>
        <w:t>2014 Intellectual Property License Agreement, dated as of November 20, 2014, by and between Wynn Resorts Holdings, LLC, Wynn Resorts, Limited and Wynn MA, LLC.</w:t>
      </w:r>
    </w:p>
    <w:p>
      <w:pPr>
        <w:spacing w:after="0" w:line="64" w:lineRule="exact"/>
        <w:rPr>
          <w:sz w:val="20"/>
          <w:szCs w:val="20"/>
          <w:color w:val="auto"/>
        </w:rPr>
      </w:pPr>
    </w:p>
    <w:p>
      <w:pPr>
        <w:ind w:left="460" w:right="18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10.6.5</w:t>
      </w:r>
      <w:r>
        <w:rPr>
          <w:sz w:val="20"/>
          <w:szCs w:val="20"/>
          <w:color w:val="auto"/>
        </w:rPr>
        <w:tab/>
      </w:r>
      <w:r>
        <w:rPr>
          <w:rFonts w:ascii="Times New Roman" w:cs="Times New Roman" w:eastAsia="Times New Roman" w:hAnsi="Times New Roman"/>
          <w:sz w:val="20"/>
          <w:szCs w:val="20"/>
          <w:color w:val="auto"/>
        </w:rPr>
        <w:t>Surname Rights Agreement, dated as of August 6, 2004, by and between Stephen A. Wynn and Wynn Resorts Holdings, LLC.</w:t>
      </w:r>
    </w:p>
    <w:p>
      <w:pPr>
        <w:spacing w:after="0" w:line="83" w:lineRule="exact"/>
        <w:rPr>
          <w:sz w:val="20"/>
          <w:szCs w:val="20"/>
          <w:color w:val="auto"/>
        </w:rPr>
      </w:pPr>
    </w:p>
    <w:p>
      <w:pPr>
        <w:ind w:left="460" w:right="22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10.6.6</w:t>
      </w:r>
      <w:r>
        <w:rPr>
          <w:sz w:val="20"/>
          <w:szCs w:val="20"/>
          <w:color w:val="auto"/>
        </w:rPr>
        <w:tab/>
      </w:r>
      <w:r>
        <w:rPr>
          <w:rFonts w:ascii="Times New Roman" w:cs="Times New Roman" w:eastAsia="Times New Roman" w:hAnsi="Times New Roman"/>
          <w:sz w:val="20"/>
          <w:szCs w:val="20"/>
          <w:color w:val="auto"/>
        </w:rPr>
        <w:t>Rights of Publicity License, dated as of August 6, 2004, by and between Stephen A. Wynn and Wynn Resorts Holdings, LLC.</w:t>
      </w:r>
    </w:p>
    <w:p>
      <w:pPr>
        <w:spacing w:after="0" w:line="83" w:lineRule="exact"/>
        <w:rPr>
          <w:sz w:val="20"/>
          <w:szCs w:val="20"/>
          <w:color w:val="auto"/>
        </w:rPr>
      </w:pPr>
    </w:p>
    <w:p>
      <w:pPr>
        <w:ind w:left="460" w:right="4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10.6.7</w:t>
      </w:r>
      <w:r>
        <w:rPr>
          <w:sz w:val="20"/>
          <w:szCs w:val="20"/>
          <w:color w:val="auto"/>
        </w:rPr>
        <w:tab/>
      </w:r>
      <w:r>
        <w:rPr>
          <w:rFonts w:ascii="Times New Roman" w:cs="Times New Roman" w:eastAsia="Times New Roman" w:hAnsi="Times New Roman"/>
          <w:sz w:val="20"/>
          <w:szCs w:val="20"/>
          <w:color w:val="auto"/>
        </w:rPr>
        <w:t>Intellectual Property License Agreement, dated as of January 1, 2025, by and between Wynn NKH, LLC, and Wynn Macau, Limited.</w:t>
      </w:r>
    </w:p>
    <w:p>
      <w:pPr>
        <w:spacing w:after="0" w:line="83" w:lineRule="exact"/>
        <w:rPr>
          <w:sz w:val="20"/>
          <w:szCs w:val="20"/>
          <w:color w:val="auto"/>
        </w:rPr>
      </w:pPr>
    </w:p>
    <w:p>
      <w:pPr>
        <w:ind w:left="460" w:right="4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10.6.8</w:t>
      </w:r>
      <w:r>
        <w:rPr>
          <w:sz w:val="20"/>
          <w:szCs w:val="20"/>
          <w:color w:val="auto"/>
        </w:rPr>
        <w:tab/>
      </w:r>
      <w:r>
        <w:rPr>
          <w:rFonts w:ascii="Times New Roman" w:cs="Times New Roman" w:eastAsia="Times New Roman" w:hAnsi="Times New Roman"/>
          <w:sz w:val="20"/>
          <w:szCs w:val="20"/>
          <w:color w:val="auto"/>
        </w:rPr>
        <w:t>Intellectual Property License Agreement, dated as of January 1, 2025, by and between Wynn NKH, LLC, and Wynn Resorts (Macau), S.A.</w:t>
      </w:r>
    </w:p>
    <w:p>
      <w:pPr>
        <w:spacing w:after="0" w:line="83" w:lineRule="exact"/>
        <w:rPr>
          <w:sz w:val="20"/>
          <w:szCs w:val="20"/>
          <w:color w:val="auto"/>
        </w:rPr>
      </w:pPr>
    </w:p>
    <w:p>
      <w:pPr>
        <w:ind w:left="460" w:right="40" w:hanging="974"/>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10.6.9</w:t>
      </w:r>
      <w:r>
        <w:rPr>
          <w:sz w:val="20"/>
          <w:szCs w:val="20"/>
          <w:color w:val="auto"/>
        </w:rPr>
        <w:tab/>
      </w:r>
      <w:r>
        <w:rPr>
          <w:rFonts w:ascii="Times New Roman" w:cs="Times New Roman" w:eastAsia="Times New Roman" w:hAnsi="Times New Roman"/>
          <w:sz w:val="20"/>
          <w:szCs w:val="20"/>
          <w:color w:val="auto"/>
        </w:rPr>
        <w:t>Intellectual Property License Agreement, dated as of January 1, 2025, by and between Wynn Resorts, Holdings, LLC, Wynn Resorts, Limited and Wynn NKH, LLC.</w:t>
      </w:r>
    </w:p>
    <w:p>
      <w:pPr>
        <w:spacing w:after="0" w:line="83" w:lineRule="exact"/>
        <w:rPr>
          <w:sz w:val="20"/>
          <w:szCs w:val="20"/>
          <w:color w:val="auto"/>
        </w:rPr>
      </w:pPr>
    </w:p>
    <w:p>
      <w:pPr>
        <w:ind w:left="460" w:right="160" w:hanging="974"/>
        <w:spacing w:after="0" w:line="245" w:lineRule="auto"/>
        <w:tabs>
          <w:tab w:leader="none" w:pos="440" w:val="left"/>
        </w:tabs>
        <w:rPr>
          <w:sz w:val="20"/>
          <w:szCs w:val="20"/>
          <w:color w:val="auto"/>
        </w:rPr>
      </w:pPr>
      <w:r>
        <w:rPr>
          <w:rFonts w:ascii="Times New Roman" w:cs="Times New Roman" w:eastAsia="Times New Roman" w:hAnsi="Times New Roman"/>
          <w:sz w:val="20"/>
          <w:szCs w:val="20"/>
          <w:color w:val="auto"/>
        </w:rPr>
        <w:t>10.7.1</w:t>
      </w:r>
      <w:r>
        <w:rPr>
          <w:sz w:val="20"/>
          <w:szCs w:val="20"/>
          <w:color w:val="auto"/>
        </w:rPr>
        <w:tab/>
      </w:r>
      <w:r>
        <w:rPr>
          <w:rFonts w:ascii="Times New Roman" w:cs="Times New Roman" w:eastAsia="Times New Roman" w:hAnsi="Times New Roman"/>
          <w:sz w:val="20"/>
          <w:szCs w:val="20"/>
          <w:color w:val="auto"/>
        </w:rPr>
        <w:t>Second Amended and Restated Shareholders’ Agreement, dated June 21, 2024, by and among Wynn Resorts, Limited, RAK Hospitality Holding LLC, Al Marjan Island LLC, Wynn Resorts FZ-LLC, RAK HH IR FZ-LLC, AMI Island 3 IR FZ-LLC and Island 3 AMI FZ-LLC.</w:t>
      </w:r>
    </w:p>
    <w:p>
      <w:pPr>
        <w:spacing w:after="0" w:line="80" w:lineRule="exact"/>
        <w:rPr>
          <w:sz w:val="20"/>
          <w:szCs w:val="20"/>
          <w:color w:val="auto"/>
        </w:rPr>
      </w:pPr>
    </w:p>
    <w:p>
      <w:pPr>
        <w:ind w:left="460" w:right="580" w:hanging="1105"/>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+10.7.2.0</w:t>
      </w:r>
      <w:r>
        <w:rPr>
          <w:sz w:val="20"/>
          <w:szCs w:val="20"/>
          <w:color w:val="auto"/>
        </w:rPr>
        <w:tab/>
      </w:r>
      <w:r>
        <w:rPr>
          <w:rFonts w:ascii="Times New Roman" w:cs="Times New Roman" w:eastAsia="Times New Roman" w:hAnsi="Times New Roman"/>
          <w:sz w:val="20"/>
          <w:szCs w:val="20"/>
          <w:color w:val="auto"/>
        </w:rPr>
        <w:t>Employment Agreement, dated as of January 27, 2017 by and between Wynn Resorts, Limited and Craig Billings.</w:t>
      </w:r>
    </w:p>
    <w:p>
      <w:pPr>
        <w:spacing w:after="0" w:line="83" w:lineRule="exact"/>
        <w:rPr>
          <w:sz w:val="20"/>
          <w:szCs w:val="20"/>
          <w:color w:val="auto"/>
        </w:rPr>
      </w:pPr>
    </w:p>
    <w:p>
      <w:pPr>
        <w:ind w:left="460" w:right="300" w:hanging="1105"/>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+10.7.2.1</w:t>
      </w:r>
      <w:r>
        <w:rPr>
          <w:sz w:val="20"/>
          <w:szCs w:val="20"/>
          <w:color w:val="auto"/>
        </w:rPr>
        <w:tab/>
      </w:r>
      <w:r>
        <w:rPr>
          <w:rFonts w:ascii="Times New Roman" w:cs="Times New Roman" w:eastAsia="Times New Roman" w:hAnsi="Times New Roman"/>
          <w:sz w:val="20"/>
          <w:szCs w:val="20"/>
          <w:color w:val="auto"/>
        </w:rPr>
        <w:t>First Amendment to Employment Agreement, dated as of April 17, 2018, by and between Wynn Resorts, Limited and Craig S. Billings.</w:t>
      </w:r>
    </w:p>
    <w:p>
      <w:pPr>
        <w:spacing w:after="0" w:line="83" w:lineRule="exact"/>
        <w:rPr>
          <w:sz w:val="20"/>
          <w:szCs w:val="20"/>
          <w:color w:val="auto"/>
        </w:rPr>
      </w:pPr>
    </w:p>
    <w:p>
      <w:pPr>
        <w:ind w:left="460" w:right="140" w:hanging="1105"/>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+10.7.2.2</w:t>
      </w:r>
      <w:r>
        <w:rPr>
          <w:sz w:val="20"/>
          <w:szCs w:val="20"/>
          <w:color w:val="auto"/>
        </w:rPr>
        <w:tab/>
      </w:r>
      <w:r>
        <w:rPr>
          <w:rFonts w:ascii="Times New Roman" w:cs="Times New Roman" w:eastAsia="Times New Roman" w:hAnsi="Times New Roman"/>
          <w:sz w:val="20"/>
          <w:szCs w:val="20"/>
          <w:color w:val="auto"/>
        </w:rPr>
        <w:t>Second Amendment to Employment Agreement, dated as of May 29, 2019, by and between Wynn Resorts, Limited and Craig Billings.</w:t>
      </w:r>
    </w:p>
    <w:p>
      <w:pPr>
        <w:spacing w:after="0" w:line="83" w:lineRule="exact"/>
        <w:rPr>
          <w:sz w:val="20"/>
          <w:szCs w:val="20"/>
          <w:color w:val="auto"/>
        </w:rPr>
      </w:pPr>
    </w:p>
    <w:p>
      <w:pPr>
        <w:ind w:left="460" w:right="240" w:hanging="1105"/>
        <w:spacing w:after="0" w:line="238" w:lineRule="auto"/>
        <w:tabs>
          <w:tab w:leader="none" w:pos="440" w:val="left"/>
        </w:tabs>
        <w:rPr>
          <w:sz w:val="20"/>
          <w:szCs w:val="20"/>
          <w:color w:val="auto"/>
        </w:rPr>
      </w:pPr>
      <w:r>
        <w:rPr>
          <w:rFonts w:ascii="Times New Roman" w:cs="Times New Roman" w:eastAsia="Times New Roman" w:hAnsi="Times New Roman"/>
          <w:sz w:val="20"/>
          <w:szCs w:val="20"/>
          <w:color w:val="auto"/>
        </w:rPr>
        <w:t>+10.7.2.3</w:t>
      </w:r>
      <w:r>
        <w:rPr>
          <w:sz w:val="20"/>
          <w:szCs w:val="20"/>
          <w:color w:val="auto"/>
        </w:rPr>
        <w:tab/>
      </w:r>
      <w:r>
        <w:rPr>
          <w:rFonts w:ascii="Times New Roman" w:cs="Times New Roman" w:eastAsia="Times New Roman" w:hAnsi="Times New Roman"/>
          <w:sz w:val="20"/>
          <w:szCs w:val="20"/>
          <w:color w:val="auto"/>
        </w:rPr>
        <w:t>Third Amended and Restated Employment Agreement dated as of January 1, 2021, by and between Wynn Resorts, Limited and Craig S. Billings.</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200" w:lineRule="exact"/>
        <w:rPr>
          <w:sz w:val="20"/>
          <w:szCs w:val="20"/>
          <w:color w:val="auto"/>
        </w:rPr>
      </w:pPr>
    </w:p>
    <w:p>
      <w:pPr>
        <w:spacing w:after="0" w:line="34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2/29/2016</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200" w:lineRule="exact"/>
        <w:rPr>
          <w:sz w:val="20"/>
          <w:szCs w:val="20"/>
          <w:color w:val="auto"/>
        </w:rPr>
      </w:pPr>
    </w:p>
    <w:p>
      <w:pPr>
        <w:spacing w:after="0" w:line="3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5/8/2015</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2/29/2016</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0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0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0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0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5/4/2017</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5/9/2018</w:t>
      </w:r>
    </w:p>
    <w:p>
      <w:pPr>
        <w:spacing w:after="0" w:line="3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8/8/2019</w:t>
      </w:r>
    </w:p>
    <w:p>
      <w:pPr>
        <w:spacing w:after="0" w:line="30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2/26/2021</w:t>
      </w:r>
    </w:p>
    <w:p>
      <w:pPr>
        <w:spacing w:after="0" w:line="439" w:lineRule="exact"/>
        <w:rPr>
          <w:sz w:val="20"/>
          <w:szCs w:val="20"/>
          <w:color w:val="auto"/>
        </w:rPr>
      </w:pPr>
    </w:p>
    <w:p>
      <w:pPr>
        <w:sectPr>
          <w:pgSz w:w="11880" w:h="15480" w:orient="portrait"/>
          <w:cols w:equalWidth="0" w:num="2">
            <w:col w:w="7940" w:space="240"/>
            <w:col w:w="1420"/>
          </w:cols>
          <w:pgMar w:left="1440" w:top="662" w:right="840" w:bottom="3" w:gutter="0" w:footer="0" w:header="0"/>
        </w:sectPr>
      </w:pPr>
    </w:p>
    <w:p>
      <w:pPr>
        <w:spacing w:after="0" w:line="5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9600"/>
          </w:cols>
          <w:pgMar w:left="1440" w:top="662" w:right="840" w:bottom="3" w:gutter="0" w:footer="0" w:header="0"/>
          <w:type w:val="continuous"/>
        </w:sectPr>
      </w:pPr>
    </w:p>
    <w:bookmarkStart w:id="118" w:name="page119"/>
    <w:bookmarkEnd w:id="118"/>
    <w:p>
      <w:pPr>
        <w:spacing w:after="0" w:line="13" w:lineRule="exact"/>
        <w:rPr>
          <w:sz w:val="20"/>
          <w:szCs w:val="20"/>
          <w:color w:val="auto"/>
        </w:rPr>
      </w:pPr>
    </w:p>
    <w:p>
      <w:pPr>
        <w:ind w:left="1020" w:right="32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+10.7.2.4</w:t>
      </w:r>
      <w:r>
        <w:rPr>
          <w:sz w:val="20"/>
          <w:szCs w:val="20"/>
          <w:color w:val="auto"/>
        </w:rPr>
        <w:tab/>
      </w:r>
      <w:r>
        <w:rPr>
          <w:rFonts w:ascii="Times New Roman" w:cs="Times New Roman" w:eastAsia="Times New Roman" w:hAnsi="Times New Roman"/>
          <w:sz w:val="20"/>
          <w:szCs w:val="20"/>
          <w:color w:val="auto"/>
        </w:rPr>
        <w:t>Fourth Amended and Restated Employment Agreement dated as of May 24, 2021, by and between Wynn Resorts, Limited and Craig S. Billings.</w:t>
      </w:r>
    </w:p>
    <w:p>
      <w:pPr>
        <w:spacing w:after="0" w:line="84" w:lineRule="exact"/>
        <w:rPr>
          <w:sz w:val="20"/>
          <w:szCs w:val="20"/>
          <w:color w:val="auto"/>
        </w:rPr>
      </w:pPr>
    </w:p>
    <w:p>
      <w:pPr>
        <w:ind w:left="1020" w:right="18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+10.7.2.5</w:t>
      </w:r>
      <w:r>
        <w:rPr>
          <w:sz w:val="20"/>
          <w:szCs w:val="20"/>
          <w:color w:val="auto"/>
        </w:rPr>
        <w:tab/>
      </w:r>
      <w:r>
        <w:rPr>
          <w:rFonts w:ascii="Times New Roman" w:cs="Times New Roman" w:eastAsia="Times New Roman" w:hAnsi="Times New Roman"/>
          <w:sz w:val="20"/>
          <w:szCs w:val="20"/>
          <w:color w:val="auto"/>
        </w:rPr>
        <w:t>Employment Agreement, dated November 9, 2021, by and between Wynn Resorts, Limited and Craig S. Billings.</w:t>
      </w:r>
    </w:p>
    <w:p>
      <w:pPr>
        <w:spacing w:after="0" w:line="84" w:lineRule="exact"/>
        <w:rPr>
          <w:sz w:val="20"/>
          <w:szCs w:val="20"/>
          <w:color w:val="auto"/>
        </w:rPr>
      </w:pPr>
    </w:p>
    <w:p>
      <w:pPr>
        <w:ind w:left="1020" w:right="48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+10.7.2.6</w:t>
      </w:r>
      <w:r>
        <w:rPr>
          <w:sz w:val="20"/>
          <w:szCs w:val="20"/>
          <w:color w:val="auto"/>
        </w:rPr>
        <w:tab/>
      </w:r>
      <w:r>
        <w:rPr>
          <w:rFonts w:ascii="Times New Roman" w:cs="Times New Roman" w:eastAsia="Times New Roman" w:hAnsi="Times New Roman"/>
          <w:sz w:val="20"/>
          <w:szCs w:val="20"/>
          <w:color w:val="auto"/>
        </w:rPr>
        <w:t>First Amendment to Employment Agreement, dated as of June 1, 2023, by and between Wynn Resorts, Limited and Craig S. Billings.</w:t>
      </w:r>
    </w:p>
    <w:p>
      <w:pPr>
        <w:spacing w:after="0" w:line="84" w:lineRule="exact"/>
        <w:rPr>
          <w:sz w:val="20"/>
          <w:szCs w:val="20"/>
          <w:color w:val="auto"/>
        </w:rPr>
      </w:pPr>
    </w:p>
    <w:p>
      <w:pPr>
        <w:ind w:left="102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+10.7.3.0</w:t>
      </w:r>
      <w:r>
        <w:rPr>
          <w:sz w:val="20"/>
          <w:szCs w:val="20"/>
          <w:color w:val="auto"/>
        </w:rPr>
        <w:tab/>
      </w:r>
      <w:r>
        <w:rPr>
          <w:rFonts w:ascii="Times New Roman" w:cs="Times New Roman" w:eastAsia="Times New Roman" w:hAnsi="Times New Roman"/>
          <w:sz w:val="20"/>
          <w:szCs w:val="20"/>
          <w:color w:val="auto"/>
        </w:rPr>
        <w:t>Employment Agreement, dated as of August 2, 2018, by and between Wynn Resorts, Limited and Ellen Whittemore.</w:t>
      </w:r>
    </w:p>
    <w:p>
      <w:pPr>
        <w:spacing w:after="0" w:line="84" w:lineRule="exact"/>
        <w:rPr>
          <w:sz w:val="20"/>
          <w:szCs w:val="20"/>
          <w:color w:val="auto"/>
        </w:rPr>
      </w:pPr>
    </w:p>
    <w:p>
      <w:pPr>
        <w:ind w:left="1020" w:right="38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+10.7.3.1</w:t>
      </w:r>
      <w:r>
        <w:rPr>
          <w:sz w:val="20"/>
          <w:szCs w:val="20"/>
          <w:color w:val="auto"/>
        </w:rPr>
        <w:tab/>
      </w:r>
      <w:r>
        <w:rPr>
          <w:rFonts w:ascii="Times New Roman" w:cs="Times New Roman" w:eastAsia="Times New Roman" w:hAnsi="Times New Roman"/>
          <w:sz w:val="20"/>
          <w:szCs w:val="20"/>
          <w:color w:val="auto"/>
        </w:rPr>
        <w:t>First Amendment to Employment Agreement, dated as of May 29, 2019, by and between Wynn Resorts, Limited and Ellen Whittemore.</w:t>
      </w:r>
    </w:p>
    <w:p>
      <w:pPr>
        <w:spacing w:after="0" w:line="84" w:lineRule="exact"/>
        <w:rPr>
          <w:sz w:val="20"/>
          <w:szCs w:val="20"/>
          <w:color w:val="auto"/>
        </w:rPr>
      </w:pPr>
    </w:p>
    <w:p>
      <w:pPr>
        <w:ind w:left="1020" w:right="10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+10.7.3.2</w:t>
      </w:r>
      <w:r>
        <w:rPr>
          <w:sz w:val="20"/>
          <w:szCs w:val="20"/>
          <w:color w:val="auto"/>
        </w:rPr>
        <w:tab/>
      </w:r>
      <w:r>
        <w:rPr>
          <w:rFonts w:ascii="Times New Roman" w:cs="Times New Roman" w:eastAsia="Times New Roman" w:hAnsi="Times New Roman"/>
          <w:sz w:val="20"/>
          <w:szCs w:val="20"/>
          <w:color w:val="auto"/>
        </w:rPr>
        <w:t>Second Amended and Restated Employment Agreement dated as of January 1, 2021, by and between Wynn Resorts, Limited and Ellen F. Whittemore.</w:t>
      </w:r>
    </w:p>
    <w:p>
      <w:pPr>
        <w:spacing w:after="0" w:line="84" w:lineRule="exact"/>
        <w:rPr>
          <w:sz w:val="20"/>
          <w:szCs w:val="20"/>
          <w:color w:val="auto"/>
        </w:rPr>
      </w:pPr>
    </w:p>
    <w:p>
      <w:pPr>
        <w:ind w:left="1020" w:right="16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+10.7.3.3</w:t>
      </w:r>
      <w:r>
        <w:rPr>
          <w:sz w:val="20"/>
          <w:szCs w:val="20"/>
          <w:color w:val="auto"/>
        </w:rPr>
        <w:tab/>
      </w:r>
      <w:r>
        <w:rPr>
          <w:rFonts w:ascii="Times New Roman" w:cs="Times New Roman" w:eastAsia="Times New Roman" w:hAnsi="Times New Roman"/>
          <w:sz w:val="20"/>
          <w:szCs w:val="20"/>
          <w:color w:val="auto"/>
        </w:rPr>
        <w:t>Third Amended and Restated Employment Agreement dated as of January 12, 2022, by and between Wynn Resorts, Limited and Ellen F. Whittemore.</w:t>
      </w:r>
    </w:p>
    <w:p>
      <w:pPr>
        <w:spacing w:after="0" w:line="84" w:lineRule="exact"/>
        <w:rPr>
          <w:sz w:val="20"/>
          <w:szCs w:val="20"/>
          <w:color w:val="auto"/>
        </w:rPr>
      </w:pPr>
    </w:p>
    <w:p>
      <w:pPr>
        <w:ind w:left="1020" w:right="50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+10.7.4.0</w:t>
      </w:r>
      <w:r>
        <w:rPr>
          <w:sz w:val="20"/>
          <w:szCs w:val="20"/>
          <w:color w:val="auto"/>
        </w:rPr>
        <w:tab/>
      </w:r>
      <w:r>
        <w:rPr>
          <w:rFonts w:ascii="Times New Roman" w:cs="Times New Roman" w:eastAsia="Times New Roman" w:hAnsi="Times New Roman"/>
          <w:sz w:val="20"/>
          <w:szCs w:val="20"/>
          <w:color w:val="auto"/>
        </w:rPr>
        <w:t>Employment Agreement, dated as of December 7, 2021 by and between Wynn Resorts, Limited and Julie Cameron-Doe.</w:t>
      </w:r>
    </w:p>
    <w:p>
      <w:pPr>
        <w:spacing w:after="0" w:line="84" w:lineRule="exact"/>
        <w:rPr>
          <w:sz w:val="20"/>
          <w:szCs w:val="20"/>
          <w:color w:val="auto"/>
        </w:rPr>
      </w:pPr>
    </w:p>
    <w:p>
      <w:pPr>
        <w:ind w:left="1020" w:right="32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+10.7.4.1</w:t>
      </w:r>
      <w:r>
        <w:rPr>
          <w:sz w:val="20"/>
          <w:szCs w:val="20"/>
          <w:color w:val="auto"/>
        </w:rPr>
        <w:tab/>
      </w:r>
      <w:r>
        <w:rPr>
          <w:rFonts w:ascii="Times New Roman" w:cs="Times New Roman" w:eastAsia="Times New Roman" w:hAnsi="Times New Roman"/>
          <w:sz w:val="20"/>
          <w:szCs w:val="20"/>
          <w:color w:val="auto"/>
        </w:rPr>
        <w:t>First Amendment to Employment Agreement, dated as of April 13, 2022, by and between Wynn Resorts, Limited and Julie Cameron-Doe.</w:t>
      </w:r>
    </w:p>
    <w:p>
      <w:pPr>
        <w:spacing w:after="0" w:line="84" w:lineRule="exact"/>
        <w:rPr>
          <w:sz w:val="20"/>
          <w:szCs w:val="20"/>
          <w:color w:val="auto"/>
        </w:rPr>
      </w:pPr>
    </w:p>
    <w:p>
      <w:pPr>
        <w:ind w:left="1020" w:right="26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+10.7.4.2</w:t>
      </w:r>
      <w:r>
        <w:rPr>
          <w:sz w:val="20"/>
          <w:szCs w:val="20"/>
          <w:color w:val="auto"/>
        </w:rPr>
        <w:tab/>
      </w:r>
      <w:r>
        <w:rPr>
          <w:rFonts w:ascii="Times New Roman" w:cs="Times New Roman" w:eastAsia="Times New Roman" w:hAnsi="Times New Roman"/>
          <w:sz w:val="20"/>
          <w:szCs w:val="20"/>
          <w:color w:val="auto"/>
        </w:rPr>
        <w:t>Second Amendment to Employment Agreement, dated as of June 1, 2023, by and between Wynn Resorts, Limited and Julie Cameron-Doe.</w:t>
      </w:r>
    </w:p>
    <w:p>
      <w:pPr>
        <w:spacing w:after="0" w:line="84" w:lineRule="exact"/>
        <w:rPr>
          <w:sz w:val="20"/>
          <w:szCs w:val="20"/>
          <w:color w:val="auto"/>
        </w:rPr>
      </w:pPr>
    </w:p>
    <w:p>
      <w:pPr>
        <w:ind w:left="1020" w:right="36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+10.7.5.1</w:t>
      </w:r>
      <w:r>
        <w:rPr>
          <w:sz w:val="20"/>
          <w:szCs w:val="20"/>
          <w:color w:val="auto"/>
        </w:rPr>
        <w:tab/>
      </w:r>
      <w:r>
        <w:rPr>
          <w:rFonts w:ascii="Times New Roman" w:cs="Times New Roman" w:eastAsia="Times New Roman" w:hAnsi="Times New Roman"/>
          <w:sz w:val="20"/>
          <w:szCs w:val="20"/>
          <w:color w:val="auto"/>
        </w:rPr>
        <w:t>Employment Agreement, dated as of September 15, 2024 by and between Wynn Resorts, Limited and Jacqui Krum.</w:t>
      </w:r>
    </w:p>
    <w:p>
      <w:pPr>
        <w:spacing w:after="0" w:line="84" w:lineRule="exact"/>
        <w:rPr>
          <w:sz w:val="20"/>
          <w:szCs w:val="20"/>
          <w:color w:val="auto"/>
        </w:rPr>
      </w:pPr>
    </w:p>
    <w:p>
      <w:pPr>
        <w:ind w:left="1020" w:right="660" w:hanging="1105"/>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+10.7.5.2</w:t>
      </w:r>
      <w:r>
        <w:rPr>
          <w:sz w:val="20"/>
          <w:szCs w:val="20"/>
          <w:color w:val="auto"/>
        </w:rPr>
        <w:tab/>
      </w:r>
      <w:r>
        <w:rPr>
          <w:rFonts w:ascii="Times New Roman" w:cs="Times New Roman" w:eastAsia="Times New Roman" w:hAnsi="Times New Roman"/>
          <w:sz w:val="20"/>
          <w:szCs w:val="20"/>
          <w:color w:val="auto"/>
        </w:rPr>
        <w:t>First Amendment to Employment Agreement, dated as of November 25, 2024 by and between Wynn Resorts, Limited and Jacqui Krum.</w:t>
      </w:r>
    </w:p>
    <w:p>
      <w:pPr>
        <w:spacing w:after="0" w:line="7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Amended and Restated 2014 Omnibus Incentive Plan, dated January 1, 2017.</w:t>
      </w:r>
    </w:p>
    <w:p>
      <w:pPr>
        <w:spacing w:after="0" w:line="7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color w:val="auto"/>
        </w:rPr>
        <w:t>Second Amended and Restated 2014 Omnibus Incentive Plan</w:t>
      </w:r>
    </w:p>
    <w:p>
      <w:pPr>
        <w:spacing w:after="0" w:line="83" w:lineRule="exact"/>
        <w:rPr>
          <w:sz w:val="20"/>
          <w:szCs w:val="20"/>
          <w:color w:val="auto"/>
        </w:rPr>
      </w:pPr>
    </w:p>
    <w:p>
      <w:pPr>
        <w:ind w:left="1020" w:right="60" w:hanging="949"/>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Cooperation Agreement, dated as of August 3, 2018, by and between Wynn Resorts, Limited and Elaine P. Wynn.</w:t>
      </w:r>
    </w:p>
    <w:p>
      <w:pPr>
        <w:spacing w:after="0" w:line="84" w:lineRule="exact"/>
        <w:rPr>
          <w:sz w:val="20"/>
          <w:szCs w:val="20"/>
          <w:color w:val="auto"/>
        </w:rPr>
      </w:pPr>
    </w:p>
    <w:p>
      <w:pPr>
        <w:jc w:val="both"/>
        <w:ind w:left="1020" w:right="220" w:hanging="949"/>
        <w:spacing w:after="0" w:line="243" w:lineRule="auto"/>
        <w:tabs>
          <w:tab w:leader="none" w:pos="10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Second Amended and Restated Shareholders’ Agreement, dated as of January 14, 2016, by and among Wynn Resorts (Macau), Ltd., Wynn Resorts International, Ltd., Chen Chi Ling Linda and Wynn Resorts (Macau), S.A.</w:t>
      </w:r>
    </w:p>
    <w:p>
      <w:pPr>
        <w:spacing w:after="0" w:line="6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Form of Indemnity Agreement.</w:t>
      </w:r>
    </w:p>
    <w:p>
      <w:pPr>
        <w:spacing w:after="0" w:line="7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color w:val="auto"/>
        </w:rPr>
        <w:t>Wynn Resorts, Limited Executive Retirement Plan</w:t>
      </w:r>
    </w:p>
    <w:p>
      <w:pPr>
        <w:spacing w:after="0" w:line="83" w:lineRule="exact"/>
        <w:rPr>
          <w:sz w:val="20"/>
          <w:szCs w:val="20"/>
          <w:color w:val="auto"/>
        </w:rPr>
      </w:pPr>
    </w:p>
    <w:p>
      <w:pPr>
        <w:ind w:left="1020" w:right="40" w:hanging="949"/>
        <w:spacing w:after="0" w:line="245" w:lineRule="auto"/>
        <w:tabs>
          <w:tab w:leader="none" w:pos="100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Guarantee, dated as of February 5, 2025, between the Government of Ras Al Khaimah acting through the Investment and Development Office of Ras Al Khaimah and Wynn Resorts, Limited in favor of First Abu Dhabi Bank PJSC for itself and as security agent for the other Secured Parties.</w:t>
      </w:r>
    </w:p>
    <w:p>
      <w:pPr>
        <w:spacing w:after="0" w:line="68"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color w:val="auto"/>
        </w:rPr>
        <w:t>Wynn Resorts, Limited Insider Trading Policy.</w:t>
      </w:r>
    </w:p>
    <w:p>
      <w:pPr>
        <w:spacing w:after="0" w:line="70"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Subsidiaries of the Registrant.</w:t>
      </w:r>
    </w:p>
    <w:p>
      <w:pPr>
        <w:spacing w:after="0" w:line="70"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20"/>
          <w:szCs w:val="20"/>
          <w:color w:val="auto"/>
        </w:rPr>
        <w:t>Consent of Ernst &amp; Young LLP, Independent Registered Accounting Firm.</w:t>
      </w:r>
    </w:p>
    <w:p>
      <w:pPr>
        <w:spacing w:after="0" w:line="83" w:lineRule="exact"/>
        <w:rPr>
          <w:sz w:val="20"/>
          <w:szCs w:val="20"/>
          <w:color w:val="auto"/>
        </w:rPr>
      </w:pPr>
    </w:p>
    <w:p>
      <w:pPr>
        <w:ind w:left="1020" w:right="80" w:hanging="899"/>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auto"/>
        </w:rPr>
        <w:t>Certification of Chief Executive Officer of Periodic Report Pursuant to Rule 13a – 14(a) and Rule 15d – 14(a).</w:t>
      </w:r>
    </w:p>
    <w:p>
      <w:pPr>
        <w:spacing w:after="0" w:line="84" w:lineRule="exact"/>
        <w:rPr>
          <w:sz w:val="20"/>
          <w:szCs w:val="20"/>
          <w:color w:val="auto"/>
        </w:rPr>
      </w:pPr>
    </w:p>
    <w:p>
      <w:pPr>
        <w:ind w:left="1020" w:right="160" w:hanging="899"/>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auto"/>
        </w:rPr>
        <w:t>Certification of Chief Financial Officer of Periodic Report pursuant to Rule 13a – 14(a) and Rule 15d – 14(a).</w:t>
      </w:r>
    </w:p>
    <w:p>
      <w:pPr>
        <w:spacing w:after="0" w:line="84" w:lineRule="exact"/>
        <w:rPr>
          <w:sz w:val="20"/>
          <w:szCs w:val="20"/>
          <w:color w:val="auto"/>
        </w:rPr>
      </w:pPr>
    </w:p>
    <w:p>
      <w:pPr>
        <w:ind w:left="1020" w:right="260" w:hanging="835"/>
        <w:spacing w:after="0" w:line="238" w:lineRule="auto"/>
        <w:tabs>
          <w:tab w:leader="none" w:pos="10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Certification of Chief Executive Officer and Chief Financial Officer pursuant to 18 U.S.C. Section 1350 (furnished herewith)</w:t>
      </w:r>
    </w:p>
    <w:p>
      <w:pPr>
        <w:spacing w:after="0" w:line="71" w:lineRule="exact"/>
        <w:rPr>
          <w:sz w:val="20"/>
          <w:szCs w:val="20"/>
          <w:color w:val="auto"/>
        </w:rPr>
      </w:pPr>
    </w:p>
    <w:p>
      <w:pPr>
        <w:ind w:left="180"/>
        <w:spacing w:after="0"/>
        <w:tabs>
          <w:tab w:leader="none" w:pos="100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20"/>
          <w:szCs w:val="20"/>
          <w:color w:val="auto"/>
        </w:rPr>
        <w:t>Wynn Resorts, Limited Clawback Policy</w:t>
      </w:r>
    </w:p>
    <w:p>
      <w:pPr>
        <w:spacing w:after="0" w:line="20" w:lineRule="exact"/>
        <w:rPr>
          <w:sz w:val="20"/>
          <w:szCs w:val="20"/>
          <w:color w:val="auto"/>
        </w:rPr>
      </w:pPr>
      <w:r>
        <w:rPr>
          <w:sz w:val="20"/>
          <w:szCs w:val="20"/>
          <w:color w:val="auto"/>
        </w:rPr>
        <w:br w:type="column"/>
      </w:r>
    </w:p>
    <w:p>
      <w:pPr>
        <w:ind w:left="40"/>
        <w:spacing w:after="0"/>
        <w:tabs>
          <w:tab w:leader="none" w:pos="580" w:val="left"/>
        </w:tabs>
        <w:rPr>
          <w:sz w:val="20"/>
          <w:szCs w:val="20"/>
          <w:color w:val="auto"/>
        </w:rPr>
      </w:pPr>
      <w:r>
        <w:rPr>
          <w:rFonts w:ascii="Times New Roman" w:cs="Times New Roman" w:eastAsia="Times New Roman" w:hAnsi="Times New Roman"/>
          <w:sz w:val="20"/>
          <w:szCs w:val="20"/>
          <w:color w:val="auto"/>
        </w:rPr>
        <w:t>8-K</w:t>
        <w:tab/>
        <w:t>5/24/2021</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11/9/2021</w:t>
      </w:r>
    </w:p>
    <w:p>
      <w:pPr>
        <w:spacing w:after="0" w:line="31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6/2/2023</w:t>
      </w:r>
    </w:p>
    <w:p>
      <w:pPr>
        <w:spacing w:after="0" w:line="3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8/8/2018</w:t>
      </w:r>
    </w:p>
    <w:p>
      <w:pPr>
        <w:spacing w:after="0" w:line="3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8/8/2019</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2/26/2021</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2/28/2022</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2/28/2022</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5/10/2022</w:t>
      </w:r>
    </w:p>
    <w:p>
      <w:pPr>
        <w:spacing w:after="0" w:line="31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6/2/2023</w:t>
      </w:r>
    </w:p>
    <w:p>
      <w:pPr>
        <w:spacing w:after="0" w:line="3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2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20"/>
          <w:szCs w:val="20"/>
          <w:color w:val="auto"/>
        </w:rPr>
        <w:t>10-Q 2/24/2017 S-8 8/12/2024 10-Q 8/6/2018</w:t>
      </w:r>
    </w:p>
    <w:p>
      <w:pPr>
        <w:spacing w:after="0" w:line="24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2/28/2018</w:t>
      </w:r>
    </w:p>
    <w:p>
      <w:pPr>
        <w:spacing w:after="0" w:line="200" w:lineRule="exact"/>
        <w:rPr>
          <w:sz w:val="20"/>
          <w:szCs w:val="20"/>
          <w:color w:val="auto"/>
        </w:rPr>
      </w:pPr>
    </w:p>
    <w:p>
      <w:pPr>
        <w:spacing w:after="0" w:line="35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10-Q</w:t>
        <w:tab/>
        <w:t>9/18/2002</w:t>
      </w:r>
    </w:p>
    <w:p>
      <w:pPr>
        <w:spacing w:after="0" w:line="7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2/23/2024</w:t>
      </w:r>
    </w:p>
    <w:p>
      <w:pPr>
        <w:spacing w:after="0" w:line="7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2/6/2025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w:t>
      </w:r>
    </w:p>
    <w:p>
      <w:pPr>
        <w:spacing w:after="0" w:line="31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10-K</w:t>
        <w:tab/>
        <w:t>2/23/2024</w:t>
      </w:r>
    </w:p>
    <w:p>
      <w:pPr>
        <w:spacing w:after="0" w:line="200" w:lineRule="exact"/>
        <w:rPr>
          <w:sz w:val="20"/>
          <w:szCs w:val="20"/>
          <w:color w:val="auto"/>
        </w:rPr>
      </w:pPr>
    </w:p>
    <w:p>
      <w:pPr>
        <w:sectPr>
          <w:pgSz w:w="11880" w:h="15480" w:orient="portrait"/>
          <w:cols w:equalWidth="0" w:num="2">
            <w:col w:w="8520" w:space="220"/>
            <w:col w:w="1420"/>
          </w:cols>
          <w:pgMar w:left="88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10160"/>
          </w:cols>
          <w:pgMar w:left="880" w:top="662" w:right="840" w:bottom="3" w:gutter="0" w:footer="0" w:header="0"/>
          <w:type w:val="continuous"/>
        </w:sectPr>
      </w:pPr>
    </w:p>
    <w:bookmarkStart w:id="119" w:name="page120"/>
    <w:bookmarkEnd w:id="119"/>
    <w:p>
      <w:pPr>
        <w:ind w:left="1060" w:hanging="879"/>
        <w:spacing w:after="0" w:line="238" w:lineRule="auto"/>
        <w:tabs>
          <w:tab w:leader="none" w:pos="10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The following material from Wynn Resorts, Limited’s Annual Report on Form 10-K, 10-K * formatted in Inline XBRL (Inline Extensible Business Reporting Language): (i) the</w:t>
      </w:r>
    </w:p>
    <w:p>
      <w:pPr>
        <w:spacing w:after="0" w:line="24" w:lineRule="exact"/>
        <w:rPr>
          <w:sz w:val="20"/>
          <w:szCs w:val="20"/>
          <w:color w:val="auto"/>
        </w:rPr>
      </w:pPr>
    </w:p>
    <w:p>
      <w:pPr>
        <w:ind w:left="1060" w:right="1340"/>
        <w:spacing w:after="0" w:line="263" w:lineRule="auto"/>
        <w:rPr>
          <w:sz w:val="20"/>
          <w:szCs w:val="20"/>
          <w:color w:val="auto"/>
        </w:rPr>
      </w:pPr>
      <w:r>
        <w:rPr>
          <w:rFonts w:ascii="Times New Roman" w:cs="Times New Roman" w:eastAsia="Times New Roman" w:hAnsi="Times New Roman"/>
          <w:sz w:val="19"/>
          <w:szCs w:val="19"/>
          <w:color w:val="auto"/>
        </w:rPr>
        <w:t>Consolidated Balance Sheets as of December 31, 2024 and December 31, 2023; (ii) the Consolidated Statements of Operations for the years ended December 31, 2024, 2023, and 2022; (iii) the Consolidated Statements of Comprehensive Income (Loss) for the years ended December 31, 2024, 2023, and 2022; (iv) the Consolidated Statements of Stockholders’ Deficit for the years ended December 31, 2024, 2023, and 2022; (v) the Consolidated Statements of Cash Flows for the years ended December 31, 2024, 2023 and 2022; and</w:t>
      </w:r>
    </w:p>
    <w:p>
      <w:pPr>
        <w:spacing w:after="0" w:line="4" w:lineRule="exact"/>
        <w:rPr>
          <w:sz w:val="20"/>
          <w:szCs w:val="20"/>
          <w:color w:val="auto"/>
        </w:rPr>
      </w:pPr>
    </w:p>
    <w:p>
      <w:pPr>
        <w:ind w:left="1060" w:right="1480" w:hanging="10"/>
        <w:spacing w:after="0" w:line="243" w:lineRule="auto"/>
        <w:tabs>
          <w:tab w:leader="none" w:pos="139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 The instance document does not appear in the Interactive Data File because its XBRL tags are embedded within the Inline XBRL document.</w:t>
      </w:r>
    </w:p>
    <w:p>
      <w:pPr>
        <w:spacing w:after="0" w:line="81" w:lineRule="exact"/>
        <w:rPr>
          <w:sz w:val="20"/>
          <w:szCs w:val="20"/>
          <w:color w:val="auto"/>
        </w:rPr>
      </w:pPr>
    </w:p>
    <w:p>
      <w:pPr>
        <w:ind w:left="1060" w:right="1260" w:hanging="885"/>
        <w:spacing w:after="0" w:line="238" w:lineRule="auto"/>
        <w:tabs>
          <w:tab w:leader="none" w:pos="106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 The cover page XBRL tags are embedded within the Inline XBRL document.</w:t>
      </w:r>
    </w:p>
    <w:p>
      <w:pPr>
        <w:spacing w:after="0" w:line="250"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50" w:lineRule="exact"/>
        <w:rPr>
          <w:sz w:val="20"/>
          <w:szCs w:val="20"/>
          <w:color w:val="auto"/>
        </w:rPr>
      </w:pPr>
    </w:p>
    <w:p>
      <w:pPr>
        <w:ind w:left="500" w:hanging="500"/>
        <w:spacing w:after="0"/>
        <w:tabs>
          <w:tab w:leader="none" w:pos="5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or compensatory plan or arrangement.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840"/>
          </w:cols>
          <w:pgMar w:left="840" w:top="675" w:right="120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9840"/>
          </w:cols>
          <w:pgMar w:left="840" w:top="675" w:right="1200" w:bottom="3"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1" w:lineRule="exact"/>
        <w:rPr>
          <w:sz w:val="20"/>
          <w:szCs w:val="20"/>
          <w:color w:val="auto"/>
        </w:rPr>
      </w:pPr>
    </w:p>
    <w:p>
      <w:pPr>
        <w:ind w:firstLine="1200"/>
        <w:spacing w:after="0" w:line="23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WYNN RESORTS, LIMITED</w:t>
            </w: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13, 2025</w:t>
            </w:r>
          </w:p>
        </w:tc>
        <w:tc>
          <w:tcPr>
            <w:tcW w:w="1760" w:type="dxa"/>
            <w:vAlign w:val="bottom"/>
            <w:vMerge w:val="restart"/>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160" w:type="dxa"/>
            <w:vAlign w:val="bottom"/>
          </w:tcPr>
          <w:p>
            <w:pPr>
              <w:spacing w:after="0"/>
              <w:rPr>
                <w:sz w:val="24"/>
                <w:szCs w:val="24"/>
                <w:color w:val="auto"/>
              </w:rPr>
            </w:pPr>
          </w:p>
        </w:tc>
        <w:tc>
          <w:tcPr>
            <w:tcW w:w="48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/s/ Craig S. Billings</w:t>
            </w:r>
          </w:p>
        </w:tc>
        <w:tc>
          <w:tcPr>
            <w:tcW w:w="0" w:type="dxa"/>
            <w:vAlign w:val="bottom"/>
          </w:tcPr>
          <w:p>
            <w:pPr>
              <w:spacing w:after="0"/>
              <w:rPr>
                <w:sz w:val="1"/>
                <w:szCs w:val="1"/>
                <w:color w:val="auto"/>
              </w:rPr>
            </w:pPr>
          </w:p>
        </w:tc>
      </w:tr>
      <w:tr>
        <w:trPr>
          <w:trHeight w:val="69"/>
        </w:trPr>
        <w:tc>
          <w:tcPr>
            <w:tcW w:w="34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Craig S. Billings</w:t>
            </w: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1200"/>
        <w:spacing w:after="0" w:line="23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Signature</w:t>
            </w:r>
          </w:p>
        </w:tc>
        <w:tc>
          <w:tcPr>
            <w:tcW w:w="206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800" w:type="dxa"/>
            <w:vAlign w:val="bottom"/>
          </w:tcPr>
          <w:p>
            <w:pPr>
              <w:spacing w:after="0"/>
              <w:rPr>
                <w:sz w:val="16"/>
                <w:szCs w:val="16"/>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2"/>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Craig S. Billings</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 Chief Executive Officer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20"/>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Craig S. Billings</w:t>
            </w:r>
          </w:p>
        </w:tc>
        <w:tc>
          <w:tcPr>
            <w:tcW w:w="4320" w:type="dxa"/>
            <w:vAlign w:val="bottom"/>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auto"/>
              </w:rPr>
              <w:t>(Principal Executive Officer)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4080" w:type="dxa"/>
            <w:vAlign w:val="bottom"/>
            <w:gridSpan w:val="3"/>
            <w:vMerge w:val="continue"/>
          </w:tcPr>
          <w:p>
            <w:pPr>
              <w:spacing w:after="0"/>
              <w:rPr>
                <w:sz w:val="5"/>
                <w:szCs w:val="5"/>
                <w:color w:val="auto"/>
              </w:rPr>
            </w:pPr>
          </w:p>
        </w:tc>
        <w:tc>
          <w:tcPr>
            <w:tcW w:w="2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Julie Cameron-Doe</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Chief Financial Officer (Principal Financial and</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20"/>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Julie Cameron-Doe</w:t>
            </w:r>
          </w:p>
        </w:tc>
        <w:tc>
          <w:tcPr>
            <w:tcW w:w="4320" w:type="dxa"/>
            <w:vAlign w:val="bottom"/>
            <w:gridSpan w:val="3"/>
          </w:tcPr>
          <w:p>
            <w:pPr>
              <w:ind w:left="440"/>
              <w:spacing w:after="0" w:line="220" w:lineRule="exact"/>
              <w:rPr>
                <w:sz w:val="20"/>
                <w:szCs w:val="20"/>
                <w:color w:val="auto"/>
              </w:rPr>
            </w:pPr>
            <w:r>
              <w:rPr>
                <w:rFonts w:ascii="Times New Roman" w:cs="Times New Roman" w:eastAsia="Times New Roman" w:hAnsi="Times New Roman"/>
                <w:sz w:val="20"/>
                <w:szCs w:val="20"/>
                <w:color w:val="auto"/>
              </w:rPr>
              <w:t>Accounting Officer)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4080" w:type="dxa"/>
            <w:vAlign w:val="bottom"/>
            <w:gridSpan w:val="3"/>
            <w:vMerge w:val="continue"/>
          </w:tcPr>
          <w:p>
            <w:pPr>
              <w:spacing w:after="0"/>
              <w:rPr>
                <w:sz w:val="5"/>
                <w:szCs w:val="5"/>
                <w:color w:val="auto"/>
              </w:rPr>
            </w:pPr>
          </w:p>
        </w:tc>
        <w:tc>
          <w:tcPr>
            <w:tcW w:w="2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Philip G. Satre</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Non-Executive Chair of the Board and 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Philip G. Satre</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Betsy S. Atkins</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Betsy S. Atkins</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Richard J. Byrne</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Richard J. Byrne</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Paul Liu</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Paul Liu</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Patricia Mulroy</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Patricia Mulroy</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Margaret J. Myers</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Margaret J. Myers</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Darnell Strom</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Darnell Strom</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Winifred Webb</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Winifred Webb</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10200"/>
          </w:cols>
          <w:pgMar w:left="840" w:top="664" w:right="840" w:bottom="3"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Corporate Headquarters</w:t>
      </w:r>
    </w:p>
    <w:p>
      <w:pPr>
        <w:spacing w:after="0" w:line="118" w:lineRule="exact"/>
        <w:rPr>
          <w:sz w:val="20"/>
          <w:szCs w:val="20"/>
          <w:color w:val="auto"/>
        </w:rPr>
      </w:pPr>
    </w:p>
    <w:p>
      <w:pPr>
        <w:ind w:left="360" w:right="1520"/>
        <w:spacing w:after="0" w:line="230" w:lineRule="auto"/>
        <w:rPr>
          <w:sz w:val="20"/>
          <w:szCs w:val="20"/>
          <w:color w:val="auto"/>
        </w:rPr>
      </w:pPr>
      <w:r>
        <w:rPr>
          <w:rFonts w:ascii="Times New Roman" w:cs="Times New Roman" w:eastAsia="Times New Roman" w:hAnsi="Times New Roman"/>
          <w:sz w:val="18"/>
          <w:szCs w:val="18"/>
          <w:color w:val="auto"/>
        </w:rPr>
        <w:t>3131 Las Vegas Boulevard South Las Vegas, Nevada 89109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 Site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Visit the Company’s websites at:</w:t>
      </w:r>
    </w:p>
    <w:p>
      <w:pPr>
        <w:ind w:left="360"/>
        <w:spacing w:after="0" w:line="231" w:lineRule="auto"/>
        <w:rPr>
          <w:sz w:val="20"/>
          <w:szCs w:val="20"/>
          <w:color w:val="auto"/>
        </w:rPr>
      </w:pPr>
      <w:r>
        <w:rPr>
          <w:rFonts w:ascii="Times New Roman" w:cs="Times New Roman" w:eastAsia="Times New Roman" w:hAnsi="Times New Roman"/>
          <w:sz w:val="18"/>
          <w:szCs w:val="18"/>
          <w:color w:val="auto"/>
        </w:rPr>
        <w:t>www.wynnresorts.com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www.wynnlasvegas.com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www.wynnmacau.com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www.wynnmacaulimited.com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www.wynnpalace.com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www.encorebostonharbor.com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110" w:lineRule="exact"/>
        <w:rPr>
          <w:sz w:val="20"/>
          <w:szCs w:val="20"/>
          <w:color w:val="auto"/>
        </w:rPr>
      </w:pPr>
    </w:p>
    <w:p>
      <w:pPr>
        <w:ind w:left="360" w:right="60"/>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Our Annual Report on Form 10-K (including the financial statements and financial statement schedules relating thereto) filed with the Securities and Exchange Commission may be obtained upon written request and without charge. </w:t>
      </w:r>
      <w:r>
        <w:rPr>
          <w:rFonts w:ascii="Times New Roman" w:cs="Times New Roman" w:eastAsia="Times New Roman" w:hAnsi="Times New Roman"/>
          <w:sz w:val="17"/>
          <w:szCs w:val="17"/>
          <w:color w:val="auto"/>
        </w:rPr>
        <w:t>Requests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should be directed to Wynn Resorts, Limited, c/o Investor Relations, 3131 Las Vegas Boulevard South, Las Vegas, Nevada 89109, telephone (702) 770-7555 or investorrelations@wynnresorts.com. In addition, the electronic version of the Annual Report can be found at www.wynnresorts.com.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w:t>
      </w:r>
    </w:p>
    <w:p>
      <w:pPr>
        <w:spacing w:after="0" w:line="118" w:lineRule="exact"/>
        <w:rPr>
          <w:sz w:val="20"/>
          <w:szCs w:val="20"/>
          <w:color w:val="auto"/>
        </w:rPr>
      </w:pPr>
    </w:p>
    <w:p>
      <w:pPr>
        <w:ind w:left="360"/>
        <w:spacing w:after="0" w:line="231" w:lineRule="auto"/>
        <w:rPr>
          <w:sz w:val="20"/>
          <w:szCs w:val="20"/>
          <w:color w:val="auto"/>
        </w:rPr>
      </w:pPr>
      <w:r>
        <w:rPr>
          <w:rFonts w:ascii="Times New Roman" w:cs="Times New Roman" w:eastAsia="Times New Roman" w:hAnsi="Times New Roman"/>
          <w:sz w:val="18"/>
          <w:szCs w:val="18"/>
          <w:color w:val="auto"/>
        </w:rPr>
        <w:t>Our 2025 Annual Meeting will be held entirely online. To participate in the virtual Annual Meeting, please visit www.virtualshareholdermeeting.com/wynn2025. March 5, 2025 is the record date for determining the shareholders entitled to notice of, and to vote at, the Annual Meeting of Shareholders.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18" w:lineRule="exact"/>
        <w:rPr>
          <w:sz w:val="20"/>
          <w:szCs w:val="20"/>
          <w:color w:val="auto"/>
        </w:rPr>
      </w:pPr>
    </w:p>
    <w:p>
      <w:pPr>
        <w:ind w:left="360" w:right="80"/>
        <w:spacing w:after="0" w:line="230"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“WYNN.”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Transfer Agent and Registrar</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Equiniti Trust Company, LLC</w:t>
      </w:r>
    </w:p>
    <w:p>
      <w:pPr>
        <w:ind w:left="360"/>
        <w:spacing w:after="0" w:line="231" w:lineRule="auto"/>
        <w:rPr>
          <w:sz w:val="20"/>
          <w:szCs w:val="20"/>
          <w:color w:val="auto"/>
        </w:rPr>
      </w:pPr>
      <w:r>
        <w:rPr>
          <w:rFonts w:ascii="Times New Roman" w:cs="Times New Roman" w:eastAsia="Times New Roman" w:hAnsi="Times New Roman"/>
          <w:sz w:val="18"/>
          <w:szCs w:val="18"/>
          <w:color w:val="auto"/>
        </w:rPr>
        <w:t>48 Wall Street, 23rd floor</w:t>
      </w:r>
    </w:p>
    <w:p>
      <w:pPr>
        <w:ind w:left="360"/>
        <w:spacing w:after="0" w:line="232" w:lineRule="auto"/>
        <w:rPr>
          <w:sz w:val="20"/>
          <w:szCs w:val="20"/>
          <w:color w:val="auto"/>
        </w:rPr>
      </w:pPr>
      <w:r>
        <w:rPr>
          <w:rFonts w:ascii="Times New Roman" w:cs="Times New Roman" w:eastAsia="Times New Roman" w:hAnsi="Times New Roman"/>
          <w:sz w:val="18"/>
          <w:szCs w:val="18"/>
          <w:color w:val="auto"/>
        </w:rPr>
        <w:t>New York, NY 10043</w:t>
      </w:r>
    </w:p>
    <w:p>
      <w:pPr>
        <w:ind w:left="360"/>
        <w:spacing w:after="0" w:line="232" w:lineRule="auto"/>
        <w:rPr>
          <w:sz w:val="20"/>
          <w:szCs w:val="20"/>
          <w:color w:val="auto"/>
        </w:rPr>
      </w:pPr>
      <w:r>
        <w:rPr>
          <w:rFonts w:ascii="Times New Roman" w:cs="Times New Roman" w:eastAsia="Times New Roman" w:hAnsi="Times New Roman"/>
          <w:sz w:val="18"/>
          <w:szCs w:val="18"/>
          <w:color w:val="auto"/>
        </w:rPr>
        <w:t>(800) 937-5449</w:t>
      </w:r>
    </w:p>
    <w:p>
      <w:pPr>
        <w:spacing w:after="0" w:line="123" w:lineRule="exact"/>
        <w:rPr>
          <w:sz w:val="20"/>
          <w:szCs w:val="20"/>
          <w:color w:val="auto"/>
        </w:rPr>
      </w:pPr>
    </w:p>
    <w:p>
      <w:pPr>
        <w:ind w:right="460"/>
        <w:spacing w:after="0" w:line="230" w:lineRule="auto"/>
        <w:rPr>
          <w:sz w:val="20"/>
          <w:szCs w:val="20"/>
          <w:color w:val="auto"/>
        </w:rPr>
      </w:pPr>
      <w:r>
        <w:rPr>
          <w:rFonts w:ascii="Times New Roman" w:cs="Times New Roman" w:eastAsia="Times New Roman" w:hAnsi="Times New Roman"/>
          <w:sz w:val="18"/>
          <w:szCs w:val="18"/>
          <w:color w:val="auto"/>
        </w:rPr>
        <w:t>Wynn and Encore are registered trademarks of Wynn Resorts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Philip G. Satre</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Non-Executive Chair of the Board</w:t>
      </w:r>
    </w:p>
    <w:p>
      <w:pPr>
        <w:spacing w:after="0" w:line="5" w:lineRule="exact"/>
        <w:rPr>
          <w:sz w:val="20"/>
          <w:szCs w:val="20"/>
          <w:color w:val="auto"/>
        </w:rPr>
      </w:pPr>
    </w:p>
    <w:p>
      <w:pPr>
        <w:ind w:left="360" w:right="180"/>
        <w:spacing w:after="0" w:line="229" w:lineRule="auto"/>
        <w:rPr>
          <w:sz w:val="20"/>
          <w:szCs w:val="20"/>
          <w:color w:val="auto"/>
        </w:rPr>
      </w:pPr>
      <w:r>
        <w:rPr>
          <w:rFonts w:ascii="Times New Roman" w:cs="Times New Roman" w:eastAsia="Times New Roman" w:hAnsi="Times New Roman"/>
          <w:sz w:val="18"/>
          <w:szCs w:val="18"/>
          <w:i w:val="1"/>
          <w:iCs w:val="1"/>
          <w:color w:val="auto"/>
        </w:rPr>
        <w:t>Former CEO and Chair of Harrah’s Entertainment, Inc.</w:t>
      </w:r>
    </w:p>
    <w:p>
      <w:pPr>
        <w:spacing w:after="0" w:line="5" w:lineRule="exact"/>
        <w:rPr>
          <w:sz w:val="20"/>
          <w:szCs w:val="20"/>
          <w:color w:val="auto"/>
        </w:rPr>
      </w:pPr>
    </w:p>
    <w:p>
      <w:pPr>
        <w:ind w:left="360" w:right="320"/>
        <w:spacing w:after="0" w:line="229" w:lineRule="auto"/>
        <w:rPr>
          <w:sz w:val="20"/>
          <w:szCs w:val="20"/>
          <w:color w:val="auto"/>
        </w:rPr>
      </w:pPr>
      <w:r>
        <w:rPr>
          <w:rFonts w:ascii="Times New Roman" w:cs="Times New Roman" w:eastAsia="Times New Roman" w:hAnsi="Times New Roman"/>
          <w:sz w:val="18"/>
          <w:szCs w:val="18"/>
          <w:i w:val="1"/>
          <w:iCs w:val="1"/>
          <w:color w:val="auto"/>
        </w:rPr>
        <w:t>Former Chair of the Board of International Game Technology, PLC from 2009 to 2018</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Betsy S. Atkins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ind w:left="360" w:right="700"/>
        <w:spacing w:after="0" w:line="229" w:lineRule="auto"/>
        <w:rPr>
          <w:sz w:val="20"/>
          <w:szCs w:val="20"/>
          <w:color w:val="auto"/>
        </w:rPr>
      </w:pPr>
      <w:r>
        <w:rPr>
          <w:rFonts w:ascii="Times New Roman" w:cs="Times New Roman" w:eastAsia="Times New Roman" w:hAnsi="Times New Roman"/>
          <w:sz w:val="18"/>
          <w:szCs w:val="18"/>
          <w:i w:val="1"/>
          <w:iCs w:val="1"/>
          <w:color w:val="auto"/>
        </w:rPr>
        <w:t>Chief Executive Officer and Founder of Baja Corporation</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Craig S. Billings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 Chief Executive Officer</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Richard J. Byrne</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ind w:left="360" w:right="400"/>
        <w:spacing w:after="0" w:line="229" w:lineRule="auto"/>
        <w:rPr>
          <w:sz w:val="20"/>
          <w:szCs w:val="20"/>
          <w:color w:val="auto"/>
        </w:rPr>
      </w:pPr>
      <w:r>
        <w:rPr>
          <w:rFonts w:ascii="Times New Roman" w:cs="Times New Roman" w:eastAsia="Times New Roman" w:hAnsi="Times New Roman"/>
          <w:sz w:val="18"/>
          <w:szCs w:val="18"/>
          <w:i w:val="1"/>
          <w:iCs w:val="1"/>
          <w:color w:val="auto"/>
        </w:rPr>
        <w:t>CEO, Chair of the Board of Franklin BSP Realty Trust, Inc.</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Paul Liu</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Former Partner, Egon Zehnder AG</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Patricia Mulroy</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Non-Resident Senior Fellow for Climate Adaptation &amp;</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Environmental Policy, Practitioner in Residence,</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Saltman Center for Conflict Resolution</w:t>
      </w:r>
    </w:p>
    <w:p>
      <w:pPr>
        <w:spacing w:after="0" w:line="4" w:lineRule="exact"/>
        <w:rPr>
          <w:sz w:val="20"/>
          <w:szCs w:val="20"/>
          <w:color w:val="auto"/>
        </w:rPr>
      </w:pPr>
    </w:p>
    <w:p>
      <w:pPr>
        <w:ind w:left="360" w:right="580"/>
        <w:spacing w:after="0" w:line="229" w:lineRule="auto"/>
        <w:rPr>
          <w:sz w:val="20"/>
          <w:szCs w:val="20"/>
          <w:color w:val="auto"/>
        </w:rPr>
      </w:pPr>
      <w:r>
        <w:rPr>
          <w:rFonts w:ascii="Times New Roman" w:cs="Times New Roman" w:eastAsia="Times New Roman" w:hAnsi="Times New Roman"/>
          <w:sz w:val="18"/>
          <w:szCs w:val="18"/>
          <w:i w:val="1"/>
          <w:iCs w:val="1"/>
          <w:color w:val="auto"/>
        </w:rPr>
        <w:t>Chief Executive of the Southern Nevada Water Authority from 1993 to 2014</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Margaret J. Myers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jc w:val="both"/>
        <w:ind w:left="360" w:right="340"/>
        <w:spacing w:after="0" w:line="230" w:lineRule="auto"/>
        <w:rPr>
          <w:sz w:val="20"/>
          <w:szCs w:val="20"/>
          <w:color w:val="auto"/>
        </w:rPr>
      </w:pPr>
      <w:r>
        <w:rPr>
          <w:rFonts w:ascii="Times New Roman" w:cs="Times New Roman" w:eastAsia="Times New Roman" w:hAnsi="Times New Roman"/>
          <w:sz w:val="18"/>
          <w:szCs w:val="18"/>
          <w:i w:val="1"/>
          <w:iCs w:val="1"/>
          <w:color w:val="auto"/>
        </w:rPr>
        <w:t>Senior Advisor to the Governor of California and Director of the Governor’s Office of Business and Economic Development</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Darnell O. Strom</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Partner &amp; Head of Culture and Leadership for UTA</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Winifred M. Webb</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Founder, Kestrel Corporate Advisors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Craig S. Billings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Julie Cameron-Doe</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Jacqui Krum</w:t>
      </w:r>
    </w:p>
    <w:p>
      <w:pPr>
        <w:spacing w:after="0" w:line="4" w:lineRule="exact"/>
        <w:rPr>
          <w:sz w:val="20"/>
          <w:szCs w:val="20"/>
          <w:color w:val="auto"/>
        </w:rPr>
      </w:pPr>
    </w:p>
    <w:p>
      <w:pPr>
        <w:ind w:left="360" w:right="500"/>
        <w:spacing w:after="0" w:line="229" w:lineRule="auto"/>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Information on this page is as of March 5, 2025.</w:t>
      </w:r>
    </w:p>
    <w:p>
      <w:pPr>
        <w:sectPr>
          <w:pgSz w:w="11880" w:h="15480" w:orient="portrait"/>
          <w:cols w:equalWidth="0" w:num="2">
            <w:col w:w="4300" w:space="500"/>
            <w:col w:w="4300"/>
          </w:cols>
          <w:pgMar w:left="1380" w:top="1312" w:right="1400" w:bottom="1440" w:gutter="0" w:footer="0" w:header="0"/>
        </w:sectPr>
      </w:pPr>
    </w:p>
    <w:bookmarkStart w:id="122" w:name="page123"/>
    <w:bookmarkEnd w:id="122"/>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È"/>
      <w:numFmt w:val="bullet"/>
      <w:start w:val="1"/>
    </w:lvl>
  </w:abstractNum>
  <w:abstractNum w:abstractNumId="1">
    <w:nsid w:val="2D1D5AE9"/>
    <w:multiLevelType w:val="hybridMultilevel"/>
    <w:lvl w:ilvl="0">
      <w:lvlJc w:val="left"/>
      <w:lvlText w:val="\lquote "/>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Roman"/>
      <w:start w:val="2"/>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2"/>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lowerRoman"/>
      <w:start w:val="2"/>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32"/>
    </w:lvl>
  </w:abstractNum>
  <w:abstractNum w:abstractNumId="41">
    <w:nsid w:val="2A487CB0"/>
    <w:multiLevelType w:val="hybridMultilevel"/>
    <w:lvl w:ilvl="0">
      <w:lvlJc w:val="left"/>
      <w:lvlText w:val="(%1)"/>
      <w:numFmt w:val="lowerRoman"/>
      <w:start w:val="6"/>
    </w:lvl>
  </w:abstractNum>
  <w:abstractNum w:abstractNumId="42">
    <w:nsid w:val="1D4ED43B"/>
    <w:multiLevelType w:val="hybridMultilevel"/>
    <w:lvl w:ilvl="0">
      <w:lvlJc w:val="left"/>
      <w:lvlText w:val="*"/>
      <w:numFmt w:val="bullet"/>
      <w:start w:val="1"/>
    </w:lvl>
    <w:lvl w:ilvl="1">
      <w:lvlJc w:val="left"/>
      <w:lvlText w:val="%2"/>
      <w:numFmt w:val="decimal"/>
      <w:start w:val="104"/>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2025-03-19T15:18:58Z</dcterms:created>
  <dcterms:modified xsi:type="dcterms:W3CDTF">2025-03-19T15:18:58Z</dcterms:modified>
</cp:coreProperties>
</file>