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170180</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46990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September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83820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7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920" w:type="dxa"/>
            <w:vAlign w:val="bottom"/>
          </w:tcPr>
          <w:p>
            <w:pPr>
              <w:spacing w:after="0"/>
              <w:rPr>
                <w:sz w:val="19"/>
                <w:szCs w:val="19"/>
                <w:color w:val="auto"/>
              </w:rPr>
            </w:pPr>
          </w:p>
        </w:tc>
      </w:tr>
      <w:tr>
        <w:trPr>
          <w:trHeight w:val="145"/>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860" w:type="dxa"/>
            <w:vAlign w:val="bottom"/>
          </w:tcPr>
          <w:p>
            <w:pPr>
              <w:spacing w:after="0"/>
              <w:rPr>
                <w:sz w:val="16"/>
                <w:szCs w:val="16"/>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20" w:type="dxa"/>
            <w:vAlign w:val="bottom"/>
          </w:tcPr>
          <w:p>
            <w:pPr>
              <w:spacing w:after="0"/>
              <w:rPr>
                <w:sz w:val="16"/>
                <w:szCs w:val="16"/>
                <w:color w:val="auto"/>
              </w:rPr>
            </w:pPr>
          </w:p>
        </w:tc>
        <w:tc>
          <w:tcPr>
            <w:tcW w:w="32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7"/>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89109</w:t>
            </w:r>
          </w:p>
        </w:tc>
        <w:tc>
          <w:tcPr>
            <w:tcW w:w="920" w:type="dxa"/>
            <w:vAlign w:val="bottom"/>
          </w:tcPr>
          <w:p>
            <w:pPr>
              <w:spacing w:after="0"/>
              <w:rPr>
                <w:sz w:val="19"/>
                <w:szCs w:val="19"/>
                <w:color w:val="auto"/>
              </w:rPr>
            </w:pPr>
          </w:p>
        </w:tc>
      </w:tr>
      <w:tr>
        <w:trPr>
          <w:trHeight w:val="185"/>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7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380" w:type="dxa"/>
            <w:vAlign w:val="bottom"/>
            <w:gridSpan w:val="5"/>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0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900" w:type="dxa"/>
            <w:vAlign w:val="bottom"/>
            <w:gridSpan w:val="6"/>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1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6"/>
              </w:rPr>
              <w:t>WYNN</w:t>
            </w:r>
          </w:p>
        </w:tc>
        <w:tc>
          <w:tcPr>
            <w:tcW w:w="41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24"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98"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On September 10, 2024, Wynn Resorts, Limited (“Wynn Resorts”) announced that Wynn Resorts Finance, LLC (“Wynn Resorts Finance”) and Wynn Resorts Capital Corp. plan to offer $800 million aggregate principal amount of Senior Notes due 2033 (the “Notes”). Wynn Resorts Finance intends to (a) contribute and/or lend a portion of the net proceeds from this offering to its subsidiary, Wynn Las Vegas, LLC (“Wynn Las Vegas”), who will use the amounts to (i) redeem in full Wynn Las Vegas and Wynn Las Vegas Capital Corp.’s outstanding 5.500% Senior Notes due 2025 and (ii) pay fees and expenses related to the redemption and (b) use the remainder of the net proceeds for general corporate purposes, which may include covering all or a portion of the $130 million forfeiture under the non-prosecution agreement described in our Current Report on Form 8-K filed with the Securities and Exchange Commission on September 6, 2024. A copy of the press release is attached hereto as Exhibit 99.1 and is hereby incorporated by reference.</w:t>
      </w:r>
    </w:p>
    <w:p>
      <w:pPr>
        <w:spacing w:after="0" w:line="2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the Notes or any other security and shall not constitute an offer, solicitation or sale of the Notes or any other security in any jurisdiction in which such offering, solicitation or sale would be unlawful. The Notes being offered in the offering will not be and have not been registered under the Securities Act of 1933, as amended (the “Securities Act”), and may not be offered or sold in the United States absent registration or an applicable exemption from the registration requirements of the Securities Act.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This Report, including Exhibit 99.1, contains “forward-looking statements” within the meaning of the U.S. Private Securities Litigation Reform Act of 1995. These statements are based upon management’s current expectations, beliefs, assumptions and estimates, and on information currently available to us, all of which are subject to change, and are not guarantees of timing, future results or performance. These forward-looking statements involve certain risks and uncertainties and other factors that could cause actual results to differ materially from those indicated in such forward-looking statements, as discussed further in the attached press release.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89"/>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23"/>
                <w:szCs w:val="23"/>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September 10, 2024, of Wynn Resorts, Limited.</w:t>
            </w:r>
          </w:p>
        </w:tc>
      </w:tr>
      <w:tr>
        <w:trPr>
          <w:trHeight w:val="20"/>
        </w:trPr>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60" w:type="dxa"/>
            <w:vAlign w:val="bottom"/>
            <w:gridSpan w:val="2"/>
            <w:shd w:val="clear" w:color="auto" w:fill="0000FF"/>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4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19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71" w:lineRule="exact"/>
        <w:rPr>
          <w:sz w:val="20"/>
          <w:szCs w:val="20"/>
          <w:color w:val="auto"/>
        </w:rPr>
      </w:pPr>
    </w:p>
    <w:p>
      <w:pPr>
        <w:ind w:left="460"/>
        <w:spacing w:after="0"/>
        <w:tabs>
          <w:tab w:leader="none" w:pos="6880" w:val="left"/>
          <w:tab w:leader="none" w:pos="7620" w:val="left"/>
        </w:tabs>
        <w:rPr>
          <w:sz w:val="20"/>
          <w:szCs w:val="20"/>
          <w:color w:val="auto"/>
        </w:rPr>
      </w:pPr>
      <w:r>
        <w:rPr>
          <w:rFonts w:ascii="Times New Roman" w:cs="Times New Roman" w:eastAsia="Times New Roman" w:hAnsi="Times New Roman"/>
          <w:sz w:val="18"/>
          <w:szCs w:val="18"/>
          <w:color w:val="auto"/>
        </w:rPr>
        <w:t>Dated: September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13970</wp:posOffset>
            </wp:positionV>
            <wp:extent cx="2434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6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Announces Private Offering of $800 Million of Wynn Resorts Finance Senior Notes due 2033</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LAS VEGAS, September 10, 2024 (BUSINESS WIRE) - Wynn Resorts, Limited (NASDAQ: WYNN) (“Wynn Resorts”) announced today that Wynn Resorts Finance, LLC (“Wynn Resorts Finance”) and its subsidiary Wynn Resorts Capital Corp. (“Wynn Resorts Capital” and, together with Wynn Resorts Finance, the “Issuers”), each an indirect wholly-owned subsidiary of Wynn Resorts, are offering $800 million aggregate principal amount of Senior Notes due 2033 (the “Notes”) in a private offering.</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Notes will initially be jointly and severally guaranteed by all of Wynn Resorts Finance’s domestic subsidiaries (collectively, the “Guarantors”) that guarantee the Issuers’ existing senior secured credit facilities (the “Senior Credit Facilities”), except Wynn Resorts Capital, which is the co-issuer of the Notes, the Issuers’ 5.125% Senior Notes due 2029 (the “2029 WRF Notes”) and the Issuers’ 7.125% Senior Notes due 2031 (the “2031 WRF Notes”). The Notes and guarantees will be senior unsecured obligations of the Issuers and the Guarantors and will rank equal in right of payment with all existing and future liabilities of the Issuers and such Guarantors that are not subordinated, including their obligations under the 2029 WRF Notes and the 2031 WRF Notes, and, with respect to Wynn Las Vegas, LLC (“Wynn Las Vegas”) and certain of its subsidiaries, their obligations under the existing senior notes issued by Wynn Las Vegas. The Notes and guarantees will be effectively subordinated to all of the Issuers’ and the Guarantors’ existing and future secured debt (to the extent of the value of the collateral securing such debt), including the Senior Credit Facilities and the existing senior notes issued by Wynn Las Vegas.</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Wynn Resorts Finance plans to (a) contribute and/or lend a portion of the net proceeds from the offering to its subsidiary, Wynn Las Vegas, who will use the amounts to (i) redeem in full Wynn Las Vegas and Wynn Las Vegas Capital Corp.’s outstanding 5.500% Senior Notes due 2025 (the “2025 LV Notes”) and (ii) pay fees and expenses related to the redemption and (b) use the remainder of the net proceeds for general corporate purposes, which may include covering all or a portion of the $130 million forfeiture under the non-prosecution agreement described in our Current Report on Form 8-K filed with the Securities and Exchange Commission on September 6, 2024.</w:t>
      </w:r>
    </w:p>
    <w:p>
      <w:pPr>
        <w:spacing w:after="0" w:line="2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The Issuers will make the offering pursuant to an exemption under the Securities Act of 1933, as amended (the “Securities Act”). The initial purchasers of the Notes will offer the Notes only to persons reasonably believed to be qualified institutional buyers in reliance on Rule 144A under the Securities Act or outside the United States to certain persons in reliance on Regulation S under the Securities Act. The Notes have not been and will not be registered under the Securities Act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Wynn Las Vegas intends to redeem all of the outstanding 2025 LV Notes on or after the closing of this offering. This press release does not constitute a notice of redemption or an offer to purchase or the solicitation of an offer to sell such notes.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release contains forward-looking statements, including those related to the offering of Notes and whether or not the Issuers will consummate the offering. Such forward-looking statements are subject to a number of risks and uncertainties that could cause actual results to differ materially from those we express in these forward-looking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general global political conditions, adverse tourism trends, travel disruptions caused by events outside of our control, dependence on a limited number of resorts, competition in the casino/hotel and resort</w:t>
      </w:r>
    </w:p>
    <w:p>
      <w:pPr>
        <w:sectPr>
          <w:pgSz w:w="11900" w:h="16838" w:orient="portrait"/>
          <w:cols w:equalWidth="0" w:num="1">
            <w:col w:w="11240"/>
          </w:cols>
          <w:pgMar w:left="320" w:top="1382" w:right="339" w:bottom="1440" w:gutter="0" w:footer="0" w:header="0"/>
        </w:sectPr>
      </w:pPr>
    </w:p>
    <w:bookmarkStart w:id="4" w:name="page5"/>
    <w:bookmarkEnd w:id="4"/>
    <w:p>
      <w:pPr>
        <w:jc w:val="both"/>
        <w:spacing w:after="0" w:line="249" w:lineRule="auto"/>
        <w:rPr>
          <w:sz w:val="20"/>
          <w:szCs w:val="20"/>
          <w:color w:val="auto"/>
        </w:rPr>
      </w:pPr>
      <w:r>
        <w:rPr>
          <w:rFonts w:ascii="Times New Roman" w:cs="Times New Roman" w:eastAsia="Times New Roman" w:hAnsi="Times New Roman"/>
          <w:sz w:val="18"/>
          <w:szCs w:val="18"/>
          <w:color w:val="auto"/>
        </w:rPr>
        <w:t>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Wynn Resorts’ financial results is included in Wynn Resorts’ Annual Report on Form 10-K for the year ended December 31, 2023, as supplemented by Wynn Resorts’ other periodic reports filed with the Securities and Exchange Commission from time to time. Neither Wynn Resorts nor the Issuers are under any obligation to (and expressly disclaim any such obligation to) update or revise their forward-looking statements as a result of new information, future events or otherwise, except as required by law.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Karr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702-770-7555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investorrelations@wynnresorts.com</w:t>
      </w:r>
    </w:p>
    <w:sectPr>
      <w:pgSz w:w="11900" w:h="16838" w:orient="portrait"/>
      <w:cols w:equalWidth="0" w:num="1">
        <w:col w:w="11240"/>
      </w:cols>
      <w:pgMar w:left="320" w:top="13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2024-09-10T07:12:46Z</dcterms:created>
  <dcterms:modified xsi:type="dcterms:W3CDTF">2024-09-10T07:12:46Z</dcterms:modified>
</cp:coreProperties>
</file>