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ind w:left="840"/>
              <w:spacing w:after="0"/>
              <w:rPr>
                <w:sz w:val="20"/>
                <w:szCs w:val="20"/>
                <w:color w:val="auto"/>
              </w:rPr>
            </w:pPr>
            <w:r>
              <w:rPr>
                <w:rFonts w:ascii="Arial" w:cs="Arial" w:eastAsia="Arial" w:hAnsi="Arial"/>
                <w:sz w:val="18"/>
                <w:szCs w:val="18"/>
                <w:b w:val="1"/>
                <w:bCs w:val="1"/>
                <w:color w:val="auto"/>
              </w:rPr>
              <w:t>FORM 4</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7"/>
              </w:rPr>
              <w:t>STATEMENT OF</w:t>
            </w:r>
          </w:p>
        </w:tc>
        <w:tc>
          <w:tcPr>
            <w:tcW w:w="0" w:type="dxa"/>
            <w:vAlign w:val="bottom"/>
          </w:tcPr>
          <w:p>
            <w:pPr>
              <w:spacing w:after="0"/>
              <w:rPr>
                <w:sz w:val="1"/>
                <w:szCs w:val="1"/>
                <w:color w:val="auto"/>
              </w:rPr>
            </w:pPr>
          </w:p>
        </w:tc>
      </w:tr>
      <w:tr>
        <w:trPr>
          <w:trHeight w:val="117"/>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o Check this box if no longer subject</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80" w:type="dxa"/>
            <w:vAlign w:val="bottom"/>
            <w:vMerge w:val="continue"/>
          </w:tcPr>
          <w:p>
            <w:pPr>
              <w:spacing w:after="0"/>
              <w:rPr>
                <w:sz w:val="15"/>
                <w:szCs w:val="15"/>
                <w:color w:val="auto"/>
              </w:rPr>
            </w:pPr>
          </w:p>
        </w:tc>
        <w:tc>
          <w:tcPr>
            <w:tcW w:w="5800" w:type="dxa"/>
            <w:vAlign w:val="bottom"/>
          </w:tcPr>
          <w:p>
            <w:pPr>
              <w:jc w:val="center"/>
              <w:ind w:left="544"/>
              <w:spacing w:after="0" w:line="176" w:lineRule="exact"/>
              <w:rPr>
                <w:sz w:val="20"/>
                <w:szCs w:val="20"/>
                <w:color w:val="auto"/>
              </w:rPr>
            </w:pPr>
            <w:r>
              <w:rPr>
                <w:rFonts w:ascii="Arial" w:cs="Arial" w:eastAsia="Arial" w:hAnsi="Arial"/>
                <w:sz w:val="18"/>
                <w:szCs w:val="18"/>
                <w:b w:val="1"/>
                <w:bCs w:val="1"/>
                <w:color w:val="auto"/>
                <w:w w:val="98"/>
              </w:rPr>
              <w:t>CHANGES IN BENEFICIAL OWNERSHIP</w:t>
            </w:r>
          </w:p>
        </w:tc>
        <w:tc>
          <w:tcPr>
            <w:tcW w:w="0" w:type="dxa"/>
            <w:vAlign w:val="bottom"/>
          </w:tcPr>
          <w:p>
            <w:pPr>
              <w:spacing w:after="0"/>
              <w:rPr>
                <w:sz w:val="1"/>
                <w:szCs w:val="1"/>
                <w:color w:val="auto"/>
              </w:rPr>
            </w:pPr>
          </w:p>
        </w:tc>
      </w:tr>
      <w:tr>
        <w:trPr>
          <w:trHeight w:val="95"/>
        </w:trPr>
        <w:tc>
          <w:tcPr>
            <w:tcW w:w="21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to Section 16. Form 4 or Form 5</w:t>
            </w: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xml:space="preserve">obligations may continue. </w:t>
            </w:r>
            <w:r>
              <w:rPr>
                <w:rFonts w:ascii="Arial" w:cs="Arial" w:eastAsia="Arial" w:hAnsi="Arial"/>
                <w:sz w:val="14"/>
                <w:szCs w:val="14"/>
                <w:b w:val="1"/>
                <w:bCs w:val="1"/>
                <w:i w:val="1"/>
                <w:iCs w:val="1"/>
                <w:color w:val="auto"/>
                <w:w w:val="84"/>
              </w:rPr>
              <w:t>See</w:t>
            </w: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Instruction 1(b).</w:t>
            </w:r>
          </w:p>
        </w:tc>
        <w:tc>
          <w:tcPr>
            <w:tcW w:w="5800" w:type="dxa"/>
            <w:vAlign w:val="bottom"/>
          </w:tcPr>
          <w:p>
            <w:pPr>
              <w:jc w:val="center"/>
              <w:ind w:left="544"/>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85"/>
              </w:rPr>
              <w:t>(Print or Type Responses)</w:t>
            </w:r>
          </w:p>
        </w:tc>
        <w:tc>
          <w:tcPr>
            <w:tcW w:w="5800" w:type="dxa"/>
            <w:vAlign w:val="bottom"/>
          </w:tcPr>
          <w:p>
            <w:pPr>
              <w:jc w:val="center"/>
              <w:ind w:left="544"/>
              <w:spacing w:after="0" w:line="149"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0" w:type="dxa"/>
            <w:vAlign w:val="bottom"/>
          </w:tcPr>
          <w:p>
            <w:pPr>
              <w:spacing w:after="0"/>
              <w:rPr>
                <w:sz w:val="1"/>
                <w:szCs w:val="1"/>
                <w:color w:val="auto"/>
              </w:rPr>
            </w:pPr>
          </w:p>
        </w:tc>
      </w:tr>
      <w:tr>
        <w:trPr>
          <w:trHeight w:val="172"/>
        </w:trPr>
        <w:tc>
          <w:tcPr>
            <w:tcW w:w="2180" w:type="dxa"/>
            <w:vAlign w:val="bottom"/>
            <w:vMerge w:val="continue"/>
          </w:tcPr>
          <w:p>
            <w:pPr>
              <w:spacing w:after="0"/>
              <w:rPr>
                <w:sz w:val="14"/>
                <w:szCs w:val="14"/>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color w:val="auto"/>
                <w:w w:val="88"/>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-972185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-680720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-680720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537" w:lineRule="exact"/>
        <w:rPr>
          <w:sz w:val="24"/>
          <w:szCs w:val="24"/>
          <w:color w:val="auto"/>
        </w:rPr>
      </w:pPr>
    </w:p>
    <w:p>
      <w:pPr>
        <w:sectPr>
          <w:pgSz w:w="11900" w:h="16847" w:orient="portrait"/>
          <w:cols w:equalWidth="0" w:num="2">
            <w:col w:w="7980" w:space="600"/>
            <w:col w:w="2840"/>
          </w:cols>
          <w:pgMar w:left="240" w:top="476" w:right="239" w:bottom="0" w:gutter="0" w:footer="0" w:header="0"/>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2440" w:type="dxa"/>
            <w:vAlign w:val="bottom"/>
            <w:gridSpan w:val="2"/>
          </w:tcPr>
          <w:p>
            <w:pPr>
              <w:ind w:left="18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40" w:type="dxa"/>
            <w:vAlign w:val="bottom"/>
            <w:gridSpan w:val="7"/>
          </w:tcPr>
          <w:p>
            <w:pPr>
              <w:ind w:left="140"/>
              <w:spacing w:after="0"/>
              <w:rPr>
                <w:sz w:val="20"/>
                <w:szCs w:val="20"/>
                <w:color w:val="auto"/>
              </w:rPr>
            </w:pPr>
            <w:r>
              <w:rPr>
                <w:rFonts w:ascii="Arial" w:cs="Arial" w:eastAsia="Arial" w:hAnsi="Arial"/>
                <w:sz w:val="14"/>
                <w:szCs w:val="14"/>
                <w:color w:val="auto"/>
                <w:w w:val="99"/>
              </w:rPr>
              <w:t xml:space="preserve">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2640" w:type="dxa"/>
            <w:vAlign w:val="bottom"/>
            <w:gridSpan w:val="11"/>
          </w:tcPr>
          <w:p>
            <w:pPr>
              <w:ind w:left="80"/>
              <w:spacing w:after="0"/>
              <w:rPr>
                <w:sz w:val="20"/>
                <w:szCs w:val="20"/>
                <w:color w:val="auto"/>
              </w:rPr>
            </w:pPr>
            <w:r>
              <w:rPr>
                <w:rFonts w:ascii="Arial" w:cs="Arial" w:eastAsia="Arial" w:hAnsi="Arial"/>
                <w:sz w:val="14"/>
                <w:szCs w:val="14"/>
                <w:color w:val="auto"/>
                <w:w w:val="90"/>
              </w:rPr>
              <w:t>Relationship of Reporting Person(s) to Issuer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1"/>
              </w:rPr>
              <w:t>(Check all applicable)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ind w:left="600"/>
              <w:spacing w:after="0" w:line="146" w:lineRule="exact"/>
              <w:rPr>
                <w:sz w:val="20"/>
                <w:szCs w:val="20"/>
                <w:color w:val="auto"/>
              </w:rPr>
            </w:pPr>
            <w:r>
              <w:rPr>
                <w:rFonts w:ascii="Arial" w:cs="Arial" w:eastAsia="Arial" w:hAnsi="Arial"/>
                <w:sz w:val="14"/>
                <w:szCs w:val="14"/>
                <w:color w:val="auto"/>
              </w:rPr>
              <w:t>Zax</w:t>
            </w:r>
          </w:p>
        </w:tc>
        <w:tc>
          <w:tcPr>
            <w:tcW w:w="1500" w:type="dxa"/>
            <w:vAlign w:val="bottom"/>
          </w:tcPr>
          <w:p>
            <w:pPr>
              <w:jc w:val="center"/>
              <w:ind w:left="272"/>
              <w:spacing w:after="0" w:line="146" w:lineRule="exact"/>
              <w:rPr>
                <w:sz w:val="20"/>
                <w:szCs w:val="20"/>
                <w:color w:val="auto"/>
              </w:rPr>
            </w:pPr>
            <w:r>
              <w:rPr>
                <w:rFonts w:ascii="Arial" w:cs="Arial" w:eastAsia="Arial" w:hAnsi="Arial"/>
                <w:sz w:val="14"/>
                <w:szCs w:val="14"/>
                <w:color w:val="auto"/>
                <w:w w:val="85"/>
              </w:rPr>
              <w:t>Stanley</w:t>
            </w:r>
          </w:p>
        </w:tc>
        <w:tc>
          <w:tcPr>
            <w:tcW w:w="460" w:type="dxa"/>
            <w:vAlign w:val="bottom"/>
          </w:tcPr>
          <w:p>
            <w:pPr>
              <w:spacing w:after="0"/>
              <w:rPr>
                <w:sz w:val="12"/>
                <w:szCs w:val="12"/>
                <w:color w:val="auto"/>
              </w:rPr>
            </w:pPr>
          </w:p>
        </w:tc>
        <w:tc>
          <w:tcPr>
            <w:tcW w:w="640" w:type="dxa"/>
            <w:vAlign w:val="bottom"/>
          </w:tcPr>
          <w:p>
            <w:pPr>
              <w:jc w:val="center"/>
              <w:ind w:right="332"/>
              <w:spacing w:after="0" w:line="146" w:lineRule="exact"/>
              <w:rPr>
                <w:sz w:val="20"/>
                <w:szCs w:val="20"/>
                <w:color w:val="auto"/>
              </w:rPr>
            </w:pPr>
            <w:r>
              <w:rPr>
                <w:rFonts w:ascii="Arial" w:cs="Arial" w:eastAsia="Arial" w:hAnsi="Arial"/>
                <w:sz w:val="14"/>
                <w:szCs w:val="14"/>
                <w:color w:val="auto"/>
                <w:w w:val="85"/>
              </w:rPr>
              <w:t>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7"/>
          </w:tcPr>
          <w:p>
            <w:pPr>
              <w:ind w:left="140"/>
              <w:spacing w:after="0" w:line="146" w:lineRule="exact"/>
              <w:rPr>
                <w:sz w:val="20"/>
                <w:szCs w:val="20"/>
                <w:color w:val="auto"/>
              </w:rPr>
            </w:pPr>
            <w:r>
              <w:rPr>
                <w:rFonts w:ascii="Arial" w:cs="Arial" w:eastAsia="Arial" w:hAnsi="Arial"/>
                <w:sz w:val="14"/>
                <w:szCs w:val="14"/>
                <w:color w:val="auto"/>
              </w:rPr>
              <w:t>Wynn Resorts, Limited ("WYNN")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ind w:left="60"/>
              <w:spacing w:after="0" w:line="146" w:lineRule="exact"/>
              <w:rPr>
                <w:sz w:val="20"/>
                <w:szCs w:val="20"/>
                <w:color w:val="auto"/>
              </w:rPr>
            </w:pPr>
            <w:r>
              <w:rPr>
                <w:rFonts w:ascii="Arial" w:cs="Arial" w:eastAsia="Arial" w:hAnsi="Arial"/>
                <w:sz w:val="14"/>
                <w:szCs w:val="14"/>
                <w:color w:val="auto"/>
              </w:rPr>
              <w:t>X  Director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ind w:left="40"/>
              <w:spacing w:after="0" w:line="146" w:lineRule="exact"/>
              <w:rPr>
                <w:sz w:val="20"/>
                <w:szCs w:val="20"/>
                <w:color w:val="auto"/>
              </w:rPr>
            </w:pPr>
            <w:r>
              <w:rPr>
                <w:rFonts w:ascii="Arial" w:cs="Arial" w:eastAsia="Arial" w:hAnsi="Arial"/>
                <w:sz w:val="14"/>
                <w:szCs w:val="14"/>
                <w:color w:val="auto"/>
                <w:w w:val="90"/>
              </w:rPr>
              <w:t>10% Owner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4"/>
                <w:szCs w:val="14"/>
                <w:color w:val="auto"/>
              </w:rPr>
              <w:t>(Last)</w:t>
            </w:r>
          </w:p>
        </w:tc>
        <w:tc>
          <w:tcPr>
            <w:tcW w:w="1500" w:type="dxa"/>
            <w:vAlign w:val="bottom"/>
          </w:tcPr>
          <w:p>
            <w:pPr>
              <w:jc w:val="center"/>
              <w:ind w:left="272"/>
              <w:spacing w:after="0"/>
              <w:rPr>
                <w:sz w:val="20"/>
                <w:szCs w:val="20"/>
                <w:color w:val="auto"/>
              </w:rPr>
            </w:pPr>
            <w:r>
              <w:rPr>
                <w:rFonts w:ascii="Arial" w:cs="Arial" w:eastAsia="Arial" w:hAnsi="Arial"/>
                <w:sz w:val="14"/>
                <w:szCs w:val="14"/>
                <w:color w:val="auto"/>
                <w:w w:val="87"/>
              </w:rPr>
              <w:t>(First)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4"/>
              </w:rPr>
              <w:t>(Middle)</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3.</w:t>
            </w: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I.R.S. Identification</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4.</w:t>
            </w:r>
          </w:p>
        </w:tc>
        <w:tc>
          <w:tcPr>
            <w:tcW w:w="920" w:type="dxa"/>
            <w:vAlign w:val="bottom"/>
          </w:tcPr>
          <w:p>
            <w:pPr>
              <w:ind w:left="140"/>
              <w:spacing w:after="0"/>
              <w:rPr>
                <w:sz w:val="20"/>
                <w:szCs w:val="20"/>
                <w:color w:val="auto"/>
              </w:rPr>
            </w:pPr>
            <w:r>
              <w:rPr>
                <w:rFonts w:ascii="Arial" w:cs="Arial" w:eastAsia="Arial" w:hAnsi="Arial"/>
                <w:sz w:val="14"/>
                <w:szCs w:val="14"/>
                <w:color w:val="auto"/>
                <w:w w:val="90"/>
              </w:rPr>
              <w:t>Statement for</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Officer</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140"/>
              <w:spacing w:after="0" w:line="131" w:lineRule="exact"/>
              <w:rPr>
                <w:sz w:val="20"/>
                <w:szCs w:val="20"/>
                <w:color w:val="auto"/>
              </w:rPr>
            </w:pPr>
            <w:r>
              <w:rPr>
                <w:rFonts w:ascii="Arial" w:cs="Arial" w:eastAsia="Arial" w:hAnsi="Arial"/>
                <w:sz w:val="14"/>
                <w:szCs w:val="14"/>
                <w:color w:val="auto"/>
                <w:w w:val="92"/>
              </w:rPr>
              <w:t>Number of Reporting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Arial" w:cs="Arial" w:eastAsia="Arial" w:hAnsi="Arial"/>
                <w:sz w:val="14"/>
                <w:szCs w:val="14"/>
                <w:color w:val="auto"/>
                <w:w w:val="94"/>
              </w:rPr>
              <w:t>(give title below)</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spacing w:after="0" w:line="131" w:lineRule="exact"/>
              <w:rPr>
                <w:sz w:val="20"/>
                <w:szCs w:val="20"/>
                <w:color w:val="auto"/>
              </w:rPr>
            </w:pPr>
            <w:r>
              <w:rPr>
                <w:rFonts w:ascii="Arial" w:cs="Arial" w:eastAsia="Arial" w:hAnsi="Arial"/>
                <w:sz w:val="14"/>
                <w:szCs w:val="14"/>
                <w:color w:val="auto"/>
              </w:rPr>
              <w:t>(specify below)</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Person, if an entity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40" w:type="dxa"/>
            <w:vAlign w:val="bottom"/>
            <w:gridSpan w:val="4"/>
            <w:vMerge w:val="restart"/>
          </w:tcPr>
          <w:p>
            <w:pPr>
              <w:ind w:left="180"/>
              <w:spacing w:after="0"/>
              <w:rPr>
                <w:sz w:val="20"/>
                <w:szCs w:val="20"/>
                <w:color w:val="auto"/>
              </w:rPr>
            </w:pPr>
            <w:r>
              <w:rPr>
                <w:rFonts w:ascii="Arial" w:cs="Arial" w:eastAsia="Arial" w:hAnsi="Arial"/>
                <w:sz w:val="14"/>
                <w:szCs w:val="14"/>
                <w:color w:val="auto"/>
                <w:w w:val="88"/>
              </w:rPr>
              <w:t>c/o Wynn Resorts, Limited 3145 Las Vegas Boulevard South</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(voluntary)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color w:val="auto"/>
              </w:rPr>
              <w:t>October 25, 2002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ind w:left="54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5.</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w w:val="92"/>
              </w:rPr>
              <w:t>If Amendment, Date of</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2460" w:type="dxa"/>
            <w:vAlign w:val="bottom"/>
            <w:gridSpan w:val="10"/>
          </w:tcPr>
          <w:p>
            <w:pPr>
              <w:ind w:left="80"/>
              <w:spacing w:after="0"/>
              <w:rPr>
                <w:sz w:val="20"/>
                <w:szCs w:val="20"/>
                <w:color w:val="auto"/>
              </w:rPr>
            </w:pPr>
            <w:r>
              <w:rPr>
                <w:rFonts w:ascii="Arial" w:cs="Arial" w:eastAsia="Arial" w:hAnsi="Arial"/>
                <w:sz w:val="14"/>
                <w:szCs w:val="14"/>
                <w:color w:val="auto"/>
              </w:rPr>
              <w:t>Individual or Joint/Group Filing</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ind w:left="140"/>
              <w:spacing w:after="0" w:line="149" w:lineRule="exact"/>
              <w:rPr>
                <w:sz w:val="20"/>
                <w:szCs w:val="20"/>
                <w:color w:val="auto"/>
              </w:rPr>
            </w:pPr>
            <w:r>
              <w:rPr>
                <w:rFonts w:ascii="Arial" w:cs="Arial" w:eastAsia="Arial" w:hAnsi="Arial"/>
                <w:sz w:val="14"/>
                <w:szCs w:val="14"/>
                <w:color w:val="auto"/>
              </w:rPr>
              <w:t>Original</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94"/>
              </w:rPr>
              <w:t>(Check Applicable Line)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9"/>
          </w:tcPr>
          <w:p>
            <w:pPr>
              <w:ind w:left="140"/>
              <w:spacing w:after="0" w:line="146" w:lineRule="exact"/>
              <w:rPr>
                <w:sz w:val="20"/>
                <w:szCs w:val="20"/>
                <w:color w:val="auto"/>
              </w:rPr>
            </w:pPr>
            <w:r>
              <w:rPr>
                <w:rFonts w:ascii="Arial" w:cs="Arial" w:eastAsia="Arial" w:hAnsi="Arial"/>
                <w:sz w:val="14"/>
                <w:szCs w:val="14"/>
                <w:color w:val="auto"/>
                <w:w w:val="90"/>
              </w:rPr>
              <w:t>X   Form filed by One Reporting Person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980" w:type="dxa"/>
            <w:vAlign w:val="bottom"/>
            <w:gridSpan w:val="5"/>
          </w:tcPr>
          <w:p>
            <w:pPr>
              <w:ind w:left="40"/>
              <w:spacing w:after="0" w:line="129" w:lineRule="exact"/>
              <w:rPr>
                <w:sz w:val="20"/>
                <w:szCs w:val="20"/>
                <w:color w:val="auto"/>
              </w:rPr>
            </w:pPr>
            <w:r>
              <w:rPr>
                <w:rFonts w:ascii="Arial" w:cs="Arial" w:eastAsia="Arial" w:hAnsi="Arial"/>
                <w:sz w:val="14"/>
                <w:szCs w:val="14"/>
                <w:color w:val="auto"/>
              </w:rPr>
              <w:t>Form filed by More than</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940" w:type="dxa"/>
            <w:vAlign w:val="bottom"/>
          </w:tcPr>
          <w:p>
            <w:pPr>
              <w:ind w:left="180"/>
              <w:spacing w:after="0" w:line="155" w:lineRule="exact"/>
              <w:rPr>
                <w:sz w:val="20"/>
                <w:szCs w:val="20"/>
                <w:color w:val="auto"/>
              </w:rPr>
            </w:pPr>
            <w:r>
              <w:rPr>
                <w:rFonts w:ascii="Arial" w:cs="Arial" w:eastAsia="Arial" w:hAnsi="Arial"/>
                <w:sz w:val="14"/>
                <w:szCs w:val="14"/>
                <w:color w:val="auto"/>
              </w:rPr>
              <w:t>Las Vegas</w:t>
            </w:r>
          </w:p>
        </w:tc>
        <w:tc>
          <w:tcPr>
            <w:tcW w:w="1500" w:type="dxa"/>
            <w:vAlign w:val="bottom"/>
          </w:tcPr>
          <w:p>
            <w:pPr>
              <w:ind w:left="400"/>
              <w:spacing w:after="0" w:line="155" w:lineRule="exact"/>
              <w:rPr>
                <w:sz w:val="20"/>
                <w:szCs w:val="20"/>
                <w:color w:val="auto"/>
              </w:rPr>
            </w:pPr>
            <w:r>
              <w:rPr>
                <w:rFonts w:ascii="Arial" w:cs="Arial" w:eastAsia="Arial" w:hAnsi="Arial"/>
                <w:sz w:val="14"/>
                <w:szCs w:val="14"/>
                <w:color w:val="auto"/>
              </w:rPr>
              <w:t>Nevada</w:t>
            </w:r>
          </w:p>
        </w:tc>
        <w:tc>
          <w:tcPr>
            <w:tcW w:w="460" w:type="dxa"/>
            <w:vAlign w:val="bottom"/>
          </w:tcPr>
          <w:p>
            <w:pPr>
              <w:ind w:left="60"/>
              <w:spacing w:after="0" w:line="155" w:lineRule="exact"/>
              <w:rPr>
                <w:sz w:val="20"/>
                <w:szCs w:val="20"/>
                <w:color w:val="auto"/>
              </w:rPr>
            </w:pPr>
            <w:r>
              <w:rPr>
                <w:rFonts w:ascii="Arial" w:cs="Arial" w:eastAsia="Arial" w:hAnsi="Arial"/>
                <w:sz w:val="14"/>
                <w:szCs w:val="14"/>
                <w:color w:val="auto"/>
                <w:w w:val="97"/>
              </w:rPr>
              <w:t>89109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gridSpan w:val="5"/>
          </w:tcPr>
          <w:p>
            <w:pPr>
              <w:spacing w:after="0" w:line="155" w:lineRule="exact"/>
              <w:rPr>
                <w:sz w:val="20"/>
                <w:szCs w:val="20"/>
                <w:color w:val="auto"/>
              </w:rPr>
            </w:pPr>
            <w:r>
              <w:rPr>
                <w:rFonts w:ascii="Arial" w:cs="Arial" w:eastAsia="Arial" w:hAnsi="Arial"/>
                <w:sz w:val="14"/>
                <w:szCs w:val="14"/>
                <w:color w:val="auto"/>
              </w:rPr>
              <w:t>One Reporting Person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4"/>
                <w:szCs w:val="14"/>
                <w:color w:val="auto"/>
              </w:rPr>
              <w:t>(City)</w:t>
            </w:r>
          </w:p>
        </w:tc>
        <w:tc>
          <w:tcPr>
            <w:tcW w:w="1500" w:type="dxa"/>
            <w:vAlign w:val="bottom"/>
          </w:tcPr>
          <w:p>
            <w:pPr>
              <w:ind w:left="400"/>
              <w:spacing w:after="0"/>
              <w:rPr>
                <w:sz w:val="20"/>
                <w:szCs w:val="20"/>
                <w:color w:val="auto"/>
              </w:rPr>
            </w:pPr>
            <w:r>
              <w:rPr>
                <w:rFonts w:ascii="Arial" w:cs="Arial" w:eastAsia="Arial" w:hAnsi="Arial"/>
                <w:sz w:val="14"/>
                <w:szCs w:val="14"/>
                <w:color w:val="auto"/>
              </w:rPr>
              <w:t>(State)</w:t>
            </w: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20" w:type="dxa"/>
            <w:vAlign w:val="bottom"/>
            <w:gridSpan w:val="17"/>
            <w:vMerge w:val="restart"/>
          </w:tcPr>
          <w:p>
            <w:pPr>
              <w:spacing w:after="0"/>
              <w:rPr>
                <w:sz w:val="20"/>
                <w:szCs w:val="20"/>
                <w:color w:val="auto"/>
              </w:rPr>
            </w:pPr>
            <w:r>
              <w:rPr>
                <w:rFonts w:ascii="Arial" w:cs="Arial" w:eastAsia="Arial" w:hAnsi="Arial"/>
                <w:sz w:val="14"/>
                <w:szCs w:val="14"/>
                <w:b w:val="1"/>
                <w:bCs w:val="1"/>
                <w:color w:val="auto"/>
                <w:w w:val="99"/>
              </w:rPr>
              <w:t>Table I — Non-Derivative Securities Acquired, Disposed of, or Beneficially Owned</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20" w:type="dxa"/>
            <w:vAlign w:val="bottom"/>
            <w:gridSpan w:val="17"/>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4"/>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4"/>
          </w:tcPr>
          <w:p>
            <w:pPr>
              <w:spacing w:after="0"/>
              <w:rPr>
                <w:sz w:val="9"/>
                <w:szCs w:val="9"/>
                <w:color w:val="auto"/>
              </w:rPr>
            </w:pPr>
          </w:p>
        </w:tc>
        <w:tc>
          <w:tcPr>
            <w:tcW w:w="1960" w:type="dxa"/>
            <w:vAlign w:val="bottom"/>
            <w:tcBorders>
              <w:bottom w:val="single" w:sz="8" w:color="808080"/>
            </w:tcBorders>
            <w:gridSpan w:val="4"/>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940" w:type="dxa"/>
            <w:vAlign w:val="bottom"/>
          </w:tcPr>
          <w:p>
            <w:pPr>
              <w:ind w:left="80"/>
              <w:spacing w:after="0"/>
              <w:rPr>
                <w:sz w:val="20"/>
                <w:szCs w:val="20"/>
                <w:color w:val="auto"/>
              </w:rPr>
            </w:pPr>
            <w:r>
              <w:rPr>
                <w:rFonts w:ascii="Arial" w:cs="Arial" w:eastAsia="Arial" w:hAnsi="Arial"/>
                <w:sz w:val="14"/>
                <w:szCs w:val="14"/>
                <w:color w:val="auto"/>
              </w:rPr>
              <w:t>Title of</w:t>
            </w:r>
          </w:p>
        </w:tc>
        <w:tc>
          <w:tcPr>
            <w:tcW w:w="1500" w:type="dxa"/>
            <w:vAlign w:val="bottom"/>
          </w:tcPr>
          <w:p>
            <w:pPr>
              <w:ind w:left="60"/>
              <w:spacing w:after="0"/>
              <w:rPr>
                <w:sz w:val="20"/>
                <w:szCs w:val="20"/>
                <w:color w:val="auto"/>
              </w:rPr>
            </w:pPr>
            <w:r>
              <w:rPr>
                <w:rFonts w:ascii="Arial" w:cs="Arial" w:eastAsia="Arial" w:hAnsi="Arial"/>
                <w:sz w:val="14"/>
                <w:szCs w:val="14"/>
                <w:color w:val="auto"/>
              </w:rPr>
              <w:t>2.  Transaction Date</w:t>
            </w:r>
          </w:p>
        </w:tc>
        <w:tc>
          <w:tcPr>
            <w:tcW w:w="460" w:type="dxa"/>
            <w:vAlign w:val="bottom"/>
          </w:tcPr>
          <w:p>
            <w:pPr>
              <w:ind w:left="180"/>
              <w:spacing w:after="0"/>
              <w:rPr>
                <w:sz w:val="20"/>
                <w:szCs w:val="20"/>
                <w:color w:val="auto"/>
              </w:rPr>
            </w:pPr>
            <w:r>
              <w:rPr>
                <w:rFonts w:ascii="Arial" w:cs="Arial" w:eastAsia="Arial" w:hAnsi="Arial"/>
                <w:sz w:val="14"/>
                <w:szCs w:val="14"/>
                <w:color w:val="auto"/>
              </w:rPr>
              <w:t>2A.</w:t>
            </w:r>
          </w:p>
        </w:tc>
        <w:tc>
          <w:tcPr>
            <w:tcW w:w="1400" w:type="dxa"/>
            <w:vAlign w:val="bottom"/>
            <w:gridSpan w:val="4"/>
          </w:tcPr>
          <w:p>
            <w:pPr>
              <w:ind w:left="200"/>
              <w:spacing w:after="0"/>
              <w:rPr>
                <w:sz w:val="20"/>
                <w:szCs w:val="20"/>
                <w:color w:val="auto"/>
              </w:rPr>
            </w:pPr>
            <w:r>
              <w:rPr>
                <w:rFonts w:ascii="Arial" w:cs="Arial" w:eastAsia="Arial" w:hAnsi="Arial"/>
                <w:sz w:val="14"/>
                <w:szCs w:val="14"/>
                <w:color w:val="auto"/>
                <w:w w:val="99"/>
              </w:rPr>
              <w:t>Deemed Execution</w:t>
            </w:r>
          </w:p>
        </w:tc>
        <w:tc>
          <w:tcPr>
            <w:tcW w:w="1500" w:type="dxa"/>
            <w:vAlign w:val="bottom"/>
            <w:gridSpan w:val="5"/>
          </w:tcPr>
          <w:p>
            <w:pPr>
              <w:jc w:val="right"/>
              <w:ind w:right="140"/>
              <w:spacing w:after="0"/>
              <w:rPr>
                <w:sz w:val="20"/>
                <w:szCs w:val="20"/>
                <w:color w:val="auto"/>
              </w:rPr>
            </w:pPr>
            <w:r>
              <w:rPr>
                <w:rFonts w:ascii="Arial" w:cs="Arial" w:eastAsia="Arial" w:hAnsi="Arial"/>
                <w:sz w:val="14"/>
                <w:szCs w:val="14"/>
                <w:color w:val="auto"/>
              </w:rPr>
              <w:t>3.  Transaction Code</w:t>
            </w:r>
          </w:p>
        </w:tc>
        <w:tc>
          <w:tcPr>
            <w:tcW w:w="1960" w:type="dxa"/>
            <w:vAlign w:val="bottom"/>
            <w:gridSpan w:val="4"/>
          </w:tcPr>
          <w:p>
            <w:pPr>
              <w:ind w:left="80"/>
              <w:spacing w:after="0"/>
              <w:rPr>
                <w:sz w:val="20"/>
                <w:szCs w:val="20"/>
                <w:color w:val="auto"/>
              </w:rPr>
            </w:pPr>
            <w:r>
              <w:rPr>
                <w:rFonts w:ascii="Arial" w:cs="Arial" w:eastAsia="Arial" w:hAnsi="Arial"/>
                <w:sz w:val="14"/>
                <w:szCs w:val="14"/>
                <w:color w:val="auto"/>
              </w:rPr>
              <w:t>4.  Securities Acquired (A) or</w:t>
            </w:r>
          </w:p>
        </w:tc>
        <w:tc>
          <w:tcPr>
            <w:tcW w:w="80" w:type="dxa"/>
            <w:vAlign w:val="bottom"/>
          </w:tcPr>
          <w:p>
            <w:pPr>
              <w:spacing w:after="0"/>
              <w:rPr>
                <w:sz w:val="21"/>
                <w:szCs w:val="21"/>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color w:val="auto"/>
              </w:rPr>
              <w:t>5.  Amount of</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6.</w:t>
            </w:r>
          </w:p>
        </w:tc>
        <w:tc>
          <w:tcPr>
            <w:tcW w:w="960" w:type="dxa"/>
            <w:vAlign w:val="bottom"/>
            <w:gridSpan w:val="3"/>
          </w:tcPr>
          <w:p>
            <w:pPr>
              <w:ind w:left="60"/>
              <w:spacing w:after="0"/>
              <w:rPr>
                <w:sz w:val="20"/>
                <w:szCs w:val="20"/>
                <w:color w:val="auto"/>
              </w:rPr>
            </w:pPr>
            <w:r>
              <w:rPr>
                <w:rFonts w:ascii="Arial" w:cs="Arial" w:eastAsia="Arial" w:hAnsi="Arial"/>
                <w:sz w:val="14"/>
                <w:szCs w:val="14"/>
                <w:color w:val="auto"/>
              </w:rPr>
              <w:t>Ownership</w:t>
            </w:r>
          </w:p>
        </w:tc>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7.</w:t>
            </w:r>
          </w:p>
        </w:tc>
        <w:tc>
          <w:tcPr>
            <w:tcW w:w="840" w:type="dxa"/>
            <w:vAlign w:val="bottom"/>
          </w:tcPr>
          <w:p>
            <w:pPr>
              <w:ind w:left="40"/>
              <w:spacing w:after="0"/>
              <w:rPr>
                <w:sz w:val="20"/>
                <w:szCs w:val="20"/>
                <w:color w:val="auto"/>
              </w:rPr>
            </w:pPr>
            <w:r>
              <w:rPr>
                <w:rFonts w:ascii="Arial" w:cs="Arial" w:eastAsia="Arial" w:hAnsi="Arial"/>
                <w:sz w:val="14"/>
                <w:szCs w:val="14"/>
                <w:color w:val="auto"/>
              </w:rPr>
              <w:t>Nature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Security</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Date, if any</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w w:val="95"/>
              </w:rPr>
              <w:t>(Instr. 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Disposed of (D)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Form: Direct</w:t>
            </w:r>
          </w:p>
        </w:tc>
        <w:tc>
          <w:tcPr>
            <w:tcW w:w="1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(Instr. 3)</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(Instr. 3, 4 and 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Beneficially</w:t>
            </w:r>
          </w:p>
        </w:tc>
        <w:tc>
          <w:tcPr>
            <w:tcW w:w="1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 or Indirect</w:t>
            </w:r>
          </w:p>
        </w:tc>
        <w:tc>
          <w:tcPr>
            <w:tcW w:w="1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Owned</w:t>
            </w:r>
          </w:p>
        </w:tc>
        <w:tc>
          <w:tcPr>
            <w:tcW w:w="1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w:t>
            </w:r>
          </w:p>
        </w:tc>
        <w:tc>
          <w:tcPr>
            <w:tcW w:w="1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Ownership</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Following</w:t>
            </w:r>
          </w:p>
        </w:tc>
        <w:tc>
          <w:tcPr>
            <w:tcW w:w="1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(Instr. 4)</w:t>
            </w:r>
          </w:p>
        </w:tc>
        <w:tc>
          <w:tcPr>
            <w:tcW w:w="1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Reported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Transaction(s)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vMerge w:val="restart"/>
          </w:tcPr>
          <w:p>
            <w:pPr>
              <w:ind w:left="300"/>
              <w:spacing w:after="0"/>
              <w:rPr>
                <w:sz w:val="20"/>
                <w:szCs w:val="20"/>
                <w:color w:val="auto"/>
              </w:rPr>
            </w:pPr>
            <w:r>
              <w:rPr>
                <w:rFonts w:ascii="Arial" w:cs="Arial" w:eastAsia="Arial" w:hAnsi="Arial"/>
                <w:sz w:val="14"/>
                <w:szCs w:val="14"/>
                <w:color w:val="auto"/>
              </w:rPr>
              <w:t>(Month/Day/Year)</w:t>
            </w:r>
          </w:p>
        </w:tc>
        <w:tc>
          <w:tcPr>
            <w:tcW w:w="460" w:type="dxa"/>
            <w:vAlign w:val="bottom"/>
          </w:tcPr>
          <w:p>
            <w:pPr>
              <w:spacing w:after="0"/>
              <w:rPr>
                <w:sz w:val="14"/>
                <w:szCs w:val="14"/>
                <w:color w:val="auto"/>
              </w:rPr>
            </w:pPr>
          </w:p>
        </w:tc>
        <w:tc>
          <w:tcPr>
            <w:tcW w:w="1400" w:type="dxa"/>
            <w:vAlign w:val="bottom"/>
            <w:gridSpan w:val="4"/>
            <w:vMerge w:val="restart"/>
          </w:tcPr>
          <w:p>
            <w:pPr>
              <w:ind w:left="200"/>
              <w:spacing w:after="0"/>
              <w:rPr>
                <w:sz w:val="20"/>
                <w:szCs w:val="20"/>
                <w:color w:val="auto"/>
              </w:rPr>
            </w:pPr>
            <w:r>
              <w:rPr>
                <w:rFonts w:ascii="Arial" w:cs="Arial" w:eastAsia="Arial" w:hAnsi="Arial"/>
                <w:sz w:val="14"/>
                <w:szCs w:val="14"/>
                <w:color w:val="auto"/>
              </w:rPr>
              <w:t>(Month/Day/Year)</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(Instr. 3 and 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Code</w:t>
            </w:r>
          </w:p>
        </w:tc>
        <w:tc>
          <w:tcPr>
            <w:tcW w:w="560" w:type="dxa"/>
            <w:vAlign w:val="bottom"/>
            <w:gridSpan w:val="3"/>
          </w:tcPr>
          <w:p>
            <w:pPr>
              <w:jc w:val="right"/>
              <w:ind w:right="400"/>
              <w:spacing w:after="0"/>
              <w:rPr>
                <w:sz w:val="20"/>
                <w:szCs w:val="20"/>
                <w:color w:val="auto"/>
              </w:rPr>
            </w:pPr>
            <w:r>
              <w:rPr>
                <w:rFonts w:ascii="Arial" w:cs="Arial" w:eastAsia="Arial" w:hAnsi="Arial"/>
                <w:sz w:val="14"/>
                <w:szCs w:val="14"/>
                <w:color w:val="auto"/>
              </w:rPr>
              <w:t>V</w:t>
            </w:r>
          </w:p>
        </w:tc>
        <w:tc>
          <w:tcPr>
            <w:tcW w:w="920" w:type="dxa"/>
            <w:vAlign w:val="bottom"/>
          </w:tcPr>
          <w:p>
            <w:pPr>
              <w:ind w:left="300"/>
              <w:spacing w:after="0"/>
              <w:rPr>
                <w:sz w:val="20"/>
                <w:szCs w:val="20"/>
                <w:color w:val="auto"/>
              </w:rPr>
            </w:pPr>
            <w:r>
              <w:rPr>
                <w:rFonts w:ascii="Arial" w:cs="Arial" w:eastAsia="Arial" w:hAnsi="Arial"/>
                <w:sz w:val="14"/>
                <w:szCs w:val="14"/>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color w:val="auto"/>
              </w:rPr>
              <w:t>(A) or</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Price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(1)</w:t>
            </w: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-4756785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-4756785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-4756785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-4756785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-4130675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-4130675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-4130675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-4130675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-4130675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-4130675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-4130675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-4130675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-3504565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-3504565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-3161665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-3161665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-2252345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-2252345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jc w:val="center"/>
        <w:ind w:left="184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p>
      <w:pPr>
        <w:spacing w:after="0" w:line="1" w:lineRule="exact"/>
        <w:rPr>
          <w:sz w:val="24"/>
          <w:szCs w:val="24"/>
          <w:color w:val="auto"/>
        </w:rPr>
      </w:pPr>
    </w:p>
    <w:p>
      <w:pPr>
        <w:jc w:val="center"/>
        <w:ind w:left="18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e.g.</w:t>
      </w:r>
      <w:r>
        <w:rPr>
          <w:rFonts w:ascii="Arial" w:cs="Arial" w:eastAsia="Arial" w:hAnsi="Arial"/>
          <w:sz w:val="14"/>
          <w:szCs w:val="14"/>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Arial" w:cs="Arial" w:eastAsia="Arial" w:hAnsi="Arial"/>
                <w:sz w:val="14"/>
                <w:szCs w:val="14"/>
                <w:color w:val="auto"/>
              </w:rPr>
              <w:t>1.  Title of Derivative</w:t>
            </w:r>
          </w:p>
        </w:tc>
        <w:tc>
          <w:tcPr>
            <w:tcW w:w="1280" w:type="dxa"/>
            <w:vAlign w:val="bottom"/>
          </w:tcPr>
          <w:p>
            <w:pPr>
              <w:ind w:left="180"/>
              <w:spacing w:after="0"/>
              <w:rPr>
                <w:sz w:val="20"/>
                <w:szCs w:val="20"/>
                <w:color w:val="auto"/>
              </w:rPr>
            </w:pPr>
            <w:r>
              <w:rPr>
                <w:rFonts w:ascii="Arial" w:cs="Arial" w:eastAsia="Arial" w:hAnsi="Arial"/>
                <w:sz w:val="14"/>
                <w:szCs w:val="14"/>
                <w:color w:val="auto"/>
              </w:rPr>
              <w:t>2.  Conversion or</w:t>
            </w:r>
          </w:p>
        </w:tc>
        <w:tc>
          <w:tcPr>
            <w:tcW w:w="1520" w:type="dxa"/>
            <w:vAlign w:val="bottom"/>
          </w:tcPr>
          <w:p>
            <w:pPr>
              <w:ind w:left="80"/>
              <w:spacing w:after="0"/>
              <w:rPr>
                <w:sz w:val="20"/>
                <w:szCs w:val="20"/>
                <w:color w:val="auto"/>
              </w:rPr>
            </w:pPr>
            <w:r>
              <w:rPr>
                <w:rFonts w:ascii="Arial" w:cs="Arial" w:eastAsia="Arial" w:hAnsi="Arial"/>
                <w:sz w:val="14"/>
                <w:szCs w:val="14"/>
                <w:color w:val="auto"/>
              </w:rPr>
              <w:t>3.  Transaction Date</w:t>
            </w:r>
          </w:p>
        </w:tc>
        <w:tc>
          <w:tcPr>
            <w:tcW w:w="520" w:type="dxa"/>
            <w:vAlign w:val="bottom"/>
          </w:tcPr>
          <w:p>
            <w:pPr>
              <w:ind w:left="180"/>
              <w:spacing w:after="0"/>
              <w:rPr>
                <w:sz w:val="20"/>
                <w:szCs w:val="20"/>
                <w:color w:val="auto"/>
              </w:rPr>
            </w:pPr>
            <w:r>
              <w:rPr>
                <w:rFonts w:ascii="Arial" w:cs="Arial" w:eastAsia="Arial" w:hAnsi="Arial"/>
                <w:sz w:val="14"/>
                <w:szCs w:val="14"/>
                <w:color w:val="auto"/>
              </w:rPr>
              <w:t>3A.</w:t>
            </w:r>
          </w:p>
        </w:tc>
        <w:tc>
          <w:tcPr>
            <w:tcW w:w="1340" w:type="dxa"/>
            <w:vAlign w:val="bottom"/>
          </w:tcPr>
          <w:p>
            <w:pPr>
              <w:ind w:left="140"/>
              <w:spacing w:after="0"/>
              <w:rPr>
                <w:sz w:val="20"/>
                <w:szCs w:val="20"/>
                <w:color w:val="auto"/>
              </w:rPr>
            </w:pPr>
            <w:r>
              <w:rPr>
                <w:rFonts w:ascii="Arial" w:cs="Arial" w:eastAsia="Arial" w:hAnsi="Arial"/>
                <w:sz w:val="14"/>
                <w:szCs w:val="14"/>
                <w:color w:val="auto"/>
                <w:w w:val="99"/>
              </w:rPr>
              <w:t>Deemed Execution</w:t>
            </w: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w w:val="93"/>
              </w:rPr>
              <w:t>4.  Transaction Code</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5.  Number of Derivative</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w w:val="92"/>
              </w:rPr>
              <w:t>6.  Date Exercisable and Expiration</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Security</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1"/>
              </w:rPr>
              <w:t>Exercise Price</w:t>
            </w:r>
          </w:p>
        </w:tc>
        <w:tc>
          <w:tcPr>
            <w:tcW w:w="1520" w:type="dxa"/>
            <w:vAlign w:val="bottom"/>
          </w:tcPr>
          <w:p>
            <w:pPr>
              <w:ind w:left="320"/>
              <w:spacing w:after="0" w:line="149" w:lineRule="exact"/>
              <w:rPr>
                <w:sz w:val="20"/>
                <w:szCs w:val="20"/>
                <w:color w:val="auto"/>
              </w:rPr>
            </w:pPr>
            <w:r>
              <w:rPr>
                <w:rFonts w:ascii="Arial" w:cs="Arial" w:eastAsia="Arial" w:hAnsi="Arial"/>
                <w:sz w:val="14"/>
                <w:szCs w:val="14"/>
                <w:color w:val="auto"/>
              </w:rPr>
              <w:t>(Month/Day/Year)</w:t>
            </w: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Date, if any</w:t>
            </w:r>
          </w:p>
        </w:tc>
        <w:tc>
          <w:tcPr>
            <w:tcW w:w="180" w:type="dxa"/>
            <w:vAlign w:val="bottom"/>
          </w:tcPr>
          <w:p>
            <w:pPr>
              <w:spacing w:after="0"/>
              <w:rPr>
                <w:sz w:val="12"/>
                <w:szCs w:val="12"/>
                <w:color w:val="auto"/>
              </w:rPr>
            </w:pPr>
          </w:p>
        </w:tc>
        <w:tc>
          <w:tcPr>
            <w:tcW w:w="720" w:type="dxa"/>
            <w:vAlign w:val="bottom"/>
          </w:tcPr>
          <w:p>
            <w:pPr>
              <w:ind w:left="220"/>
              <w:spacing w:after="0" w:line="149" w:lineRule="exact"/>
              <w:rPr>
                <w:sz w:val="20"/>
                <w:szCs w:val="20"/>
                <w:color w:val="auto"/>
              </w:rPr>
            </w:pPr>
            <w:r>
              <w:rPr>
                <w:rFonts w:ascii="Arial" w:cs="Arial" w:eastAsia="Arial" w:hAnsi="Arial"/>
                <w:sz w:val="14"/>
                <w:szCs w:val="14"/>
                <w:color w:val="auto"/>
                <w:w w:val="91"/>
              </w:rPr>
              <w:t>(Instr. 8)</w:t>
            </w: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0"/>
              </w:rPr>
              <w:t>Securities Acquired (A) or</w:t>
            </w:r>
          </w:p>
        </w:tc>
        <w:tc>
          <w:tcPr>
            <w:tcW w:w="21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Date (Month/Day/Year)</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(Instr. 3)</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 Derivative</w:t>
            </w: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Disposed of (D)</w:t>
            </w: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144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color w:val="auto"/>
              </w:rPr>
              <w:t>Security</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(Instr. 3, 4, and 5)</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05"/>
        </w:trPr>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43"/>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Code</w:t>
            </w:r>
          </w:p>
        </w:tc>
        <w:tc>
          <w:tcPr>
            <w:tcW w:w="520" w:type="dxa"/>
            <w:vAlign w:val="bottom"/>
          </w:tcPr>
          <w:p>
            <w:pPr>
              <w:ind w:left="40"/>
              <w:spacing w:after="0"/>
              <w:rPr>
                <w:sz w:val="20"/>
                <w:szCs w:val="20"/>
                <w:color w:val="auto"/>
              </w:rPr>
            </w:pPr>
            <w:r>
              <w:rPr>
                <w:rFonts w:ascii="Arial" w:cs="Arial" w:eastAsia="Arial" w:hAnsi="Arial"/>
                <w:sz w:val="14"/>
                <w:szCs w:val="14"/>
                <w:color w:val="auto"/>
              </w:rPr>
              <w:t>V</w:t>
            </w:r>
          </w:p>
        </w:tc>
        <w:tc>
          <w:tcPr>
            <w:tcW w:w="780" w:type="dxa"/>
            <w:vAlign w:val="bottom"/>
          </w:tcPr>
          <w:p>
            <w:pPr>
              <w:ind w:left="300"/>
              <w:spacing w:after="0"/>
              <w:rPr>
                <w:sz w:val="20"/>
                <w:szCs w:val="20"/>
                <w:color w:val="auto"/>
              </w:rPr>
            </w:pPr>
            <w:r>
              <w:rPr>
                <w:rFonts w:ascii="Arial" w:cs="Arial" w:eastAsia="Arial" w:hAnsi="Arial"/>
                <w:sz w:val="14"/>
                <w:szCs w:val="14"/>
                <w:color w:val="auto"/>
              </w:rPr>
              <w:t>(A)</w:t>
            </w:r>
          </w:p>
        </w:tc>
        <w:tc>
          <w:tcPr>
            <w:tcW w:w="980" w:type="dxa"/>
            <w:vAlign w:val="bottom"/>
          </w:tcPr>
          <w:p>
            <w:pPr>
              <w:ind w:left="300"/>
              <w:spacing w:after="0"/>
              <w:rPr>
                <w:sz w:val="20"/>
                <w:szCs w:val="20"/>
                <w:color w:val="auto"/>
              </w:rPr>
            </w:pPr>
            <w:r>
              <w:rPr>
                <w:rFonts w:ascii="Arial" w:cs="Arial" w:eastAsia="Arial" w:hAnsi="Arial"/>
                <w:sz w:val="14"/>
                <w:szCs w:val="14"/>
                <w:color w:val="auto"/>
              </w:rPr>
              <w:t>(D)</w:t>
            </w:r>
          </w:p>
        </w:tc>
        <w:tc>
          <w:tcPr>
            <w:tcW w:w="1260" w:type="dxa"/>
            <w:vAlign w:val="bottom"/>
          </w:tcPr>
          <w:p>
            <w:pPr>
              <w:ind w:left="320"/>
              <w:spacing w:after="0"/>
              <w:rPr>
                <w:sz w:val="20"/>
                <w:szCs w:val="20"/>
                <w:color w:val="auto"/>
              </w:rPr>
            </w:pPr>
            <w:r>
              <w:rPr>
                <w:rFonts w:ascii="Arial" w:cs="Arial" w:eastAsia="Arial" w:hAnsi="Arial"/>
                <w:sz w:val="14"/>
                <w:szCs w:val="14"/>
                <w:color w:val="auto"/>
              </w:rPr>
              <w:t>Date</w:t>
            </w:r>
          </w:p>
        </w:tc>
        <w:tc>
          <w:tcPr>
            <w:tcW w:w="880" w:type="dxa"/>
            <w:vAlign w:val="bottom"/>
          </w:tcPr>
          <w:p>
            <w:pPr>
              <w:ind w:left="300"/>
              <w:spacing w:after="0"/>
              <w:rPr>
                <w:sz w:val="20"/>
                <w:szCs w:val="20"/>
                <w:color w:val="auto"/>
              </w:rPr>
            </w:pPr>
            <w:r>
              <w:rPr>
                <w:rFonts w:ascii="Arial" w:cs="Arial" w:eastAsia="Arial" w:hAnsi="Arial"/>
                <w:sz w:val="14"/>
                <w:szCs w:val="14"/>
                <w:color w:val="auto"/>
                <w:w w:val="89"/>
              </w:rPr>
              <w:t>Expiration</w:t>
            </w:r>
          </w:p>
        </w:tc>
      </w:tr>
      <w:tr>
        <w:trPr>
          <w:trHeight w:val="172"/>
        </w:trPr>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color w:val="auto"/>
              </w:rPr>
              <w:t>Exercisable</w:t>
            </w:r>
          </w:p>
        </w:tc>
        <w:tc>
          <w:tcPr>
            <w:tcW w:w="880" w:type="dxa"/>
            <w:vAlign w:val="bottom"/>
          </w:tcPr>
          <w:p>
            <w:pPr>
              <w:ind w:left="300"/>
              <w:spacing w:after="0"/>
              <w:rPr>
                <w:sz w:val="20"/>
                <w:szCs w:val="20"/>
                <w:color w:val="auto"/>
              </w:rPr>
            </w:pPr>
            <w:r>
              <w:rPr>
                <w:rFonts w:ascii="Arial" w:cs="Arial" w:eastAsia="Arial" w:hAnsi="Arial"/>
                <w:sz w:val="14"/>
                <w:szCs w:val="14"/>
                <w:color w:val="auto"/>
              </w:rPr>
              <w:t>Date</w:t>
            </w: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5877560</wp:posOffset>
            </wp:positionH>
            <wp:positionV relativeFrom="paragraph">
              <wp:posOffset>-3093085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-3093085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-2750185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-2750185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47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98"/>
              <w:spacing w:after="0"/>
              <w:rPr>
                <w:sz w:val="20"/>
                <w:szCs w:val="20"/>
                <w:color w:val="auto"/>
              </w:rPr>
            </w:pPr>
            <w:r>
              <w:rPr>
                <w:rFonts w:ascii="Arial" w:cs="Arial" w:eastAsia="Arial" w:hAnsi="Arial"/>
                <w:sz w:val="12"/>
                <w:szCs w:val="12"/>
                <w:color w:val="auto"/>
                <w:w w:val="79"/>
              </w:rPr>
              <w:t>7.</w:t>
            </w:r>
          </w:p>
        </w:tc>
        <w:tc>
          <w:tcPr>
            <w:tcW w:w="3200" w:type="dxa"/>
            <w:vAlign w:val="bottom"/>
            <w:gridSpan w:val="2"/>
          </w:tcPr>
          <w:p>
            <w:pPr>
              <w:spacing w:after="0"/>
              <w:rPr>
                <w:sz w:val="20"/>
                <w:szCs w:val="20"/>
                <w:color w:val="auto"/>
              </w:rPr>
            </w:pPr>
            <w:r>
              <w:rPr>
                <w:rFonts w:ascii="Arial" w:cs="Arial" w:eastAsia="Arial" w:hAnsi="Arial"/>
                <w:sz w:val="14"/>
                <w:szCs w:val="14"/>
                <w:color w:val="auto"/>
              </w:rPr>
              <w:t>Title and Amount of Underlying Securities</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1500" w:type="dxa"/>
            <w:vAlign w:val="bottom"/>
          </w:tcPr>
          <w:p>
            <w:pPr>
              <w:ind w:left="120"/>
              <w:spacing w:after="0"/>
              <w:rPr>
                <w:sz w:val="20"/>
                <w:szCs w:val="20"/>
                <w:color w:val="auto"/>
              </w:rPr>
            </w:pPr>
            <w:r>
              <w:rPr>
                <w:rFonts w:ascii="Arial" w:cs="Arial" w:eastAsia="Arial" w:hAnsi="Arial"/>
                <w:sz w:val="14"/>
                <w:szCs w:val="14"/>
                <w:color w:val="auto"/>
              </w:rPr>
              <w:t>Price of Derivative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720" w:type="dxa"/>
            <w:vAlign w:val="bottom"/>
          </w:tcPr>
          <w:p>
            <w:pPr>
              <w:ind w:left="120"/>
              <w:spacing w:after="0"/>
              <w:rPr>
                <w:sz w:val="20"/>
                <w:szCs w:val="20"/>
                <w:color w:val="auto"/>
              </w:rPr>
            </w:pPr>
            <w:r>
              <w:rPr>
                <w:rFonts w:ascii="Arial" w:cs="Arial" w:eastAsia="Arial" w:hAnsi="Arial"/>
                <w:sz w:val="14"/>
                <w:szCs w:val="14"/>
                <w:color w:val="auto"/>
              </w:rPr>
              <w:t>Number of Derivative</w:t>
            </w:r>
          </w:p>
        </w:tc>
        <w:tc>
          <w:tcPr>
            <w:tcW w:w="2180" w:type="dxa"/>
            <w:vAlign w:val="bottom"/>
          </w:tcPr>
          <w:p>
            <w:pPr>
              <w:ind w:left="300"/>
              <w:spacing w:after="0"/>
              <w:rPr>
                <w:sz w:val="20"/>
                <w:szCs w:val="20"/>
                <w:color w:val="auto"/>
              </w:rPr>
            </w:pPr>
            <w:r>
              <w:rPr>
                <w:rFonts w:ascii="Arial" w:cs="Arial" w:eastAsia="Arial" w:hAnsi="Arial"/>
                <w:sz w:val="14"/>
                <w:szCs w:val="14"/>
                <w:color w:val="auto"/>
              </w:rPr>
              <w:t>10.  Ownership Form of</w:t>
            </w:r>
          </w:p>
        </w:tc>
        <w:tc>
          <w:tcPr>
            <w:tcW w:w="1440" w:type="dxa"/>
            <w:vAlign w:val="bottom"/>
          </w:tcPr>
          <w:p>
            <w:pPr>
              <w:ind w:left="260"/>
              <w:spacing w:after="0"/>
              <w:rPr>
                <w:sz w:val="20"/>
                <w:szCs w:val="20"/>
                <w:color w:val="auto"/>
              </w:rPr>
            </w:pPr>
            <w:r>
              <w:rPr>
                <w:rFonts w:ascii="Arial" w:cs="Arial" w:eastAsia="Arial" w:hAnsi="Arial"/>
                <w:sz w:val="14"/>
                <w:szCs w:val="14"/>
                <w:color w:val="auto"/>
              </w:rPr>
              <w:t>11.  Nature of</w:t>
            </w:r>
          </w:p>
        </w:tc>
      </w:tr>
      <w:tr>
        <w:trPr>
          <w:trHeight w:val="149"/>
        </w:trPr>
        <w:tc>
          <w:tcPr>
            <w:tcW w:w="3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(Instr. 3 and 4)</w:t>
            </w: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Securities Beneficially</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Derivative Securities:</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(Instr. 5)</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Owned Following</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Direct (D) or Indirect (I)</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Reported Transaction(s)</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(Instr. 4)</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Ownership</w:t>
            </w: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(Instr. 4)</w:t>
            </w:r>
          </w:p>
        </w:tc>
        <w:tc>
          <w:tcPr>
            <w:tcW w:w="218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(Instr. 4)</w:t>
            </w:r>
          </w:p>
        </w:tc>
      </w:tr>
      <w:tr>
        <w:trPr>
          <w:trHeight w:val="105"/>
        </w:trPr>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360" w:type="dxa"/>
            <w:vAlign w:val="bottom"/>
          </w:tcPr>
          <w:p>
            <w:pPr>
              <w:spacing w:after="0"/>
              <w:rPr>
                <w:sz w:val="21"/>
                <w:szCs w:val="21"/>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Title</w:t>
            </w:r>
          </w:p>
        </w:tc>
        <w:tc>
          <w:tcPr>
            <w:tcW w:w="1900" w:type="dxa"/>
            <w:vAlign w:val="bottom"/>
          </w:tcPr>
          <w:p>
            <w:pPr>
              <w:ind w:left="420"/>
              <w:spacing w:after="0"/>
              <w:rPr>
                <w:sz w:val="20"/>
                <w:szCs w:val="20"/>
                <w:color w:val="auto"/>
              </w:rPr>
            </w:pPr>
            <w:r>
              <w:rPr>
                <w:rFonts w:ascii="Arial" w:cs="Arial" w:eastAsia="Arial" w:hAnsi="Arial"/>
                <w:sz w:val="14"/>
                <w:szCs w:val="14"/>
                <w:color w:val="auto"/>
              </w:rPr>
              <w:t>Amount or Number of</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Arial" w:cs="Arial" w:eastAsia="Arial" w:hAnsi="Arial"/>
                <w:sz w:val="14"/>
                <w:szCs w:val="14"/>
                <w:color w:val="auto"/>
              </w:rPr>
              <w:t>Shares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-1600835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-1600835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p>
      <w:pPr>
        <w:ind w:left="540" w:right="60" w:hanging="532"/>
        <w:spacing w:after="0" w:line="198" w:lineRule="auto"/>
        <w:tabs>
          <w:tab w:leader="none" w:pos="54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On October 25, 2002, Zenith Insurance Company, a wholly owned subsidiary of Zenith National Insurance Corp., entered into an agreement with the Issuer to purchase 1,000,000 shares of common stock at the initial public offering price of $13.00 per share. The transaction is scheduled to close contemporaneously with the closing of the Issuer's initial public offering (currently anticipated to be October 30, 2002). Mr. Zax is President, CEO and Chairman of the Board of Zenith National Insurance Corp. Mr. Zax disclaims beneficial ownership of any of these securities, and this report shall not be deemed an admission that Mr. Zax is the beneficial owner of such securities for purposes of Section 16 or any other purpose.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880" w:type="dxa"/>
            <w:vAlign w:val="bottom"/>
          </w:tcPr>
          <w:p>
            <w:pPr>
              <w:ind w:left="1720"/>
              <w:spacing w:after="0"/>
              <w:rPr>
                <w:sz w:val="20"/>
                <w:szCs w:val="20"/>
                <w:color w:val="auto"/>
              </w:rPr>
            </w:pPr>
            <w:r>
              <w:rPr>
                <w:rFonts w:ascii="Arial" w:cs="Arial" w:eastAsia="Arial" w:hAnsi="Arial"/>
                <w:sz w:val="14"/>
                <w:szCs w:val="14"/>
                <w:color w:val="auto"/>
              </w:rPr>
              <w:t>/s/ STANLEY R. ZAX</w:t>
            </w:r>
          </w:p>
        </w:tc>
        <w:tc>
          <w:tcPr>
            <w:tcW w:w="4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28, 2002</w:t>
            </w:r>
          </w:p>
        </w:tc>
      </w:tr>
      <w:tr>
        <w:trPr>
          <w:trHeight w:val="105"/>
        </w:trPr>
        <w:tc>
          <w:tcPr>
            <w:tcW w:w="980" w:type="dxa"/>
            <w:vAlign w:val="bottom"/>
            <w:tcBorders>
              <w:bottom w:val="single" w:sz="8" w:color="808080"/>
            </w:tcBorders>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980" w:type="dxa"/>
            <w:vAlign w:val="bottom"/>
          </w:tcPr>
          <w:p>
            <w:pPr>
              <w:spacing w:after="0"/>
              <w:rPr>
                <w:sz w:val="23"/>
                <w:szCs w:val="23"/>
                <w:color w:val="auto"/>
              </w:rPr>
            </w:pPr>
          </w:p>
        </w:tc>
        <w:tc>
          <w:tcPr>
            <w:tcW w:w="5880" w:type="dxa"/>
            <w:vAlign w:val="bottom"/>
          </w:tcPr>
          <w:p>
            <w:pPr>
              <w:ind w:left="1580"/>
              <w:spacing w:after="0"/>
              <w:rPr>
                <w:sz w:val="20"/>
                <w:szCs w:val="20"/>
                <w:color w:val="auto"/>
              </w:rPr>
            </w:pPr>
            <w:r>
              <w:rPr>
                <w:rFonts w:ascii="Arial" w:cs="Arial" w:eastAsia="Arial" w:hAnsi="Arial"/>
                <w:sz w:val="14"/>
                <w:szCs w:val="14"/>
                <w:color w:val="auto"/>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Reminder:</w:t>
            </w:r>
          </w:p>
        </w:tc>
        <w:tc>
          <w:tcPr>
            <w:tcW w:w="5880" w:type="dxa"/>
            <w:vAlign w:val="bottom"/>
          </w:tcPr>
          <w:p>
            <w:pPr>
              <w:ind w:left="60"/>
              <w:spacing w:after="0"/>
              <w:rPr>
                <w:sz w:val="20"/>
                <w:szCs w:val="20"/>
                <w:color w:val="auto"/>
              </w:rPr>
            </w:pPr>
            <w:r>
              <w:rPr>
                <w:rFonts w:ascii="Arial" w:cs="Arial" w:eastAsia="Arial" w:hAnsi="Arial"/>
                <w:sz w:val="14"/>
                <w:szCs w:val="14"/>
                <w:color w:val="auto"/>
              </w:rPr>
              <w:t>Report on a separate line for each class of securities beneficially owned directly or indirectly.</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880" w:type="dxa"/>
            <w:vAlign w:val="bottom"/>
          </w:tcPr>
          <w:p>
            <w:pPr>
              <w:ind w:left="6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-560705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-560705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-560705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-560705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1040" w:hanging="249"/>
        <w:spacing w:after="0"/>
        <w:tabs>
          <w:tab w:leader="none" w:pos="10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13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2019-12-15T07:18:25Z</dcterms:created>
  <dcterms:modified xsi:type="dcterms:W3CDTF">2019-12-15T07:18:25Z</dcterms:modified>
</cp:coreProperties>
</file>