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MADDOX MATT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32,364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85.45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362,065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75,462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286,603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to satisfy tax withholding obligation upon vesting of previously granted restricted stock.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forfeiture of previously granted restricted stock in accordance with the terms of the reporting person's transition agreement.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Matt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Maddox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63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5587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2022-02-01T19:35:32Z</dcterms:created>
  <dcterms:modified xsi:type="dcterms:W3CDTF">2022-02-01T19:35:32Z</dcterms:modified>
</cp:coreProperties>
</file>