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8332885103160.xml.htm"/>
      <w:bookmarkStart w:id="1" w:name="kswfform4_168332885103160"/>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SATRE PHILIP G</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WYNN RESORTS, LIMITED</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3131 LAS VEGAS BOULEVARD SOUTH</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LAS VEGAS</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NV</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89109</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WYNN RESORTS LTD</w:t>
              </w:r>
            </w:hyperlink>
            <w:r>
              <w:rPr/>
              <w:t xml:space="preserve"> [ </w:t>
            </w:r>
            <w:r>
              <w:rPr>
                <w:rFonts w:ascii="Times;serif" w:hAnsi="Times;serif"/>
                <w:color w:val="0000FF"/>
                <w:sz w:val="24"/>
                <w:highlight w:val="white"/>
              </w:rPr>
              <w:t>WYNN</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2"/>
              <w:gridCol w:w="989"/>
              <w:gridCol w:w="422"/>
              <w:gridCol w:w="989"/>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05/04/2023</w:t>
            </w:r>
            <w:r>
              <w:rPr/>
              <w:t xml:space="preserve"> </w:t>
            </w:r>
          </w:p>
        </w:tc>
        <w:tc>
          <w:tcPr>
            <w:tcW w:w="294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0"/>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1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1"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8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$0.01 per share</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05/04/2023</w:t>
            </w:r>
          </w:p>
        </w:tc>
        <w:tc>
          <w:tcPr>
            <w:tcW w:w="77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5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2,286</w:t>
            </w:r>
          </w:p>
        </w:tc>
        <w:tc>
          <w:tcPr>
            <w:tcW w:w="4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2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rFonts w:ascii="Times;serif" w:hAnsi="Times;serif"/>
                <w:color w:val="008000"/>
                <w:position w:val="7"/>
                <w:sz w:val="16"/>
                <w:sz w:val="20"/>
                <w:highlight w:val="white"/>
              </w:rPr>
              <w:t>(1)</w:t>
            </w:r>
            <w:r>
              <w:rPr/>
              <w:t xml:space="preserve"> </w:t>
            </w:r>
          </w:p>
        </w:tc>
        <w:tc>
          <w:tcPr>
            <w:tcW w:w="118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18,593</w:t>
            </w:r>
          </w:p>
        </w:tc>
        <w:tc>
          <w:tcPr>
            <w:tcW w:w="101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3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Restricted shares of common stock, par value $0.01 per share, of Wynn Resorts, Limited ("the Company") granted pursuant to the Company's Amended and Restated 2014 Omnibus Incentive Plan. Shares will vest in full on May 4, 2024, provided that if the reporting person's service with the Company is terminated for any reason other than death or complete disability, all restricted shares that are subject to restrictions upon the date of termination shall be forfeited.</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Nicholas Pannucci, attorney-in-fact for Philip G. Satre</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05/05/2023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00747" TargetMode="External"/><Relationship Id="rId4" Type="http://schemas.openxmlformats.org/officeDocument/2006/relationships/hyperlink" Target="http://www.sec.gov/cgi-bin/browse-edgar?action=getcompany&amp;CIK=000117492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643</Words>
  <CharactersWithSpaces>4065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