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148590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8" w:lineRule="exact"/>
        <w:rPr>
          <w:sz w:val="24"/>
          <w:szCs w:val="24"/>
          <w:color w:val="auto"/>
        </w:rPr>
      </w:pPr>
    </w:p>
    <w:p>
      <w:pPr>
        <w:ind w:left="4060" w:right="2320" w:hanging="4052"/>
        <w:spacing w:after="0" w:line="379" w:lineRule="auto"/>
        <w:tabs>
          <w:tab w:leader="none" w:pos="45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2008</w:t>
      </w: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1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120"/>
        <w:spacing w:after="0"/>
        <w:tabs>
          <w:tab w:leader="none" w:pos="65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1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1"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540" w:type="dxa"/>
            <w:vAlign w:val="bottom"/>
            <w:gridSpan w:val="3"/>
          </w:tcPr>
          <w:p>
            <w:pPr>
              <w:jc w:val="center"/>
              <w:ind w:right="2740"/>
              <w:spacing w:after="0"/>
              <w:rPr>
                <w:sz w:val="20"/>
                <w:szCs w:val="20"/>
                <w:color w:val="auto"/>
              </w:rPr>
            </w:pPr>
            <w:r>
              <w:rPr>
                <w:rFonts w:ascii="Arial" w:cs="Arial" w:eastAsia="Arial" w:hAnsi="Arial"/>
                <w:sz w:val="18"/>
                <w:szCs w:val="18"/>
                <w:b w:val="1"/>
                <w:bCs w:val="1"/>
                <w:color w:val="auto"/>
                <w:w w:val="87"/>
              </w:rPr>
              <w:t>Nevada</w:t>
            </w:r>
          </w:p>
        </w:tc>
        <w:tc>
          <w:tcPr>
            <w:tcW w:w="1500" w:type="dxa"/>
            <w:vAlign w:val="bottom"/>
            <w:gridSpan w:val="2"/>
          </w:tcPr>
          <w:p>
            <w:pPr>
              <w:jc w:val="center"/>
              <w:ind w:right="52"/>
              <w:spacing w:after="0"/>
              <w:rPr>
                <w:sz w:val="20"/>
                <w:szCs w:val="20"/>
                <w:color w:val="auto"/>
              </w:rPr>
            </w:pPr>
            <w:r>
              <w:rPr>
                <w:rFonts w:ascii="Arial" w:cs="Arial" w:eastAsia="Arial" w:hAnsi="Arial"/>
                <w:sz w:val="18"/>
                <w:szCs w:val="18"/>
                <w:b w:val="1"/>
                <w:bCs w:val="1"/>
                <w:color w:val="auto"/>
                <w:w w:val="87"/>
              </w:rPr>
              <w:t>46-0484987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540" w:type="dxa"/>
            <w:vAlign w:val="bottom"/>
            <w:gridSpan w:val="3"/>
          </w:tcPr>
          <w:p>
            <w:pPr>
              <w:jc w:val="center"/>
              <w:ind w:right="27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540" w:type="dxa"/>
            <w:vAlign w:val="bottom"/>
            <w:gridSpan w:val="3"/>
          </w:tcPr>
          <w:p>
            <w:pPr>
              <w:jc w:val="center"/>
              <w:ind w:right="2740"/>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gridSpan w:val="2"/>
          </w:tcPr>
          <w:p>
            <w:pPr>
              <w:jc w:val="center"/>
              <w:ind w:right="32"/>
              <w:spacing w:after="0"/>
              <w:rPr>
                <w:sz w:val="20"/>
                <w:szCs w:val="20"/>
                <w:color w:val="auto"/>
              </w:rPr>
            </w:pPr>
            <w:r>
              <w:rPr>
                <w:rFonts w:ascii="Arial" w:cs="Arial" w:eastAsia="Arial" w:hAnsi="Arial"/>
                <w:sz w:val="14"/>
                <w:szCs w:val="14"/>
                <w:b w:val="1"/>
                <w:bCs w:val="1"/>
                <w:color w:val="auto"/>
                <w:w w:val="90"/>
              </w:rPr>
              <w:t>Identification Number)</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7540" w:type="dxa"/>
            <w:vAlign w:val="bottom"/>
            <w:gridSpan w:val="3"/>
          </w:tcPr>
          <w:p>
            <w:pPr>
              <w:jc w:val="center"/>
              <w:ind w:left="2899"/>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540" w:type="dxa"/>
            <w:vAlign w:val="bottom"/>
            <w:gridSpan w:val="3"/>
          </w:tcPr>
          <w:p>
            <w:pPr>
              <w:jc w:val="center"/>
              <w:ind w:left="2879"/>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6440" w:type="dxa"/>
            <w:vAlign w:val="bottom"/>
            <w:gridSpan w:val="2"/>
          </w:tcPr>
          <w:p>
            <w:pPr>
              <w:jc w:val="center"/>
              <w:ind w:left="3979"/>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540" w:type="dxa"/>
            <w:vAlign w:val="bottom"/>
            <w:gridSpan w:val="3"/>
          </w:tcPr>
          <w:p>
            <w:pPr>
              <w:jc w:val="center"/>
              <w:ind w:left="2879"/>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7540" w:type="dxa"/>
            <w:vAlign w:val="bottom"/>
            <w:gridSpan w:val="3"/>
          </w:tcPr>
          <w:p>
            <w:pPr>
              <w:jc w:val="center"/>
              <w:ind w:left="2879"/>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7540" w:type="dxa"/>
            <w:vAlign w:val="bottom"/>
            <w:gridSpan w:val="3"/>
          </w:tcPr>
          <w:p>
            <w:pPr>
              <w:jc w:val="center"/>
              <w:ind w:left="2879"/>
              <w:spacing w:after="0"/>
              <w:rPr>
                <w:sz w:val="20"/>
                <w:szCs w:val="20"/>
                <w:color w:val="auto"/>
              </w:rPr>
            </w:pPr>
            <w:r>
              <w:rPr>
                <w:rFonts w:ascii="Arial" w:cs="Arial" w:eastAsia="Arial" w:hAnsi="Arial"/>
                <w:sz w:val="18"/>
                <w:szCs w:val="18"/>
                <w:b w:val="1"/>
                <w:bCs w:val="1"/>
                <w:color w:val="auto"/>
                <w:w w:val="88"/>
              </w:rPr>
              <w:t>Common Stock, $0.01 Par Value</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348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(Title of Class)</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7540" w:type="dxa"/>
            <w:vAlign w:val="bottom"/>
            <w:gridSpan w:val="3"/>
          </w:tcPr>
          <w:p>
            <w:pPr>
              <w:jc w:val="center"/>
              <w:ind w:left="2899"/>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60" w:type="dxa"/>
            <w:vAlign w:val="bottom"/>
          </w:tcPr>
          <w:p>
            <w:pPr>
              <w:spacing w:after="0"/>
              <w:rPr>
                <w:sz w:val="24"/>
                <w:szCs w:val="24"/>
                <w:color w:val="auto"/>
              </w:rPr>
            </w:pPr>
          </w:p>
        </w:tc>
        <w:tc>
          <w:tcPr>
            <w:tcW w:w="348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60" w:type="dxa"/>
            <w:vAlign w:val="bottom"/>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960" w:type="dxa"/>
            <w:vAlign w:val="bottom"/>
            <w:gridSpan w:val="2"/>
          </w:tcPr>
          <w:p>
            <w:pPr>
              <w:spacing w:after="0"/>
              <w:rPr>
                <w:sz w:val="17"/>
                <w:szCs w:val="17"/>
                <w:color w:val="auto"/>
              </w:rPr>
            </w:pPr>
          </w:p>
        </w:tc>
        <w:tc>
          <w:tcPr>
            <w:tcW w:w="64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340" w:type="dxa"/>
            <w:vAlign w:val="bottom"/>
          </w:tcPr>
          <w:p>
            <w:pPr>
              <w:spacing w:after="0"/>
              <w:rPr>
                <w:sz w:val="17"/>
                <w:szCs w:val="17"/>
                <w:color w:val="auto"/>
              </w:rPr>
            </w:pPr>
          </w:p>
        </w:tc>
        <w:tc>
          <w:tcPr>
            <w:tcW w:w="2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No</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40" w:type="dxa"/>
            <w:vAlign w:val="bottom"/>
          </w:tcPr>
          <w:p>
            <w:pPr>
              <w:ind w:left="160"/>
              <w:spacing w:after="0" w:line="207" w:lineRule="exact"/>
              <w:rPr>
                <w:sz w:val="20"/>
                <w:szCs w:val="20"/>
                <w:color w:val="auto"/>
              </w:rPr>
            </w:pPr>
            <w:r>
              <w:rPr>
                <w:rFonts w:ascii="Arial" w:cs="Arial" w:eastAsia="Arial" w:hAnsi="Arial"/>
                <w:sz w:val="18"/>
                <w:szCs w:val="18"/>
                <w:color w:val="auto"/>
                <w:w w:val="93"/>
              </w:rPr>
              <w:t>Yes</w:t>
            </w:r>
            <w:r>
              <w:rPr>
                <w:rFonts w:ascii="MS PGothic" w:cs="MS PGothic" w:eastAsia="MS PGothic" w:hAnsi="MS PGothic"/>
                <w:sz w:val="18"/>
                <w:szCs w:val="18"/>
                <w:color w:val="auto"/>
                <w:w w:val="93"/>
              </w:rPr>
              <w:t>☐</w:t>
            </w:r>
          </w:p>
        </w:tc>
        <w:tc>
          <w:tcPr>
            <w:tcW w:w="340" w:type="dxa"/>
            <w:vAlign w:val="bottom"/>
          </w:tcPr>
          <w:p>
            <w:pPr>
              <w:ind w:left="120"/>
              <w:spacing w:after="0"/>
              <w:rPr>
                <w:sz w:val="20"/>
                <w:szCs w:val="20"/>
                <w:color w:val="auto"/>
              </w:rPr>
            </w:pPr>
            <w:r>
              <w:rPr>
                <w:rFonts w:ascii="Arial" w:cs="Arial" w:eastAsia="Arial" w:hAnsi="Arial"/>
                <w:sz w:val="18"/>
                <w:szCs w:val="18"/>
                <w:color w:val="auto"/>
                <w:w w:val="86"/>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2" w:lineRule="exact"/>
        <w:rPr>
          <w:sz w:val="24"/>
          <w:szCs w:val="24"/>
          <w:color w:val="auto"/>
        </w:rPr>
      </w:pPr>
    </w:p>
    <w:p>
      <w:pPr>
        <w:ind w:right="1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4"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84" w:lineRule="exact"/>
        <w:rPr>
          <w:sz w:val="24"/>
          <w:szCs w:val="24"/>
          <w:color w:val="auto"/>
        </w:rPr>
      </w:pPr>
    </w:p>
    <w:p>
      <w:pPr>
        <w:ind w:right="6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40"/>
          </w:cols>
          <w:pgMar w:left="240" w:top="230" w:right="319" w:bottom="1440" w:gutter="0" w:footer="0" w:header="0"/>
        </w:sectPr>
      </w:pPr>
    </w:p>
    <w:p>
      <w:pPr>
        <w:spacing w:after="0" w:line="59" w:lineRule="exact"/>
        <w:rPr>
          <w:sz w:val="24"/>
          <w:szCs w:val="24"/>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108" w:lineRule="exact"/>
        <w:rPr>
          <w:sz w:val="24"/>
          <w:szCs w:val="24"/>
          <w:color w:val="auto"/>
        </w:rPr>
      </w:pPr>
    </w:p>
    <w:p>
      <w:pPr>
        <w:sectPr>
          <w:pgSz w:w="11900" w:h="16838" w:orient="portrait"/>
          <w:cols w:equalWidth="0" w:num="6">
            <w:col w:w="1200" w:space="180"/>
            <w:col w:w="3100" w:space="720"/>
            <w:col w:w="160" w:space="180"/>
            <w:col w:w="2480" w:space="720"/>
            <w:col w:w="160" w:space="180"/>
            <w:col w:w="2260"/>
          </w:cols>
          <w:pgMar w:left="240" w:top="230" w:right="31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6" w:lineRule="exact"/>
        <w:rPr>
          <w:sz w:val="24"/>
          <w:szCs w:val="24"/>
          <w:color w:val="auto"/>
        </w:rPr>
      </w:pPr>
    </w:p>
    <w:p>
      <w:pPr>
        <w:sectPr>
          <w:pgSz w:w="11900" w:h="16838" w:orient="portrait"/>
          <w:cols w:equalWidth="0" w:num="5">
            <w:col w:w="8440" w:space="160"/>
            <w:col w:w="260" w:space="100"/>
            <w:col w:w="140" w:space="200"/>
            <w:col w:w="200" w:space="100"/>
            <w:col w:w="1740"/>
          </w:cols>
          <w:pgMar w:left="240" w:top="230" w:right="319" w:bottom="1440" w:gutter="0" w:footer="0" w:header="0"/>
          <w:type w:val="continuous"/>
        </w:sectPr>
      </w:pPr>
    </w:p>
    <w:p>
      <w:pPr>
        <w:ind w:right="260" w:firstLine="456"/>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2008 was approximately $4.7 billion.</w:t>
      </w:r>
    </w:p>
    <w:p>
      <w:pPr>
        <w:spacing w:after="0" w:line="7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February 17, 2009, 112,014,290 shares of the registrant’s Common Stock, $.01 par value, were outstanding.</w:t>
      </w:r>
    </w:p>
    <w:p>
      <w:pPr>
        <w:spacing w:after="0" w:line="117"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Portions of the registrant’s Proxy Statement for its 2009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320" w:type="dxa"/>
            <w:vAlign w:val="bottom"/>
            <w:gridSpan w:val="16"/>
          </w:tcPr>
          <w:p>
            <w:pPr>
              <w:ind w:left="80"/>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19"/>
                <w:szCs w:val="19"/>
                <w:color w:val="auto"/>
              </w:rPr>
            </w:pPr>
          </w:p>
        </w:tc>
      </w:tr>
      <w:tr>
        <w:trPr>
          <w:trHeight w:val="380"/>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1"/>
          </w:tcPr>
          <w:p>
            <w:pPr>
              <w:jc w:val="center"/>
              <w:ind w:right="378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400" w:type="dxa"/>
            <w:vAlign w:val="bottom"/>
          </w:tcPr>
          <w:p>
            <w:pPr>
              <w:spacing w:after="0"/>
              <w:rPr>
                <w:sz w:val="24"/>
                <w:szCs w:val="24"/>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46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17"/>
                <w:szCs w:val="17"/>
                <w:color w:val="auto"/>
              </w:rPr>
            </w:pPr>
          </w:p>
        </w:tc>
        <w:tc>
          <w:tcPr>
            <w:tcW w:w="3820" w:type="dxa"/>
            <w:vAlign w:val="bottom"/>
            <w:gridSpan w:val="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0" w:type="dxa"/>
            <w:vAlign w:val="bottom"/>
            <w:gridSpan w:val="2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Unresolved Staff Comments</w:t>
              </w:r>
            </w:hyperlink>
          </w:p>
        </w:tc>
        <w:tc>
          <w:tcPr>
            <w:tcW w:w="7000" w:type="dxa"/>
            <w:vAlign w:val="bottom"/>
            <w:gridSpan w:val="2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Properties</w:t>
              </w:r>
            </w:hyperlink>
          </w:p>
        </w:tc>
        <w:tc>
          <w:tcPr>
            <w:tcW w:w="8280" w:type="dxa"/>
            <w:vAlign w:val="bottom"/>
            <w:gridSpan w:val="2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0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0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1"/>
          </w:tcPr>
          <w:p>
            <w:pPr>
              <w:jc w:val="center"/>
              <w:ind w:right="3780"/>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14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Market for Registrant’s Common Equity, Related Stockholder Matters and Issuer Purchases of Equity Securities</w:t>
              </w:r>
            </w:hyperlink>
          </w:p>
        </w:tc>
        <w:tc>
          <w:tcPr>
            <w:tcW w:w="11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9000" w:type="dxa"/>
            <w:vAlign w:val="bottom"/>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000" w:type="dxa"/>
            <w:vAlign w:val="bottom"/>
            <w:gridSpan w:val="2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10"/>
          </w:tcPr>
          <w:p>
            <w:pPr>
              <w:spacing w:after="0"/>
              <w:rPr>
                <w:sz w:val="17"/>
                <w:szCs w:val="17"/>
                <w:color w:val="auto"/>
              </w:rPr>
            </w:pPr>
          </w:p>
        </w:tc>
        <w:tc>
          <w:tcPr>
            <w:tcW w:w="2700" w:type="dxa"/>
            <w:vAlign w:val="bottom"/>
            <w:gridSpan w:val="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9000" w:type="dxa"/>
            <w:vAlign w:val="bottom"/>
            <w:gridSpan w:val="2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Changes in and Disagreements With Accountants on Accounting and Financial Disclosure</w:t>
              </w:r>
            </w:hyperlink>
          </w:p>
        </w:tc>
        <w:tc>
          <w:tcPr>
            <w:tcW w:w="264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9000" w:type="dxa"/>
            <w:vAlign w:val="bottom"/>
            <w:gridSpan w:val="28"/>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Controls and Procedures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7280" w:type="dxa"/>
            <w:vAlign w:val="bottom"/>
            <w:gridSpan w:val="2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PART III</w:t>
              </w:r>
            </w:hyperlink>
          </w:p>
        </w:tc>
        <w:tc>
          <w:tcPr>
            <w:tcW w:w="3720" w:type="dxa"/>
            <w:vAlign w:val="bottom"/>
            <w:gridSpan w:val="6"/>
          </w:tcPr>
          <w:p>
            <w:pPr>
              <w:spacing w:after="0"/>
              <w:rPr>
                <w:sz w:val="24"/>
                <w:szCs w:val="24"/>
                <w:color w:val="auto"/>
              </w:rPr>
            </w:pPr>
          </w:p>
        </w:tc>
        <w:tc>
          <w:tcPr>
            <w:tcW w:w="1400" w:type="dxa"/>
            <w:vAlign w:val="bottom"/>
          </w:tcPr>
          <w:p>
            <w:pPr>
              <w:spacing w:after="0"/>
              <w:rPr>
                <w:sz w:val="24"/>
                <w:szCs w:val="24"/>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Directors, Executive Officers and Corporate Governance</w:t>
              </w:r>
            </w:hyperlink>
          </w:p>
        </w:tc>
        <w:tc>
          <w:tcPr>
            <w:tcW w:w="5000" w:type="dxa"/>
            <w:vAlign w:val="bottom"/>
            <w:gridSpan w:val="1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000" w:type="dxa"/>
            <w:vAlign w:val="bottom"/>
            <w:gridSpan w:val="2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Executive Compensation</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20"/>
        </w:trPr>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102">
              <w:r>
                <w:rPr>
                  <w:rFonts w:ascii="Arial" w:cs="Arial" w:eastAsia="Arial" w:hAnsi="Arial"/>
                  <w:sz w:val="18"/>
                  <w:szCs w:val="18"/>
                  <w:color w:val="0000EE"/>
                  <w:w w:val="88"/>
                </w:rPr>
                <w:t>Security Ownership of Certain Beneficial Owners and Management and Related Stockholder Matters</w:t>
              </w:r>
            </w:hyperlink>
          </w:p>
        </w:tc>
        <w:tc>
          <w:tcPr>
            <w:tcW w:w="188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02">
              <w:r>
                <w:rPr>
                  <w:rFonts w:ascii="Arial" w:cs="Arial" w:eastAsia="Arial" w:hAnsi="Arial"/>
                  <w:sz w:val="18"/>
                  <w:szCs w:val="18"/>
                  <w:color w:val="0000EE"/>
                  <w:w w:val="87"/>
                </w:rPr>
                <w:t>Certain Relationships and Related Transactions, and Director Independence</w:t>
              </w:r>
            </w:hyperlink>
          </w:p>
        </w:tc>
        <w:tc>
          <w:tcPr>
            <w:tcW w:w="3680" w:type="dxa"/>
            <w:vAlign w:val="bottom"/>
            <w:gridSpan w:val="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000" w:type="dxa"/>
            <w:vAlign w:val="bottom"/>
            <w:gridSpan w:val="28"/>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304"/>
        </w:trPr>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103">
              <w:r>
                <w:rPr>
                  <w:rFonts w:ascii="Arial" w:cs="Arial" w:eastAsia="Arial" w:hAnsi="Arial"/>
                  <w:sz w:val="18"/>
                  <w:szCs w:val="18"/>
                  <w:b w:val="1"/>
                  <w:bCs w:val="1"/>
                  <w:color w:val="0000EE"/>
                  <w:w w:val="98"/>
                </w:rPr>
                <w:t>PART IV</w:t>
              </w:r>
            </w:hyperlink>
          </w:p>
        </w:tc>
        <w:tc>
          <w:tcPr>
            <w:tcW w:w="3740" w:type="dxa"/>
            <w:vAlign w:val="bottom"/>
            <w:gridSpan w:val="7"/>
          </w:tcPr>
          <w:p>
            <w:pPr>
              <w:spacing w:after="0"/>
              <w:rPr>
                <w:sz w:val="24"/>
                <w:szCs w:val="24"/>
                <w:color w:val="auto"/>
              </w:rPr>
            </w:pPr>
          </w:p>
        </w:tc>
        <w:tc>
          <w:tcPr>
            <w:tcW w:w="1400" w:type="dxa"/>
            <w:vAlign w:val="bottom"/>
          </w:tcPr>
          <w:p>
            <w:pPr>
              <w:spacing w:after="0"/>
              <w:rPr>
                <w:sz w:val="24"/>
                <w:szCs w:val="24"/>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9000" w:type="dxa"/>
            <w:vAlign w:val="bottom"/>
            <w:gridSpan w:val="2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Exhibits and Financial Statement Schedules</w:t>
              </w:r>
            </w:hyperlink>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020" w:type="dxa"/>
            <w:vAlign w:val="bottom"/>
            <w:gridSpan w:val="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383"/>
        </w:trPr>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180" w:type="dxa"/>
            <w:vAlign w:val="bottom"/>
            <w:gridSpan w:val="19"/>
          </w:tcPr>
          <w:p>
            <w:pPr>
              <w:ind w:left="46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Resorts, Limited, a Nevada corporation, was formed in June 2002, is led by Chairman and Chief Executive Officer, Stephen A. Wynn, and is a leading developer, owner and operator of destination casino resorts. We own and operate three destination casino resorts: “Wynn Las Vegas,” on the “Strip” in Las Vegas, Nevada, “Encore at Wynn Las Vegas” located adjacent to Wynn Las Vegas, and “Wynn Macau,” located in the Macau Special Administrative Region of the People’s Republic of China (“Macau”). We are also currently constructing Encore at Wynn Macau, an expansion of our Wynn Macau resort. We review our results based on the following two segments: Wynn Las Vegas (which includes Encore at Wynn Las Vegas) and Wynn Macau. For more information on the financial results for our segments, see Item 8 “Financial Statements”, Note 19 “Segment Information”.</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2008 was a difficult year for the casino resort business, particularly for U.S. operations. Auto traffic into Las Vegas, airline capacity and air travel to McCarran International Airport have declined, resulting in lower casino volumes and a reduced demand for hotel rooms. The deterioration in global economic conditions will likely continue to cause us to experience lower than historical hotel occupancy rates, room rates, casino volumes and profitability. As a result of these factors, cash flow from operations for the year ended December 31, 2008 was significantly less than that generated in 2007.</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factors described above accelerated through 2008 with fourth quarter results in Las Vegas significantly weaker than 2007. Additionally, in early 2009, we have experienced cancellation and attrition of group business at greater than historical levels.</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http://www.sec.gov. Information related to the operation of the SEC’s public reference room may be obtained by calling the SEC at 1-800-SEC-0330. In addition, through our own internet address at www.wynnresorts.com, Wynn Resorts provides a hyperlink to a third-party SEC filing website which posts these filings as soon as reasonably practicable, where they can be reviewed without charge. Information found on our website is not a part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Wynn Las Vegas opened on April 28, 2005. We believe that the resort offers exceptional accommodations, amenities and service with 2,716 rooms and suites, including 36 fairway villas and 6 private-entry villas for our premium guests. The Tower Suites at Wynn Las Vegas is the only casino resort in the world to receive both the Mobil five-star and AAA five-diamond distinctions. In January 2009, The Spa at Wynn Las Vegas earned five-star recognition from Mobil and became the only spa in Las Vegas to earn such award. In addition, Wynn Las Vegas was recognized for the second year in a row by Michelin, the esteemed European restaurant rating system. In October 2008, three of our restaurants were awarded Michelin stars. Two Michelin stars were awarded to </w:t>
      </w:r>
      <w:r>
        <w:rPr>
          <w:rFonts w:ascii="Arial" w:cs="Arial" w:eastAsia="Arial" w:hAnsi="Arial"/>
          <w:sz w:val="18"/>
          <w:szCs w:val="18"/>
          <w:i w:val="1"/>
          <w:iCs w:val="1"/>
          <w:color w:val="auto"/>
        </w:rPr>
        <w:t>Alex</w:t>
      </w:r>
      <w:r>
        <w:rPr>
          <w:rFonts w:ascii="Arial" w:cs="Arial" w:eastAsia="Arial" w:hAnsi="Arial"/>
          <w:sz w:val="18"/>
          <w:szCs w:val="18"/>
          <w:color w:val="auto"/>
        </w:rPr>
        <w:t xml:space="preserve"> and one Michelin star was awarded to each of Wing Lei and Daniel Boulud Brasserie. Our resort also received five red pavilions, the highest honor for Michelin rated accommodations.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approximately 111,000 square foot casino features approximately 135 table games, a baccarat salon, private VIP gaming rooms, a poker room, approximately 1,935 slot machines, and a race and sports book. The resort’s 22 food and beverage outlets feature six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Encore at Wynn Las Vegas opened on December 22, 2008. This resort is located immediately adjacent to and is connected with Wynn Las Vegas and features a 2,034 all-suite hotel as well as an approximately 72,000 square foot casino with approximately 95 table games, a baccarat salon, private VIP gaming rooms, approximately 835 slot machines and a sports book. The resort’s 12 food and beverage outlets include five restaurants, many of which feature award winning chefs. Encore at Wynn Las Vegas also offers a night club, a spa and salon, approximately 60,000 square feet of meeting space and approximately 27,000 square feet of upscale retail outlets featuring boutiques from Hermes, Chanel and Rock &amp; Republic. The Encore Theater, featuring Danny Gans, opened on February 10, 2009.</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Wynn Macau opened on September 6, 2006. Wynn Macau currently features approximately 600 hotel rooms and suites, approximately 370 table games, approximately 1,250 slot machines and a poker room in approximately 205,000 square feet of casino gaming space, five restaurants, a spa and salon, lounges, meeting facilities and approximately 46,000 square feet of retail space featuring boutiques from Bvlgari, Chanel, Dior, Dunhill, Fendi, Ferrari, Giorgio Armani, Gucci, Hermes, Hugo Boss, Louis Vuitton, Miu Miu, Piaget, Prada, Rolex, Tiffany, Van Cleef &amp; Arpels, Versace, Vertu and Zegna. In November 2008, Wynn Macau was the only hotel in Macau, and one of only five hotels in Asia, to receive the Mobil five-star distinction. The Spa at Wynn Macau also received the Mobil five-star award. Wynn Macau includes a show in its rotunda featuring a Chinese zodiac-inspired ceiling and an interchangeable gold “prosperity tree” and a “dragon of fortune”.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commenced construction of Encore at Wynn Macau, a further expansion of Wynn Macau. Encore at Wynn Macau will add a fully-integrated resort hotel to Wynn Macau, planned to include approximately 400 luxury suites and four villas along with restaurants, additional retail space and additional VIP gaming space. While the completed project budget is still being finalized, we expect total costs to be approximately $700 million. We expect Encore at Wynn Macau to open in 2010. As of December 31, 2008, we had incurred approximately $202 million related to the development and construction of Encore at Wynn Macau.</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properties. We have incurred and will continue to incur these capital expenditures at Wynn Las Vegas, Encore at Wynn Las Vegas and Wynn Macau.</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 Opportunities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Approximately 142 acres of land comprising Wynn Las Vegas and Encore at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have applied to the government of Macau for a land concession for approximately 52 acres on Cotai and are awaiting final governmental approval of this concession. Due to the current economic environment, no construction timeline or budget have yet been developed.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continually seek out new opportunities for additional gaming or related businesses, in Las Vegas, other markets in the United States and worldwide.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properties were designed and built to provide a premium experience. We seek to position Wynn Las Vegas, Encore at Wynn Las Vegas and Wynn Macau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1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70-person design, development and construction subsidiary, the senior management of which has significant experience in all major construction disciplines.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at Wynn Las Vegas are located on the Las Vegas Strip and compete with these and other high-quality resorts and hotel casinos, those in downtown Las Vegas, as well as a large number of hotels in and near Las Vegas. Many competing properties, such as the Bellagio, Caesars Palace, Luxor Hotel and Casino, Mandalay Bay Resort &amp; Casino, The Mirage, New York-New York Hotel and Casino, Paris Las Vegas, Treasure Island, The Venetian, The Palazzo and others, have themes and attractions which draw a significant number of visitors and directly compete with our operations. We seek to differentiate Wynn Las Vegas and Encore at Wynn Las Vegas from other major Las Vegas resorts by concentrating on our fundamental elements of design, atmosphere, personal service and luxury.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Wynn Las Vegas and Encore at Wynn Las Vegas may face additional competition from new multi-billion dollar resorts that are expected to open on the Las Vegas Strip before the end of 2010 including, without limitation, City Center, Fontainebleau Las Vegas and Cosmopolitan. There are several other large projects under development in Las Vegas which have been delayed or may be delayed.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addition of Encore at Wynn Las Vegas’ 2,034 suites also creates competition for Wynn Las Vegas. While we are attempting to differentiate the product, at this time, we are uncertain how our customers will value the properties on a relative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Wynn Las Vegas and Encore at Wynn Las Vegas also compete, to some extent, with other hotel/casino facilities in Nevada and Atlantic City, riverboat gaming facilities in other states, casino facilities on Native American lands and elsewhere in the world, as well as state lotteries and other forms of gaming. The proliferation of Native American gaming in California could have a negative impact on our operations. In particular, the legalization of casino gaming in or near metropolitan areas from which we attract customers could have a negative effect on our business. In addition, new or renovated casinos in Macau, including our properties in Macau, or elsewhere in Asia could draw Asian gaming customers, including “highrollers”, away from Las Vegas.</w:t>
      </w:r>
    </w:p>
    <w:p>
      <w:pPr>
        <w:spacing w:after="0" w:line="1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Reflecting the current economic environment, the Las Vegas gaming and hotel markets experienced the first decline in trends in five years during 2008 with, among other things, a 4.4% decrease in visitation to 37.5 million visitors, a 10.6% decrease in Las Vegas Strip gaming revenue and a 9.8% decrease in average daily room rates, all as compared to the year ended December 2007. We, along with our competitors, have responded to the deterioration in consumer spending by aggressively marketing and pricing our Las Vegas offerings.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connected by bridges. We believe that Macau is located in one of the world’s largest concentrations of potential gaming customers. According to Macau Statistical Information, casinos in Macau generated approximately $13.6 billion in gaming revenue in 2008, a 31% increase over the $10.3 billion generated in 2007, making Macau the largest gaming market in the world.</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Macau’s gaming market is primarily dependent on tourists. The Macau market has experienced tremendous growth in capacity in the last few years. As of December 31, 2008, there were approximately 17,490 hotel rooms and approximately 4,000 table games in Macau, compared to approximately 12,978 hotel rooms and approximately 2,760 table games as of December 31, 2006.</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Gaming customers traveling to Macau have typically come from nearby destinations in Asia including Hong Kong, mainland China, Taiwan, South Korea and Japan. According to the Macau Statistics and Census Service Monthly Bulletin of Statistics, approximately 90% of the tourists who visited Macau in 2008 came from mainland China, Hong Kong and Taiwan. Macau completed construction of an international airport in 1995, which accommodates large commercial aircraft and provides direct air service to major cities in Asia, including Beijing, Shanghai, Jakarta, Ho Chi Minh City, Taipei, Manila, Singapore and Bangkok. Travel to Macau by citizens of mainland China requires a visa. Adjustments to the visa policy were made in 2008 restricting the frequency of visitation. Government officials have the authority to further adjust the visa policy and may do so in the future.</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2002, gaming in Macau was permitted as a government-sanctioned monopoly concession awarded to a single concessionaire. However, the government of Macau liberalized the gaming industry in 2002 by granting concessions to operate casinos to three concessionaires (including Wynn Macau), who in turn were permitted, subject to the approval of the government of Macau, to each grant one sub-concession to other gaming operators. There is no limit to the number of casinos each concessionaire is permitted to operate, but each facility is subject to government approval. Currently, there are 31 operating casinos in Macau.</w:t>
      </w:r>
    </w:p>
    <w:p>
      <w:pPr>
        <w:spacing w:after="0" w:line="143"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The other two concessions were granted to Sociedade de Jogos de Macau (“SJM”) and Galaxy Casino Company, Limited (“Galaxy”). SJM, which is controlled by Stanley Ho, operates 19 of the 31 existing casinos, including two of the larger casinos in Macau: the Hotel Lisboa and The Grand Lisboa. In addition, an affiliate of SJM owns most of the water ferry services and the helicopter shuttle service that link Macau to Hong Kong.</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Galaxy was also awarded a casino concession in June 2002. Galaxy is a company controlled by Hong Kong businessman Lui Chi-woo and a group of Hong Kong investors. Galaxy opened the Waldo Hotel/Casino on the Macau peninsula in 2004, the Grand Waldo Cotai in the summer of 2006, and Galaxy Star World hotel casino immediately adjacent to Wynn Macau in October 2006.</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Las Vegas Sands Corp., the owner and operator of The Venetian and The Palazzo resorts in Las Vegas and a former partner of Galaxy, has entered into a sub-concession agreement with Galaxy which allows it to independently develop and operate casinos in Macau. The Sands Macao opened in 2004. In August 2007, Las Vegas Sands Corp. opened the Venetian Macao Resort Hotel, the largest casino resort in Macau. In August 2008, Las Vegas Sands Corp. opened the Four Seasons Hotel Macau adjacent to the Venetian Macao. In addition, Las Vegas Sands Corp. has proposed a masterplan for other large developments in Cotai that would include additional hotel properties as well as serviced apartment units and additional retail and related space. In late 2008, Las Vegas Sands Corp. suspended further development of its Cotai masterplan as a result of conditions in the global economy and credit markets.</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 joint venture consisting of Melco, a Hong Kong stock exchange-listed company and Crown, Ltd., an Australian company, is currently operating the Crown Macau (which opened in May 2007) and is constructing the City of Dreams, a large resort in Cotai, the first phase of which is anticipated to open in 2009. This joint venture operates its properties under a subconcession purchased from us.</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December 2007, a joint venture of MGM MIRAGE and Pansy Ho Chiu-king (Stanley Ho’s daughter) opened the MGM Grand Macau, a resort on the Macau peninsula adjacent to Wynn Macau. The MGM Grand Macau is operated pursuant to a subconcession granted to the joint venture by SJM.</w:t>
      </w:r>
    </w:p>
    <w:p>
      <w:pPr>
        <w:spacing w:after="0" w:line="85"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Our casino concession agreement allows the government to grant additional concessions for the operation of casinos after April 1, 2009. If the government of Macau awards additional concessions or permits additional sub-concessionaires, Wynn Macau will face increased competition from casino operators in Macau.</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Wynn Macau also faces competition from casinos located in other areas of Asia, such as Genting Highlands Resort, a major gaming and resort destination located outside of Kuala Lumpur, Malaysia, and casinos in the Philippines. Two large-scale casinos that are being developed currently in Singapore will add further competition to the region. Wynn Macau also encounters competition from other major gaming centers located around the world, including Australia and Las Vegas, cruise ships in Asia that offer gaming and other casinos throughout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Geographic data are reported in note 19 to the consolidated financial statements. Additional financial data about our geographic operations is provided in Item 7 “Management’s Discussion of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are ever prohibited from operating one of our gaming facilities, we would, to the extent permitted by law, seek to recover our investment by selling the property affected, but we cannot assure you that we could recover full value.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Nevada</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b w:val="1"/>
          <w:bCs w:val="1"/>
          <w:i w:val="1"/>
          <w:iCs w:val="1"/>
          <w:color w:val="auto"/>
        </w:rPr>
        <w:t xml:space="preserve">Owner and Operator Licensing Requirements. </w:t>
      </w:r>
      <w:r>
        <w:rPr>
          <w:rFonts w:ascii="Arial" w:cs="Arial" w:eastAsia="Arial" w:hAnsi="Arial"/>
          <w:sz w:val="15"/>
          <w:szCs w:val="15"/>
          <w:color w:val="auto"/>
        </w:rPr>
        <w:t>Our subsidiary, Wynn Las Vegas, LLC, as the owner and operator of Wynn Las Vegas and Encore at Wynn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Las Vegas, has been approved by 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8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(“Wynn Resorts Holdings”), a wholly 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Wynn Resorts’ articles of incorporation provide that, to the extent a gaming authority makes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asked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at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Wynn Resorts’ voting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a registered company’s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3"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22, 2007, the Nevada Gaming Commission granted us and Wynn Las Vegas, LLC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 We have applied for a new Shelf Approval which is scheduled to be heard in March 2009.</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5620" w:right="4220" w:hanging="5045"/>
        <w:spacing w:after="0" w:line="440" w:lineRule="auto"/>
        <w:tabs>
          <w:tab w:leader="none" w:pos="89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 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0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Licenses for Conduct of Gaming and Sale of Alcoholic Beverages. </w:t>
      </w:r>
      <w:r>
        <w:rPr>
          <w:rFonts w:ascii="Arial" w:cs="Arial" w:eastAsia="Arial" w:hAnsi="Arial"/>
          <w:sz w:val="16"/>
          <w:szCs w:val="16"/>
          <w:color w:val="auto"/>
        </w:rPr>
        <w:t>The conduct of gaming activities and the service and sale of alcoholic beverages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Las Vegas and Encore at 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Macau</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As a casino concessionaire, Wynn Macau, S.A. is subject to the regulatory control of the Government of Macau. The government has adopted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and Administrative Regulations governing the operation of casinos in Macau. Only concessionaires or subconcessionaires are permitted to operate casinos. Subconcessions may be awarded subject to the approval of the Macau government and, to date, each concessionaire has issued one subconcession. Each concessionaire was required to enter into a concession agreement with the Macau government which, together with the Law and Administrative Regulations, forms the framework for the regulation of the activities of the concessionaire.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1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according to the rate in effect as set by the government, from any commissions paid to games promoters. Such withholding rate may be adjusted from time to time.</w:t>
      </w:r>
    </w:p>
    <w:p>
      <w:pPr>
        <w:spacing w:after="0" w:line="107"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for the following year,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S.A. and the Macau government required Wynn Macau, S.A. to construct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patacas (approximately US$500 million) in Macau-related projects by June 2009. This obligation was satisfied upon the opening of Wynn Macau.</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Wynn Macau, S.A. was also obligated to obtain, and did obtain, a 700 million pataca (approximately US$87 million) bank guarantee from Banco National Ultramarino, S.A. (“BNU”) that was effective until March 31, 2007. The amount of this guarantee was reduced to 300 million patacas (approximately</w:t>
      </w:r>
    </w:p>
    <w:p>
      <w:pPr>
        <w:ind w:right="80"/>
        <w:spacing w:after="0" w:line="253" w:lineRule="auto"/>
        <w:rPr>
          <w:sz w:val="20"/>
          <w:szCs w:val="20"/>
          <w:color w:val="auto"/>
        </w:rPr>
      </w:pPr>
      <w:r>
        <w:rPr>
          <w:rFonts w:ascii="Arial" w:cs="Arial" w:eastAsia="Arial" w:hAnsi="Arial"/>
          <w:sz w:val="18"/>
          <w:szCs w:val="18"/>
          <w:color w:val="auto"/>
        </w:rPr>
        <w:t>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not to exceed 5.2 million patacas (approximately US$0.7 million).</w:t>
      </w:r>
    </w:p>
    <w:p>
      <w:pPr>
        <w:spacing w:after="0" w:line="14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40" w:lineRule="exact"/>
        <w:rPr>
          <w:sz w:val="20"/>
          <w:szCs w:val="20"/>
          <w:color w:val="auto"/>
        </w:rPr>
      </w:pPr>
    </w:p>
    <w:p>
      <w:pPr>
        <w:ind w:right="20"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2008, we had a total of approximately 20,600 employees (including approximately 7,200 in Macau).</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2006, we entered into a collective bargaining agreement with the Culinary and Bartenders Union local that covers approximately 6,300 employees at Wynn Las Vegas and Encore at Wynn Las Vegas. In May 2007, the dealers at Wynn Las Vegas elected the Transportation Workers Union to represent them. We are currently negotiating a contract with the Transportation Workers Union. Certain other unions may seek to organize the workers at Wynn Las Vegas and Encore at Wynn Las Vegas. Unionization, pressure to unionize, or other forms of collective bargaining could increase our labor costs.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recruited a substantial number of new employees for the opening of Wynn Macau and the success of our operations will be affected by our success in retaining them. Wynn Macau competes with the large number of new casino resort developments currently underway in Macau and expected in the near future for the limited qualified employees. We will have to seek employees from other countries to adequately staff Wynn Macau. Recent policies announced publicly by the Macau government have affected our ability to import labor in certain job classifications. We are coordinating with the Macau labor and immigration authorities to ensure our labor demand is satisfied, but cannot be certain that we will be able to recruit and retain a sufficient number of qualified employees for our Wynn Macau operations or that we will be able to obtain required work permits for those employees.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most important marks are our trademarks and service marks that use the name “WYNN”. Wynn Resorts has filed applications with the U.S. Patent and Trademark Office (“PTO”), to register a variety of the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a mark primarily constituting a surname) is not registerable unless the surname has acquired “secondary meaning.” To date, Wynn Resorts has been successful in demonstrating to the PTO such secondary meaning for the Wynn name in certain of the applications based upon Mr. Wynn’s prominence as a resort developer.</w:t>
      </w:r>
    </w:p>
    <w:p>
      <w:pPr>
        <w:spacing w:after="0" w:line="107"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“WYNN LAS VEGAS” and “ENCORE”. Some of the applications are based upon ongoing use and others are based upon a bona fide intent to use the marks in the future.</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recognize that our intellectual property assets, especially the logo version of “WYNN”, are among our most valuable assets. As a result, and in connection with expansion of our resorts and gaming activities outside the United States, we have undertaken a program to register our trademarks and other intellectual property rights in all relevant jurisdictions. We have retained counsel and intend to take all steps necessary to protect our intellectual property rights against unauthorized use throughout the world.</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 Agreement, Mr. Wynn has granted us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3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tourism trends reflecting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actions taken by our competitors in reaction to adverse economic conditions;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Macau with anticipated cash flows generated at Wynn Macau;</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 and travel-related visa restrictions);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properties and locations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impact that an outbreak of an infectious disease, such as avian flu, or the impact of a natural disaster may have on the travel and leisure industry;</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legal proceedings.</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2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 substantial amount of consolidated debt in relation to our equity. As of December 31, 2008, we had total outstanding debt of approximately $4.3 billion. In addition, our Wynn Las Vegas credit agreement permits us to incur additional indebtedness in connection with potential expansion plans under certain circumstances in the future and the Wynn Macau credit facilities permit us to incur additional indebtedness if certain conditions are met. Our substantial indebtedness could have important consequences. For example:</w:t>
      </w:r>
    </w:p>
    <w:p>
      <w:pPr>
        <w:spacing w:after="0" w:line="62" w:lineRule="exact"/>
        <w:rPr>
          <w:sz w:val="20"/>
          <w:szCs w:val="20"/>
          <w:color w:val="auto"/>
        </w:rPr>
      </w:pPr>
    </w:p>
    <w:p>
      <w:pPr>
        <w:ind w:left="900" w:hanging="325"/>
        <w:spacing w:after="0" w:line="357"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default under either our Wynn Las Vegas or Wynn Macau credit facilities, such an event will cause a default under our Wynn Resorts credit agreement;</w:t>
      </w:r>
    </w:p>
    <w:p>
      <w:pPr>
        <w:spacing w:after="0" w:line="50"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at Wynn Las Vegas to service and amortize our Wynn Las Vegas indebtedness and to pay final construction and retention payables for Encore at Wynn Las Vegas (approximately $202 million at December 31, 2008), which will reduce the amount of available cash, if any, to fund working capital, other capital expenditures and other general corporate purposes, and may give us greater exposure to the current adverse economic and industry conditions;</w:t>
      </w:r>
    </w:p>
    <w:p>
      <w:pPr>
        <w:spacing w:after="0" w:line="31" w:lineRule="exact"/>
        <w:rPr>
          <w:rFonts w:ascii="Arial" w:cs="Arial" w:eastAsia="Arial" w:hAnsi="Arial"/>
          <w:sz w:val="16"/>
          <w:szCs w:val="16"/>
          <w:color w:val="auto"/>
        </w:rPr>
      </w:pPr>
    </w:p>
    <w:p>
      <w:pPr>
        <w:ind w:left="900" w:right="160" w:hanging="325"/>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dependent on certain amounts of cash flow from Wynn Macau to service the indebtedness associated with the Wynn Resorts term loan and Wynn Macau’s indebtedness, which reduces the available cash flow to fund working capital, other capital expenditures and other general corporate purposes at Wynn Macau;</w:t>
      </w:r>
    </w:p>
    <w:p>
      <w:pPr>
        <w:spacing w:after="0" w:line="59"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fund construction costs of Encore at Wynn Macau, satisfy working capital requirements including final construction and retention payables related to Encore at Wynn Las Vegas, or pay for other capital expenditures, debt service or other obligations;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the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impact the repayment of our secured debt.</w:t>
      </w:r>
    </w:p>
    <w:p>
      <w:pPr>
        <w:spacing w:after="0" w:line="140"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66" w:lineRule="exact"/>
        <w:rPr>
          <w:sz w:val="20"/>
          <w:szCs w:val="20"/>
          <w:color w:val="auto"/>
        </w:rPr>
      </w:pPr>
    </w:p>
    <w:p>
      <w:pPr>
        <w:ind w:left="240" w:right="68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minimum interest coverage ratios and ratios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would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9"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there were an event of default under one of our debt instruments, the holders of the defaulted debt could cause all amounts outstanding with respect to that debt (and, in the case of either Wynn Las Vegas or Wynn Macau debt, with respect to the Wynn Resorts term loan)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Wynn Macau were to cease to produce cash flow sufficient to service its indebtedness or otherwise become unable to make certain payments or dividends to us which we in turn could use to service the $1 billion Wynn Resorts term loan facility indebtedness (outstanding balance at December 31, 2008 of $375 million) or other indebtedness, our ability to service the indebtedness of Wynn Macau, Wynn Resorts or Wynn Las Vegas, LLC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subsidiaries’ indebtedness is secured by a substantial portion of their assets.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90"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Continued weakness and further weakening in global economic conditions may adversely affect consumer and corporate spending and tourism trends, resulting in additional deterioration in our business.</w:t>
      </w:r>
    </w:p>
    <w:p>
      <w:pPr>
        <w:spacing w:after="0" w:line="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Discretionary consumer spending has been adversely affected by the current economic crisis. Worldwide, consumers are traveling less and spending less when they do travel. Likewise, corporate spending on conventions and business development is being significantly curtailed as businesses cut their budgets. Since our business model relies on significant expenditure on luxury and discretionary items, continuation or deepening of the crisis will adversely affect our operations.</w:t>
      </w:r>
    </w:p>
    <w:p>
      <w:pPr>
        <w:spacing w:after="0" w:line="224"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current conditions in the world’s financial and credit markets adversely affects prospects of debt refinancing, availability of credit to us and to our customers and the profitability of our business.</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There was unprecedented deterioration in financial and credit markets worldwide in 2008. There can be no assurance that the decline is over and there can be no assurance that government response to these conditions will successfully address the fundamental weakness, restore consumer confidence or lead to improvement of or increase liquidity in the markets. Customer demand for luxury amenities and leisure activities that we offer may be depressed or continue to decline.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have been and will continue to be large additions to the room supply in Las Vegas.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There have been and will continue to be large additions to the room supply in Las Vegas. Even after the global economy begins to recover, there may be excess supply particularly in the luxury segment.</w:t>
      </w:r>
    </w:p>
    <w:p>
      <w:pPr>
        <w:spacing w:after="0" w:line="213"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We are entirely dependent on three properties for all of our cash flow, which subjects us to greater risks than a gaming company with more operating properties.</w:t>
      </w:r>
    </w:p>
    <w:p>
      <w:pPr>
        <w:spacing w:after="0" w:line="51" w:lineRule="exact"/>
        <w:rPr>
          <w:sz w:val="20"/>
          <w:szCs w:val="20"/>
          <w:color w:val="auto"/>
        </w:rPr>
      </w:pPr>
    </w:p>
    <w:p>
      <w:pPr>
        <w:jc w:val="both"/>
        <w:ind w:right="320" w:firstLine="456"/>
        <w:spacing w:after="0" w:line="357" w:lineRule="auto"/>
        <w:rPr>
          <w:sz w:val="20"/>
          <w:szCs w:val="20"/>
          <w:color w:val="auto"/>
        </w:rPr>
      </w:pPr>
      <w:r>
        <w:rPr>
          <w:rFonts w:ascii="Arial" w:cs="Arial" w:eastAsia="Arial" w:hAnsi="Arial"/>
          <w:sz w:val="15"/>
          <w:szCs w:val="15"/>
          <w:color w:val="auto"/>
        </w:rPr>
        <w:t>We are entirely dependent upon Wynn Las Vegas, Encore at Wynn Las Vegas and Wynn Macau for all of our cash flow. As a result, we are subject to a greater degree of risk than a gaming company with more operating properties. The risks to which we have a greater degree of exposure include the following:</w:t>
      </w: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 in gaming and non-gaming activities at our properties ;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outbreak of an infectious disease such as the avian flu.</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Competition for Wynn Las Vegas and Encore at Wynn Las Vegas. </w:t>
      </w:r>
      <w:r>
        <w:rPr>
          <w:rFonts w:ascii="Arial" w:cs="Arial" w:eastAsia="Arial" w:hAnsi="Arial"/>
          <w:sz w:val="18"/>
          <w:szCs w:val="18"/>
          <w:color w:val="auto"/>
        </w:rPr>
        <w:t>The casino/hotel industry is highly competitive and additional developments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at Wynn Las Vegas may also compete with one another.</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and Encore at Wynn Las Vegas also compete with other hotel/casino facilities in other cities, riverboat gaming facilities in other states, casino facilities on Native American lands and elsewhere in the world, state lotteries and other forms of gaming. The proliferation of gaming activities in other areas could significantly harm our business as well. In particular, the legalization of casino gaming in or near metropolitan areas from which we attract customers could have a negative effect on our business. In addition, new or renovated casinos in Macau, including Encore at Wynn Macau, or elsewhere in Asia could draw Asian gaming customers, including high-rollers, away from Wynn Las Vegas and Encore at Wynn Las Vegas.</w:t>
      </w:r>
    </w:p>
    <w:p>
      <w:pPr>
        <w:spacing w:after="0" w:line="1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b w:val="1"/>
          <w:bCs w:val="1"/>
          <w:i w:val="1"/>
          <w:iCs w:val="1"/>
          <w:color w:val="auto"/>
        </w:rPr>
        <w:t>Competition for Wynn Macau</w:t>
      </w:r>
      <w:r>
        <w:rPr>
          <w:rFonts w:ascii="Arial" w:cs="Arial" w:eastAsia="Arial" w:hAnsi="Arial"/>
          <w:sz w:val="15"/>
          <w:szCs w:val="15"/>
          <w:color w:val="auto"/>
        </w:rPr>
        <w:t>. Currently there are approximately 31 operating casinos in Macau. We hold a concession under one of only three gaming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concessions and three sub-concessions authorized by the Macau government to operate casinos in Macau. The Macau government may grant additional gaming concessions beginning in 2009.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9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Wynn Macau also faces competition from casinos located in other areas of Asia, such as Genting Highlands Resort, a major gaming and resort destination located outside of Kuala Lumpur, Malaysia, and casinos in the Philippines. Two large-scale casinos that are being developed currently in Singapore will add further competition to the region. Wynn Macau also encounters competition from other major gaming centers located around the world, including Australia and Las Vegas, cruise ships in Asia that offer gaming, and other casinos throughout Asia. Further, if current efforts to legalize gaming in Japan, or other Asian countries are successful, Wynn Macau will face additional regional competition.</w:t>
      </w:r>
    </w:p>
    <w:p>
      <w:pPr>
        <w:spacing w:after="0" w:line="197"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A significant portion of our table game revenue at our properties is attributable to the play of a limited number of international customers.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Wynn Las Vegas and Encore at Wynn Las Vegas. </w:t>
      </w:r>
      <w:r>
        <w:rPr>
          <w:rFonts w:ascii="Arial" w:cs="Arial" w:eastAsia="Arial" w:hAnsi="Arial"/>
          <w:sz w:val="16"/>
          <w:szCs w:val="16"/>
          <w:color w:val="auto"/>
        </w:rPr>
        <w:t>While gaming debts evidenced by a credit instrument, including what is commonly referred to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Recent dramatic changes in economic conditions may make it more difficult to assess creditworthiness and more difficult to collect the full amounts of any gaming debt owed to us. Our inability to collect gaming debts could have a significant negative impact on our operating results.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Wynn Macau. </w:t>
      </w:r>
      <w:r>
        <w:rPr>
          <w:rFonts w:ascii="Arial" w:cs="Arial" w:eastAsia="Arial" w:hAnsi="Arial"/>
          <w:sz w:val="18"/>
          <w:szCs w:val="18"/>
          <w:color w:val="auto"/>
        </w:rPr>
        <w:t>Although the law in Macau was changed to permit casino operators to extend credit to gaming customers, Wynn Macau may not be 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 all of its gaming receivables from its credit players. We expect that Wynn Macau will be able to enforce these obligations only in a limited number of jurisdictions, including Macau. To the extent that gaming customers of Wynn Macau are visitors from other jurisdictions, Wynn Macau may not have access to a forum in which it will be able to collect all of its gaming receivables because, among other reasons, courts of many jurisdictions do not enforce gaming debts and Wynn Macau may encounter forums that will refuse to enforce such debts. Wynn Macau’s inability to collect gaming debts could have a significant negative impact on its operating results.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Currently, the gaming tax in Macau is calculated as a percentage of gross gaming revenue. However, unlike Nevada, the gross gaming revenue calculation in Macau does not include deductions for gaming bad debt. As a result, if we extend credit to our customers in Macau and are unable to collect on the related receivables from them, we remain obligated to pay taxes on our winnings from these customers even though we were unable to collect on the related receivables from them.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downturns in the economy.</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we offer is particularly sensitive to downturns in the economy and the corresponding impact on discretionary spending on leisure activities. Changes in discretionary consumer spending or consumer preferences brought about by the factors such as perceived or actual general economic conditions, the current housing crisis, the current credit crisis, bank failures and the potential for additional bank failures, perceived or actual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current recession and economic crisis have resulted in a significant decline in the amount of tourism and spending in Las Vegas. In the fourth quarter, the occupancy rates across Las Vegas have declined by approximately 9.9%, room rates have declined by approximately 12.3% and Las Vegas Strip gaming revenue has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declined approximately 21.7%, compared to the fourth quarter of 2007. We have also recently experienced increased levels of attrition and cancellation in the group business segment. If these trends continue, our financial condition, results of operations and cash flows will be adversely affected.</w:t>
      </w:r>
    </w:p>
    <w:p>
      <w:pPr>
        <w:spacing w:after="0" w:line="16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The operations of Wynn Las Vegas, Encore at Wynn Las Vegas and Wynn Macau are contingent upon our obtaining and maintaining all necessary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at Wynn Las Vegas on December 22, 2008. We are subject to ongoing regulation to maintain their operations. We opened Wynn Macau on September 6, 2006, and are subject to ongoing regulation to maintain its operation.</w:t>
      </w:r>
    </w:p>
    <w:p>
      <w:pPr>
        <w:spacing w:after="0" w:line="10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Wynn Las Vegas and Encore at Wynn Las Vegas. </w:t>
      </w:r>
      <w:r>
        <w:rPr>
          <w:rFonts w:ascii="Arial" w:cs="Arial" w:eastAsia="Arial" w:hAnsi="Arial"/>
          <w:sz w:val="18"/>
          <w:szCs w:val="18"/>
          <w:color w:val="auto"/>
        </w:rPr>
        <w:t>The Nevada Gaming Commission may, in its discretion, require the holder of any debt or securities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to file applications, be investigated and be found suitable to own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Wynn Macau. </w:t>
      </w:r>
      <w:r>
        <w:rPr>
          <w:rFonts w:ascii="Arial" w:cs="Arial" w:eastAsia="Arial" w:hAnsi="Arial"/>
          <w:sz w:val="18"/>
          <w:szCs w:val="18"/>
          <w:color w:val="auto"/>
        </w:rPr>
        <w:t>Wynn Macau’s operations are subject to unique risks, including risks related to Macau’s regulatory framework. Wynn Macau has developed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operating procedures which are different from those used in United States casinos. Failure to adhere to the regulatory and gaming environment in Macau could result in the revocation of Wynn Macau, S.A.’s concession or otherwise negatively affect its operations in Macau. Moreover, we would be subject to the risk that U.S. regulators could determine that Macau’s gaming regulatory framework has not developed in a way that would permit us as a United States gaming operator, to conduct operations in Macau in a manner consistent with the way in which we intend, or the Nevada gaming authorities require us, to conduct our operations in the United States.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We are subject to taxation, both in the United States (at the federal, state and local level) and in Macau. Specific rates of taxation can be changed by legislative actions. Increases in taxation could adversely affect our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and in the Middle East, past outbreaks of infectious disease and tsunamis, among other things, have had negative impacts on travel and leisure expenditures, including lodging, 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4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terrorist attacks of September 11, 2001 have substantially affected the availability of insurance coverage for certain types of damages or occurrences. We currently have insurance coverage for terrorist acts with respect to Wynn Las Vegas, Encore at Wynn Las Vegas and Wynn Macau for up to $800 million per occurrence for losses that could result from these acts. However, these types of acts could expose us to losses that exceed our coverage and could have a significant negative impact on our operations.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 we currently have or otherwise be able to maintain adequate insurance protection.</w:t>
      </w:r>
    </w:p>
    <w:p>
      <w:pPr>
        <w:spacing w:after="0" w:line="197"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service marks, our business or results of operations could be harmed.</w:t>
      </w:r>
    </w:p>
    <w:p>
      <w:pPr>
        <w:spacing w:after="0" w:line="5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We have filed applications with the PTO, to register a variety of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a mark primarily constituting a surname) cannot be registered unless the surname has acquired “secondary meaning.” To date, we have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“ENCORE,” and “WYNN LAS VEGAS.” Some of the applications are based upon ongoing use and others are based upon a bona fide intent to use the marks in the future.</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recognized that our intellectual property assets, especially the logo version of “Wynn”, are among our most valuable assets. As a result, and in connection with expansion of our resorts and gaming activities outside the United States, we have undertaken a program to register our trademarks and other intellectual property rights in all relevant jurisdictions, some of which may pose a risk of unauthorized use or counterfeiting. We have retained counsel and will take all steps necessary to not only acquire but protect our intellectual property rights against such unauthorized use throughout the world.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2008, we extended the term of Mr. Wynn’s employment agreement until October 2020. However, we cannot assure you that Mr. Wynn will remain with us. If we lose the services of Mr. Wynn, or if he is unable to devote sufficient attention to our operations for any other reason, our business may be significantly impaired. In addition, if Mr. Wynn is no longer either employed by us as Chief Executive Officer or serving as Chairman of the Board, other than as a result of death or disability or other limited circumstances, it would constitute a change of control that would require Wynn Las Vegas to offer to repay the First Mortgage Notes and would constitute an event of default under its credit facilities and Wynn Macau, S.A.’s credit facilities.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two largest stockholders are able to exert significant control over our operations and future direction.</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Mr. Wynn and Aruze USA, Inc. each own approximately 21% of our currently outstanding common stock. As a result, Mr. Wynn and Aruze USA, Inc., to the extent they vote their shares in a similar manner, may be able to control all matters requiring our stockholders’ approval, including the approval of significant corporate transactions.</w:t>
      </w:r>
    </w:p>
    <w:p>
      <w:pPr>
        <w:spacing w:after="0" w:line="14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On November 13, 2006, the Board of Wynn Resorts approved an amendment of its bylaws that exempts future acquisitions of shares of Wynn Resorts’ common stock by either Mr. Wynn or Aruze USA, Inc. (each owning approximately 21% of our common stock as of December 31, 2008) from Nevada’s acquisition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Mr. Wynn and Aruze USA, Inc., together with Baron Asset Fund, have entered into a stockholders’ agreement. Under the stockholders’ agreement, Mr. Wynn and Aruze USA, Inc., have agreed to vote their shares of our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in November 2006, this agreement was amended to require the written consent of both Mr. Wynn and Aruze USA, Inc. prior to either party selling any shares of Wynn Resorts that it owns.</w:t>
      </w:r>
    </w:p>
    <w:p>
      <w:pPr>
        <w:spacing w:after="0" w:line="225" w:lineRule="exact"/>
        <w:rPr>
          <w:sz w:val="20"/>
          <w:szCs w:val="20"/>
          <w:color w:val="auto"/>
        </w:rPr>
      </w:pPr>
    </w:p>
    <w:p>
      <w:pPr>
        <w:ind w:left="240" w:right="80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subject to regulations imposed by the Foreign Corrupt Practices Act (the “FCPA”), which generally prohibits U.S. companies and their intermediaries from making improper payments to foreign officials for the purpose of obtaining or retaining business. Any determination that we have violated the FCPA could have a material adverse effect on our financial condition. We also deal with significant amounts of cash in our operations and are subject to various reporting and anti-money laundering regulations. Any violation of anti-money laundering laws or regulations by any of our properties could have a negative effect on our results of operations.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Wynn Macau</w:t>
      </w:r>
    </w:p>
    <w:p>
      <w:pPr>
        <w:spacing w:after="0" w:line="90"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Visitation to Macau may decline due to continued economic disruptions in mainland China as well as increased restrictions on visitations to Macau from citizens of mainland China.</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significant number of our gaming customers at Wynn Macau come from mainland China. A continued slow down in the economic growth of China could disrupt the number of patrons visiting our property or the amount they may be willing to spend. In addition, any travel restrictions imposed by China could disrupt the number of visitors from mainland China to our property. During 2008 China implemented certain policies limiting visitation to Macau and Hong Kong by mainland Chinese residents. It is not known when, or if, these policies will be relaxed. The visa policy may be adjusted further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compete for limited labor resources in Macau and Macau government policies may also affect our ability to employ imported labor.</w:t>
      </w:r>
    </w:p>
    <w:p>
      <w:pPr>
        <w:spacing w:after="0" w:line="11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recruited a substantial number of new employees for the opening of Wynn Macau and the success of our operations will be affected by our success in retaining them. Wynn Macau competes with the large number of new casino resort developments currently underway in Macau for the limited qualified employees. We will have to seek employees from other countries to adequately staff Wynn Macau. Further, recent policies announced by the Macau government have affected our ability to import labor in certain job classifications. We are coordinating with the Macau labor and immigration authorities to ensure our labor demand is satisfied, but cannot be certain that we will be able to recruit and retain a sufficient number of qualified employees for our Wynn Macau operations or that we will be able to obtain required work permits for those employees.</w:t>
      </w:r>
    </w:p>
    <w:p>
      <w:pPr>
        <w:spacing w:after="0" w:line="201" w:lineRule="exact"/>
        <w:rPr>
          <w:sz w:val="20"/>
          <w:szCs w:val="20"/>
          <w:color w:val="auto"/>
        </w:rPr>
      </w:pPr>
    </w:p>
    <w:p>
      <w:pPr>
        <w:ind w:left="240" w:right="320"/>
        <w:spacing w:after="0" w:line="259" w:lineRule="auto"/>
        <w:rPr>
          <w:sz w:val="20"/>
          <w:szCs w:val="20"/>
          <w:color w:val="auto"/>
        </w:rPr>
      </w:pPr>
      <w:r>
        <w:rPr>
          <w:rFonts w:ascii="Arial" w:cs="Arial" w:eastAsia="Arial" w:hAnsi="Arial"/>
          <w:sz w:val="18"/>
          <w:szCs w:val="18"/>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 Increased competition may result in increased pressure on commission rates.</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significant portion of our gaming revenue is generated by clientele of our games promoters. With the rise in gaming in Macau, the competition for services provided by games promoters has increased. We anticipate that this competition will further intensify as additional casinos are expected to open in Macau in the near future. While we believe that we currently maintain good relations with our existing games promoters, there can be no assurance that we will be able to continue to maintain these relationships.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Macau recently experienced a consolidation of games promoters. As a consequence, certain game promoters have significant leverage and bargaining strength in negotiating operational agreements with casino operators. Although there is some uncertainty as to whether such consolidation will become a trend in Macau, any consolidation could result in negative changes in our operational agreements, including higher commissions, the loss of business to a competitor or the loss of our exclusive relationships with games promoters. While we have not had to adjust our compensation arrangements with games promoters thus far, we are aware of increased commission rates paid by other casino operators to games promoters in the Macau market. If we need to increase our commission rates, our results of operations could be adversely affected.</w:t>
      </w:r>
    </w:p>
    <w:p>
      <w:pPr>
        <w:spacing w:after="0" w:line="201"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If our games promoters are unable to maintain required standards of probity and integrity, we may face consequences from gaming regulators with authority over our operations.</w:t>
      </w:r>
    </w:p>
    <w:p>
      <w:pPr>
        <w:spacing w:after="0" w:line="5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reputations of the games promoters we deal with are important to our own reputation and to our ability to operate in compliance with our concession and Macau gaming laws. While we both endeavor, through contractual protections and otherwise, to ensure that our games promoters comply with the high standards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probity and integrity under Macau gaming laws, we cannot assure you that our games promoters will always comply with these high standards. In addition, if we enter into a business relationship with a games promoter whose probity is in doubt, this may be considered by regulators or investors to reflect negatively on our own probity. If any of our games promoters violate the Macau gaming laws while on our premises, the Macau government may, in its discretion, take enforcement action against us, the games promoter, or each concurrently, and we may be sanctioned and our reputation could be harmed.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financial resources of our games promoters may be insufficient to allow them to continue doing business at Wynn Macau.</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global financial crisis may cause our games promoters to encounter decreased liquidity limiting their ability to grant credit to their patrons and thereby decreasing gaming volume at Wynn Macau. Further, credit already extended by our games promoters to their patrons may become increasingly difficult for them to collect. This inability to grant credit and collect amounts due can negatively affect our games promoters’ operations at Wynn Macau, and as a result, our results of operations could be adversely impacted.</w:t>
      </w:r>
    </w:p>
    <w:p>
      <w:pPr>
        <w:spacing w:after="0" w:line="224" w:lineRule="exact"/>
        <w:rPr>
          <w:sz w:val="20"/>
          <w:szCs w:val="20"/>
          <w:color w:val="auto"/>
        </w:rPr>
      </w:pPr>
    </w:p>
    <w:p>
      <w:pPr>
        <w:ind w:left="240" w:right="200"/>
        <w:spacing w:after="0" w:line="259" w:lineRule="auto"/>
        <w:rPr>
          <w:sz w:val="20"/>
          <w:szCs w:val="20"/>
          <w:color w:val="auto"/>
        </w:rPr>
      </w:pPr>
      <w:r>
        <w:rPr>
          <w:rFonts w:ascii="Arial" w:cs="Arial" w:eastAsia="Arial" w:hAnsi="Arial"/>
          <w:sz w:val="18"/>
          <w:szCs w:val="18"/>
          <w:b w:val="1"/>
          <w:bCs w:val="1"/>
          <w:i w:val="1"/>
          <w:iCs w:val="1"/>
          <w:color w:val="auto"/>
        </w:rPr>
        <w:t>The development costs of Encore at Wynn Macau are estimates only, and actual development costs may be higher than expected. Not all of the construction costs of Encore at Wynn Macau are covered by a guaranteed maximum price construction contract, and we will be responsible for any cost overruns of these excluded items.</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expect the total development costs of Encore at Wynn Macau to be approximately $700 million. While we believe that the overall budget for the development costs of Encore at Wynn Macau is reasonable, these development costs are estimates and actual development costs may be higher than expected. Although we have certain contingencies set aside to cover cost overruns, these contingencies may not be sufficient to cover the full amount of such overruns and we may not have the funds required to pay the excess costs.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entered into a guaranteed maximum price construction contract for the design and construction of Encore at Wynn Macau with Leighton Contractors (Asia) Limited, China State Construction Engineering (Hong Kong) Limited and China Construction Engineering (Macau) Company Limited, acting together as general contractor (“Leighton/China State”). The contract covers approximately $347.8 million of the budgeted $700 million design and construction costs. We are responsible for cost overruns with respect to any budgeted components that are not part of the amended guaranteed maximum price contract.</w:t>
      </w:r>
    </w:p>
    <w:p>
      <w:pPr>
        <w:spacing w:after="0" w:line="194"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The financial resources of our contractor may be insufficient to fund cost overruns or liquidated damages for which it is responsible under the amended guaranteed maximum price contract.</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Under the terms and subject to the conditions and limitations of the guaranteed maximum price construction contract, Leighton/China State is responsible for all construction costs covered by the construction contract that exceed the approximately $347.8 million guaranteed maximum price contained in the contract. The parent companies of the contractor have provided a continuing guaranty by which they guarantee the contractor’s full performance under the construction contract until final payment under that contract. We cannot assure you that the contractor or its parent companies will have sufficient financial resources to fund any cost overruns or liquidated damages for which they are responsible under the guaranteed maximum price contract. Furthermore, neither is contractually obligated to maintain the financial resources to cover cost overruns. If they do not have the resources to meet their obligations and we are unable to obtain funds from them in a timely manner, we may need to pay these excess costs in order to complete construction of Wynn Diamond Suites.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may be affected by adverse political and economic conditions.</w:t>
      </w:r>
    </w:p>
    <w:p>
      <w:pPr>
        <w:spacing w:after="0" w:line="90"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success of Wynn Macau will depend on political and economic conditions in Macau. In December 1999, after approximately 450 years of Portuguese control, Portugal returned Macau to Chinese administration. The People’s Republic of China established Macau as a special administrative region. As a result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Macau’s operations are subject to significant political, economic and social risks inherent in doing business in an emerging market. For example, fiscal decline and civil, domestic or international unrest in Macau, China or the surrounding region could significantly harm Wynn Macau’s business, not only by reducing customer demand for casino resorts, but also by increasing the risk of imposition of taxes and exchange controls or other governmental restrictions that might impede its ability to repatriate funds.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Wynn Macau.</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Macau’s subtropical climate and location on the South China Sea are subject to extreme weather conditions including typhoons and heavy rainstorms. Unfavorable weather conditions could negatively affect the profitability of Wynn Macau by disrupting our ability to timely construct the project and by preventing or discouraging guests from traveling to Macau.</w:t>
      </w:r>
    </w:p>
    <w:p>
      <w:pPr>
        <w:spacing w:after="0" w:line="221" w:lineRule="exact"/>
        <w:rPr>
          <w:sz w:val="20"/>
          <w:szCs w:val="20"/>
          <w:color w:val="auto"/>
        </w:rPr>
      </w:pPr>
    </w:p>
    <w:p>
      <w:pPr>
        <w:ind w:left="240" w:right="240"/>
        <w:spacing w:after="0" w:line="332" w:lineRule="auto"/>
        <w:rPr>
          <w:sz w:val="20"/>
          <w:szCs w:val="20"/>
          <w:color w:val="auto"/>
        </w:rPr>
      </w:pPr>
      <w:r>
        <w:rPr>
          <w:rFonts w:ascii="Arial" w:cs="Arial" w:eastAsia="Arial" w:hAnsi="Arial"/>
          <w:sz w:val="16"/>
          <w:szCs w:val="16"/>
          <w:b w:val="1"/>
          <w:bCs w:val="1"/>
          <w:i w:val="1"/>
          <w:iCs w:val="1"/>
          <w:color w:val="auto"/>
        </w:rPr>
        <w:t>An outbreak of the avian influenza (“avian flu” or “bird flu”), Severe Acute Respiratory Syndrome (“SARS”) or other contagious disease may have an adverse effect on the economies of certain Asian countries and may adversely affect our results of operations.</w:t>
      </w:r>
    </w:p>
    <w:p>
      <w:pPr>
        <w:spacing w:after="0" w:line="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2004, large parts of Asia experienced unprecedented outbreaks of avian flu. In particular, Guangdong Province, PRC, which is located across the Zhuhai Bridge from Macau, has confirmed several cases of avian flu. Currently, no fully effective avian flu vaccines have been developed and there can be no assurance that an effective vaccine can be discovered in time to protect against a potential avian flu pandemic. In the first half of 2003, certain countries in Asia experienced an outbreak of SARS, a highly contagious form of atypical pneumonia, which seriously interrupted economic activities and caused the demand for goods to plummet in the affected regions. There can be no assurance that an outbreak of avian flu, SARS or other contagious disease or the measures taken by the governments of affected countries against such potential outbreaks, will not seriously interrupt our gaming operations or visitation to Macau, which may have a material adverse effect on our results of operations. The perception that an outbreak of avian flu, SARS or other contagious disease may occur again may also have an adverse effect on the economic conditions of countries in Asia.</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 in Macau may be subject to potential taxation</w:t>
      </w:r>
      <w:r>
        <w:rPr>
          <w:rFonts w:ascii="Arial" w:cs="Arial" w:eastAsia="Arial" w:hAnsi="Arial"/>
          <w:sz w:val="18"/>
          <w:szCs w:val="18"/>
          <w:i w:val="1"/>
          <w:iCs w:val="1"/>
          <w:color w:val="auto"/>
        </w:rPr>
        <w:t>.</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investment in Macau is owned through a number of wholly-owned and partially-owned domestic and foreign entities. Although we believe that transfers to these entities of the assets and stock of the Wynn Macau companies were accomplished on a tax-free basis, there is a risk that the Internal Revenue Service may assert in the future that any appreciation in the transferred assets or stock was taxable at the time of such transfers.</w:t>
      </w:r>
    </w:p>
    <w:p>
      <w:pPr>
        <w:spacing w:after="0" w:line="188" w:lineRule="exact"/>
        <w:rPr>
          <w:sz w:val="20"/>
          <w:szCs w:val="20"/>
          <w:color w:val="auto"/>
        </w:rPr>
      </w:pPr>
    </w:p>
    <w:p>
      <w:pPr>
        <w:ind w:left="240" w:right="340"/>
        <w:spacing w:after="0" w:line="268" w:lineRule="auto"/>
        <w:rPr>
          <w:sz w:val="20"/>
          <w:szCs w:val="20"/>
          <w:color w:val="auto"/>
        </w:rPr>
      </w:pPr>
      <w:r>
        <w:rPr>
          <w:rFonts w:ascii="Arial" w:cs="Arial" w:eastAsia="Arial" w:hAnsi="Arial"/>
          <w:sz w:val="18"/>
          <w:szCs w:val="18"/>
          <w:b w:val="1"/>
          <w:bCs w:val="1"/>
          <w:i w:val="1"/>
          <w:iCs w:val="1"/>
          <w:color w:val="auto"/>
        </w:rPr>
        <w:t>The Macau government can terminate our concession under certain circumstances without compensation to us, which would have a material adverse effect on our operations and financial condition.</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agreement expressly provides that the government of Macau may unilaterally rescind the concession agreement if Wynn Macau, S.A.:</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the gaming operations of Wynn Macau will be transferred to the government without compensation. The loss of our concession would prohibit us from conducting gaming operations in Macau, which would have a material adverse effect on our operations and financial condition.</w:t>
      </w:r>
    </w:p>
    <w:p>
      <w:pPr>
        <w:spacing w:after="0" w:line="194"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concession agreement expires in June 2022. Unless our concession is extended, in June 2022, all of our casino operations and related equipment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Nevada gaming laws apply to Wynn Macau’s gaming activities and associations.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Nevada gaming laws also apply to gaming activities and associations in jurisdictions outside the State of Nevada. As we develop Wynn Macau,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6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20" w:hanging="325"/>
        <w:spacing w:after="0" w:line="370"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Wynn Macau.</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own approximately 240 acres of land on or near the Las Vegas Strip consisting of approximately 75 acres at the northeast corner of the intersection of Las Vegas Boulevard and Sands Avenue on which Wynn Las Vegas and Encore at Wynn Las Vegas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our Wynn Las Vegas bank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own approximately 934 acre-feet of permitted domestic and recreation water rights, which we currently use to irrigate the golf course. We also own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government of Macau owns most of the land in Macau. In most cases, private interests in real property located in Macau are obtained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where Wynn Macau is located. The term of the land concession contract is 25 years, and it may be renewed with government approval for successive periods. Wynn Macau, S.A. is obligated to pay, in 10 semi-annual installments, a total land concession premium of approximately 319.4 million patacas (approximately US $40 million) plus interest at 5%. Annual rents of approximately 2.2 million patacas (approximately US $275,000) for the first two years and 3.2 million patacas (approximately US $398,000) thereafter will also be paid in accordance with the land concession contract</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addition, we have applied to the government of Macau for a land concession for approximately 52 acres on Cotai for future development and are awaiting final approval. Due to the current economic environment, no construction timeline or budget has been prepared.</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holders during the fourth quarter of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3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Low</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First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124.77</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90.90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Third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119.74</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69.27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w:t>
            </w:r>
          </w:p>
        </w:tc>
      </w:tr>
      <w:tr>
        <w:trPr>
          <w:trHeight w:val="322"/>
        </w:trPr>
        <w:tc>
          <w:tcPr>
            <w:tcW w:w="5580" w:type="dxa"/>
            <w:vAlign w:val="bottom"/>
          </w:tcPr>
          <w:p>
            <w:pPr>
              <w:spacing w:after="0"/>
              <w:rPr>
                <w:sz w:val="20"/>
                <w:szCs w:val="20"/>
                <w:color w:val="auto"/>
              </w:rPr>
            </w:pPr>
            <w:r>
              <w:rPr>
                <w:rFonts w:ascii="Arial" w:cs="Arial" w:eastAsia="Arial" w:hAnsi="Arial"/>
                <w:sz w:val="18"/>
                <w:szCs w:val="18"/>
                <w:b w:val="1"/>
                <w:bCs w:val="1"/>
                <w:color w:val="auto"/>
              </w:rPr>
              <w:t>Year Ended December 31, 2007</w:t>
            </w:r>
          </w:p>
        </w:tc>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8"/>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114.60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Second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107.98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85.53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168.80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Fourth Quarter</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176.14</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110.50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208 record holders of our common stock as of February 17,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Restrictions imposed by our and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Restricted payments cannot be made unless certain financial and non-financial criteria have been satisfied. In addition, the terms of the other loan agreements of Wynn Las Vegas, LLC and Wynn Macau, S.A. contain similar restrictions. Further, proceeds received by Wynn Resorts as the result of certain dispositions and funds drawn from the $1 billion Wynn Resorts term loan are not permitted to be paid as a dividend by us.</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each of November 2006 and 2007, our Board of Directors declared a cash distribution of $6.00 per common share which was paid in the following month. We have not adopted a policy regarding the payment of dividends, however we plan to evaluate the payment of dividends from time to time.</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graph below compares the five year cumulative total return on our common stock to the cumulative total return of the Standard &amp; Poor’s 500 Stock Index (“S&amp;P 500”) and the Dow Jones US Casino Index. The performance graph assumes that $100 was invested on December 31, 2003 in each of the Company’s common stock, the S&amp;P 500 and the Dow Jones US Casino Index, and that all dividends were reinvested. The stock price performance shown in this graph is neither necessarily indicative of, nor intended to suggest,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7"/>
              </w:rPr>
              <w:t>Wynn Resorts Ltd.</w:t>
            </w:r>
          </w:p>
        </w:tc>
        <w:tc>
          <w:tcPr>
            <w:tcW w:w="1000" w:type="dxa"/>
            <w:vAlign w:val="bottom"/>
          </w:tcPr>
          <w:p>
            <w:pPr>
              <w:spacing w:after="0"/>
              <w:rPr>
                <w:sz w:val="14"/>
                <w:szCs w:val="14"/>
                <w:color w:val="auto"/>
              </w:rPr>
            </w:pPr>
          </w:p>
        </w:tc>
        <w:tc>
          <w:tcPr>
            <w:tcW w:w="23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2"/>
              </w:rPr>
              <w:t>Dow Jones US Casinos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5"/>
              </w:rPr>
              <w:t>S&amp;P 500</w:t>
            </w:r>
          </w:p>
        </w:tc>
      </w:tr>
      <w:tr>
        <w:trPr>
          <w:trHeight w:val="20"/>
        </w:trPr>
        <w:tc>
          <w:tcPr>
            <w:tcW w:w="4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December 04</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238.9</w:t>
            </w:r>
          </w:p>
        </w:tc>
        <w:tc>
          <w:tcPr>
            <w:tcW w:w="2300" w:type="dxa"/>
            <w:vAlign w:val="bottom"/>
            <w:gridSpan w:val="2"/>
          </w:tcPr>
          <w:p>
            <w:pPr>
              <w:jc w:val="right"/>
              <w:ind w:right="1000"/>
              <w:spacing w:after="0"/>
              <w:rPr>
                <w:sz w:val="20"/>
                <w:szCs w:val="20"/>
                <w:color w:val="auto"/>
              </w:rPr>
            </w:pPr>
            <w:r>
              <w:rPr>
                <w:rFonts w:ascii="Arial" w:cs="Arial" w:eastAsia="Arial" w:hAnsi="Arial"/>
                <w:sz w:val="18"/>
                <w:szCs w:val="18"/>
                <w:color w:val="auto"/>
              </w:rPr>
              <w:t>131.7</w:t>
            </w:r>
          </w:p>
        </w:tc>
        <w:tc>
          <w:tcPr>
            <w:tcW w:w="50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05</w:t>
            </w:r>
          </w:p>
        </w:tc>
        <w:tc>
          <w:tcPr>
            <w:tcW w:w="21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195.8</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132.4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December 06</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357.4</w:t>
            </w:r>
          </w:p>
        </w:tc>
        <w:tc>
          <w:tcPr>
            <w:tcW w:w="2300" w:type="dxa"/>
            <w:vAlign w:val="bottom"/>
            <w:gridSpan w:val="2"/>
          </w:tcPr>
          <w:p>
            <w:pPr>
              <w:jc w:val="right"/>
              <w:ind w:right="1000"/>
              <w:spacing w:after="0"/>
              <w:rPr>
                <w:sz w:val="20"/>
                <w:szCs w:val="20"/>
                <w:color w:val="auto"/>
              </w:rPr>
            </w:pPr>
            <w:r>
              <w:rPr>
                <w:rFonts w:ascii="Arial" w:cs="Arial" w:eastAsia="Arial" w:hAnsi="Arial"/>
                <w:sz w:val="18"/>
                <w:szCs w:val="18"/>
                <w:color w:val="auto"/>
              </w:rPr>
              <w:t>189.8</w:t>
            </w:r>
          </w:p>
        </w:tc>
        <w:tc>
          <w:tcPr>
            <w:tcW w:w="50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December 07</w:t>
            </w:r>
          </w:p>
        </w:tc>
        <w:tc>
          <w:tcPr>
            <w:tcW w:w="21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446.5</w:t>
            </w:r>
          </w:p>
        </w:tc>
        <w:tc>
          <w:tcPr>
            <w:tcW w:w="23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215.2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December 08</w:t>
            </w:r>
          </w:p>
        </w:tc>
        <w:tc>
          <w:tcPr>
            <w:tcW w:w="2120" w:type="dxa"/>
            <w:vAlign w:val="bottom"/>
            <w:gridSpan w:val="2"/>
          </w:tcPr>
          <w:p>
            <w:pPr>
              <w:jc w:val="right"/>
              <w:ind w:right="1000"/>
              <w:spacing w:after="0"/>
              <w:rPr>
                <w:sz w:val="20"/>
                <w:szCs w:val="20"/>
                <w:color w:val="auto"/>
              </w:rPr>
            </w:pPr>
            <w:r>
              <w:rPr>
                <w:rFonts w:ascii="Arial" w:cs="Arial" w:eastAsia="Arial" w:hAnsi="Arial"/>
                <w:sz w:val="18"/>
                <w:szCs w:val="18"/>
                <w:color w:val="auto"/>
              </w:rPr>
              <w:t>168.3</w:t>
            </w:r>
          </w:p>
        </w:tc>
        <w:tc>
          <w:tcPr>
            <w:tcW w:w="2300" w:type="dxa"/>
            <w:vAlign w:val="bottom"/>
            <w:gridSpan w:val="2"/>
          </w:tcPr>
          <w:p>
            <w:pPr>
              <w:jc w:val="right"/>
              <w:ind w:right="1000"/>
              <w:spacing w:after="0"/>
              <w:rPr>
                <w:sz w:val="20"/>
                <w:szCs w:val="20"/>
                <w:color w:val="auto"/>
              </w:rPr>
            </w:pPr>
            <w:r>
              <w:rPr>
                <w:rFonts w:ascii="Arial" w:cs="Arial" w:eastAsia="Arial" w:hAnsi="Arial"/>
                <w:sz w:val="18"/>
                <w:szCs w:val="18"/>
                <w:color w:val="auto"/>
              </w:rPr>
              <w:t>57.5</w:t>
            </w:r>
          </w:p>
        </w:tc>
        <w:tc>
          <w:tcPr>
            <w:tcW w:w="500" w:type="dxa"/>
            <w:vAlign w:val="bottom"/>
          </w:tcPr>
          <w:p>
            <w:pPr>
              <w:jc w:val="right"/>
              <w:spacing w:after="0"/>
              <w:rPr>
                <w:sz w:val="20"/>
                <w:szCs w:val="20"/>
                <w:color w:val="auto"/>
              </w:rPr>
            </w:pPr>
            <w:r>
              <w:rPr>
                <w:rFonts w:ascii="Arial" w:cs="Arial" w:eastAsia="Arial" w:hAnsi="Arial"/>
                <w:sz w:val="18"/>
                <w:szCs w:val="18"/>
                <w:color w:val="auto"/>
              </w:rPr>
              <w:t>81.2</w:t>
            </w:r>
          </w:p>
        </w:tc>
      </w:tr>
    </w:tbl>
    <w:p>
      <w:pPr>
        <w:spacing w:after="0" w:line="14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tables reflect the selected consolidated financial data of Wynn Resorts and its subsidiaries. This data should be read together with our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include:</w:t>
      </w:r>
    </w:p>
    <w:p>
      <w:pPr>
        <w:spacing w:after="0" w:line="6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April 28, 2005, we were solely a development stage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April 28, 2006, we commenced construction of Encore at Wynn Las Vegas.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September 11, 2006 we completed the sale of our Macau sub-concession right and recognized a pre-tax gain of $899.4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June 2007, we commenced construction of Encore at Wynn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24, 2007, we opened the expansion of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December 22, 2008, we opened our Encore at Wynn Las Vegas resort.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left="27"/>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2006</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spacing w:after="0"/>
              <w:rPr>
                <w:sz w:val="20"/>
                <w:szCs w:val="20"/>
                <w:color w:val="auto"/>
              </w:rPr>
            </w:pPr>
            <w:r>
              <w:rPr>
                <w:rFonts w:ascii="Arial" w:cs="Arial" w:eastAsia="Arial" w:hAnsi="Arial"/>
                <w:sz w:val="11"/>
                <w:szCs w:val="11"/>
                <w:b w:val="1"/>
                <w:bCs w:val="1"/>
                <w:color w:val="auto"/>
                <w:w w:val="71"/>
              </w:rPr>
              <w:t>thousands,</w:t>
            </w: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except per</w:t>
            </w:r>
          </w:p>
        </w:tc>
        <w:tc>
          <w:tcPr>
            <w:tcW w:w="126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w w:val="76"/>
              </w:rPr>
              <w:t>share amounts)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2,987,324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2,687,519</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$ 1,432,257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721,981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81,321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income/(loss)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313,854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429,403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(24,556)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(89,798)</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income/(loss)[1]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(204,171)</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Basic income/(loss) per share</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Diluted income/(loss) per Share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r>
      <w:tr>
        <w:trPr>
          <w:trHeight w:val="365"/>
        </w:trPr>
        <w:tc>
          <w:tcPr>
            <w:tcW w:w="5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left="27"/>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2006</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r>
      <w:tr>
        <w:trPr>
          <w:trHeight w:val="142"/>
        </w:trPr>
        <w:tc>
          <w:tcPr>
            <w:tcW w:w="5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(in</w:t>
            </w:r>
          </w:p>
        </w:tc>
        <w:tc>
          <w:tcPr>
            <w:tcW w:w="440" w:type="dxa"/>
            <w:vAlign w:val="bottom"/>
          </w:tcPr>
          <w:p>
            <w:pPr>
              <w:spacing w:after="0"/>
              <w:rPr>
                <w:sz w:val="20"/>
                <w:szCs w:val="20"/>
                <w:color w:val="auto"/>
              </w:rPr>
            </w:pPr>
            <w:r>
              <w:rPr>
                <w:rFonts w:ascii="Arial" w:cs="Arial" w:eastAsia="Arial" w:hAnsi="Arial"/>
                <w:sz w:val="11"/>
                <w:szCs w:val="11"/>
                <w:b w:val="1"/>
                <w:bCs w:val="1"/>
                <w:color w:val="auto"/>
                <w:w w:val="71"/>
              </w:rPr>
              <w:t>thousands,</w:t>
            </w: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except per</w:t>
            </w:r>
          </w:p>
        </w:tc>
        <w:tc>
          <w:tcPr>
            <w:tcW w:w="126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w w:val="76"/>
              </w:rPr>
              <w:t>share amounts)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1,133,904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1,275,120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789,407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434,289</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330,261</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942,367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221,696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921,747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345,377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286,570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1,499,284</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6,742,615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6,299,282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4,660,180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3,945,283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3,464,413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Total long-term obligations[3]</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4,430,638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3,621,998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2,419,992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2,137,082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1,660,169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1,592,522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1,948,159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1,645,585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1,562,895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1,644,492</w:t>
            </w:r>
          </w:p>
        </w:tc>
      </w:tr>
      <w:tr>
        <w:trPr>
          <w:trHeight w:val="222"/>
        </w:trPr>
        <w:tc>
          <w:tcPr>
            <w:tcW w:w="5460" w:type="dxa"/>
            <w:vAlign w:val="bottom"/>
          </w:tcPr>
          <w:p>
            <w:pPr>
              <w:spacing w:after="0"/>
              <w:rPr>
                <w:sz w:val="20"/>
                <w:szCs w:val="20"/>
                <w:color w:val="auto"/>
              </w:rPr>
            </w:pPr>
            <w:r>
              <w:rPr>
                <w:rFonts w:ascii="Arial" w:cs="Arial" w:eastAsia="Arial" w:hAnsi="Arial"/>
                <w:sz w:val="18"/>
                <w:szCs w:val="18"/>
                <w:color w:val="auto"/>
              </w:rPr>
              <w:t>Cash distribution declared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for 2006 includes a pre-tax gain on sale of subconcession right of $899.4 million.</w:t>
      </w:r>
    </w:p>
    <w:p>
      <w:pPr>
        <w:spacing w:after="0" w:line="76" w:lineRule="exact"/>
        <w:rPr>
          <w:rFonts w:ascii="Arial" w:cs="Arial" w:eastAsia="Arial" w:hAnsi="Arial"/>
          <w:sz w:val="18"/>
          <w:szCs w:val="18"/>
          <w:color w:val="auto"/>
        </w:rPr>
      </w:pPr>
    </w:p>
    <w:p>
      <w:pPr>
        <w:ind w:left="460" w:right="400" w:hanging="452"/>
        <w:spacing w:after="0" w:line="32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Restricted cash and investments primarily reflect the proceeds of our debt and equity financings that were restricted for the repurchase of our common stock and construction of Encore at Wynn Las Vegas, and prior to December 31, 2005, for construction of Wynn Las Vegas.</w:t>
      </w:r>
    </w:p>
    <w:p>
      <w:pPr>
        <w:spacing w:after="0" w:line="1" w:lineRule="exact"/>
        <w:rPr>
          <w:rFonts w:ascii="Arial" w:cs="Arial" w:eastAsia="Arial" w:hAnsi="Arial"/>
          <w:sz w:val="16"/>
          <w:szCs w:val="16"/>
          <w:color w:val="auto"/>
        </w:rPr>
      </w:pPr>
    </w:p>
    <w:p>
      <w:pPr>
        <w:ind w:left="460" w:right="3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the current portion of the required contract premium payments under our land concession contract at Wynn Macau.</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a developer, owner and operator of destination casino resorts. We currently own and operate Wynn Las Vegas, a destination casino resort in Las Vegas, Nevada, which opened on April 28, 2005, Encore at Wynn Las Vegas, a destination casino resort located adjacent to Wynn Las Vegas, which opened on December 22, 2008, and Wynn Macau, a destination casino resort in the Macau Special Administrative Region of the People’s Republic of China (“Macau”), which opened on September 6, 2006. We have also commenced construction of Encore at Wynn Macau, a further expansion of Wynn Macau. We believe Wynn Las Vegas and Encore at Wynn Las Vegas are the preeminent destination casino resorts on the Strip in Las Vegas. Until the opening of Wynn Las Vegas in 2005, we were solely a development stage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Hotel Rooms &amp;</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spacing w:after="0"/>
              <w:rPr>
                <w:sz w:val="14"/>
                <w:szCs w:val="14"/>
                <w:color w:val="auto"/>
              </w:rPr>
            </w:pPr>
          </w:p>
        </w:tc>
        <w:tc>
          <w:tcPr>
            <w:tcW w:w="22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9"/>
              </w:rPr>
              <w:t>Approximate Number</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8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Suites</w:t>
            </w:r>
          </w:p>
        </w:tc>
        <w:tc>
          <w:tcPr>
            <w:tcW w:w="960" w:type="dxa"/>
            <w:vAlign w:val="bottom"/>
          </w:tcPr>
          <w:p>
            <w:pPr>
              <w:spacing w:after="0"/>
              <w:rPr>
                <w:sz w:val="14"/>
                <w:szCs w:val="1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8"/>
              </w:rPr>
              <w:t>Square Footage</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Table Games</w:t>
            </w:r>
          </w:p>
        </w:tc>
        <w:tc>
          <w:tcPr>
            <w:tcW w:w="980" w:type="dxa"/>
            <w:vAlign w:val="bottom"/>
          </w:tcPr>
          <w:p>
            <w:pPr>
              <w:spacing w:after="0"/>
              <w:rPr>
                <w:sz w:val="14"/>
                <w:szCs w:val="14"/>
                <w:color w:val="auto"/>
              </w:rPr>
            </w:pPr>
          </w:p>
        </w:tc>
        <w:tc>
          <w:tcPr>
            <w:tcW w:w="12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of Slots</w:t>
            </w:r>
          </w:p>
        </w:tc>
        <w:tc>
          <w:tcPr>
            <w:tcW w:w="2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2,716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w:t>
            </w:r>
          </w:p>
        </w:tc>
        <w:tc>
          <w:tcPr>
            <w:tcW w:w="32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135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2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Encore at Wynn Las Vegas</w:t>
            </w:r>
          </w:p>
        </w:tc>
        <w:tc>
          <w:tcPr>
            <w:tcW w:w="1860" w:type="dxa"/>
            <w:vAlign w:val="bottom"/>
            <w:gridSpan w:val="2"/>
          </w:tcPr>
          <w:p>
            <w:pPr>
              <w:jc w:val="right"/>
              <w:ind w:right="960"/>
              <w:spacing w:after="0"/>
              <w:rPr>
                <w:sz w:val="20"/>
                <w:szCs w:val="20"/>
                <w:color w:val="auto"/>
              </w:rPr>
            </w:pPr>
            <w:r>
              <w:rPr>
                <w:rFonts w:ascii="Arial" w:cs="Arial" w:eastAsia="Arial" w:hAnsi="Arial"/>
                <w:sz w:val="18"/>
                <w:szCs w:val="18"/>
                <w:color w:val="auto"/>
              </w:rPr>
              <w:t>2,034</w:t>
            </w:r>
          </w:p>
        </w:tc>
        <w:tc>
          <w:tcPr>
            <w:tcW w:w="1200" w:type="dxa"/>
            <w:vAlign w:val="bottom"/>
          </w:tcPr>
          <w:p>
            <w:pPr>
              <w:jc w:val="right"/>
              <w:spacing w:after="0"/>
              <w:rPr>
                <w:sz w:val="20"/>
                <w:szCs w:val="20"/>
                <w:color w:val="auto"/>
              </w:rPr>
            </w:pPr>
            <w:r>
              <w:rPr>
                <w:rFonts w:ascii="Arial" w:cs="Arial" w:eastAsia="Arial" w:hAnsi="Arial"/>
                <w:sz w:val="18"/>
                <w:szCs w:val="18"/>
                <w:color w:val="auto"/>
              </w:rPr>
              <w:t>72,000</w:t>
            </w:r>
          </w:p>
        </w:tc>
        <w:tc>
          <w:tcPr>
            <w:tcW w:w="3240" w:type="dxa"/>
            <w:vAlign w:val="bottom"/>
            <w:gridSpan w:val="3"/>
          </w:tcPr>
          <w:p>
            <w:pPr>
              <w:jc w:val="right"/>
              <w:ind w:right="980"/>
              <w:spacing w:after="0"/>
              <w:rPr>
                <w:sz w:val="20"/>
                <w:szCs w:val="20"/>
                <w:color w:val="auto"/>
              </w:rPr>
            </w:pPr>
            <w:r>
              <w:rPr>
                <w:rFonts w:ascii="Arial" w:cs="Arial" w:eastAsia="Arial" w:hAnsi="Arial"/>
                <w:sz w:val="18"/>
                <w:szCs w:val="18"/>
                <w:color w:val="auto"/>
              </w:rPr>
              <w:t>95</w:t>
            </w:r>
          </w:p>
        </w:tc>
        <w:tc>
          <w:tcPr>
            <w:tcW w:w="128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Wynn Macau</w:t>
            </w:r>
          </w:p>
        </w:tc>
        <w:tc>
          <w:tcPr>
            <w:tcW w:w="18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32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370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Wynn Las Vegas is located at the intersection of the Las Vegas Strip and Sands Avenue, occupies approximately 217 acres of land fronting the Las Vegas Strip and owns approximately 18 additional acres across Sands Avenue, a portion of which is utilized for employee parking.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currently features:</w:t>
      </w:r>
    </w:p>
    <w:p>
      <w:pPr>
        <w:spacing w:after="0" w:line="90" w:lineRule="exact"/>
        <w:rPr>
          <w:sz w:val="20"/>
          <w:szCs w:val="20"/>
          <w:color w:val="auto"/>
        </w:rPr>
      </w:pPr>
    </w:p>
    <w:p>
      <w:pPr>
        <w:ind w:left="900" w:right="2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22 food and beverage outlets, including the AAA Five-Diamond, Mobil Five-Star and Michelin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a full service spa and salon;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the completed Wynn Las Vegas project and the reactions of our guests, we began to make enhancements and refinements to Wynn Las Vegas in the third quarter of 2005 which continued throughout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at Wynn Las Vegas on December 22, 2008. This resort is located on the Las Vegas Strip, immediately adjacent to and connected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Encore at Wynn Las Vegas currently features:</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approximately 72,000 square foot casino offering 24-hour gaming and a full range of games, including private gaming salons and a sports book;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Twelve food and beverage outlets;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Approximately 27,000 square feet of high-end brand name retail shopping, including stores and boutiques featuring Hermes, Chanel and Rock &amp; Republic;</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showroom, nightclub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Wynn Macau on September 6, 2006 and we completed an expansion of this resort in December 2007. Wynn Macau currently features:</w:t>
      </w:r>
    </w:p>
    <w:p>
      <w:pPr>
        <w:spacing w:after="0" w:line="113"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approximately 205,000 square foot casino offering 24-hour gaming and a full range of games, including private gaming salons and a poker room;</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Approximately 46,000 square feet of high-end, brand-name retail shopping, including stores and boutiques featuring Bvlgari, Chanel, Dior, Dunhill, Fendi, Ferrari, Giorgio Armani, Gucci, Hermes, Hugo Boss, Louis Vuitton, Miu Miu, Piaget, Prada, Rolex, Tiffany, Van Cleef &amp; Arpels, Versace, Vertu, Zegna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commenced construction on a further expansion of Wynn Macau that will add a fully-integrated resort hotel named Encore at Wynn Macau, with approximately 400 luxury suites and four villas, as well as additional VIP gaming areas, food and beverage and retail amenities. We expect Encore at Wynn Macau to open in 2010.</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response to our evaluation of Wynn Macau and the reactions of our guests, we have and expect to continue to make enhancements and refinements to the property.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Future Development</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Approximately 142 acres of land comprising Wynn Las Vegas and Encore at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applied to the government of Macau for a land concession for approximately 52 acres on Cotai and are awaiting final governmental approval of this concession. No construction timeline or budget have been prepared.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a number of factors affecting consumers, including a slowdown in global economies, contracting credit markets, and reduced consumer spending, and new U.S. political leadership, the outlook for the gaming, travel, and entertainment industries both domestically and abroad remains highly uncertain. Auto traffic into Las Vegas, airline capacity and air travel to McCarran International airport have declined, resulting in lower casino volumes and a reduced demand for hotel rooms. This slow down was particularly significant in the fourth quarter of 2008 and has continued into the first quarter of 2009. Based on our experience in 2008 and current market conditions, we believe that Wynn Las Vegas and Encore at Wynn Las Vegas will continue to experience lower than historical hotel occupancy rates, room rates, casino volumes and accordingly lower departmental profitability. As a result of the current economic conditions, we have increasingly focused on efficiency initiatives that we began implementing at our Las Vegas properties and corporate in early 2009. These initiatives include reductions in pay for salaried employees in Las Vegas, reduced work weeks for full-time hourly employees, a substantial reduction of 2009 bonus accruals and a suspension of the employer match to the 401(k) contributions. We expect that these initiatives, along with other operational efficiencies, will save approximately $75-$100 million annually. We are continually reviewing the cost and efficiencies at our operating properties and corporate to identify further opportunities to reduce costs during these uncertain economic times. Wynn Macau has also been impacted by the slowing global economy and visa restrictions implemented in September 2008.</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factors described above accelerated through 2008 with fourth quarter results in Las Vegas significantly weaker than 2007. Additionally, in early 2009, we have experienced cancellation and attrition of group business at greater than historical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for the periods presented are not comparable for the following reasons:</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September 6, 2006, we opened Wynn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September 11, 2006, Wynn Macau completed the sale of a Macau subconcession right and recognized a pre-tax gain of $899.4 million;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24, 2007, we opened an expansion at Wynn Macau;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22, 2008, we opened Encore at Wynn Las Vegas.</w:t>
      </w:r>
    </w:p>
    <w:p>
      <w:pPr>
        <w:spacing w:after="0" w:line="171" w:lineRule="exact"/>
        <w:rPr>
          <w:sz w:val="20"/>
          <w:szCs w:val="20"/>
          <w:color w:val="auto"/>
        </w:rPr>
      </w:pPr>
    </w:p>
    <w:p>
      <w:pPr>
        <w:ind w:right="260" w:firstLine="456"/>
        <w:spacing w:after="0" w:line="314" w:lineRule="auto"/>
        <w:rPr>
          <w:sz w:val="20"/>
          <w:szCs w:val="20"/>
          <w:color w:val="auto"/>
        </w:rPr>
      </w:pPr>
      <w:r>
        <w:rPr>
          <w:rFonts w:ascii="Arial" w:cs="Arial" w:eastAsia="Arial" w:hAnsi="Arial"/>
          <w:sz w:val="15"/>
          <w:szCs w:val="15"/>
          <w:color w:val="auto"/>
        </w:rPr>
        <w:t>Accordingly, our results of operations for the year ended December 31, 2008 include a full year of operations for the expansion at Wynn Macau and 10 days of operations for Encore at Wynn Las Vegas. The year ended December 31, 2006 includes a full year of operations for Wynn Las Vegas and 117 days of operations for Wynn Macau. In addition, we believe that our operating results at Wynn Las Vegas, Encore at Wynn Las Vegas and Wynn Macau for the year ended December 31, 2008 have been adversely impacted by the weakened global economy. Disruptions in the global financial and stock markets and reduced levels of consumer spending have and may continue to adversely impact our financial results. In addition, as noted above, visa restrictions have placed certain limitations on visitation to Macau. These restrictions have and will continue to adversely impact visitation to Macau by residents of mainland China.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displays our net revenues for the years ended December 31, 2008, 2007 and 2006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For the 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2006</w:t>
            </w: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980" w:type="dxa"/>
            <w:vAlign w:val="bottom"/>
          </w:tcPr>
          <w:p>
            <w:pPr>
              <w:ind w:left="440"/>
              <w:spacing w:after="0"/>
              <w:rPr>
                <w:sz w:val="20"/>
                <w:szCs w:val="20"/>
                <w:color w:val="auto"/>
              </w:rPr>
            </w:pPr>
            <w:r>
              <w:rPr>
                <w:rFonts w:ascii="Arial" w:cs="Arial" w:eastAsia="Arial" w:hAnsi="Arial"/>
                <w:sz w:val="18"/>
                <w:szCs w:val="18"/>
                <w:color w:val="auto"/>
              </w:rPr>
              <w:t>Wynn Las Vegas, including Encore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1,098,889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1,295,381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1,138,549</w:t>
            </w:r>
          </w:p>
        </w:tc>
      </w:tr>
      <w:tr>
        <w:trPr>
          <w:trHeight w:val="216"/>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1,888,435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1,392,138</w:t>
            </w: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293,708</w:t>
            </w:r>
          </w:p>
        </w:tc>
      </w:tr>
      <w:tr>
        <w:trPr>
          <w:trHeight w:val="222"/>
        </w:trPr>
        <w:tc>
          <w:tcPr>
            <w:tcW w:w="7980" w:type="dxa"/>
            <w:vAlign w:val="bottom"/>
          </w:tcPr>
          <w:p>
            <w:pPr>
              <w:ind w:left="880"/>
              <w:spacing w:after="0"/>
              <w:rPr>
                <w:sz w:val="20"/>
                <w:szCs w:val="20"/>
                <w:color w:val="auto"/>
              </w:rPr>
            </w:pPr>
            <w:r>
              <w:rPr>
                <w:rFonts w:ascii="Arial" w:cs="Arial" w:eastAsia="Arial" w:hAnsi="Arial"/>
                <w:sz w:val="18"/>
                <w:szCs w:val="18"/>
                <w:color w:val="auto"/>
              </w:rPr>
              <w:t>Total Net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2,987,324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2,687,519</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1,432,257</w:t>
            </w:r>
          </w:p>
        </w:tc>
      </w:tr>
      <w:tr>
        <w:trPr>
          <w:trHeight w:val="20"/>
        </w:trPr>
        <w:tc>
          <w:tcPr>
            <w:tcW w:w="7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Reliance on only three properties (in two geographic regions) for our operating cash flow exposes us to certain risks that competitors, whose operations are more diversified, may be better able to control. In addition to the concentration of operations in three properties, many of our customers are high-end gaming customers who wager on credit, thus exposing us to increased credit risk. High-end gaming also increases the potential for variability in our results.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 Consolidated Statement of Income is presented. Casinos generally record table games win as a percentage of either drop or turnover and slot win as a percentage of handle. In our casino operations at Wynn Las Vegas and Encore at Wynn Las Vegas, table games win is recorded as a percentage of drop. However, in our casino operations at Wynn Macau, we separate table play into two distinct classifications. Our Macau VIP casino segment records table games win as a percentage of turnover, whereas our general casino records win as a percentage of drop.</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Wynn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75" w:lineRule="exact"/>
        <w:rPr>
          <w:sz w:val="20"/>
          <w:szCs w:val="20"/>
          <w:color w:val="auto"/>
        </w:rPr>
      </w:pPr>
    </w:p>
    <w:p>
      <w:pPr>
        <w:ind w:left="240" w:right="3500"/>
        <w:spacing w:after="0" w:line="344" w:lineRule="auto"/>
        <w:rPr>
          <w:sz w:val="20"/>
          <w:szCs w:val="20"/>
          <w:color w:val="auto"/>
        </w:rPr>
      </w:pPr>
      <w:r>
        <w:rPr>
          <w:rFonts w:ascii="Arial" w:cs="Arial" w:eastAsia="Arial" w:hAnsi="Arial"/>
          <w:sz w:val="18"/>
          <w:szCs w:val="18"/>
          <w:b w:val="1"/>
          <w:bCs w:val="1"/>
          <w:i w:val="1"/>
          <w:iCs w:val="1"/>
          <w:color w:val="auto"/>
        </w:rPr>
        <w:t xml:space="preserve">Financial Results for the Year Ended December 31, 2008 Compared to the Year Ended December 31, 2007 </w:t>
      </w:r>
      <w:r>
        <w:rPr>
          <w:rFonts w:ascii="Arial" w:cs="Arial" w:eastAsia="Arial" w:hAnsi="Arial"/>
          <w:sz w:val="18"/>
          <w:szCs w:val="18"/>
          <w:i w:val="1"/>
          <w:iCs w:val="1"/>
          <w:color w:val="auto"/>
        </w:rPr>
        <w:t>Revenues</w:t>
      </w:r>
    </w:p>
    <w:p>
      <w:pPr>
        <w:spacing w:after="0" w:line="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Net revenues for the year ended December 31, 2008 are comprised of $2,261.9 million in casino revenues (75.7% of total net revenues) and $725.4 million of net non-casino revenues (24.3% of total net revenues). Net revenues for the year ended December 31, 2007 were comprised of $1,949.9 million in casino revenues (72.6% of total net revenues) and $737.6 million of net non-casino revenues (27.4% of total net revenues). Encore at Wynn Las Vegas, which opened on December 22, 2008, did not significantly impact our results of operations for the year ended December 31, 2008.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Casino revenues are comprised of the net win from our table games and slot machine operations. Casino revenues for the year ended December 31, 2008 of approximately $2,261.9 million represents a $312 million (or 16%) increase from casino revenues of $1,949.9 million for the year ended December 31, 2007. At Wynn Las Vegas, including Encore at Wynn Las Vegas, we experienced a $162.6 million decrease in casino revenues compared to the prior year due to a 7.1% decrease in drop and a decrease in our table games win percentage. Our table games win percentage (before discounts) for the year ended December 31, 2008 was 20.0%, which was below the expected range of 21% to 24% and compares to 25.3% for the prior year. Slot handle at Wynn Las Vegas, including Encore at Wynn Las Vegas, decreased 12.9% during the year ended December 31, 2008 as compared to 2007, and the slot win percentage was within the expected range of 4.5% to 5.5%. As noted earlier, we believe the decrease in casino volumes reflect the overall slowdown in the global economy partially offset by the opening of Encore at Wynn Las Vegas. In the fourth quarter of 2008, casino revenue at Wynn Las Vegas, including Encore at Wynn Las Vegas, declined 43.3% compared to the fourth quarter of 2007 as a result of a decrease in table games drop of 20.2% and a decline in our table games win percentage to 15.3% compared to 23.5% in the prior year fourth quarter. Slot handle at Wynn Las Vegas, including Encore at Wynn Las Vegas, decreased 22.7% during the fourth quarter of 2008 compared to the fourth quarter of 2007.</w:t>
      </w:r>
    </w:p>
    <w:p>
      <w:pPr>
        <w:spacing w:after="0" w:line="12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Casino revenues at Wynn Macau increased $474.7 million during the year ended December 31, 2008, compared to the prior year. At Wynn Macau, we experienced a 47.4% increase in turnover in the VIP casino segment and our win as a percent of turnover was 3%, which is at the high end of our expected range of 2.7% to 3% compared to 3.1% in the prior year. Our VIP casino segment win as a percent of turnover includes a nominal beneficial effect attributable to non-rolling chip play. In our general casino at Wynn Macau, drop increased 14.2% when compared to the prior year and the table games win percentage was 19.6%, which is within the expected range of 18% to 20%. The table game win percentage at Wynn Macau for the year ended December 31, 2007 was 19%. Slot handle at Wynn Macau increased 79.5% compared to the prior year and the slot win percentage was within the expected range of 4.5% to 5.5%. The increase in casino revenue at Wynn Macau is a result of growth during the first nine months of the year in the Macau market as well as our casino expansion which opened in December 2007. We expect that this rapid growth in the Macau market will slow due to the overall slowdown in the global economy and visa restrictions that went into effect in September 2008 which limit visitation to Macau by certain residents of mainland China.</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the year ended December 31, 2008, total room revenues were approximately $326.7 million, a $12.7 million decrease compared to the year ended December 31, 2007. Room revenue at Wynn Las Vegas, including Encore at Wynn Las Vegas, decreased approximately $17.2 million compared to the prior year due to lower occupancy and lower rates, while room revenue at Wynn Macau increased approximately $4.5 million due to increased rates. In the fourth quarter of 2008, room revenue at Wynn Las Vegas, including Encore at Wynn Las Vegas, declined by 14% as our occupancy percentage declined 14.6% and the average daily rate declined 6%, all compared to the fourth quarter of 2007. Room rates have continued to decline as the economic slowdown reduces demand for our product.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key operating measures related to room revenue for Wynn Macau and Wynn Las Vegas, including Encore at Wynn Las Vegas.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2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2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6660" w:type="dxa"/>
            <w:vAlign w:val="bottom"/>
            <w:gridSpan w:val="3"/>
          </w:tcPr>
          <w:p>
            <w:pPr>
              <w:jc w:val="right"/>
              <w:ind w:right="652"/>
              <w:spacing w:after="0"/>
              <w:rPr>
                <w:sz w:val="20"/>
                <w:szCs w:val="20"/>
                <w:color w:val="auto"/>
              </w:rPr>
            </w:pPr>
            <w:r>
              <w:rPr>
                <w:rFonts w:ascii="Arial" w:cs="Arial" w:eastAsia="Arial" w:hAnsi="Arial"/>
                <w:sz w:val="18"/>
                <w:szCs w:val="18"/>
                <w:color w:val="auto"/>
              </w:rPr>
              <w:t>$ 288</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$ 300</w:t>
            </w: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66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5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66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91.8%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Macau</w:t>
            </w:r>
          </w:p>
        </w:tc>
        <w:tc>
          <w:tcPr>
            <w:tcW w:w="6660" w:type="dxa"/>
            <w:vAlign w:val="bottom"/>
            <w:gridSpan w:val="3"/>
          </w:tcPr>
          <w:p>
            <w:pPr>
              <w:jc w:val="right"/>
              <w:ind w:right="512"/>
              <w:spacing w:after="0"/>
              <w:rPr>
                <w:sz w:val="20"/>
                <w:szCs w:val="20"/>
                <w:color w:val="auto"/>
              </w:rPr>
            </w:pPr>
            <w:r>
              <w:rPr>
                <w:rFonts w:ascii="Arial" w:cs="Arial" w:eastAsia="Arial" w:hAnsi="Arial"/>
                <w:sz w:val="18"/>
                <w:szCs w:val="18"/>
                <w:color w:val="auto"/>
              </w:rPr>
              <w:t>87.3%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88.8%</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6660" w:type="dxa"/>
            <w:vAlign w:val="bottom"/>
            <w:gridSpan w:val="3"/>
          </w:tcPr>
          <w:p>
            <w:pPr>
              <w:jc w:val="right"/>
              <w:ind w:right="652"/>
              <w:spacing w:after="0"/>
              <w:rPr>
                <w:sz w:val="20"/>
                <w:szCs w:val="20"/>
                <w:color w:val="auto"/>
              </w:rPr>
            </w:pPr>
            <w:r>
              <w:rPr>
                <w:rFonts w:ascii="Arial" w:cs="Arial" w:eastAsia="Arial" w:hAnsi="Arial"/>
                <w:sz w:val="18"/>
                <w:szCs w:val="18"/>
                <w:color w:val="auto"/>
              </w:rPr>
              <w:t>$ 265</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$ 288</w:t>
            </w:r>
          </w:p>
        </w:tc>
        <w:tc>
          <w:tcPr>
            <w:tcW w:w="140" w:type="dxa"/>
            <w:vAlign w:val="bottom"/>
          </w:tcPr>
          <w:p>
            <w:pPr>
              <w:spacing w:after="0"/>
              <w:rPr>
                <w:sz w:val="18"/>
                <w:szCs w:val="18"/>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666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240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5540" w:type="dxa"/>
            <w:vAlign w:val="bottom"/>
          </w:tcPr>
          <w:p>
            <w:pPr>
              <w:jc w:val="right"/>
              <w:ind w:right="3392"/>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Other non-casino revenues for the year ended December 31, 2008 included food and beverage revenues of approximately $358.7 million, retail revenues of approximately $147.9 million, entertainment revenues of approximately $66.2 million, and other revenues from outlets such as the spa and salon, of approximately $56 million. Other non-gaming revenues for the year ended December 31, 2007 included food and beverage revenues of approximately $354 million, retail revenues of approximately $123.4 million, entertainment revenues of approximately $64.5 million, and other revenues from outlets, including the spa and salon, of approximately $57.3 million. The increase in food and beverage revenues and retail revenues were primarily driven by our Macau operations and to a lesser extent 10 days of operations of Encore at Wynn Las Vegas, offset by decreases at Wynn Las Vegas due to the economic factors noted earlier. General growth in the Macau market and our expansion, which opened in December 2007 (including additional retail outlets), were primarily responsible for the increases. As noted earlier, we do not expect this growth to continue in the general Macau market due to the slowdown in the global economy, visa restrictions and increased casino and hotel capacity recently introduced or expected to be introduced in the near future to the market. Entertainment revenues increased approximately $10.9 million from Le Rêve at Wynn Las Vegas, offset by a decrease of $9.2 million due to the closure of Spamalot in mid-July 2008. Together with the producers, we elected to end Spamalot’s run at Wynn Las Vegas in July 2008 pursuant to the terms of our contract. We have renovated the theater and on February 10, 2009, it reopened as the Encore Theater featuring Danny Gans.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the year ended December 31, 2008, departmental expenses included casino expenses of $1,491 million, rooms expenses of $78.2 million, food and beverage expenses of $207.3 million, and entertainment, retail and other expenses of $161.9 million. Also included are general and administrative expenses of approximately $319.3 million and approximately $49.4 million charged as a provision for doubtful accounts receivable. During the year ended December 31, 2007, departmental expenses included casino expenses of $1,168.1 million, room expenses of $83.2 million, food and beverage expenses of $212.6 million, entertainment, retail and other expenses of $161.1 million, general and administrative expenses of approximately $310.8 million and approximately $36.1 million charged as a provision for doubtful accounts receivable. Casino expenses have increased over the prior year primarily related to the increased revenue at Wynn Macau as noted above, including the 39 percent gross win tax on casino revenues. General and administrative expenses have increased primarily related to the opening of our expansion of Wynn Macau in December 2007, offset by a decrease in employee bonuses in Las Vegas. The provision for doubtful accounts increased during the year ended December 31, 2008 compared to 2007, primarily due to an increase in reserves established in light of the current global economic uncertainty.</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Pre-opening costs for the year ended December 31, 2008 were $72.4 million compared to $7.1 million for the year ended December 30, 2007. Pre-opening costs incurred during the year ended December 31, 2008 related to Encore at Wynn Las Vegas. Pre-opening costs related to Encore at Wynn Las Vegas ceased once it opened on December 22,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Depreciation and amortization for the year ended December 31, 2008 was $262.8 million, an increase of $42.9 million when compared to the year ended December 31, 2007, primarily due to (i) depreciation expense associated with the opening of the expansion of Wynn Macau, a portion of which opened in September 2007, and the remainder which opened in December 2007; (ii) shortened estimated lives, beginning in March 2008, of certain hotel room furniture, fixtures and equipment at Wynn Las Vegas based on a planned room renovation; and (iii) the opening of Encore at Wynn Las Vegas. In light of current economic conditions, the room renovation at Wynn Las Vegas has been postponed.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construction of our properties, costs incurred in the construction of the buildings, improvements to land and the purchases of assets for use in operations were capitalized. Once these properties opened, their assets were placed into service and we began recognizing the associated depreciation expense. Depreciation expenses will continue throughout the estimated useful lives of these assets. In addition, we continually evaluate the useful lives of our property and equipment, intangibles and other assets and adjust them when warranted.</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 and Encore at Wynn Las Vegas.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Based upon our evaluation of our completed properties and the reactions of our guests, we have made and continue to make enhancements and refinements to our properties. Costs relating to assets retired or abandoned as a result of these enhancements and remodel efforts are expensed as property charges. Property charges and other for the year ended December 31, 2008 were $32.6 million compared to approximately $70.2 million for the year ended December 31, 2007. Property charges and other for the year ended December 31, 2008 included $17.8 million of costs associated with Spamalot at Wynn Las Vegas which closed in mid-July 2008. Together with the producers, we elected to end the show’s run at Wynn Las Vegas pursuant to the contract. The charge includes production rights that were included in intangible assets, show production costs that were included in other assets and certain other property and equipment. We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Property charges and other for the year ended December 31, 2007 included the following charges at Wynn Macau: (a) a $10 million charge for the abandonment of our parking garage to make way for Encore at Wynn Macau, (b) a $10.2 million charge related to abandonment costs for portions of the main kitchen, warehouse and restaurants to enable the main casino to be connected 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was a gain of $9.4 million on the sale of a company aircraft.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remodel and make enhancements at our properties.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Interest income decreased by $25.8 million to $21.5 million for the year ended December 31, 2008 from $47.3 million for the year ended December 31, 2007. This decrease was primarily due to a decrease in interest rates as compared to the prior year. During 2008, the Company’s short-term investment strategy was primarily to preserve capital while retaining sufficient liquidity. Accordingly, our short-term investments were primarily in investments in U.S. Treasury Bills with a maturity of three months or less.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Interest expense was $172.7 million, net of capitalized interest of $87.4 million, for the year ended December 31, 2008, compared to $143.8 million, net of capitalized interest of $44.6 million, for the year ended December 31, 2007. Interest expense increased approximately $43.4 million due to borrowings under the $1 billion Wynn Resorts term loan facility drawn in late 2007, approximately $24.1 million related to the additional $400 million Wynn Las Vegas first mortgage notes issued in November 2007 and approximately $12 million net on borrowings from our Wynn Las Vegas, Wynn Macau and other credit facilities. These increases were offset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approximately $7.8 million less interest expense due to the conversion of the Debentures in July 2007 and an increase of $42.8 million in capitalized interest related to our construction activities. In future periods, interest expense will increase significantly as we no longer capitalize such costs related to Encore at Wynn Las Vegas.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interest rate swaps are accounted for in accordance with Statement of Financial Accounting Standards (“SFAS”) No. 133, “Accounting for Derivative Instruments and Hedging Activities”, as amended. The fair value of our interest rate swaps are recorded as either assets or liabilities in the accompanying Consolidated Balance Sheets. Changes in the fair value of our interest rate swaps are recorded as an increase (or decrease) in swap fair value in each period. We recorded a net expense of approximately $31.5 million for the year ended December 31, 2008 due to the net decrease in the fair value of our interest rate swaps from December 31, 2007 to December 31, 2008. During the year ended December 31, 2007, we recorded a net expense of $6 million due to the net decrease in the fair value of interest rate swaps between December 31, 2006 and December 31, 2007. For further information on our interest rate swaps, see Item 7A – “Quantitative and Qualitative Disclosures about Market Risk.”</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November 2008, the Company purchased $625 million principal amount of its outstanding loans under the $1 billion Wynn Resorts term loan facility at a discounted price of 95.375%. This resulted in the retirement of $625 million of principal for a payment of $596.1 million. In connection with this transaction, we recorded a gain of $22.3 million on early retirement of debt, net of the write-off of unamortized debt issue costs and fees.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Other represents the loss recognized in connection with foreign currency remeasurements of assets and liabilities in Macau that are not denominated in the local currency.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2008, we recorded a current tax provision of $1.9 million and a deferred tax benefit of $62.8 million.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year ended December 31, 2008, the Company completed a study of the taxes, levies and obligations assessed on operations of Wynn Macau under Macau law and its Macau Gaming Concession. As a result, the Company recognized tax benefits of $721.6 million (net of valuation allowance increases) for foreign tax credits applicable to the earnings of Wynn Macau. Of the $721.6 million, $650.6 was used to offset 2008 U.S. income tax expense incurred as a result of the repatriation of Wynn Macau earnings and $71.0 million (net of valuation allowance) is recorded as deferred tax asset. As of December 31, 2008, the Company has no earnings in foreign subsidiaries that are considered permanently invested.</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effective tax rate/(benefit) for the year ended December 31, 2008, was (40.8%). This rate was 75.8 percentage points lower than the U.S. Federal rate of 35%, primarily due to the repatriation of foreign earnings and related foreign tax credits, a domestic operating loss, and the tax holiday applicable to the earnings of Wynn Macau, S.A..</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approximately $27.7 million in such taxes for the year ended December 31, 2008. Our non-gaming profits remain subject to the Macau Complementary Tax and casino winnings remain subject to the Macau Special Gaming tax and other levies (at a rate equal to 39%) in accordance with its concession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results for the year ended December 31, 2007 compared to financial results for the year ended December 31, 2006.</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Net revenues for the year ended December 31, 2007 were comprised of $1,949.9 million in casino revenues (72.6% of total net revenues) and $737.6 million of net non-casino revenues (27.4% of total net revenues). Net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for the year ended December 31, 2006 were comprised of $800.6 million in casino revenues (55.9% of total net revenues) and $631.7 million of net non-casino revenues (44.1% of total net revenues). The quality of our resorts’ non-casino amenities, combined with providing guests an unparalleled total resort experience, has driven a premium in our properties’ ADR as well as increased the length of casino play, but the majority of revenue from Wynn Macau continues to be generated in the casino segment.</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Casino revenues for the year ended December 31, 2007 of approximately $1,949.9 million represents approximately a $1,149.3 million (or 143.6%) increase from casino revenues of $800.6 million for the year ended December 31, 2006. The year ended December 31, 2007 includes a full year of Wynn Macau’s operations, compared to only 117 days in 2006. At Wynn Las Vegas, we experienced a 14.6% increase in drop for the year ended December 31, 2007 and the average table games win percentage (before discounts) of 25.3% was above the expected range of 21% to 24%. Table games win percentage was 22.1% for the year ended December 31, 2006. Slot handle at Wynn Las Vegas increased less than 1% during the year ended December 31, 2007 as compared to 2006, and the slot win percentage was within the expected range of 4.5% to 5.5%. Wynn Macau’s win percentage for the VIP casino segment of 3.1% for the year ended December 31, 2007, was just above the expected range of 2.7% to 3.0%. The average table games win percentage at the general casino at Wynn Macau of 19% was at the top of the expected range of 17% to 19%. Wynn Macau’s slot win percentage was within the expected range of 4.5% to 5.5%.</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year ended December 31, 2007, room revenues were approximately $339.4 million, which represents a $56.3 million (or 19.9%) increase over the $283.1 million generated in the year ended December 31, 2006. Wynn Macau generated $38.8 million of this increase in room revenue during the year ended December 31, 2007, its first full year of operations. The table below sets forth key operating measures related to room revenue.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4720" w:type="dxa"/>
            <w:vAlign w:val="bottom"/>
            <w:gridSpan w:val="3"/>
          </w:tcPr>
          <w:p>
            <w:pPr>
              <w:jc w:val="right"/>
              <w:ind w:right="652"/>
              <w:spacing w:after="0"/>
              <w:rPr>
                <w:sz w:val="20"/>
                <w:szCs w:val="20"/>
                <w:color w:val="auto"/>
              </w:rPr>
            </w:pPr>
            <w:r>
              <w:rPr>
                <w:rFonts w:ascii="Arial" w:cs="Arial" w:eastAsia="Arial" w:hAnsi="Arial"/>
                <w:sz w:val="18"/>
                <w:szCs w:val="18"/>
                <w:color w:val="auto"/>
              </w:rPr>
              <w:t>$ 300</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$ 287</w:t>
            </w: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47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251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Occupancy</w:t>
            </w: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472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96.0%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4720" w:type="dxa"/>
            <w:vAlign w:val="bottom"/>
            <w:gridSpan w:val="3"/>
          </w:tcPr>
          <w:p>
            <w:pPr>
              <w:jc w:val="right"/>
              <w:ind w:right="512"/>
              <w:spacing w:after="0"/>
              <w:rPr>
                <w:sz w:val="20"/>
                <w:szCs w:val="20"/>
                <w:color w:val="auto"/>
              </w:rPr>
            </w:pPr>
            <w:r>
              <w:rPr>
                <w:rFonts w:ascii="Arial" w:cs="Arial" w:eastAsia="Arial" w:hAnsi="Arial"/>
                <w:sz w:val="18"/>
                <w:szCs w:val="18"/>
                <w:color w:val="auto"/>
              </w:rPr>
              <w:t>88.8%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4720" w:type="dxa"/>
            <w:vAlign w:val="bottom"/>
            <w:gridSpan w:val="3"/>
          </w:tcPr>
          <w:p>
            <w:pPr>
              <w:jc w:val="right"/>
              <w:ind w:right="652"/>
              <w:spacing w:after="0"/>
              <w:rPr>
                <w:sz w:val="20"/>
                <w:szCs w:val="20"/>
                <w:color w:val="auto"/>
              </w:rPr>
            </w:pPr>
            <w:r>
              <w:rPr>
                <w:rFonts w:ascii="Arial" w:cs="Arial" w:eastAsia="Arial" w:hAnsi="Arial"/>
                <w:sz w:val="18"/>
                <w:szCs w:val="18"/>
                <w:color w:val="auto"/>
              </w:rPr>
              <w:t>$ 288</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$ 271</w:t>
            </w: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47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223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Other non-casino revenues for the year ended December 31, 2007 included food and beverage revenues of approximately $354 million, retail revenues of approximately $123.4 million, entertainment revenues of approximately $64.5 million, and other revenues from outlets such as the spa and salon, of approximately $57.3 million. Other non-casino revenues for the year ended December 31, 2006 included food and beverage revenues of approximately $309.8 million, retail revenues of approximately $86.9 million, entertainment revenues of approximately $66.3 million, and other revenues from outlets, including the spa and salon, of approximately $52 million. The full year of operations at Wynn Macau during 2007 compared to only 117 days in 2006 was the primary contributor to the increase in the food and beverage, retail and other revenues. Entertainment revenues decreased slightly due to the closure of the Le Réve theater during March 2007 for renovations.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year ended December 31, 2007, departmental expenses included casino expenses of $1,168.1 million, rooms expenses of $83.2 million, food and beverage expenses of $212.6 million, and entertainment, retail and other expenses of $161.1 million. Also included are general and administrative expenses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approximately $310.8 million and approximately $36.1 million charged as a provision for doubtful accounts receivable. During the year ended December 31, 2006, departmental expenses included casino expenses of $439.9 million, room expenses of $73.9 million, food and beverage expenses of $194.4 million, and entertainment, retail and other expenses of $134.5 million. Also included are general and administrative expenses of approximately $231.5 million and approximately $21.2 million charged as a provision for doubtful accounts receivable. The increase in expenses is due primarily to the inclusion of a full year of operations of Wynn Macau, including the 39 percent gross win tax on casino revenue, and increases in Wynn Las Vegas expenses commensurate with the increase in revenues.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Pre-opening costs for the year ended December 31, 2007 of $7.1 million decreased by $55.7 million when compared to the year ended December 31, 2006, primarily due to the opening of Wynn Macau in 2006. Pre-opening costs incurred during the year ended December 31, 2007 related to advertising costs associated with the opening of “Monty Python’s Spamalot” at Wynn Las Vegas as well as costs related to Encore and the expansion of Wynn Macau.</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2007 of $219.9 million increased by $44.5 million when compared to the year ended December 31, 2006, primarily due to a full year of depreciation expense associated with Wynn Macau as well as the placement into service of Wynn Macau’s expansion.</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lives of our property and equipment, intangibles and other assets. When circumstances require a revision to those estimates of useful life, we adjust them accordingly.</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February 2006, we agreed with the producers of Avenue Q to end Avenue Q’s exclusive Las Vegas run at Wynn Las Vegas’ Broadway Theater at the end of May 2006. To terminate the contract, we paid a termination fee of $5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In response to our evaluation of the completed Wynn Las Vegas and Wynn Macau properties and the reactions of our guests, we have made and continue to make enhancements and refinements to our properties. Costs relating to assets retired or abandoned as a result of these enhancements and remodel efforts for the year ended December 31, 2007 of $70.2 million have been expensed as property charges. Property charges and other for the year ended December 31, 2007 included the following charges at Wynn Macau: (a) a $10 million charge for the abandonment of our parking garage to make way for Encore at Wynn Macau,</w:t>
      </w:r>
    </w:p>
    <w:p>
      <w:pPr>
        <w:spacing w:after="0" w:line="3"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$10.2 million charge related to abandonment costs for portions of the main kitchen, warehouse and restaurants to enable the main casino to be connected</w:t>
      </w:r>
    </w:p>
    <w:p>
      <w:pPr>
        <w:spacing w:after="0" w:line="32" w:lineRule="exact"/>
        <w:rPr>
          <w:rFonts w:ascii="Arial" w:cs="Arial" w:eastAsia="Arial" w:hAnsi="Arial"/>
          <w:sz w:val="16"/>
          <w:szCs w:val="16"/>
          <w:color w:val="auto"/>
        </w:rPr>
      </w:pPr>
    </w:p>
    <w:p>
      <w:pPr>
        <w:jc w:val="both"/>
        <w:ind w:right="20"/>
        <w:spacing w:after="0" w:line="255" w:lineRule="auto"/>
        <w:rPr>
          <w:rFonts w:ascii="Arial" w:cs="Arial" w:eastAsia="Arial" w:hAnsi="Arial"/>
          <w:sz w:val="16"/>
          <w:szCs w:val="16"/>
          <w:color w:val="auto"/>
        </w:rPr>
      </w:pPr>
      <w:r>
        <w:rPr>
          <w:rFonts w:ascii="Arial" w:cs="Arial" w:eastAsia="Arial" w:hAnsi="Arial"/>
          <w:sz w:val="18"/>
          <w:szCs w:val="18"/>
          <w:color w:val="auto"/>
        </w:rPr>
        <w:t>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retail outlets and a nightclub at Wynn Las Vegas, as well as the remodeling of certain areas at Wynn Macau. Offsetting these charges for the year ended December 31, 2007 is a gain of $9.4 million on the sale of a company aircraft.</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During the year ended December 31, 2006, we remodeled the six North Fairway Villas, several areas of the retail promenade, a portion of the baccarat area to feature a casino bar, improved public baccarat space and private baccarat salons and converted the Keno lounge to a retail outlet for womens’ accessories at Wynn Las Vegas. In December 2006, Wynn Macau donated an early Ming dynasty vase to the Macau Museum. We purchased the vase in May 2006 for approximately $10.1 million. The vase had been on public display at Wynn Macau prior to its donation to the museum. The $10.1 million expense for the donation of the Ming Vase is included in Property charges and other for the year ended December 31, 2006.</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income increased by $0.2 million to $47.3 million for the year ended December 31, 2007 compared to the year ended December 31, 2006.</w:t>
      </w:r>
    </w:p>
    <w:p>
      <w:pPr>
        <w:spacing w:after="0" w:line="19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Interest expense was $143.8 million, net of capitalized interest of $44.6 million, for the year ended December 31, 2007 compared to $148 million, net of capitalized interest of $29.5 million, for the year ended December 31, 2006. Total interest cost increased approximately $10.7 million due to our $1 billion Wynn Resorts term loan facility, approximately $4.4 million related to the additional $400 million Wynn Las Vegas first mortgage notes issued in November 2007 and approximately $2.0 million related to borrowings under our existing credit facilities and other debt. These increases were offset by approximately $6.2 million less interest due to the conversion of the Debentures in July 2007, as well as an increase of $15.1 million in capitalized interest related to our construction activities.</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an expense of approximately $6 million for the year ended December 31, 2007 resulting from the decrease in the fair value of our interest rate swaps from December 31, 2006 to December 31, 2007. During the year ended December 31, 2006 we recorded a gain of $1.2 million resulting from the increase in the fair value of interest rate swaps between December 31, 2005 and December 31, 2006. For further information on our interest rate swaps, see Item 7A “Quantitative and Qualitative Disclosures about Market Risk”.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Gain on sale of subconcession right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March 4, 2006, we entered into an agreement with Publishing &amp; Broadcasting, Ltd. (PBL) pursuant to which we agreed to sell to PBL for $900 million, the right to negotiate with the government of Macau for a subconcession to allow PBL to operate casinos in Macau.</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8, 2006, the government of Macau approved the subconcession and on September 11, 2006, PBL paid $900 million in cash to Wynn Macau, S.A. for the subconcession right. As a result of the sale and the subconcession awarded to PBL by the government of Macau, we have no continuing rights or obligations with respect to the subconcession. All rights and obligations under the subconcession are between PBL and the government of Macau. The proceeds from this sale, net of related costs, are recorded as gain on sale of subconcession right, net in our Consolidated Statement of Income for the year ended December 31, 2006.</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effective tax rate of 21.1% was lower than the U.S. Federal rate of 35% primarily due to the portion of Macau earnings that we consider permanently invested abroad, the lower tax rates applicable to our foreign income, and the tax holiday applicable to the earnings of Wynn Macau S.A. as described below.</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Effective December 31, 2006, Wynn Macau, S.A. received a 5-year exemption from Macau’s 12% Complementary Tax on casino gaming profits. Accordingly, for the years ended December 31, 2007 and 2006, we were exempted from the payment of approximately $26.4 million and $4.7 million, respectively, in such taxes. Our non-gaming profits remain subject to the Macau Complementary Tax and our casino winnings remain subject to the Macau Special Gaming tax and other levies in accordance with its concession agreement.</w:t>
      </w:r>
    </w:p>
    <w:p>
      <w:pPr>
        <w:spacing w:after="0" w:line="218"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cash provided from operations for the year ended December 31, 2008 was $523.2 million compared to $659.2 million provided by operations for the year ended December 31,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require a certain amount of cash on hand for operations. At December 31, 2008, we had approximately $1.1 billion of cash and cash equivalents available for operations, debt service and retirement, development activities, general corporate purposes, enhancements to our properties, funding the remaining construction and retention payables related to Encore at Wynn Las Vegas (approximately $202 million) and to support the development and construction costs of Encore at Wynn Macau. Approximately $662.3 million of our cash balance is held by Wynn Resorts, Limited, which is not a guarantor of the debt of its subsidiaries, including Wynn Las Vegas, LLC and Wynn Macau, S.A. In addition, as of December 31, 2008, we had availability under our Wynn Macau Senior Revolving Credit Facility of $500 million. On February 4, 2009, we borrowed this remaining availability of $500 million under the Wynn Macau Senior Revolving Credit Facility and increased our cash balances accordingly. Except for scheduled quarterly payments on two notes payable, we have no outstanding debt maturities until June 2010. We believe that cash flow from operations and our existing cash balances will be adequate to satisfy our anticipated uses of capital during 2009. However, due to the negative business trends discussed herein, our Las Vegas and Wynn Macau cash flows from operations may continue to significantly decrease which may require additional financing. We cannot provide assurance that future borrowings will be available.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include investments in U.S. Treasury Bills and bank time deposits, all with maturities of less than 90 days.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Capital expenditures were approximately $1.3 billion for the year ended December 31, 2008 and related primarily to the construction of Encore at Wynn Las Vegas and Encore at Wynn Macau.</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On April 28, 2006, we commenced construction on Encore at Wynn Las Vegas which opened on December 22, 2008. Total costs of the project did not exceed our project budget of approximately $2.3 billion for Encore at Wynn Las Vegas and related capital improvements. The project has been funded with proceeds from our Wynn Las Vegas Credit Facilities and operating cash flow from Wynn Las Vegas. To the extent additional funds are required to pay the remaining construction and retention payables or other needs, we anticipate that we will fund these amounts by additional equity contributions to Wynn Las Vegas, LLC. Subsequent to December 31, 2008, Wynn Resorts made $100 million of such contributions.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June 2007, we commenced construction on Encore at Wynn Macau, a further expansion of Wynn Macau. Encore at Wynn Macau is a second hotel tower for Wynn Macau situated on top of a new low-rise podium. We expect Encore at Wynn Macau to open in 2010.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Design of the project continues to progress and current construction activities as of February 2009 include the following:</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tower portion of the low-rise podium is under construction and the tower has reached the 41st floor;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Exterior glass installation has reached the 20th floor;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Interior fit-out has commenced;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basement structure has been completed;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central plant (located on the roof of Wynn Macau) is complete.</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July 2007, Wynn Macau S.A. issued a notice to proceed and on November 8, 2007,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total development and construction costs to be approximately $700 million for Encore at Wynn Macau. We anticipate that the project budget will be funded from our cash flow from operations at Wynn Macau and funds drawn on February 4, 2009 from our Wynn Macau Senior Revolving Credit Facilities.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2008, we had incurred approximately $202 million of project costs related to the development and construction of Encore at Wynn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June 6, 2007, our Board of Directors authorized an equity repurchase program of up to $1.2 billion. On July 10, 2008, our Board of Directors authorized an increase of $500 million to the previously announced equity repurchase program bringing the total authorized to $1.7 billion. The repurchase program may include repurchases from time to time through open market purchases, in privately negotiated transactions, and under plans complying with Rules 10b5-1 and 10b-18 under the Exchange Act. During the year ended December 31, 2008, we repurchased 10,915,633 shares at a net cost of $940.1 million. As of December 31, 2008, we had repurchased a total of 12,804,954 shares of our common stock for a net cost of $1.1 billion under the program.</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Restricted cash decreased approximately $500 million during the year ended December 31, 2008, as such cash was used to purchase shares of our stock as discussed above.</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June 21, 2007, we entered into a $1 billion term loan facility (the “Term Loan”). The Term Loan was available to fund (a) our equity repurchase program announced on June 7, 2007 and (b) up to $350 million for general corporate purposes. All amounts under this facility were borrowed as of December 31, 2007 and no additional amounts are available. On November 26, 2008, we purchased $625 million of the loans at a discounted price of 95.375%, resulting in the retirement of $625 million of principal at a cost of $596.1 million. The remaining $375 million will mature and be payable on June 21, 2010.</w:t>
      </w:r>
    </w:p>
    <w:p>
      <w:pPr>
        <w:spacing w:after="0" w:line="11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5"/>
          <w:szCs w:val="15"/>
          <w:color w:val="auto"/>
        </w:rPr>
        <w:t>At our election, the Term Loan accrues interest at either LIBOR or a Base Rate, plus a borrowing margin as described below. Interest on LIBOR 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w:t>
      </w:r>
    </w:p>
    <w:p>
      <w:pPr>
        <w:spacing w:after="0" w:line="1" w:lineRule="exact"/>
        <w:rPr>
          <w:sz w:val="20"/>
          <w:szCs w:val="20"/>
          <w:color w:val="auto"/>
        </w:rPr>
      </w:pPr>
    </w:p>
    <w:p>
      <w:pPr>
        <w:ind w:right="400" w:firstLine="8"/>
        <w:spacing w:after="0" w:line="306" w:lineRule="auto"/>
        <w:tabs>
          <w:tab w:leader="none" w:pos="258" w:val="left"/>
        </w:tabs>
        <w:numPr>
          <w:ilvl w:val="0"/>
          <w:numId w:val="32"/>
        </w:numPr>
        <w:rPr>
          <w:rFonts w:ascii="Arial" w:cs="Arial" w:eastAsia="Arial" w:hAnsi="Arial"/>
          <w:sz w:val="15"/>
          <w:szCs w:val="15"/>
          <w:color w:val="auto"/>
        </w:rPr>
      </w:pPr>
      <w:r>
        <w:rPr>
          <w:rFonts w:ascii="Arial" w:cs="Arial" w:eastAsia="Arial" w:hAnsi="Arial"/>
          <w:sz w:val="15"/>
          <w:szCs w:val="15"/>
          <w:color w:val="auto"/>
        </w:rPr>
        <w:t xml:space="preserve">the Federal Funds Rate plus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of 1% per annum; plus (b) a borrowing margin as described below. Interest on Base Rate loans are payable quarterly in arrears. The borrowing margin is 2.25% for LIBOR loans and 1% for Base Rate loans, if our net liquidity is equal to or greater than $400 million and 2.50%</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LIBOR loans and 1.25% for Base Rate loans, if our net liquidity is less than $400 million. For borrowings under the Term Loan, we have historically elected interest at LIBOR plus a margin of 2.25% on the outstanding balance.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On November 18, 2008, we completed a secondary common stock offering of 8 million shares resulting in net proceeds of $344.3 million. These funds were included in our cash and cash equivalents as of December 31,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 at 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2008, our Wynn Las Vegas credit facilities consist of a $900 million revolving credit facility (the “Wynn Las Vegas Revolver”)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$225 million term loan facility (the “Wynn Las Vegas Term Loan”) (together, the “Wynn Las Vegas Credit Facilities”). For borrowings under the Wynn Las Vegas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we have historically elected Eurodollar loans which bear interest at the 1-month LIBOR and include a margin of 1.875% on that outstanding balance.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had a $200 million notional amount interest rate swap to essentially fix the interest on $200 million of the Wynn Las Vegas Term Loan at the rate of 5.7%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annum that expired in December 2008. (For further information, see Item 7A. “Quantitative and Qualitative Discussions about Market Risk”.)</w:t>
      </w:r>
    </w:p>
    <w:p>
      <w:pPr>
        <w:spacing w:after="0" w:line="165"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During the year ended December 31, 2008, we borrowed $879.5 million under the Wynn Las Vegas Revolver. We also have $20.1 million of outstanding letters of credit that reduce our availability under the Wynn Las Vegas Revolver. Consequently, as of December 31, 2008, approximately $0.4 million remained available under the Wynn Las Vegas Revolver for future borrowings. For borrowings under the Wynn Las Vegas Revolver, we have historically elected Eurodollar loans, which bear interest at the 1-month LIBOR and currently include a margin of 1.625% on the outstanding balance. Beginning June 30, 2009, the margin will fluctuate between a range of 1 to 1.75%, depending on our leverage ratio. In addition to interest, we also pay quarterly in arrears, an annual rate of</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0.375% on the daily average of unborrowed availability. Beginning June 30, 2009, the annual fee that we will be required to pay for unborrowed availability is based on our leverage ratio and will range from an annual rate of 0.25% to 0.50%.</w:t>
      </w:r>
    </w:p>
    <w:p>
      <w:pPr>
        <w:spacing w:after="0" w:line="13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$900 million Wynn Las Vegas Revolver will terminate and be payable in full on August 15, 2011. The Wynn Las Vegas Term Loan will mature in two installments: $112.5 million will be payable on September 30, 2012 and the remaining $112.5 million will be payable on August 15, 2013.</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September 17, 2008, Wynn Las Vegas entered into a third amendment to its Amended and Restated Credit Agreement dated as of August 15, 2006, as amended April 9, 2007 and as further amended October 31, 2007. This amendment, among other things, provides Wynn Las Vegas with additional flexibility with respect to its financial covenants and related financial calculations.</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Wynn Las Vegas Credit Facilities contain customary covenants restricting our activities including, but not limited to: the ability to sell assets, make capital expenditures, enter into capital leases, make loans or other investments and incur additional indebtedness. In addition, we were required by the financial covenants to maintain a Consolidated Leverage Ratio, as defined, not greater than 5.00 to 1 as of December 31, 2008, and Consolidated Interest Coverage Ratio, as defined, not less than 1.40 to 1. Management believes that we were in compliance with all covenants at December 31, 2008. The Consolidated Leverage Ratio is 5.00 to 1, 8.25 to 1, 7.75 to 1 and 7.50 to 1 for each of the reporting periods ending March 31, 2009, June 30, 2009, September 30,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2009 and December 31, 2009, respectively. The Consolidated Interest Coverage Ratio is 1.35 to 1 for the reporting period ending March 31, 2008, and then increases to 1.75 to 1 for the reporting periods ending June 30, 2009 and September 30, 2009, and 2.00 to 1 for the reporting period ending December 31, 2009.</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and Encore at Wynn Macau</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June 27, 2007, Wynn Resorts (Macau) S.A., amended its credit facility, dated September 14, 2005 (“Amended Common Terms Agreement”), and entered into other related amendments and agreements with a syndicate of lenders. The Amended Common Terms Agreement and related agreements took effect on June 29, 2007 and expanded availability under Wynn Macau, S.A.’s existing senior bank facility from $764 million to $1.550 billion, in a combination of Hong Kong and U.S. dollars, including a $550 million equivalent fully-funded senior term loan facility (the “Wynn Macau Term Loan”), and a $1 billion senior revolving credit facility (the “Wynn Macau Revolver”) (together the “Wynn Macau Credit Facilities”). Wynn Macau, S.A. also has the ability to increase the total facilities by an additional $50 million pursuant to the terms and provisions of the Amended Common Terms Agreement.</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During the year ended December 31, 2008, we borrowed approximately $500 million under the Wynn Macau Revolver which left remaining availability of $500 million. We borrowed this remaining availability of $500 million on February 4, 2009, which was added to our cash balances.</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term loans is required to be repaid in quarterly installments, commencing in September 2011. Borrowings under the Wynn Macau Credit Facilities bear interest at LIBOR or HIBOR plus a margin of 1.75%.</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Wynn Macau Credit Facilities contain customary covenants restricting our activities including, but not limited to: the incurrence of additional indebtedness, the incurrence or creation of liens on any of its property, sales and leaseback transactions, the ability to dispose of assets, and make loans or other investments. In addition, we were required by the financial covenants to maintain a Leverage Ratio, as defined, not greater than 4.75 to 1 as of December 31, 2008, and Interest Coverage Ratio, as defined, not less than 2.00 to 1. Management believes that we were in compliance with all covenants at December 31, 2008. The Leverage Ratio increases to not greater than 5.00 to 1 for all reporting periods in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2008, we had outstanding letters of credit totaling $20.1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2008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w w:val="85"/>
              </w:rPr>
              <w:t>Payments Due By Period</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Less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Than 1</w:t>
            </w:r>
          </w:p>
        </w:tc>
        <w:tc>
          <w:tcPr>
            <w:tcW w:w="34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 to 3</w:t>
            </w:r>
          </w:p>
        </w:tc>
        <w:tc>
          <w:tcPr>
            <w:tcW w:w="300" w:type="dxa"/>
            <w:vAlign w:val="bottom"/>
          </w:tcPr>
          <w:p>
            <w:pPr>
              <w:spacing w:after="0"/>
              <w:rPr>
                <w:sz w:val="12"/>
                <w:szCs w:val="12"/>
                <w:color w:val="auto"/>
              </w:rPr>
            </w:pPr>
          </w:p>
        </w:tc>
        <w:tc>
          <w:tcPr>
            <w:tcW w:w="10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4 to 5</w:t>
            </w:r>
          </w:p>
        </w:tc>
        <w:tc>
          <w:tcPr>
            <w:tcW w:w="680" w:type="dxa"/>
            <w:vAlign w:val="bottom"/>
          </w:tcPr>
          <w:p>
            <w:pPr>
              <w:jc w:val="right"/>
              <w:ind w:right="56"/>
              <w:spacing w:after="0" w:line="149" w:lineRule="exact"/>
              <w:rPr>
                <w:sz w:val="20"/>
                <w:szCs w:val="20"/>
                <w:color w:val="auto"/>
              </w:rPr>
            </w:pPr>
            <w:r>
              <w:rPr>
                <w:rFonts w:ascii="Arial" w:cs="Arial" w:eastAsia="Arial" w:hAnsi="Arial"/>
                <w:sz w:val="14"/>
                <w:szCs w:val="14"/>
                <w:b w:val="1"/>
                <w:bCs w:val="1"/>
                <w:color w:val="auto"/>
              </w:rPr>
              <w:t>After 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w:t>
            </w:r>
          </w:p>
        </w:tc>
        <w:tc>
          <w:tcPr>
            <w:tcW w:w="340" w:type="dxa"/>
            <w:vAlign w:val="bottom"/>
          </w:tcPr>
          <w:p>
            <w:pPr>
              <w:spacing w:after="0"/>
              <w:rPr>
                <w:sz w:val="14"/>
                <w:szCs w:val="14"/>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$ 1,336.0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$ 1,042.9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$ 1,921.1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112.6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225.3</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225.3</w:t>
            </w:r>
          </w:p>
        </w:tc>
        <w:tc>
          <w:tcPr>
            <w:tcW w:w="680" w:type="dxa"/>
            <w:vAlign w:val="bottom"/>
          </w:tcPr>
          <w:p>
            <w:pPr>
              <w:jc w:val="right"/>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 [2]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118.7</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243.2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44.4</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47.8</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10.1</w:t>
            </w:r>
          </w:p>
        </w:tc>
        <w:tc>
          <w:tcPr>
            <w:tcW w:w="68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commitments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592.1</w:t>
            </w:r>
          </w:p>
        </w:tc>
        <w:tc>
          <w:tcPr>
            <w:tcW w:w="3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5"/>
              </w:rPr>
              <w:t>$ 1,822.4</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$ 1,353.8</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$ 2,192.1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5,960.4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4, 2009 we borrowed the remaining availability of $500 million under the Wynn Macau Revolver. The Wynn Macau Revolver matures in June 2012.</w:t>
      </w:r>
    </w:p>
    <w:p>
      <w:pPr>
        <w:spacing w:after="0" w:line="37" w:lineRule="exact"/>
        <w:rPr>
          <w:rFonts w:ascii="Arial" w:cs="Arial" w:eastAsia="Arial" w:hAnsi="Arial"/>
          <w:sz w:val="18"/>
          <w:szCs w:val="18"/>
          <w:color w:val="auto"/>
        </w:rPr>
      </w:pPr>
    </w:p>
    <w:p>
      <w:pPr>
        <w:ind w:left="460" w:right="20" w:hanging="452"/>
        <w:spacing w:after="0" w:line="347" w:lineRule="auto"/>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Amounts for all periods represent our estimated future interest payments on our debt facilities based upon amounts outstanding and LIBOR or HIBOR rates at December 31, 2008. Such rates are at historical lows as of December 31, 2008 and have been very volatile in recent months. Actual rates will vary.</w:t>
      </w:r>
    </w:p>
    <w:p>
      <w:pPr>
        <w:ind w:left="460" w:hanging="452"/>
        <w:spacing w:after="0" w:line="298"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includes open purchase orders, commitments for aircraft purchases, land concession and fixed gaming tax payments in Macau and other contracts. As further discussed in Item 8 “Financial Statements”, Note 17 “Income Taxes”, of this report, we adopted the provisions of FIN 48, on January 1, 2007. We had $120.8 million of unrecognized tax benefits as of December 31, 2008. Due to the inherent uncertainty of the underlying tax positions, it is not practicable to assign this liability to any particular year and therefore it is not included in the table above as of December 31, 2008.</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Liquidity Matters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subsidiaries’ debt instruments significantly restrict the ability to pay dividends.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credit facilities of Wynn Las Vegas, LLC and Wynn Macau, S.A. contain similar restrictions; although the Wynn Macau, S.A. loan agreements permit distribution of the net proceeds of the subconcession sale and, provided certain conditions are met, earnings and loan proceeds. Further, the $1 billion Term Loan places various restrictions on the ability to pay dividends.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to the extent additional funds are required, with additional contributions from Wynn Resorts or additional indebtedness to be incurred by Wynn Las Vegas, LLC. We cannot assure you that Wynn Las Vegas, LLC will generate sufficient cash flow from operations or that future contributions from Wynn Resorts or the availability of additional indebtedness will be sufficient to enable us to service and repay Wynn Las Vegas, LLC’s indebtedness or to fund its other liquidity needs. We expect that Wynn Macau will fund Wynn Macau, S.A.’s debt service obligations with existing cash and operating cash flow. However, we cannot assure you that such operating cash flows and existing cash will be sufficient to do so. We may seek to refinance all or a portion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our indebtedness on or before maturity. Continued volatility in the capital markets may affect our ability to refinance debt or access those markets for additional borrowings or may increase costs associated with borrowing funds. We cannot assure you that we will be able to refinance any of the indebtedness on acceptable terms or at all.</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and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Credit Rating</w:t>
      </w:r>
    </w:p>
    <w:p>
      <w:pPr>
        <w:spacing w:after="0" w:line="9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As of February 26, 2009, the Company had a rating of “BB” with a “negative” outlook by Standard &amp; Poors and a rating of “Ba3” with a “negative” outlook by Moody’s Investors Service. For future borrowings, any decrease in our corporate rating could result in an increase in borrowing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 Start-up costs relating to Encore at Wynn Macau will be charged to pre-opening costs until it is completed and opened.</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began recognizing depreciation expense on the resort’s fixed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leasehold interest in land in Macau under the land concession contract entered into in June 2004 is being amortized over 25 years, to the initial term of the concession contract, which currently terminates in June 2029. Depreciation on a majority of the assets comprising Wynn Macau commenced in September of 2006, when Wynn Macau opened. The maximum useful life of assets at Wynn Macau is deemed to be the remaining life of the gaming concession, which currently expires in June 2022. Consequently, depreciation related to Wynn Macau will generally be charged over shorter periods when compared to Wynn Las Vegas.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SFAS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While offered, the issuance of credit at Wynn Macau is less significant when compared to Wynn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December 31, 2008 and December 31, 2007, approximately 78% and 65% of our casino accounts receivable were owed by customers from foreign countries, primarily in Asia. In addition to enforceability issues, the collectibility of markers given by foreign customers is affected by a number of factors including changes in currency exchange rates and economic conditions in the customers’ home countries.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74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200,115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216,166</w:t>
            </w:r>
          </w:p>
        </w:tc>
        <w:tc>
          <w:tcPr>
            <w:tcW w:w="1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101,880</w:t>
            </w:r>
          </w:p>
        </w:tc>
        <w:tc>
          <w:tcPr>
            <w:tcW w:w="48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65,647</w:t>
            </w:r>
          </w:p>
        </w:tc>
        <w:tc>
          <w:tcPr>
            <w:tcW w:w="1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19.0%</w:t>
            </w:r>
          </w:p>
        </w:tc>
      </w:tr>
    </w:tbl>
    <w:p>
      <w:pPr>
        <w:spacing w:after="0" w:line="14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increase in the allowance for doubtful accounts as a percentage of casino accounts receivable is due to a change in our reserve estimates effective September 2008, as a result of the current global economic uncertainty. Our reserve for doubtful casino accounts receivable is based on our estimates of amounts collectible and depends on the risk assessments and judgments by our employees regarding realizability, the state of the economy and our credit policy. Our reserve methodology is applied similarly to credit extended at Wynn Las Vegas, Encore at Wynn Las Vegas and Wynn Macau. As of December 31, 2008 and December 31, 2007, approximately 29% and 25% respectively, of our outstanding casino account receivable balance originated at Wynn Macau.</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in a region’s economy or legal system.</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SFAS No. 133, “Accounting for Derivative Instruments and Hedging Activities,” as amended. Derivative financial instruments are recognized as assets or liabilities, with changes in fair value affecting net income or comprehensive income, as applicable. As of December 31, 2008, changes in the swap fair values are being recorded in our Consolidated Statements of Income, as the swaps do not qualify for hedge accounting.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March 2005, the SEC issued Staff Accounting Bulletin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it believes necessary.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subject to income taxes in the United States and other foreign jurisdictions where we operate. We account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SFAS No.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our limited operating history, we previously fully reserved these net deferred tax assets. On September 11, 2006, we recorded a gain of $899.4 million on the sale of the subconcession right. Accordingly we determined that a substantial portion of our net deferred tax assets had become more likely than not realizable as defined by SFAS No. 109.</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income tax returns are subject to examination by the Internal Revenue Service (“IRS”) and other tax authorities in the locations where we operate. We assess potentially unfavorable outcomes of such examinations based on the criteria of Financial Accounting Standards Board (“FASB”) Interpretation No. 48 (“FIN 48”) “Accounting for Uncertainty in Income Taxes” which we adopted on January 1, 2007. The Interpretation prescribes a minimum recognition threshold a tax position is required to meet before being recognized in the financial statements. As a result of the adoption of FIN 48, our income tax recognition policy related to uncertain income tax positions is no longer covered by SFAS No. 5.</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FIN 48 applies to all tax positions related to income taxes subject to SFAS No. 109. FIN 48 utilizes a two-step approach for evaluating tax positions. Recognition (Step I) occurs when we conclude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tax positions failing to qualify for initial recognition are to be recognized in the first subsequent interim period that they meet the “more likely than not” standard. If it is subsequently determined that a previously recognized tax position no longer meets the “more likely than not” standard, the tax position must be derecognized. FIN 48 specifically prohibits the use of a valuation allowance as a substitute for derecognition of tax positions. As applicable, we will recognize accrued penalties and interest related to unrecognized tax benefits in the provision for income taxes. During the years ended December 31, 2008, 2007 and 2006, we recognized no amounts for interest or penalties.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Effective September 6, 2006, we received a 5-year exemption from Macau’s 12% Complementary Tax on casino gaming profits. Accordingly, during 2008 we were exempted from the payment of approximately $27.7</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million in such taxes. Wynn Macau’s non-gaming profits remain subject to the Macau Complementary Tax and Wynn Macau’s casino winnings remain subject to the Macau Special Gaming tax and other levies in accordance with its concession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We partially adopted the provisions of SFAS 157 effective January 1, 2008 and expect to adopt the remaining provisions of SFAS 157 on January 1, 2009. The partial adoption of this statement did not have a material impact on our consolidated financial statements.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SFAS No. 159 on January 1, 2008, did not have a material impact on our consolidated financial statements.</w:t>
      </w:r>
    </w:p>
    <w:p>
      <w:pPr>
        <w:spacing w:after="0" w:line="11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our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our financial position, results of operations or cash flows.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our financial position, results of operations or cash flows.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 in a manner that reflects the issuer’s nonconvertible debt borrowing rate. The FSP is effective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 We are currently evaluating the impact that the adoption of the FSP will have on its consolidated financial statements.</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earnings per share (“EPS”) under the two-class method described in paragraphs 60 and 61 of 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We are currently evaluating the impact of this FSP, but do not expect it to have a material impact on our consolidated results of operations or financial position.</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w:t>
      </w:r>
      <w:r>
        <w:rPr>
          <w:rFonts w:ascii="Arial" w:cs="Arial" w:eastAsia="Arial" w:hAnsi="Arial"/>
          <w:sz w:val="18"/>
          <w:szCs w:val="18"/>
          <w:i w:val="1"/>
          <w:iCs w:val="1"/>
          <w:color w:val="auto"/>
        </w:rPr>
        <w:t>s</w:t>
      </w:r>
      <w:r>
        <w:rPr>
          <w:rFonts w:ascii="Arial" w:cs="Arial" w:eastAsia="Arial" w:hAnsi="Arial"/>
          <w:sz w:val="18"/>
          <w:szCs w:val="18"/>
          <w:color w:val="auto"/>
        </w:rPr>
        <w:t xml:space="preserve">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 – Liquidity and Capital Resources – Financing Activities.”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2008 of our expected long-term indebtedness. However, we cannot predict the LIBOR or HIBOR rates that will be in effect in the future. As of December 31, 2008, such rates were at historic lows and have been very volatile in recent months. Actual rates will vary. The one-month LIBOR and HIBOR rates at December 31, 2008 of 0.436% and 0.299%, respectively were used for all variable rate calculations in the table below. The information is presented in U.S. dollar equivalents.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90"/>
              </w:rPr>
              <w:t>As of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Thereafter</w:t>
            </w:r>
          </w:p>
        </w:tc>
        <w:tc>
          <w:tcPr>
            <w:tcW w:w="62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debt:</w:t>
            </w:r>
          </w:p>
        </w:tc>
        <w:tc>
          <w:tcPr>
            <w:tcW w:w="1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Fixed rate</w:t>
            </w:r>
          </w:p>
        </w:tc>
        <w:tc>
          <w:tcPr>
            <w:tcW w:w="178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1,700.0</w:t>
            </w: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$1,700.0</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7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Variable rate</w:t>
            </w:r>
          </w:p>
        </w:tc>
        <w:tc>
          <w:tcPr>
            <w:tcW w:w="2580" w:type="dxa"/>
            <w:vAlign w:val="bottom"/>
            <w:gridSpan w:val="3"/>
          </w:tcPr>
          <w:p>
            <w:pPr>
              <w:jc w:val="right"/>
              <w:ind w:right="440"/>
              <w:spacing w:after="0"/>
              <w:rPr>
                <w:sz w:val="20"/>
                <w:szCs w:val="20"/>
                <w:color w:val="auto"/>
              </w:rPr>
            </w:pPr>
            <w:r>
              <w:rPr>
                <w:rFonts w:ascii="Arial" w:cs="Arial" w:eastAsia="Arial" w:hAnsi="Arial"/>
                <w:sz w:val="18"/>
                <w:szCs w:val="18"/>
                <w:color w:val="auto"/>
              </w:rPr>
              <w:t>$ 2.7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$378.6</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$957.4</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$785.3</w:t>
            </w:r>
          </w:p>
        </w:tc>
        <w:tc>
          <w:tcPr>
            <w:tcW w:w="36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rPr>
              <w:t>$257.7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221.0</w:t>
            </w:r>
          </w:p>
        </w:tc>
        <w:tc>
          <w:tcPr>
            <w:tcW w:w="4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$2,602.7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2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February 1, 2008, we entered into an interest rate swap to hedge the underlying interest rate risk on all of the borrowings under the $1 billion Term Loan, which bears interest at LIBOR plus 2.25%. Pursuant to the terms of this interest rate swap, we paid a fixed rate of 2.836% on the $1 billion notional amount and received payments based on LIBOR. This swap fixed the interest rate at approximately 5.09%. On December 8, 2008, we modified the terms of this swap so that the current notional amount is $375 million, which matches the current debt outstanding. Pursuant to the amendment, we now pay a fixed rate of 3.95% which fixes the interest rate at approximately 6.2%. Changes in the fair value of this interest rate swap have and will continue to be recorded as an increase/decrease in swap fair value in our Consolidated Statements of Income as the swap does not qualify for hedge accounting. This swap matures in June 2010.</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December 31, 2008, our interest rate swap at Wynn Las Vegas matured. This interest rate swap arrangement was intended to hedge the underlying interest rate risk on a total of $200 million of borrowings under the Wynn Las Vegas Term Loan, which bears interest at LIBOR plus 1.875%. Under this interest rate swap</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arrangement, we received payments at a variable rate of LIBOR and paid a fixed rate of 3.793% on the $200 million notional amount. Although this interest rate swap was highly effective economically in fixing the interest rate on borrowings under the Wynn Las Vegas Term Loan at approximately 5.7%, changes in the fair value of our interest rate swap for each reporting period was recorded as an increase/decrease in swap fair value in our Consolidated Statements of Income, as the swap did not qualify for hedge accounting.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December 31, 2008, we had two interest rate swaps intended to hedge a portion of the underlying interest rate risk on borrowings under the Wynn Macau Term Loan. Under the first swap agreement, we pay a fixed interest rate of 3.632% on U.S. dollar borrowings of $153.8 million incurred under the Wynn Macau Term Loan in exchange for receipts on the same amounts at a variable interest rate based on the applicable LIBOR at the time of payment. Under the second swap agreement, we pay a fixed interest rate of 3.39% on Hong Kong dollar borrowings of approximately HK $991.6 million (approximately U.S. $127.9 million) incurred under the Wynn Macau Term Loan in exchange for receipts on the same amounts at a variable interest rate based on the applicable HIBOR at the time of payment. The term of both swap agreements is from August 2008 through August 2011.</w:t>
      </w:r>
    </w:p>
    <w:p>
      <w:pPr>
        <w:spacing w:after="0" w:line="12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These interest rate swaps fix the interest rates on the current U.S. dollar and Hong Kong dollar borrowings under the Wynn Macau Term Loan at approximately 5.382% and 5.14%, respectively. However, changes in the fair values of these interest rate swaps for each reporting period recorded are, and will continue to be, recognized as an increase/decrease in swap fair value in our Consolidated Statements of Income, as the swaps do not qualify for hedge accounting.</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as of December 31, 2008 and 2007, of our interest rate swap arrangements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Net Total Interest</w:t>
            </w:r>
          </w:p>
        </w:tc>
      </w:tr>
      <w:tr>
        <w:trPr>
          <w:trHeight w:val="161"/>
        </w:trPr>
        <w:tc>
          <w:tcPr>
            <w:tcW w:w="5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Wynn Resorts</w:t>
            </w:r>
          </w:p>
        </w:tc>
        <w:tc>
          <w:tcPr>
            <w:tcW w:w="34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84"/>
              </w:rPr>
              <w:t>Wynn Las Vegas</w:t>
            </w:r>
          </w:p>
        </w:tc>
        <w:tc>
          <w:tcPr>
            <w:tcW w:w="66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Rate Swaps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Asset / (liability) fair value at: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December 31, 2008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(15,334)</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(12,539)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(27,873)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416</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(2,679)</w:t>
            </w: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2008 and using estimated future LIBOR and HIBOR rates based upon implied forward rates in the yield curve. The information is presented in U.S. dollar equivalents, which is the Company’s reporting currency: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7"/>
          </w:tcPr>
          <w:p>
            <w:pPr>
              <w:ind w:left="220"/>
              <w:spacing w:after="0"/>
              <w:rPr>
                <w:sz w:val="20"/>
                <w:szCs w:val="20"/>
                <w:color w:val="auto"/>
              </w:rPr>
            </w:pPr>
            <w:r>
              <w:rPr>
                <w:rFonts w:ascii="Arial" w:cs="Arial" w:eastAsia="Arial" w:hAnsi="Arial"/>
                <w:sz w:val="14"/>
                <w:szCs w:val="14"/>
                <w:b w:val="1"/>
                <w:bCs w:val="1"/>
                <w:color w:val="auto"/>
                <w:w w:val="85"/>
              </w:rPr>
              <w:t>Years Ending December 31,</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Expected Maturity Date</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Thereafter</w:t>
            </w:r>
          </w:p>
        </w:tc>
        <w:tc>
          <w:tcPr>
            <w:tcW w:w="22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line="142" w:lineRule="exact"/>
              <w:rPr>
                <w:sz w:val="20"/>
                <w:szCs w:val="20"/>
                <w:color w:val="auto"/>
              </w:rPr>
            </w:pPr>
            <w:r>
              <w:rPr>
                <w:rFonts w:ascii="Arial" w:cs="Arial" w:eastAsia="Arial" w:hAnsi="Arial"/>
                <w:sz w:val="14"/>
                <w:szCs w:val="14"/>
                <w:b w:val="1"/>
                <w:bCs w:val="1"/>
                <w:color w:val="auto"/>
              </w:rPr>
              <w:t>(in</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75"/>
              </w:rPr>
              <w:t>millions)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$656.7</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Average pay rate</w:t>
            </w:r>
          </w:p>
        </w:tc>
        <w:tc>
          <w:tcPr>
            <w:tcW w:w="2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3.95%</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w w:val="86"/>
              </w:rPr>
              <w:t>3.52%</w:t>
            </w:r>
          </w:p>
        </w:tc>
        <w:tc>
          <w:tcPr>
            <w:tcW w:w="22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3.77%</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6"/>
              </w:rPr>
              <w:t>1.59%</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363"/>
        </w:trPr>
        <w:tc>
          <w:tcPr>
            <w:tcW w:w="3700" w:type="dxa"/>
            <w:vAlign w:val="bottom"/>
          </w:tcPr>
          <w:p>
            <w:pPr>
              <w:spacing w:after="0"/>
              <w:rPr>
                <w:sz w:val="24"/>
                <w:szCs w:val="24"/>
                <w:color w:val="auto"/>
              </w:rPr>
            </w:pPr>
          </w:p>
        </w:tc>
        <w:tc>
          <w:tcPr>
            <w:tcW w:w="2860" w:type="dxa"/>
            <w:vAlign w:val="bottom"/>
          </w:tcPr>
          <w:p>
            <w:pPr>
              <w:jc w:val="right"/>
              <w:ind w:right="672"/>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2008, approximately 55% of our long-term debt was based on fixed rates, including the notional amounts related to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December 31, 2008, an assumed 1% change in variable rates would cause our annual interest cost to change by $19.5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1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8"/>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3"/>
          </w:tcPr>
          <w:p>
            <w:pPr>
              <w:jc w:val="center"/>
              <w:ind w:right="3200"/>
              <w:spacing w:after="0"/>
              <w:rPr>
                <w:sz w:val="20"/>
                <w:szCs w:val="20"/>
                <w:color w:val="auto"/>
              </w:rPr>
            </w:pPr>
            <w:r>
              <w:rPr>
                <w:rFonts w:ascii="Arial" w:cs="Arial" w:eastAsia="Arial" w:hAnsi="Arial"/>
                <w:sz w:val="18"/>
                <w:szCs w:val="18"/>
                <w:b w:val="1"/>
                <w:bCs w:val="1"/>
                <w:i w:val="1"/>
                <w:iCs w:val="1"/>
                <w:color w:val="auto"/>
                <w:w w:val="95"/>
              </w:rPr>
              <w:t>INDEX TO CONSOLIDATED 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140" w:type="dxa"/>
            <w:vAlign w:val="bottom"/>
            <w:gridSpan w:val="9"/>
            <w:vMerge w:val="restart"/>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 on Internal Controls over Financial Reporting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9"/>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80" w:type="dxa"/>
            <w:vAlign w:val="bottom"/>
            <w:tcBorders>
              <w:top w:val="single" w:sz="8" w:color="0000EE"/>
            </w:tcBorders>
            <w:gridSpan w:val="8"/>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Report of Independent Registered Public Accounting Firm on the Consolidated Financial Statements</w:t>
              </w:r>
            </w:hyperlink>
          </w:p>
        </w:tc>
        <w:tc>
          <w:tcPr>
            <w:tcW w:w="37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70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w:t>
              </w:r>
            </w:hyperlink>
          </w:p>
        </w:tc>
        <w:tc>
          <w:tcPr>
            <w:tcW w:w="406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Income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Statements of Stockholders’ Equity</w:t>
              </w:r>
            </w:hyperlink>
          </w:p>
        </w:tc>
        <w:tc>
          <w:tcPr>
            <w:tcW w:w="766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140" w:type="dxa"/>
            <w:vAlign w:val="bottom"/>
            <w:gridSpan w:val="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9"/>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Notes to Consolidated Financial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4000" w:type="dxa"/>
            <w:vAlign w:val="bottom"/>
            <w:gridSpan w:val="2"/>
          </w:tcPr>
          <w:p>
            <w:pPr>
              <w:jc w:val="right"/>
              <w:ind w:right="1192"/>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3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Wynn Resorts, Limited:</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Wynn Resorts, Limited and subsidiaries’ (the “Company”) internal control over financial reporting as of December 31, 2008, based on criteria established in Internal Control—Integrated Framework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2008, based on the COSO criteria.</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the Company as of December 31, 2008 and 2007, and the related consolidated statements of income, stockholders’ equity, and cash flows for each of the three years in the period ended December 31, 2008 and our report dated February 27, 2009 expressed an unqualified opinion thereon.</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39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Wynn Resorts, Limited:</w:t>
      </w:r>
    </w:p>
    <w:p>
      <w:pPr>
        <w:spacing w:after="0" w:line="2"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Resorts, Limited and subsidiaries (the “Company”) as of December 31, 2008 and 2007, and the related consolidated statements of income, stockholders’ equity, and cash flows for each of the three years in the period ended December 31, 2008.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2008 and 2007, and the consolidated results of their income and their cash flows for each of the three years in the period ended December 31, 2008, in conformity with U.S. generally accepted accounting principles. Also, in our opinion, the related financial statement schedules, when considered in relation to the basic financial statements taken as a whole, present fairly in all material respects the information set forth therein.</w:t>
      </w:r>
    </w:p>
    <w:p>
      <w:pPr>
        <w:spacing w:after="0" w:line="11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income taxes in accordance with FASB Interpretation No. 48 “Accounting for Uncertainty in Income Taxes—an interpretation of FASB Statement No. 109” on January 1, 2007.</w:t>
      </w:r>
    </w:p>
    <w:p>
      <w:pPr>
        <w:spacing w:after="0" w:line="8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27, 2009 expressed an unqualified opinion thereon.</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42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1,133,904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1,275,120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179,059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31,047</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1,411,091</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1,581,991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5,105,473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3,939,979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6,742,615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6,299,282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26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232,136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209,906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retention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4,290,424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3,533,339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5,150,093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4,351,123</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Common stock, par value $0.01; 400,000,000 shares authorized; 124,817,994 and 116,259,411 shares issued; 112,013,040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114,370,090 shares outstanding</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Treasury stock, at cost; 12,804,954 and 1,889,321 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(1,119,407)</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2,640,667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2,273,078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(143,899)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1,592,522</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1,948,159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6,742,615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6,299,282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2,261,932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1,949,870</w:t>
            </w:r>
          </w:p>
        </w:tc>
        <w:tc>
          <w:tcPr>
            <w:tcW w:w="4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358,715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353,983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245,201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3,217,367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2,888,445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1,598,659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Less: promotional allowances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(230,043)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(200,926)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(166,402)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2,987,324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2,687,519</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1,432,257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Casino</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1,490,927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1,168,119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439,902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207,281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212,622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161,087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319,303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310,820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72,375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7,063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2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2,674,823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2,259,837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1,363,641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2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429,403</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47,259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(172,693)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(143,777)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from extinguishment of debt</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(4,257)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(164,571)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(102,170)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327,233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(provision) for income taxes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(69,085)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(170,501)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gridSpan w:val="2"/>
            <w:vMerge w:val="continue"/>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210,206</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258,148</w:t>
            </w:r>
          </w:p>
        </w:tc>
        <w:tc>
          <w:tcPr>
            <w:tcW w:w="4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628,728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per common share: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Diluted</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860"/>
              <w:spacing w:after="0"/>
              <w:rPr>
                <w:sz w:val="20"/>
                <w:szCs w:val="20"/>
                <w:color w:val="auto"/>
              </w:rPr>
            </w:pPr>
            <w:r>
              <w:rPr>
                <w:rFonts w:ascii="Arial" w:cs="Arial" w:eastAsia="Arial" w:hAnsi="Arial"/>
                <w:sz w:val="18"/>
                <w:szCs w:val="18"/>
                <w:color w:val="auto"/>
              </w:rPr>
              <w:t>Basic</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108,408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106,030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Deferred</w:t>
            </w: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780" w:type="dxa"/>
            <w:vAlign w:val="bottom"/>
            <w:gridSpan w:val="2"/>
            <w:vMerge w:val="restart"/>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vMerge w:val="restart"/>
          </w:tcPr>
          <w:p>
            <w:pPr>
              <w:spacing w:after="0"/>
              <w:rPr>
                <w:sz w:val="3"/>
                <w:szCs w:val="3"/>
                <w:color w:val="auto"/>
              </w:rPr>
            </w:pPr>
          </w:p>
        </w:tc>
        <w:tc>
          <w:tcPr>
            <w:tcW w:w="1140" w:type="dxa"/>
            <w:vAlign w:val="bottom"/>
            <w:gridSpan w:val="3"/>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compensation -</w:t>
            </w:r>
          </w:p>
        </w:tc>
        <w:tc>
          <w:tcPr>
            <w:tcW w:w="180" w:type="dxa"/>
            <w:vAlign w:val="bottom"/>
          </w:tcPr>
          <w:p>
            <w:pPr>
              <w:spacing w:after="0"/>
              <w:rPr>
                <w:sz w:val="3"/>
                <w:szCs w:val="3"/>
                <w:color w:val="auto"/>
              </w:rPr>
            </w:pPr>
          </w:p>
        </w:tc>
        <w:tc>
          <w:tcPr>
            <w:tcW w:w="8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vMerge w:val="restart"/>
          </w:tcPr>
          <w:p>
            <w:pPr>
              <w:spacing w:after="0"/>
              <w:rPr>
                <w:sz w:val="3"/>
                <w:szCs w:val="3"/>
                <w:color w:val="auto"/>
              </w:rPr>
            </w:pPr>
          </w:p>
        </w:tc>
        <w:tc>
          <w:tcPr>
            <w:tcW w:w="6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81"/>
              </w:rPr>
              <w:t>Retained</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restart"/>
          </w:tcPr>
          <w:p>
            <w:pPr>
              <w:jc w:val="right"/>
              <w:ind w:right="3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Par</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restricted</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8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earnings</w:t>
            </w: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outstanding</w:t>
            </w:r>
          </w:p>
        </w:tc>
        <w:tc>
          <w:tcPr>
            <w:tcW w:w="1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value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stock</w:t>
            </w: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1"/>
              </w:rPr>
              <w:t>income (loss)</w:t>
            </w:r>
          </w:p>
        </w:tc>
        <w:tc>
          <w:tcPr>
            <w:tcW w:w="18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 January 1, 2006</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99,331,294</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993</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4"/>
              </w:rPr>
              <w:t>$ 1,972,847</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(15,784)</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86"/>
              </w:rPr>
              <w:t>(395,161)</w:t>
            </w:r>
          </w:p>
        </w:tc>
        <w:tc>
          <w:tcPr>
            <w:tcW w:w="2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9"/>
              </w:rPr>
              <w:t>1,562,895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628,728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628,634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deferred compensation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(15,784)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15,784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337,500</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1,093,375</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21,779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18,065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6% subordinated convertible debentures</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1,124,862</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25,504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Cash distribution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(611,314)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(611,314)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2006</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4"/>
              </w:rPr>
              <w:t>101,887,031</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1,018</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2,022,408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(377,747)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1,645,585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258,148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258,148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(2,811)</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tcPr>
          <w:p>
            <w:pPr>
              <w:ind w:left="200"/>
              <w:spacing w:after="0"/>
              <w:rPr>
                <w:sz w:val="20"/>
                <w:szCs w:val="20"/>
                <w:color w:val="auto"/>
              </w:rPr>
            </w:pPr>
            <w:r>
              <w:rPr>
                <w:rFonts w:ascii="Arial" w:cs="Arial" w:eastAsia="Arial" w:hAnsi="Arial"/>
                <w:sz w:val="14"/>
                <w:szCs w:val="14"/>
                <w:color w:val="auto"/>
              </w:rPr>
              <w:t>Comprehensive income</w:t>
            </w: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255,337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270,700</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56,500</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(12,000)</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(1,889,321)</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(179,277)</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4,312,500</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663,894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663,937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Cash Distribution</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(663,894)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(22,255)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(686,149)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19,336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Conversion of 6% convertible debentures</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9,744,680</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222,158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Uncertain tax positions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Balances, December 31, 2007</w:t>
            </w: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60" w:type="dxa"/>
            <w:vAlign w:val="bottom"/>
            <w:gridSpan w:val="2"/>
            <w:vMerge w:val="continue"/>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4"/>
              </w:rPr>
              <w:t>114,370,090</w:t>
            </w:r>
          </w:p>
        </w:tc>
        <w:tc>
          <w:tcPr>
            <w:tcW w:w="18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Arial" w:cs="Arial" w:eastAsia="Arial" w:hAnsi="Arial"/>
                <w:sz w:val="14"/>
                <w:szCs w:val="14"/>
                <w:color w:val="auto"/>
                <w:w w:val="85"/>
              </w:rPr>
              <w:t>1,162</w:t>
            </w:r>
          </w:p>
        </w:tc>
        <w:tc>
          <w:tcPr>
            <w:tcW w:w="260" w:type="dxa"/>
            <w:vAlign w:val="bottom"/>
          </w:tcPr>
          <w:p>
            <w:pPr>
              <w:spacing w:after="0"/>
              <w:rPr>
                <w:sz w:val="13"/>
                <w:szCs w:val="13"/>
                <w:color w:val="auto"/>
              </w:rPr>
            </w:pP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(179,277)</w:t>
            </w:r>
          </w:p>
        </w:tc>
        <w:tc>
          <w:tcPr>
            <w:tcW w:w="88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2,273,078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(2,905)</w:t>
            </w:r>
          </w:p>
        </w:tc>
        <w:tc>
          <w:tcPr>
            <w:tcW w:w="180" w:type="dxa"/>
            <w:vAlign w:val="bottom"/>
          </w:tcPr>
          <w:p>
            <w:pPr>
              <w:spacing w:after="0"/>
              <w:rPr>
                <w:sz w:val="13"/>
                <w:szCs w:val="13"/>
                <w:color w:val="auto"/>
              </w:rPr>
            </w:pPr>
          </w:p>
        </w:tc>
        <w:tc>
          <w:tcPr>
            <w:tcW w:w="6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86"/>
              </w:rPr>
              <w:t>(143,899)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9"/>
              </w:rPr>
              <w:t>1,948,159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210,206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210,206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5,519</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215,725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94,583</w:t>
            </w:r>
          </w:p>
        </w:tc>
        <w:tc>
          <w:tcPr>
            <w:tcW w:w="1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560,000</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(96,000)</w:t>
            </w:r>
          </w:p>
        </w:tc>
        <w:tc>
          <w:tcPr>
            <w:tcW w:w="1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(10,915,633)</w:t>
            </w:r>
          </w:p>
        </w:tc>
        <w:tc>
          <w:tcPr>
            <w:tcW w:w="18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(940,130)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Forfeited cash distribution upon cancellation of restricted stock</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8,000,000</w:t>
            </w:r>
          </w:p>
        </w:tc>
        <w:tc>
          <w:tcPr>
            <w:tcW w:w="180" w:type="dxa"/>
            <w:vAlign w:val="bottom"/>
            <w:tcBorders>
              <w:right w:val="single" w:sz="8" w:color="CCEEFF"/>
            </w:tcBorders>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343,905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20,908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December 31, 2008</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4"/>
              </w:rPr>
              <w:t>112,013,040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1,248</w:t>
            </w: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(1,119,407)</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 xml:space="preserve"> 2,640,667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2,614</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67,400</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1,592,522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6"/>
              </w:rPr>
              <w:t>Year Ended December 31,</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210,206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258,148</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$ 628,728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262,848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219,923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(62,822)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68,152</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20,328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18,527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21,951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(Gain) loss on extinguishment of debt</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(22,347)</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49,405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32,584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60,857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Decrease (increase) in swap fair value</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31,485</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6,001</w:t>
            </w:r>
          </w:p>
        </w:tc>
        <w:tc>
          <w:tcPr>
            <w:tcW w:w="3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subconcession right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(49,417)</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54,093</w:t>
            </w:r>
          </w:p>
        </w:tc>
        <w:tc>
          <w:tcPr>
            <w:tcW w:w="3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20"/>
                <w:szCs w:val="20"/>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523,183</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659,172</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240,766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w w:val="89"/>
              </w:rPr>
              <w:t>(1,333,182)</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(1,007,370)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31,052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206,334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Purchase of other assets and intangibles</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(43,589)</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(43,216)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subconcession right,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21,581</w:t>
            </w:r>
          </w:p>
        </w:tc>
        <w:tc>
          <w:tcPr>
            <w:tcW w:w="38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89"/>
              </w:rPr>
              <w:t>(1,338,999)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(822,671)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344,250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664,125</w:t>
            </w:r>
          </w:p>
        </w:tc>
        <w:tc>
          <w:tcPr>
            <w:tcW w:w="3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distributions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(683,299)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w w:val="94"/>
              </w:rPr>
              <w:t>1,379,968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1,672,987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(600,260)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(297,321)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Cash restricted for stock repurchases</w:t>
            </w:r>
          </w:p>
        </w:tc>
        <w:tc>
          <w:tcPr>
            <w:tcW w:w="80" w:type="dxa"/>
            <w:vAlign w:val="bottom"/>
          </w:tcPr>
          <w:p>
            <w:pPr>
              <w:spacing w:after="0"/>
              <w:rPr>
                <w:sz w:val="18"/>
                <w:szCs w:val="18"/>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500,068</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(500,068)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(940,130)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(179,277)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(5,751)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Payment of deferred financing costs and other</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(7,055)</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(27,045)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651,871</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(287,457)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7,028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(2,659)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(141,216)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485,713</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1,275,120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3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w w:val="94"/>
              </w:rPr>
              <w:t>1,133,904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1,275,120</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$ 789,407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232,019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178,072</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$ 133,850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Property and Equipment included in Accounts and Construction Payables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83,683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56,554</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Cash distributions to convertible debenture holders</w:t>
            </w:r>
          </w:p>
        </w:tc>
        <w:tc>
          <w:tcPr>
            <w:tcW w:w="80" w:type="dxa"/>
            <w:vAlign w:val="bottom"/>
          </w:tcPr>
          <w:p>
            <w:pPr>
              <w:spacing w:after="0"/>
              <w:rPr>
                <w:sz w:val="18"/>
                <w:szCs w:val="18"/>
                <w:color w:val="auto"/>
              </w:rPr>
            </w:pP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79,168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Stock-based compensation capitalized into construction</w:t>
            </w:r>
          </w:p>
        </w:tc>
        <w:tc>
          <w:tcPr>
            <w:tcW w:w="80" w:type="dxa"/>
            <w:vAlign w:val="bottom"/>
          </w:tcPr>
          <w:p>
            <w:pPr>
              <w:spacing w:after="0"/>
              <w:rPr>
                <w:sz w:val="19"/>
                <w:szCs w:val="19"/>
                <w:color w:val="auto"/>
              </w:rPr>
            </w:pPr>
          </w:p>
        </w:tc>
        <w:tc>
          <w:tcPr>
            <w:tcW w:w="1160" w:type="dxa"/>
            <w:vAlign w:val="bottom"/>
            <w:gridSpan w:val="2"/>
          </w:tcPr>
          <w:p>
            <w:pPr>
              <w:jc w:val="right"/>
              <w:ind w:right="312"/>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809</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currently owns and operates three casino hotel resort properties, Wynn Las Vegas, which opened on April 28, 2005, Encore at Wynn Las Vegas, which opened on December 22, 2008, and Wynn Macau, which opened on September 6, 2006. In addition, the Company is constructing Encore at Wynn Macau which will be fully integrated with Wynn Macau and is expected to open in 2010.</w:t>
      </w:r>
    </w:p>
    <w:p>
      <w:pPr>
        <w:spacing w:after="0" w:line="256" w:lineRule="exact"/>
        <w:rPr>
          <w:sz w:val="20"/>
          <w:szCs w:val="20"/>
          <w:color w:val="auto"/>
        </w:rPr>
      </w:pPr>
    </w:p>
    <w:p>
      <w:pPr>
        <w:ind w:right="7640" w:firstLine="8"/>
        <w:spacing w:after="0" w:line="347" w:lineRule="auto"/>
        <w:tabs>
          <w:tab w:leader="none" w:pos="44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Restricted cash held at December 31, 2007, consisted primarily of certain proceeds of the Company’s financing activities invested in approved money market funds. The majority of these funds were restricted by agreements governing debt instruments for the purchase of the Company’s common stock and the payment of certain construction and development costs relating to Encore at Wynn Las Vegas.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2008 and 2007, approximately 78%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65%,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220" w:type="dxa"/>
            <w:vAlign w:val="bottom"/>
            <w:shd w:val="clear" w:color="auto" w:fill="CCEEFF"/>
          </w:tcPr>
          <w:p>
            <w:pPr>
              <w:jc w:val="center"/>
              <w:ind w:left="2692"/>
              <w:spacing w:after="0"/>
              <w:rPr>
                <w:sz w:val="20"/>
                <w:szCs w:val="20"/>
                <w:color w:val="auto"/>
              </w:rPr>
            </w:pPr>
            <w:r>
              <w:rPr>
                <w:rFonts w:ascii="Arial" w:cs="Arial" w:eastAsia="Arial" w:hAnsi="Arial"/>
                <w:sz w:val="18"/>
                <w:szCs w:val="18"/>
                <w:color w:val="auto"/>
                <w:w w:val="87"/>
              </w:rPr>
              <w:t>10 to 45 years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Land improvements</w:t>
            </w:r>
          </w:p>
        </w:tc>
        <w:tc>
          <w:tcPr>
            <w:tcW w:w="4220" w:type="dxa"/>
            <w:vAlign w:val="bottom"/>
          </w:tcPr>
          <w:p>
            <w:pPr>
              <w:jc w:val="center"/>
              <w:ind w:left="2692"/>
              <w:spacing w:after="0"/>
              <w:rPr>
                <w:sz w:val="20"/>
                <w:szCs w:val="20"/>
                <w:color w:val="auto"/>
              </w:rPr>
            </w:pPr>
            <w:r>
              <w:rPr>
                <w:rFonts w:ascii="Arial" w:cs="Arial" w:eastAsia="Arial" w:hAnsi="Arial"/>
                <w:sz w:val="18"/>
                <w:szCs w:val="18"/>
                <w:color w:val="auto"/>
                <w:w w:val="87"/>
              </w:rPr>
              <w:t>10 to 45 years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4220" w:type="dxa"/>
            <w:vAlign w:val="bottom"/>
            <w:shd w:val="clear" w:color="auto" w:fill="CCEEFF"/>
          </w:tcPr>
          <w:p>
            <w:pPr>
              <w:jc w:val="center"/>
              <w:ind w:left="2692"/>
              <w:spacing w:after="0"/>
              <w:rPr>
                <w:sz w:val="20"/>
                <w:szCs w:val="20"/>
                <w:color w:val="auto"/>
              </w:rPr>
            </w:pPr>
            <w:r>
              <w:rPr>
                <w:rFonts w:ascii="Arial" w:cs="Arial" w:eastAsia="Arial" w:hAnsi="Arial"/>
                <w:sz w:val="18"/>
                <w:szCs w:val="18"/>
                <w:color w:val="auto"/>
                <w:w w:val="86"/>
              </w:rPr>
              <w:t>25 years</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Airplanes</w:t>
            </w:r>
          </w:p>
        </w:tc>
        <w:tc>
          <w:tcPr>
            <w:tcW w:w="4220" w:type="dxa"/>
            <w:vAlign w:val="bottom"/>
          </w:tcPr>
          <w:p>
            <w:pPr>
              <w:jc w:val="center"/>
              <w:ind w:left="2692"/>
              <w:spacing w:after="0"/>
              <w:rPr>
                <w:sz w:val="20"/>
                <w:szCs w:val="20"/>
                <w:color w:val="auto"/>
              </w:rPr>
            </w:pPr>
            <w:r>
              <w:rPr>
                <w:rFonts w:ascii="Arial" w:cs="Arial" w:eastAsia="Arial" w:hAnsi="Arial"/>
                <w:sz w:val="18"/>
                <w:szCs w:val="18"/>
                <w:color w:val="auto"/>
                <w:w w:val="88"/>
              </w:rPr>
              <w:t>7 to 20 years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220" w:type="dxa"/>
            <w:vAlign w:val="bottom"/>
            <w:shd w:val="clear" w:color="auto" w:fill="CCEEFF"/>
          </w:tcPr>
          <w:p>
            <w:pPr>
              <w:jc w:val="center"/>
              <w:ind w:left="2692"/>
              <w:spacing w:after="0"/>
              <w:rPr>
                <w:sz w:val="20"/>
                <w:szCs w:val="20"/>
                <w:color w:val="auto"/>
              </w:rPr>
            </w:pPr>
            <w:r>
              <w:rPr>
                <w:rFonts w:ascii="Arial" w:cs="Arial" w:eastAsia="Arial" w:hAnsi="Arial"/>
                <w:sz w:val="18"/>
                <w:szCs w:val="18"/>
                <w:color w:val="auto"/>
                <w:w w:val="88"/>
              </w:rPr>
              <w:t>3 to 20 years</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$87.4 million, $44.6 million and $29.5 million was capitalized for the years ended December 31, 2008, 2007 and 2006,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overall purchase price of the property on which Wynn Las Vegas is located, and trademarks. Indefinite-lived intangible assets are not amortized, but are reviewed for impairment annually. The Company’s finite-lived intangible assets consist of a Macau gaming concession and show production rights. Finite-lived intangible assets are amortized over the shorter of their contractual terms or estimated useful lives.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Long-lived assets, which are to be held and used, including intangibles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$17.8 million, $13.2 million and $14.4 million was amortized to interest expense during the years ended December 31, 2008, 2007 and 2006,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Company accounts for derivative financial instruments in accordance with Statement of Financial Accounting Standards (“SFAS”) No. 133, “Accounting for Derivative Instruments and Hedging Activities,” as amended. The fair value of derivative financial instruments are recognized as assets or liabilities at each balance sheet date, with changes in fair value affecting net income or comprehensive income as applicable. The Company’s current interest rate swaps do not qualify for hedge accounting. Accordingly, changes in the fair value of the interest rate swaps are presented as an increase (decrease) in swap fair value in the accompanying Consolidated Statements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commissions and points earned in customer loyalty programs, such as the player’s club loyalty program.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7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31,518</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26,712</w:t>
            </w:r>
          </w:p>
        </w:tc>
        <w:tc>
          <w:tcPr>
            <w:tcW w:w="20" w:type="dxa"/>
            <w:vAlign w:val="bottom"/>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79,828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70,827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w w:val="83"/>
              </w:rPr>
              <w:t>61,200</w:t>
            </w:r>
          </w:p>
        </w:tc>
        <w:tc>
          <w:tcPr>
            <w:tcW w:w="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9,827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11,546</w:t>
            </w:r>
          </w:p>
        </w:tc>
        <w:tc>
          <w:tcPr>
            <w:tcW w:w="2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7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126,469</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112,172</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40"/>
              <w:spacing w:after="0"/>
              <w:rPr>
                <w:sz w:val="20"/>
                <w:szCs w:val="20"/>
                <w:color w:val="auto"/>
              </w:rPr>
            </w:pPr>
            <w:r>
              <w:rPr>
                <w:rFonts w:ascii="Arial" w:cs="Arial" w:eastAsia="Arial" w:hAnsi="Arial"/>
                <w:sz w:val="18"/>
                <w:szCs w:val="18"/>
                <w:color w:val="auto"/>
                <w:w w:val="87"/>
              </w:rPr>
              <w:t>99,458</w:t>
            </w:r>
          </w:p>
        </w:tc>
      </w:tr>
      <w:tr>
        <w:trPr>
          <w:trHeight w:val="20"/>
        </w:trPr>
        <w:tc>
          <w:tcPr>
            <w:tcW w:w="7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$31.2 million including $11.1 million in pre-opening related to Encore, $25.8 million and $19.9 million, respectively, for the years ended December 31, 2008, 2007 and 2006.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Pre-opening costs consists primarily of direct salaries and wages, legal and consulting fees, insurance, utilities and advertising, and are expensed as incurred. The Company incurred pre-opening costs in connection with Wynn Macau, prior to its opening on September 6, 2006 and Encore at Wynn Las Vegas, prior to its opening on December 22, 2008, and continues to incur such costs related to Encore at Wynn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 is subject to income taxes in the United States and other foreign jurisdictions where it operates. The Company accounts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SFAS No. 109 requires recognition of a future tax benefit to the extent that realization of such benefit is more likely than not. Otherwise, a valuation allowance is applied. During the Company’s development stage, it accumulated significant net operating losses, which generated significant deferred tax assets. Because of the Company’s limited operating history, it had previously fully reserved these net deferred tax assets. On September 11, 2006, the Company recorded a gain of $899.4 million on the sale of the subconcession right. Accordingly the Company determined that a substantial portion of these net deferred tax assets have become more likely than not realizable as defined by SFAS No. 109.</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Financial Accounting Standards Board (“FASB”) Interpretation No. 48 (“FIN 48”) “Accounting for Uncertainty in Income Taxes” which the Company adopted on January 1, 2007. The Interpretation prescribes a minimum recognition threshold a tax position is required to meet before being recognized in the financial statements. As a result, the Company’s income tax recognition policy related to uncertain income tax positions is no longer covered by SFAS No. 5.</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FIN 48 applies to all tax positions related to income taxes subject to SFAS No. 109. FIN 48 utilizes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tax positions failing to qualify for initial recognition are to be recognized in the first subsequent interim period that they meet the “more likely than not” standard. If it is subsequently determined that a previously recognized tax position no longer meets the “more likely than not” standard, it is required that the tax position is derecognized. FIN 48 specifically prohibits the use of a valuation allowance as a substitute for derecognition of tax positions. As applicable, the Company will recognize accrued penalties and interest related to unrecognized tax benefits in the provision for income taxes. During the years ended December 31, 2008, 2007 and 2006, the Company recognized no amounts for interest or penalties.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accounts for currency translation in accordance with SFAS No. 52, “Foreign Currency Translation.” Gains or losses from foreign currency remeasurements are included in other income/expense in the Consolidated Statements of Income.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year. Diluted EPS reflects the addition of potentially dilutive securities which for the Company includes: stock options, nonvested stock, and the 6% Convertible Subordinated Debentures due 2015 (the “Debentures”) which were all converted into common stock in July 2007.</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 2007 and 2006 consisted of the following (amounts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108,408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nonvested stock, and the Debentures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w w:val="89"/>
                <w:shd w:val="clear" w:color="auto" w:fill="CCEEFF"/>
              </w:rPr>
              <w:t>Weighted average common and common equivalent shares outstanding (used in calculation of diluted earnings per share)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109,441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112,685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111,627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370" w:lineRule="auto"/>
        <w:rPr>
          <w:sz w:val="20"/>
          <w:szCs w:val="20"/>
          <w:color w:val="auto"/>
        </w:rPr>
      </w:pPr>
      <w:r>
        <w:rPr>
          <w:rFonts w:ascii="Arial" w:cs="Arial" w:eastAsia="Arial" w:hAnsi="Arial"/>
          <w:sz w:val="15"/>
          <w:szCs w:val="15"/>
          <w:color w:val="auto"/>
        </w:rPr>
        <w:t>The calculation of diluted EPS for the year ended December 31, 2007 includes an addition to net income to reflect the interest expense, net of related tax effects, of $5.1 million that would not have been incurred on the Debentures had they been converted as of the beginning of the year up to the conversion date.</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calculation of diluted EPS for the year ended December 31, 2006 includes an addition to net income to reflect the interest expense, net of related tax effects, of $9.5 million and the distribution to convertible debenture holders of $58.5 million that would not have been incurred on the Debentures had they been converted as of the beginning of the year.</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total of 880,000 stock options were excluded from the calculation of diluted EPS at December 31, 2008 because including them would have been anti-dilutive.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accordance with SFAS 123(R), “Share Based Payment”, the Company recognizes compensation expense on a straight-line basis over the awards vesting period. SFAS 123(R) requires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Further information on the Company’s share-based compensation arrangements is included in Note 15 “Benefit Plans—Share-Based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September 2006,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In February 2008, the FASB issued FASB Staff Position FAS 157-2, which defers the effective date of SFAS 157 for non-financial assets and liabilities that are recognized or disclosed at fair value in the entity’s financial statements on a recurring basis to fiscal years beginning after November 15, 2008 and interim periods within those fiscal years. The Company partially adopted the provisions of SFAS 157 effective January 1, 2008 and expects to adopt the remaining provisions of SFAS 157 on January 1, 2009. The partial adoption of this statement did not have a material impact the Company’s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Including an Amendment of FASB Statement No. 115.” SFAS No. 159 permits entities to choose to measure many financial instruments and certain other items at fair value, with unrealized gains and losses related to these financial instruments reported in earnings at each subsequent reporting date. SFAS No. 159 is effective for fiscal years beginning after November 15, 2007. The adoption of this statement on January 1, 2008, did not have a material impact on the Company’s consolidated financial statements.</w:t>
      </w:r>
    </w:p>
    <w:p>
      <w:pPr>
        <w:spacing w:after="0" w:line="98"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December 2007, the FASB issued SFAS No. 141 (revised 2007), “Business Combinations.” SFAS No. 141 (revised) establishes principles and requirements for how an acquirer recognizes and measures in its financial statements the identifiable assets acquired, the liabilities assumed, and noncontrolling interest in the acquiree and the goodwill acquired. The revision is intended to simplify existing guidance and converge rulemaking under U.S. GAAP with international accounting rules. This statement applies prospectively to business combinations where the acquisition date is on or after the beginning of the first annual reporting period beginning on or after December 15, 2008. The adoption of SFAS No. 141 (revised) is not expected to have a material impact on the Company’s financial position, results of operations or cash flows.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2007, the FASB issued SFAS No. 160, “Noncontrolling Interest in Consolidated Financial Statements, an amendment of ARB No. 51.” This statement establishes accounting and reporting standards for ownership interests in subsidiaries held by parties other than the parent and for the deconsolidation of a subsidiary. It also clarifies that a noncontrolling interest in a subsidiary is an ownership interest in the consolidated entity that should be reported as equity in the consolidated financial statements. SFAS No. 160 changes the way the consolidated income statement is presented by requiring consolidated net income to be reported at amounts that include the amount attributable to both the parent and the noncontrolling interests. The statement also establishes reporting requirements that provide sufficient disclosure that clearly identify and distinguish between the interest of the parent and those of the noncontrolling owners. This statement is effective for fiscal years beginning on or after December 15, 2008. The adoption of SFAS No. 160 is not expected to have a material impact on the Company’s financial position, results of operations or cash flows.</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March 2008, the FASB issued SFAS No. 161, “Disclosures About Derivative Instruments and Hedging Activities, an amendment of SFAS No. 133”. SFAS No. 161 is intended to improve financial reporting about derivative instruments and hedging activities by requiring enhanced disclosures to enable investors to better understand their effects on an entity’s financial position, financial performance, and cash flows. This statement is effective for fiscal years beginning after November 15, 2008. SFAS No. 161 is not expected to have a material impact on the Company’s financial position, results of operations or cash flows.</w:t>
      </w:r>
    </w:p>
    <w:p>
      <w:pPr>
        <w:spacing w:after="0" w:line="98"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In May 2008, the FASB issued FASB Staff Position APB 14-1, Accounting for Convertible Debt Instruments That May Be Settled in Cash upon Conversion (Including Partial Cash Settlement) (the “FSP”). The FSP requires the issuer of certain convertible debt instruments that may be settled in cash on conversion to separately account for the liability (debt) and equity (conversion option) components of the instruments in a manner that reflects the issuer’s nonconvertible debt borrowing rate. The FSP is effective for financial statements issued for fiscal years beginning after December 15, 2008 and interim periods within those fiscal years and does not permit earlier application. However, the transition guidance requires retrospective application to all periods presented and does not grandfather existing instruments. The Company is currently evaluating the impact that the adoption of the FSP will have on its consolidated financial statements.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June 2008, the FASB issued FSP EITF 03-6-1, Determining Whether Instruments Granted in Share-Based Payment Transactions Are Participating Securities. This FSP addresses whether instruments granted in share-based payment transactions are participating securities prior to vesting and, therefore, need to be included in the earnings allocation in computing EPS under the two-class method described in paragraphs 60 and 61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FASB Statement No. 128, Earnings per Share. The FSP will be effective for financial statements issued for fiscal years and interim periods beginning after December 15, 2008. All prior period EPS data presented shall be adjusted retrospectively to conform to the provisions of this FSP. The Company is currently evaluating the impact of this FSP, but does not expect it to have a material impact on its financial position, results of operations or cash flows.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2008, the FASB issued FASB Staff Position No. FAS 157-3, Determining the Fair Value of a Financial Asset When the Market for That Asset is Not Active (FSP 157-3 or the FSP). FSP 157-3 clarifies the application of SFAS No. 157, Fair Value Measurements (Statement 157), in a market that is not active. The FSP amends Statement 157 to include an example that illustrates key considerations when applying the principles in Statement 157 to financial assets when the market for these instruments is not active.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amounts in the consolidated financial statements for 2007 and 2006 have been reclassified to be consistent with the current year presentation. These reclassifications had no effect on the previously reported net income.</w:t>
      </w:r>
    </w:p>
    <w:p>
      <w:pPr>
        <w:spacing w:after="0" w:line="24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Receivables, net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84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$ 200,115</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$216,166</w:t>
            </w: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Hotel</w:t>
            </w:r>
          </w:p>
        </w:tc>
        <w:tc>
          <w:tcPr>
            <w:tcW w:w="740" w:type="dxa"/>
            <w:vAlign w:val="bottom"/>
          </w:tcPr>
          <w:p>
            <w:pPr>
              <w:jc w:val="right"/>
              <w:spacing w:after="0"/>
              <w:rPr>
                <w:sz w:val="20"/>
                <w:szCs w:val="20"/>
                <w:color w:val="auto"/>
              </w:rPr>
            </w:pPr>
            <w:r>
              <w:rPr>
                <w:rFonts w:ascii="Arial" w:cs="Arial" w:eastAsia="Arial" w:hAnsi="Arial"/>
                <w:sz w:val="18"/>
                <w:szCs w:val="18"/>
                <w:color w:val="auto"/>
              </w:rPr>
              <w:t>18,311</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19,464</w:t>
            </w:r>
          </w:p>
        </w:tc>
        <w:tc>
          <w:tcPr>
            <w:tcW w:w="6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60" w:type="dxa"/>
            <w:vAlign w:val="bottom"/>
            <w:shd w:val="clear" w:color="auto" w:fill="CCEEFF"/>
          </w:tcPr>
          <w:p>
            <w:pPr>
              <w:spacing w:after="0"/>
              <w:rPr>
                <w:sz w:val="18"/>
                <w:szCs w:val="18"/>
                <w:color w:val="auto"/>
              </w:rPr>
            </w:pPr>
          </w:p>
        </w:tc>
      </w:tr>
      <w:tr>
        <w:trPr>
          <w:trHeight w:val="221"/>
        </w:trPr>
        <w:tc>
          <w:tcPr>
            <w:tcW w:w="8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228,015</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245,205</w:t>
            </w:r>
          </w:p>
        </w:tc>
        <w:tc>
          <w:tcPr>
            <w:tcW w:w="60" w:type="dxa"/>
            <w:vAlign w:val="bottom"/>
          </w:tcPr>
          <w:p>
            <w:pPr>
              <w:spacing w:after="0"/>
              <w:rPr>
                <w:sz w:val="19"/>
                <w:szCs w:val="19"/>
                <w:color w:val="auto"/>
              </w:rPr>
            </w:pPr>
          </w:p>
        </w:tc>
      </w:tr>
      <w:tr>
        <w:trPr>
          <w:trHeight w:val="218"/>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(102,819)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(66,146)</w:t>
            </w:r>
          </w:p>
        </w:tc>
      </w:tr>
      <w:tr>
        <w:trPr>
          <w:trHeight w:val="222"/>
        </w:trPr>
        <w:tc>
          <w:tcPr>
            <w:tcW w:w="84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$ 125,196</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179,059</w:t>
            </w:r>
          </w:p>
        </w:tc>
        <w:tc>
          <w:tcPr>
            <w:tcW w:w="6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4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707,531</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615,894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3,149,828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1,799,321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77,326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1,556,507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896,060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66,983</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221,696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921,747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5,780,246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4,377,331</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(674,773)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(437,352)</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5,105,473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3,939,979</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20" w:type="dxa"/>
            <w:vAlign w:val="bottom"/>
            <w:vMerge w:val="restart"/>
          </w:tcPr>
          <w:p>
            <w:pPr>
              <w:jc w:val="right"/>
              <w:ind w:right="2752"/>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for the years ended December 31, 2008, 2007 and 2006 was $247.2 million, $204.2 million and $158.4 million, respectively.</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of December 31, 2008, construction in progress primarily includes construction, development, interest and other costs capitalized in conjunction with Encore at Wynn Macau. As of December 31, 2007, such balance primarily includes the costs associated with Encore at Wynn Las Vegas which opened on December 22, 2008.</w:t>
      </w:r>
    </w:p>
    <w:p>
      <w:pPr>
        <w:spacing w:after="0" w:line="25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net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Macau</w:t>
            </w:r>
          </w:p>
        </w:tc>
        <w:tc>
          <w:tcPr>
            <w:tcW w:w="12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Show</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1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Gaming</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Production</w:t>
            </w:r>
          </w:p>
        </w:tc>
        <w:tc>
          <w:tcPr>
            <w:tcW w:w="2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Water</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Concession</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Rights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Trademarks</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2007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$ 36,933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20,789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$6,400</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Additions</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22"/>
        </w:trPr>
        <w:tc>
          <w:tcPr>
            <w:tcW w:w="6360" w:type="dxa"/>
            <w:vAlign w:val="bottom"/>
          </w:tcPr>
          <w:p>
            <w:pPr>
              <w:spacing w:after="0"/>
              <w:rPr>
                <w:sz w:val="20"/>
                <w:szCs w:val="20"/>
                <w:color w:val="auto"/>
              </w:rPr>
            </w:pPr>
            <w:r>
              <w:rPr>
                <w:rFonts w:ascii="Arial" w:cs="Arial" w:eastAsia="Arial" w:hAnsi="Arial"/>
                <w:sz w:val="18"/>
                <w:szCs w:val="18"/>
                <w:b w:val="1"/>
                <w:bCs w:val="1"/>
                <w:color w:val="auto"/>
              </w:rPr>
              <w:t>December 31, 2007</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34,549</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17,826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60,074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440"/>
              <w:spacing w:after="0"/>
              <w:rPr>
                <w:sz w:val="20"/>
                <w:szCs w:val="20"/>
                <w:color w:val="auto"/>
              </w:rPr>
            </w:pPr>
            <w:r>
              <w:rPr>
                <w:rFonts w:ascii="Arial" w:cs="Arial" w:eastAsia="Arial" w:hAnsi="Arial"/>
                <w:sz w:val="18"/>
                <w:szCs w:val="18"/>
                <w:color w:val="auto"/>
              </w:rPr>
              <w:t>Write offs</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(6,340)</w:t>
            </w:r>
          </w:p>
        </w:tc>
        <w:tc>
          <w:tcPr>
            <w:tcW w:w="2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2008</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$ 32,168</w:t>
            </w:r>
          </w:p>
        </w:tc>
        <w:tc>
          <w:tcPr>
            <w:tcW w:w="46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9,147</w:t>
            </w:r>
          </w:p>
        </w:tc>
        <w:tc>
          <w:tcPr>
            <w:tcW w:w="26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6,400</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1,334</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49,049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Macau gaming concession intangible is being amortized over the 20-year life of the concession. The Company expects that amortization of the Macau gaming concession will be approximately $2.4 million each year from 2009 through 2021, and approximately $1 million in 2022.</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Show production rights represent amounts paid to purchase the rights to the “Le Rêve” and “Monty Python’s Spamalot” production shows. During the year ended December 31, 2008, the Company wrote off the show production rights associated with Spamalot as the contract for that show was terminated. The Company expects that amortization of show production rights will be approximately $2.1 million for each of the years 2009 through 2012, and approximately $0.8 million in 2013.</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256"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Other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2008</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5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Base stock</w:t>
            </w: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32,511</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48,290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Golf memberships</w:t>
            </w:r>
          </w:p>
        </w:tc>
        <w:tc>
          <w:tcPr>
            <w:tcW w:w="4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106,429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97,531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920" w:type="dxa"/>
            <w:vAlign w:val="bottom"/>
            <w:vMerge w:val="restart"/>
          </w:tcPr>
          <w:p>
            <w:pPr>
              <w:jc w:val="right"/>
              <w:ind w:right="3172"/>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spacing w:after="0"/>
              <w:rPr>
                <w:sz w:val="19"/>
                <w:szCs w:val="19"/>
                <w:color w:val="auto"/>
              </w:rPr>
            </w:pPr>
          </w:p>
        </w:tc>
        <w:tc>
          <w:tcPr>
            <w:tcW w:w="9060" w:type="dxa"/>
            <w:vAlign w:val="bottom"/>
          </w:tcPr>
          <w:p>
            <w:pPr>
              <w:ind w:left="3540"/>
              <w:spacing w:after="0"/>
              <w:rPr>
                <w:sz w:val="20"/>
                <w:szCs w:val="20"/>
                <w:color w:val="auto"/>
              </w:rPr>
            </w:pPr>
            <w:r>
              <w:rPr>
                <w:rFonts w:ascii="Arial" w:cs="Arial" w:eastAsia="Arial" w:hAnsi="Arial"/>
                <w:sz w:val="18"/>
                <w:szCs w:val="18"/>
                <w:b w:val="1"/>
                <w:bCs w:val="1"/>
                <w:color w:val="auto"/>
              </w:rPr>
              <w:t>WYNN RESORTS, LIMITED AND SUBSIDIARIES</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7"/>
        </w:trPr>
        <w:tc>
          <w:tcPr>
            <w:tcW w:w="180" w:type="dxa"/>
            <w:vAlign w:val="bottom"/>
          </w:tcPr>
          <w:p>
            <w:pPr>
              <w:spacing w:after="0"/>
              <w:rPr>
                <w:sz w:val="24"/>
                <w:szCs w:val="24"/>
                <w:color w:val="auto"/>
              </w:rPr>
            </w:pPr>
          </w:p>
        </w:tc>
        <w:tc>
          <w:tcPr>
            <w:tcW w:w="9060" w:type="dxa"/>
            <w:vAlign w:val="bottom"/>
          </w:tcPr>
          <w:p>
            <w:pPr>
              <w:ind w:left="270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5"/>
        </w:trPr>
        <w:tc>
          <w:tcPr>
            <w:tcW w:w="180" w:type="dxa"/>
            <w:vAlign w:val="bottom"/>
          </w:tcPr>
          <w:p>
            <w:pPr>
              <w:spacing w:after="0"/>
              <w:rPr>
                <w:sz w:val="20"/>
                <w:szCs w:val="20"/>
                <w:color w:val="auto"/>
              </w:rPr>
            </w:pPr>
            <w:r>
              <w:rPr>
                <w:rFonts w:ascii="Arial" w:cs="Arial" w:eastAsia="Arial" w:hAnsi="Arial"/>
                <w:sz w:val="18"/>
                <w:szCs w:val="18"/>
                <w:b w:val="1"/>
                <w:bCs w:val="1"/>
                <w:color w:val="auto"/>
              </w:rPr>
              <w:t>7.</w:t>
            </w:r>
          </w:p>
        </w:tc>
        <w:tc>
          <w:tcPr>
            <w:tcW w:w="9060" w:type="dxa"/>
            <w:vAlign w:val="bottom"/>
          </w:tcPr>
          <w:p>
            <w:pPr>
              <w:ind w:left="280"/>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180" w:type="dxa"/>
            <w:vAlign w:val="bottom"/>
          </w:tcPr>
          <w:p>
            <w:pPr>
              <w:spacing w:after="0"/>
              <w:rPr>
                <w:sz w:val="24"/>
                <w:szCs w:val="24"/>
                <w:color w:val="auto"/>
              </w:rPr>
            </w:pPr>
          </w:p>
        </w:tc>
        <w:tc>
          <w:tcPr>
            <w:tcW w:w="9060" w:type="dxa"/>
            <w:vAlign w:val="bottom"/>
          </w:tcPr>
          <w:p>
            <w:pPr>
              <w:ind w:left="280"/>
              <w:spacing w:after="0"/>
              <w:rPr>
                <w:sz w:val="20"/>
                <w:szCs w:val="20"/>
                <w:color w:val="auto"/>
              </w:rPr>
            </w:pPr>
            <w:r>
              <w:rPr>
                <w:rFonts w:ascii="Arial" w:cs="Arial" w:eastAsia="Arial" w:hAnsi="Arial"/>
                <w:sz w:val="18"/>
                <w:szCs w:val="18"/>
                <w:color w:val="auto"/>
              </w:rPr>
              <w:t>Long-term debt consisted of the following (amounts in thousands):</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3"/>
        </w:trPr>
        <w:tc>
          <w:tcPr>
            <w:tcW w:w="18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18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01"/>
        </w:trPr>
        <w:tc>
          <w:tcPr>
            <w:tcW w:w="9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6 5/8% Wynn Las Vegas First Mortgage Notes, due December 1, 2014, net of original issue discount of $9,561 and $10,816,</w:t>
            </w:r>
          </w:p>
        </w:tc>
        <w:tc>
          <w:tcPr>
            <w:tcW w:w="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4"/>
        </w:trPr>
        <w:tc>
          <w:tcPr>
            <w:tcW w:w="180" w:type="dxa"/>
            <w:vAlign w:val="bottom"/>
            <w:shd w:val="clear" w:color="auto" w:fill="CCEEFF"/>
          </w:tcPr>
          <w:p>
            <w:pPr>
              <w:spacing w:after="0"/>
              <w:rPr>
                <w:sz w:val="19"/>
                <w:szCs w:val="19"/>
                <w:color w:val="auto"/>
              </w:rPr>
            </w:pPr>
          </w:p>
        </w:tc>
        <w:tc>
          <w:tcPr>
            <w:tcW w:w="9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$ 1,690,439</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$ 1,689,184</w:t>
            </w:r>
          </w:p>
        </w:tc>
      </w:tr>
      <w:tr>
        <w:trPr>
          <w:trHeight w:val="208"/>
        </w:trPr>
        <w:tc>
          <w:tcPr>
            <w:tcW w:w="9240" w:type="dxa"/>
            <w:vAlign w:val="bottom"/>
            <w:gridSpan w:val="2"/>
          </w:tcPr>
          <w:p>
            <w:pPr>
              <w:spacing w:after="0"/>
              <w:rPr>
                <w:sz w:val="20"/>
                <w:szCs w:val="20"/>
                <w:color w:val="auto"/>
              </w:rPr>
            </w:pPr>
            <w:r>
              <w:rPr>
                <w:rFonts w:ascii="Arial" w:cs="Arial" w:eastAsia="Arial" w:hAnsi="Arial"/>
                <w:sz w:val="18"/>
                <w:szCs w:val="18"/>
                <w:color w:val="auto"/>
                <w:w w:val="92"/>
              </w:rPr>
              <w:t>$1 billion Wynn Resorts Term Loan Facility, due June 21, 2010; interest at LIBOR plus 2.25% (approximately 2.8% and 7.1%</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375,000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1,000,000</w:t>
            </w:r>
          </w:p>
        </w:tc>
      </w:tr>
      <w:tr>
        <w:trPr>
          <w:trHeight w:val="210"/>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$900 million Wynn Las Vegas Revolving Credit Facility; due August 15, 2011; interest at LIBOR plus 1.625%</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180" w:type="dxa"/>
            <w:vAlign w:val="bottom"/>
            <w:shd w:val="clear" w:color="auto" w:fill="CCEEFF"/>
          </w:tcPr>
          <w:p>
            <w:pPr>
              <w:spacing w:after="0"/>
              <w:rPr>
                <w:sz w:val="19"/>
                <w:szCs w:val="19"/>
                <w:color w:val="auto"/>
              </w:rPr>
            </w:pPr>
          </w:p>
        </w:tc>
        <w:tc>
          <w:tcPr>
            <w:tcW w:w="9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(approximately 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879,484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9240" w:type="dxa"/>
            <w:vAlign w:val="bottom"/>
            <w:gridSpan w:val="2"/>
          </w:tcPr>
          <w:p>
            <w:pPr>
              <w:spacing w:after="0"/>
              <w:rPr>
                <w:sz w:val="20"/>
                <w:szCs w:val="20"/>
                <w:color w:val="auto"/>
              </w:rPr>
            </w:pPr>
            <w:r>
              <w:rPr>
                <w:rFonts w:ascii="Arial" w:cs="Arial" w:eastAsia="Arial" w:hAnsi="Arial"/>
                <w:sz w:val="18"/>
                <w:szCs w:val="18"/>
                <w:color w:val="auto"/>
                <w:w w:val="93"/>
              </w:rPr>
              <w:t>$225 million Wynn Las Vegas Term Loan Facility; $112.5 million due September 30, 2012 with remaining $112.5 million due</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rPr>
              <w:t>August 15, 2013; interest at LIBOR plus 1.875% (approximately 3.1% and 6.9% respectively)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225,000</w:t>
            </w:r>
          </w:p>
        </w:tc>
      </w:tr>
      <w:tr>
        <w:trPr>
          <w:trHeight w:val="210"/>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$550 million Wynn Macau Senior Term Loan Facilities (as amended June 2007); due June 27, 2014; interest at LIBOR or</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180" w:type="dxa"/>
            <w:vAlign w:val="bottom"/>
            <w:shd w:val="clear" w:color="auto" w:fill="CCEEFF"/>
          </w:tcPr>
          <w:p>
            <w:pPr>
              <w:spacing w:after="0"/>
              <w:rPr>
                <w:sz w:val="19"/>
                <w:szCs w:val="19"/>
                <w:color w:val="auto"/>
              </w:rPr>
            </w:pPr>
          </w:p>
        </w:tc>
        <w:tc>
          <w:tcPr>
            <w:tcW w:w="9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HIBOR plus 1.75% (approximately 5.3% and 5.5% 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552,561</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549,995</w:t>
            </w:r>
          </w:p>
        </w:tc>
      </w:tr>
      <w:tr>
        <w:trPr>
          <w:trHeight w:val="208"/>
        </w:trPr>
        <w:tc>
          <w:tcPr>
            <w:tcW w:w="9240" w:type="dxa"/>
            <w:vAlign w:val="bottom"/>
            <w:gridSpan w:val="2"/>
          </w:tcPr>
          <w:p>
            <w:pPr>
              <w:spacing w:after="0"/>
              <w:rPr>
                <w:sz w:val="20"/>
                <w:szCs w:val="20"/>
                <w:color w:val="auto"/>
              </w:rPr>
            </w:pPr>
            <w:r>
              <w:rPr>
                <w:rFonts w:ascii="Arial" w:cs="Arial" w:eastAsia="Arial" w:hAnsi="Arial"/>
                <w:sz w:val="18"/>
                <w:szCs w:val="18"/>
                <w:color w:val="auto"/>
              </w:rPr>
              <w:t>$1 billion Wynn Macau Senior Revolving Credit Facility, due June 2012; Interest at LIBOR or HIBOR plus 1.75%</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rPr>
              <w:t>(approximately 5.1%)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502,356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$42 million Note Payable; due April 1, 2017; interest at LIBOR plus 1.25% (approximately 3.0% and 6.5% respectively)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40,950</w:t>
            </w:r>
          </w:p>
        </w:tc>
      </w:tr>
      <w:tr>
        <w:trPr>
          <w:trHeight w:val="208"/>
        </w:trPr>
        <w:tc>
          <w:tcPr>
            <w:tcW w:w="9240" w:type="dxa"/>
            <w:vAlign w:val="bottom"/>
            <w:gridSpan w:val="2"/>
          </w:tcPr>
          <w:p>
            <w:pPr>
              <w:spacing w:after="0"/>
              <w:rPr>
                <w:sz w:val="20"/>
                <w:szCs w:val="20"/>
                <w:color w:val="auto"/>
              </w:rPr>
            </w:pPr>
            <w:r>
              <w:rPr>
                <w:rFonts w:ascii="Arial" w:cs="Arial" w:eastAsia="Arial" w:hAnsi="Arial"/>
                <w:sz w:val="18"/>
                <w:szCs w:val="18"/>
                <w:color w:val="auto"/>
              </w:rPr>
              <w:t>$32.5 million Note Payable; due August 10, 2012; interest at LIBOR plus 1.15% (approximately 2.4% and 6.02%</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180" w:type="dxa"/>
            <w:vAlign w:val="bottom"/>
          </w:tcPr>
          <w:p>
            <w:pPr>
              <w:spacing w:after="0"/>
              <w:rPr>
                <w:sz w:val="19"/>
                <w:szCs w:val="19"/>
                <w:color w:val="auto"/>
              </w:rPr>
            </w:pPr>
          </w:p>
        </w:tc>
        <w:tc>
          <w:tcPr>
            <w:tcW w:w="906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28,709</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31,417</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r>
      <w:tr>
        <w:trPr>
          <w:trHeight w:val="221"/>
        </w:trPr>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4,293,109</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3,536,612</w:t>
            </w:r>
          </w:p>
        </w:tc>
      </w:tr>
      <w:tr>
        <w:trPr>
          <w:trHeight w:val="218"/>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(3,273)</w:t>
            </w:r>
          </w:p>
        </w:tc>
      </w:tr>
      <w:tr>
        <w:trPr>
          <w:trHeight w:val="20"/>
        </w:trPr>
        <w:tc>
          <w:tcPr>
            <w:tcW w:w="18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6"/>
              </w:rPr>
              <w:t>$ 4,290,424</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$ 3,533,339</w:t>
            </w:r>
          </w:p>
        </w:tc>
      </w:tr>
      <w:tr>
        <w:trPr>
          <w:trHeight w:val="20"/>
        </w:trPr>
        <w:tc>
          <w:tcPr>
            <w:tcW w:w="18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22"/>
          <w:szCs w:val="22"/>
          <w:i w:val="1"/>
          <w:iCs w:val="1"/>
          <w:color w:val="auto"/>
          <w:vertAlign w:val="superscript"/>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December 14, 2004, Wynn Las Vegas, LLC and Wynn Las Vegas Capital Corp. (together, the “Issuers”) issued $1.3 billion aggregate principal amount of 6 5/8% First Mortgage Notes (the “First Mortgage Notes”). On November 6, 2007, the Issuers issued, in a private offering, $400 million aggregate principal amount of 6 5/8% First Mortgage Notes due 2014 at a price of 97.25% of the principal amount (the “Additional Notes”). The Additional Notes were issued under the same indenture as the First Mortgage Notes issued on December 14, 2004. The First Mortgage Notes mature on December 1, 2014 and bear interest at the rate of 6 5/8% per year. The Company pays interest on the First Mortgage Notes on June 1st and December 1st of each year. Commencing December 1, 2009, the First Mortgage Notes are redeemable at the Company’s option at a price equal to 103.313% of the principal amount redeemed and declining ratably on December 1st of each year thereafter to zero on or after December 1, 2012.</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indenture governing the First Mortgage Notes and the Additional Notes contains covenants limiting the ability of the Issuers to incur additional debt, make distributions, investments and restricted payments, create liens, enter into 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First Mortgage Notes and the Additional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 first priority pledge of all of the member’s interests owned by Wynn Las Vegas, LLC in its subsidiaries (other than Wynn Completion Guarantor, LLC) and of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among other things, an aircraft beneficially owned by World Travel, LLC.</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and the Additional Notes rank equal to the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Additional Notes rank pari passu with, and will vote on any matter submitted to note holders with, the previously issued First Mortgage Notes. The Additional Notes are senior secured obligations of the Issuers, are guaranteed by Wynn Las Vegas, LLC’s subsidiaries (subject to some exceptions), and are secured by a first priority lien on substantially all of the existing and future assets of the Issuers and guarantors.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Additional Notes were registered under the Securities Act of 1933 and in May 2008, the Company completed an exchange of the Additional Notes for registered, publicly traded notes that have substantially identical terms as the Additional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Billion Term Loan Facility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June 21, 2007, the Company entered into a $1 billion term loan facility (the “Term Loan Facility”). Borrowings under the Term Loan Facility were available in the form of a delayed-draw term loan facility available through December 31, 2007, with the option to increase the facility to $1.25 billion if certain conditions are met. As of December 31, 2007, the Company had borrowed $1 billion under the Term Loan Facility and no additional amounts are available. The Term Loan Facility was available to fund (a) the Company’s equity repurchase program announced on June 7, 2007 and (b) up to $350 million for general corporate purposes. Of the $1 billion drawn at December 31, 2007, $500 million was included as restricted cash in the accompanying Consolidated Balance Sheet as such amount was only to be used to fund the Company’s equity repurchases or repay the loans.</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 August 1, 2008, the Company amended the $1 billion Wynn Resorts Term Loan. This amendment allowed Stephen A. Wynn, the Company’s Chairman and Chief Executive Officer, to purchase an interest in the debt. On August 1, 2008, Mr. Wynn advised the Company that he purchased $198,250,000 of the face amount of the outstanding debt under the $1 billion Wynn Term Loan Facility from a third party. On November 13, 2008, the Company further amended the Term Loan Facility to purchase loans outstanding up to $650 million prior to March 31, 2009. On November 26, 2008, the Company purchased $625 million of loans under the Term Loan Facility at a discounted price of 95.375%, resulting in the retirement of $625 million of principal for a payment of $596.1 million. The loans purchased included the interests held by Mr. Wynn. In connection with this transaction, the Company recognized a $22.3 million gain on early retirement of debt, net of the write-off of unamortized debt issue costs and fees. The remaining $375 million will mature and be payable on June 21, 2010.</w:t>
      </w:r>
    </w:p>
    <w:p>
      <w:pPr>
        <w:spacing w:after="0" w:line="10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Loans under the Term Loan Facility accrue interest, at the election of the Company, at either the London Interbank Offer Rate (“LIBOR”) or a Base Rate, plus a borrowing margin as described below. Interest on LIBOR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incurred a fee of 112.5 bps per annum of the actual daily amount by which the actual Term Loan Facility commitment exceeded the outstanding amount of the Term Loan Facility.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December 14, 2004, Wynn Las Vegas, LLC entered into a credit agreement and related ancillary agreements for secured revolving credit and term loan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facilities in the aggregate amount of $1 billion. The credit facilities consisted of a revolving credit facility (the “Wynn Las Vegas Revolver”)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 million and a term loan facility (the “Wynn Las Vegas Term Loan”) in the amount of $400 million. The Wynn Las Vegas Revolver was to terminate and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payable in full on December 14, 2009, and the Wynn Las Vegas Term Loan was to mature on December 14, 2011.</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15, 2006, the Company refinanced the above noted credit facilities and entered into an Amended and Restated Credit Agreement (the “Amended and Restated Credit Agreement”) which increased the Wynn Las Vegas credit facilities from $1 billion to $1.125 billion by increasing the Wynn Las Vegas Revolver from $600 million to $900 million and reducing the Wynn Las Vegas Term Loan from $400 million to $225 million. The $900 million Wynn Las Vegas Revolver and the $225 million Wynn Las Vegas Term Loan are herein referred to as the “Wynn Las Vegas Credit Facilities”. In August 2006, the maturity dates for the Wynn Las Vegas Revolver and the Wynn Las Vegas Term Loan were extended to August 15, 2011 and August 15, 2013, respectively. One half of the Wynn Las Vegas Term Loan is due on September 30, 2012 and the remaining half is due August 15, 2013.</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For purposes of calculating interest, loans under the Wynn Las Vegas Credit Facilities will be designated, at the election of Wynn Las Vegas, LLC, as Eurodollar Loans or, in certain circumstances, Base Rate Loans. Eurodollar Loans under the Wynn Las Vegas Revolver and Wynn Las Vegas Term Loan bear interest initially at the Eurodollar rate plus 1.625% and the Eurodollar rate plus 1.875%, respectively. Interest on Eurodollar Loans is payable at the end of the applicable interest period in the case of interest periods of one, two or three months, and every three months in the case of interest periods of six months. Base Rate Loans bear interest at (a) the greater of (i) the rate most recently announced by Deutsche Bank as its “prime rate,” or (ii) the Federal Funds Rate plus 1/2 of 1% per annum; plus (b) a borrowing margin 0.625% or 0.875% under the Wynn Las Vegas Revolver and Wynn Las Vegas Term Loans, respectively. Interest on Base Rate Loans will be payable quarterly in arrears.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Beginning June 30, 2009, the applicable borrowing margins for the Wynn Las Vegas Revolver will be based on Wynn Las Vegas, LLC’s leverage ratio, ranging from 1% to 1.75% per annum for Eurodollar Loans and 0% to 0.75% per annum for Base Rate Loans. Wynn Las Vegas, LLC also pays, quarterly in arrears, 0.375% per annum on the daily average of unborrowed availability under the Wynn Las Vegas Revolver. Beginning June 30, 2009, the annual fee Wynn Las Vegas, LLC will be required to pay for unborrowed availability under the Wynn Las Vegas Revolver will be based on Wynn Las Vegas, LLC’s leverage ratio, ranging from 0.25% to 0.50% per annum.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Wynn Las Vegas Credit Facilities rank equal in right of payment with their existing and future senior indebtedness, including indebtedness with respect to the First Mortgage Notes and the Additional Notes and ranks senior in right of payment to all of their existing and future subordinated indebtedness.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has the option to prepay all or any portion of the indebtedness under the Wynn Las Vegas Credit Facilities at any time without premium or penalty.</w:t>
      </w:r>
    </w:p>
    <w:p>
      <w:pPr>
        <w:spacing w:after="0" w:line="11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The Amended and Restated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w:t>
      </w:r>
    </w:p>
    <w:p>
      <w:pPr>
        <w:spacing w:after="0" w:line="2" w:lineRule="exact"/>
        <w:rPr>
          <w:sz w:val="20"/>
          <w:szCs w:val="20"/>
          <w:color w:val="auto"/>
        </w:rPr>
      </w:pPr>
    </w:p>
    <w:p>
      <w:pPr>
        <w:jc w:val="both"/>
        <w:ind w:right="300" w:firstLine="8"/>
        <w:spacing w:after="0" w:line="300" w:lineRule="auto"/>
        <w:tabs>
          <w:tab w:leader="none" w:pos="21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Consolidated Leverage Ratio, as defined, not greater than 5.00 to 1 as of December 31, 2008, and (ii) Consolidated Interest Coverage Ratio, as defined, not less than 1.40 to 1. Management believes that the Company was in compliance with all covenants at December 31, 2008. The Consolidated Leverage Ratio is</w:t>
      </w:r>
    </w:p>
    <w:p>
      <w:pPr>
        <w:ind w:right="100"/>
        <w:spacing w:after="0" w:line="302" w:lineRule="auto"/>
        <w:rPr>
          <w:rFonts w:ascii="Arial" w:cs="Arial" w:eastAsia="Arial" w:hAnsi="Arial"/>
          <w:sz w:val="15"/>
          <w:szCs w:val="15"/>
          <w:color w:val="auto"/>
        </w:rPr>
      </w:pPr>
      <w:r>
        <w:rPr>
          <w:rFonts w:ascii="Arial" w:cs="Arial" w:eastAsia="Arial" w:hAnsi="Arial"/>
          <w:sz w:val="16"/>
          <w:szCs w:val="16"/>
          <w:color w:val="auto"/>
        </w:rPr>
        <w:t>5.00 to 1, 8.25 to 1, 7.75 to 1 and 7.50 to 1 for each of the reporting periods ending March 31, 2009, June 30, 2009, September 30, 2009 and December 31, 2009, respectively. The Consolidated Interest Coverage Ratio is 1.35 to 1 for the reporting period ending March 31, 2009, and then increases to 1.75 to 1 for the reporting periods ending June 30, 2009 and September 30, 2009, and 2.00 to 1 for the reporting period ending December 31, 2009.</w:t>
      </w:r>
    </w:p>
    <w:p>
      <w:pPr>
        <w:spacing w:after="0" w:line="10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accordance with EITF 96-19, “Debtor’s Accounting for a Modification or Exchange of Debt Instruments,” the Company recorded a loss from extinguishment of debt for the year ended December 31, 2006 of approximately $10.8 million to reflect the write-off of the previous Term Loan’s unamortized deferred financing costs and the payment of certain third-party bank fees incurred during the refinancing of the Wynn Las Vegas Credit Facilities.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April 2007, the Company amended the Wynn Las Vegas Credit Facilities to: (a) have the Final Completion, as defined, be deemed satisfied for Wynn Las Vegas with the resulting release of (i) all amounts in excess of $30 million from the Completion Guaranty Deposit Account, ($24.6 million), and (ii) the balance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funds in the Project Liquidity Reserve Account ($32.8 million), (b) increase the permitted expenditures for Encore from $300 million to $500 million prior to the execution of a guaranteed maximum price construction contract, and (c) permit the issuance of up to $500 million of unsecured debt as and when permitted under the indenture governing the First Mortgage Notes.</w:t>
      </w:r>
    </w:p>
    <w:p>
      <w:pPr>
        <w:spacing w:after="0" w:line="14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October 2007, the Company further amended the Wynn Las Vegas Credit Facilities to (a) permit the issuance of up to $500 million of secured indebtedness, in lieu of the $500 million unsecured indebtedness in the April 2007 amendment, (b) remove certain language related to the inter-company loan made by Wynn Las Vegas to Wynn Resorts (Macau) S.A. and (c) amend certain provisions governing Wynn Las Vegas’ insurance related obligations.</w:t>
      </w:r>
    </w:p>
    <w:p>
      <w:pPr>
        <w:spacing w:after="0" w:line="10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On September 17, 2008, Wynn Las Vegas entered into a third amendment to the Amended and Restated Credit Agreement. This amendment, among other things, provides Wynn Las Vegas with additional flexibility with respect to its financial covenants and related financial calculations.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September 14, 2004, Wynn Macau, S.A. executed a definitive credit agreement and related ancillary agreements for a senior secured bank facility of $397 million (the “Wynn Macau Credit Facility”). The Wynn Macau Credit Facility consisted of term loan facilities in the amount of $382 million (in a combination of Hong Kong and US dollars) and a revolving working capital facility of HK$117 million (approximately US$15 million).</w:t>
      </w:r>
    </w:p>
    <w:p>
      <w:pPr>
        <w:spacing w:after="0" w:line="10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September 2005, to accommodate Wynn Macau’s expansion, the Wynn Macau Credit Facility was amended to expand availability under the facility from $397 million to $764 million, including $729 million of senior term loan facilities, a HK$117 million revolving credit facility (approximately US$15 million), and an additional term loan facility of HK$156 million (approximately US$20 million).</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June 27, 2007, the Company amended the Wynn Macau Credit Facility dated September 2005 and entered into related amendments and agreements with a syndicate of lenders. The amended agreements took effect on June 29, 2007 and expand availability under the Wynn Macau Credit Facility from $764 million to $1.550 billion, in a combination of Hong Kong and US dollars, including a $550 million equivalent in fully-funded senior term loan facilities (the “Wynn Macau Term Loan”), and a $1 billion senior revolving credit facility (the “Wynn Macau Revolver”). Wynn Macau also has the ability to upsize the total facilities by an additional $50 million pursuant to the terms and provisions of the agreements. The senior credit facilities described in this paragraph are collectively referred to herein as the “Wynn Macau Credit Facilities”.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Wynn Macau Term Loan matures in June 2014, and the Wynn Macau Revolver matures in June 2012. The principal amount of the Wynn Macau Term Loan is required to be repaid in quarterly installments, commencing in September 2011. Borrowings under the Wynn Macau Credit Facilities currently bear interest at LIBOR or the Hong Kong Interbank Offer Rate (“HIBOR”) plus a margin of 1.75%.</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part of the amendment to the Wynn Macau Credit Facilities, Wynn Resorts, Limited’s remaining support obligations to Wynn Macau and the $30 million in contingent equity previously provided by the Company have been released.</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of the Company that own interests in Wynn Macau, S.A., either directly or indirectly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through other subsidiaries, have executed guarantees of the loans and pledged their interests in Wynn Macau, S.A. as additional security for repayment of the loans. In addition, the Wynn Macau Credit Facilities’ governing documents contain capital spending limits and other affirmative and negative covenants.</w:t>
      </w:r>
    </w:p>
    <w:p>
      <w:pPr>
        <w:spacing w:after="0" w:line="8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Wynn Macau Credit Facilities contain customary covenants restricting our activities including, but not limited to: the incurrence of additional indebtedness, the incurrence or creation of liens on any of its property, sales and leaseback transactions, the ability to dispose of assets, and make loans or other investments. In addition, the Company was required by the financial covenants to maintain a Leverage Ratio, as defined, not greater than 4.75 to 1 as of December 31, 2008, and Interest Coverage Ratio, as defined, not less than 2.00 to 1. Management believes that the Company was in compliance with all covenants at December 31, 2008. The Leverage Ratio increases to not greater than 5.00 to 1 for all reporting periods in 2009.</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September 2004, in connection with the initial financing of the Wynn Macau project, Wynn Macau, S.A. entered into a Bank Guarantee Reimbursement Agreement with BNU to secure a guarantee in the amount of 700 million Patacas (approximately US$87.1 million) that was effective until March 31, 2007. The amount of this guarantee was reduced to $300 million Patacas (approximately 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under the terms of the concession agreement.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Prior to April 1, 2007, BNU was paid an annual fee for the guarantee not to exceed approximately 12.3 million Macau Patacas (approximately US$1.5 million), and after April 1, 2007, $5.2 million Macau Patacas (approximately US$0.7 million).</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On February 4, 2009, the Company borrowed the remaining $500 million that was available under the Wynn Macau Revolver. Accordingly there are no amounts remaining available under the Wynn Macau Credit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$42 Million Note Payable for Aircraft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March 30, 2007, World Travel, LLC, a subsidiary of Wynn Las Vegas, refinanced a $44.75 million note payable with a new loan. This new loan has a principal balance of $42 million and is due April 1, 2017. The loan is guaranteed by Wynn Las Vegas, LLC and secured by a first priority security interest in one of the Company’s aircraft. Principal and interest payments are made quarterly and began on July 1, 2007. Principal payments are $350,000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 during the year ended December 31,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$32.5 Million Note Payable for Aircraft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May 10, 2007, World Travel G-IV, LLC., a subsidiary of Wynn Resorts, entered into a $32.5 million term loan credit facility to finance the purchase of an aircraft. The loan bears interest at LIBOR plus 1.15% and will mature on August 10, 2012. Principal and interest payments are made quarterly beginning July 1, 2007. Principal payments are approximately $542,000 with a balloon payment of $21.1 million due at maturity.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net book value of the First Mortgage Notes at December 31, 2008 and 2007 was approximately $1.7 billion. The estimated fair value of the First Mortgage Notes based upon most recent trades at December 31, 2008 and 2007 was approximately $1.25 billion and $1.67 billion, respectively. The estimated fair value of the Company’s other debt instruments was approximately $1.6 billion with a book value of $2.6 billion.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Scheduled maturities of long-term debt are as follows (amounts in thousands):</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Years Ending December 31,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2009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1,921,036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4,302,670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 Company accounts for its interest rate swaps in accordance with SFAS No. 133, “Accounting for Derivative Instruments and Hedging Activities”, as amended.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Income, as the interest rate swaps do not qualify for hedge accounting.</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swaps on a recurring basis pursuant to SFAS No. 157. SFAS No. 157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following table represents the historical asset (liability) fair values recorded in the accompanying Consolidated Balance Sheets as of December 31, 2008 and 2007. The fair value approximates the amount the Company would receive/(pay)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2"/>
              </w:rPr>
              <w:t>Net Total Interest</w:t>
            </w:r>
          </w:p>
        </w:tc>
      </w:tr>
      <w:tr>
        <w:trPr>
          <w:trHeight w:val="161"/>
        </w:trPr>
        <w:tc>
          <w:tcPr>
            <w:tcW w:w="1680" w:type="dxa"/>
            <w:vAlign w:val="bottom"/>
          </w:tcPr>
          <w:p>
            <w:pPr>
              <w:spacing w:after="0"/>
              <w:rPr>
                <w:sz w:val="20"/>
                <w:szCs w:val="20"/>
                <w:color w:val="auto"/>
              </w:rPr>
            </w:pPr>
            <w:r>
              <w:rPr>
                <w:rFonts w:ascii="Arial" w:cs="Arial" w:eastAsia="Arial" w:hAnsi="Arial"/>
                <w:sz w:val="14"/>
                <w:szCs w:val="14"/>
                <w:b w:val="1"/>
                <w:bCs w:val="1"/>
                <w:color w:val="auto"/>
                <w:w w:val="93"/>
              </w:rPr>
              <w:t>Asset / (liability) fair value:</w:t>
            </w:r>
          </w:p>
        </w:tc>
        <w:tc>
          <w:tcPr>
            <w:tcW w:w="398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Wynn Resorts</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Rate Swaps</w:t>
            </w:r>
          </w:p>
        </w:tc>
      </w:tr>
      <w:tr>
        <w:trPr>
          <w:trHeight w:val="142"/>
        </w:trPr>
        <w:tc>
          <w:tcPr>
            <w:tcW w:w="1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(amounts in thousands)</w:t>
            </w:r>
          </w:p>
        </w:tc>
        <w:tc>
          <w:tcPr>
            <w:tcW w:w="39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418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(15,334)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(12,539)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(27,873)</w:t>
            </w:r>
          </w:p>
        </w:tc>
      </w:tr>
      <w:tr>
        <w:trPr>
          <w:trHeight w:val="222"/>
        </w:trPr>
        <w:tc>
          <w:tcPr>
            <w:tcW w:w="1680" w:type="dxa"/>
            <w:vAlign w:val="bottom"/>
          </w:tcPr>
          <w:p>
            <w:pPr>
              <w:spacing w:after="0"/>
              <w:rPr>
                <w:sz w:val="20"/>
                <w:szCs w:val="20"/>
                <w:color w:val="auto"/>
              </w:rPr>
            </w:pPr>
            <w:r>
              <w:rPr>
                <w:rFonts w:ascii="Arial" w:cs="Arial" w:eastAsia="Arial" w:hAnsi="Arial"/>
                <w:sz w:val="18"/>
                <w:szCs w:val="18"/>
                <w:color w:val="auto"/>
              </w:rPr>
              <w:t>December 31, 2007</w:t>
            </w:r>
          </w:p>
        </w:tc>
        <w:tc>
          <w:tcPr>
            <w:tcW w:w="418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(2,679)</w:t>
            </w:r>
          </w:p>
        </w:tc>
      </w:tr>
      <w:tr>
        <w:trPr>
          <w:trHeight w:val="356"/>
        </w:trPr>
        <w:tc>
          <w:tcPr>
            <w:tcW w:w="1680" w:type="dxa"/>
            <w:vAlign w:val="bottom"/>
          </w:tcPr>
          <w:p>
            <w:pPr>
              <w:spacing w:after="0"/>
              <w:rPr>
                <w:sz w:val="24"/>
                <w:szCs w:val="24"/>
                <w:color w:val="auto"/>
              </w:rPr>
            </w:pP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Swap</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February 1, 2008, the Company entered into an interest rate swap to hedge the underlying interest rate risk on all of the borrowings under the Term Loan Facility. Pursuant to the terms of this interest rate swap, the Company paid a fixed rate of 2.836% on the $1 billion notional amount and received payments based on LIBOR. This swap fixed the interest rate at approximately 5.09%. On December 8, 2008, the Company modified the terms of this swap so that the current notional amount is $375 million to match the current debt outstanding. Pursuant to the amendment, the Company now pays a fixed rate of 3.95% which fixes the interest rate at approximately 6.2% through June 2010. This swap matures in June 2010.</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December 2008, the Company’s $200 million notional amount interest rate swap to essentially fix the interest rate on $200 million of the $225 million of Wynn Las Vegas Term Loan borrowings matured. Pursuant to the terms of this interest rate swap, the Company paid a fixed rate of 3.793% on the $200 million notional amount and received payments based on LIBOR. This swap fixed the interest rate at approximately 5.7% on $200 million of the outstanding $225 million term loan.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November 2005, the Company entered into interest rate swap agreements to hedge a portion of the underlying interest rate risk on current and future borrowings under the Wynn Macau Term Loan. In August 2008, the Company terminated these interest rate swaps and entered into new interest rate swaps which will mature in August 2011. Under the first terminated swap agreement, the Company paid a fixed interest rate of 4.84% on borrowings incurred under the Wynn Macau Term Loan up to a maximum of approximately $198.2 million, in exchange for receipts on the same amounts at a variable interest rate based on the applicable LIBOR at the time of payment. Under the second terminated swap agreement, the Company paid a fixed interest rate of 4.77% on borrowings incurred under the Wynn Macau Term Loan up to a maximum of approximately HK $1.1 billion (approximately U.S. $140 million), in exchange for receipts on the same amounts at a variable interest rate based on the applicable HIBOR at the time of payment. The terminated interest rate swaps fixed the interest rates on the U.S. dollar and the Hong Kong dollar borrowings under the Wynn Macau Term Loan at approximately 6.59% and 6.52%, respectively. In connection with this transaction, the Company recorded a gain of approximately $0.9 million to reflect the increase in the value of such swaps from June 30, 2008 to the termination date and paid to the counterparties of the terminated swaps a cash settlement payment of approximately $2.2 million.</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August 2008, under the first new swap agreement, the Company pays a fixed interest rate of 3.632% on U.S. dollar borrowings of approximately $153.8 million incurred under the Wynn Macau Term Loan in exchange for receipts on the same amount at a variable interest rate based on the applicable LIBOR at the time of payment. Under the second new swap agreement, the Company pays a fixed interest rate of 3.39% on Hong Kong dollar borrowings of approximately HK $991.6 million (approximately U.S. $127.9 million) incurred under the Wynn Macau Term Loan in exchange for receipt on the same amount at a variable interest rate based on the applicable HIBOR at the time of payment. These interest rate swaps fix the interest rates on the U.S. dollar and the Hong Kong dollar borrowings under the Wynn Macau Term Loan at approximately 5.382% and 5.14%,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Comprehensive income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4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$210,206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$258,148</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$ 628,728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3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5,519</w:t>
            </w:r>
          </w:p>
        </w:tc>
        <w:tc>
          <w:tcPr>
            <w:tcW w:w="3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(2,811)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r>
      <w:tr>
        <w:trPr>
          <w:trHeight w:val="27"/>
        </w:trPr>
        <w:tc>
          <w:tcPr>
            <w:tcW w:w="54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w:t>
            </w:r>
          </w:p>
        </w:tc>
        <w:tc>
          <w:tcPr>
            <w:tcW w:w="4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215,725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255,337</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2"/>
              </w:rPr>
              <w:t>$ 628,634</w:t>
            </w:r>
          </w:p>
        </w:tc>
      </w:tr>
      <w:tr>
        <w:trPr>
          <w:trHeight w:val="20"/>
        </w:trPr>
        <w:tc>
          <w:tcPr>
            <w:tcW w:w="5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of December 31, 2008, 2007 and 2006, accumulated other comprehensive income consists solely of currency translation adjustments. The December 31, 2008 currency translation adjustment includes a deferred tax provision of $1.4 million.</w:t>
      </w:r>
    </w:p>
    <w:p>
      <w:pPr>
        <w:spacing w:after="0" w:line="248"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of the Company, including the personal use of employees, construction work and other personal services. Mr. Wynn and other officers have deposits with the Company to prepay any such items, which are replenished on an ongoing basis as needed. At December 31, 2008 and 2007, Mr. Wynn and the other officers had a credit balance with the Company of $434,003 and $357,145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Effective July 1, 2005, Mr. Wynn and his wife, Elaine P.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 year period commencing July 1, 2005 and ended June 30, 2008 to be $580,000. Certain services for, and maintenance of, the suite are included in the rental. For the two year period commencing July 1, 2008 and ending June 30, 2010, based on a third-party appraisal and a reduction in housekeeping services to be provided, the Audit Committee determined the rent for each year will be $520,000.</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3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Contract Termination Fee</w:t>
      </w:r>
    </w:p>
    <w:p>
      <w:pPr>
        <w:spacing w:after="0" w:line="96" w:lineRule="exact"/>
        <w:rPr>
          <w:sz w:val="20"/>
          <w:szCs w:val="20"/>
          <w:color w:val="auto"/>
        </w:rPr>
      </w:pPr>
    </w:p>
    <w:p>
      <w:pPr>
        <w:ind w:right="760" w:firstLine="456"/>
        <w:spacing w:after="0" w:line="259" w:lineRule="auto"/>
        <w:rPr>
          <w:sz w:val="20"/>
          <w:szCs w:val="20"/>
          <w:color w:val="auto"/>
        </w:rPr>
      </w:pPr>
      <w:r>
        <w:rPr>
          <w:rFonts w:ascii="Arial" w:cs="Arial" w:eastAsia="Arial" w:hAnsi="Arial"/>
          <w:sz w:val="18"/>
          <w:szCs w:val="18"/>
          <w:color w:val="auto"/>
        </w:rPr>
        <w:t>On May 28, 2006, the Company ended a production show that had performed at Wynn Las Vegas. To terminate the contract, the Company paid a termination fee of $5 million, which was recorded in the first quarter of 2006 in accordance with the liability recognition provisions of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Charges and Other</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charges and other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500" w:type="dxa"/>
            <w:vAlign w:val="bottom"/>
            <w:gridSpan w:val="7"/>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9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abandoned/retired for remodels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$32,584</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$70,242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Donation of vase</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aircraft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vMerge w:val="restart"/>
          </w:tcPr>
          <w:p>
            <w:pPr>
              <w:ind w:left="440"/>
              <w:spacing w:after="0"/>
              <w:rPr>
                <w:sz w:val="20"/>
                <w:szCs w:val="20"/>
                <w:color w:val="auto"/>
              </w:rPr>
            </w:pPr>
            <w:r>
              <w:rPr>
                <w:rFonts w:ascii="Arial" w:cs="Arial" w:eastAsia="Arial" w:hAnsi="Arial"/>
                <w:sz w:val="18"/>
                <w:szCs w:val="18"/>
                <w:color w:val="auto"/>
              </w:rPr>
              <w:t>Total property charges and other</w:t>
            </w: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40" w:type="dxa"/>
            <w:vAlign w:val="bottom"/>
            <w:vMerge w:val="continue"/>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32,584</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60,857</w:t>
            </w:r>
          </w:p>
        </w:tc>
        <w:tc>
          <w:tcPr>
            <w:tcW w:w="22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0"/>
        </w:trPr>
        <w:tc>
          <w:tcPr>
            <w:tcW w:w="8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year ended December 31, 2008 were $32.6 million and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Company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Property charges and other for the year ended December 31, 2007 included the following charges at Wynn Macau: (a) a $10 million charge for the abandonment of a parking garage to make way for Encore at Wynn Macau, (b) a $10.2 million charge related to abandonment costs for portions of the main kitchen, warehouse and restaurants to enable the main casino to be connected with the expansion that opened in December 2007, (c) a $22.1 million charge related to significant casino and retail reconfigurations in the expansion that opened in December 2007, and (d) a $15.5 million charge related to the abandonment of a theater. The remaining property charges were related to renovations to portions of the Le Rêve Theater, the abandonment of a marquee sign and the conversion of two retail outlets and a nightclub at Wynn Las Vegas, as well as the remodeling of certain areas at Wynn Macau. Offsetting these charges for the year ended December 31, 2007 was a gain of $9.4 million on the sale of a company aircraft.</w:t>
      </w:r>
    </w:p>
    <w:p>
      <w:pPr>
        <w:spacing w:after="0" w:line="11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Included in property charges and other for 2006 are approximately $14.9 million of costs relating to assets retired or abandoned. Also, in December 2006, Wynn Macau donated an early Ming dynasty vase to the Macau Museum. The Company purchased the vase in May 2006 for approximately $10.1 million. The vase had been on public display at Wynn Macau prior to its donation to the museum.</w:t>
      </w:r>
    </w:p>
    <w:p>
      <w:pPr>
        <w:spacing w:after="0" w:line="256" w:lineRule="exact"/>
        <w:rPr>
          <w:sz w:val="20"/>
          <w:szCs w:val="20"/>
          <w:color w:val="auto"/>
        </w:rPr>
      </w:pPr>
    </w:p>
    <w:p>
      <w:pPr>
        <w:ind w:right="9400" w:firstLine="8"/>
        <w:spacing w:after="0" w:line="347" w:lineRule="auto"/>
        <w:tabs>
          <w:tab w:leader="none" w:pos="446"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i w:val="1"/>
          <w:iCs w:val="1"/>
          <w:color w:val="auto"/>
        </w:rPr>
        <w:t>Common Stock</w:t>
      </w:r>
    </w:p>
    <w:p>
      <w:pPr>
        <w:spacing w:after="0" w:line="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2008 and 2007, 112,013,040 shares and 114,370,090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June 6, 2007, the Board of Directors of Wynn Resorts authorized an equity repurchase program of up to $1.2 billion that allowed purchases of both its Common Stock and its Debentures. On July 10, 2008, the Board of Directors of the Company authorized an increase of $500 million to its previously announced equity repurchase program bringing the total authorized to $1.7 billion. The repurchase program may include repurchases from time to time through open market purchases or negotiated transactions, depending upon market conditions. During the year ended December 31, 2008, the Company repurchased 10,915,633 shares for a net cost of $940.1 million. As of December 31, 2008, the Company had repurchased a cumulative total of 12,804,954 shares of the Company’s Common Stock for a net cost of $1.1 billion under the program.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 2007, the Company completed a secondary common stock offering of 4,312,500 shares with net proceeds of $664.1 million.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18, 2008, the Company completed a secondary common stock offering of 8 million shares with net proceeds of $344.3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As of December 31, 2008,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23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Cash Distributions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November 19, 2007, the Company’s Board of Directors declared a cash distribution of $6 per share on its outstanding Common Stock. This distribution was paid on December 10, 2007 to stockholders of record on November 30, 2007. For the year ended December 31, 2007, $686.1 million was recorded as a distribution in the accompanying Consolidated Statements of Stockholders’ Equity. Of this amount approximately $3.3 million was recorded as a liability which will be paid to the holders of nonvested stock upon the vesting of that stock.</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13, 2006, the Company’s Board of Directors declared a cash distribution of $6 per share on its outstanding Common Stock. This distribution was paid on December 4, 2006, to stockholders of record as of November 23, 2006. As part of this distribution, the Company made a payment to the holders of its Debentures so that they participated in the distribution to the same extent as if they had converted their Debentures to common stock. The Company paid holders of the Debentures a cash amount equal to $260.87 per $1,000 principal amount which equates to $58.5 million. In accordance with the indenture governing the Debentures, as a result of the payment, no adjustment was made to the conversion price. The payment was recorded as a Distribution to Convertible Debenture Holders in the accompanying Consolidated Statement of Income for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year ended December 31, 2006. The remaining $611.3 million was recorded as a distribution in the accompanying Consolidated Statement of Stockholders’ Equity for the year ended December 31, 2006. Of this amount approximately $3 million was recorded as a liability which will be paid to the holders of nonvested stock upon the vesting of that stock.</w:t>
      </w:r>
    </w:p>
    <w:p>
      <w:pPr>
        <w:spacing w:after="0" w:line="256" w:lineRule="exact"/>
        <w:rPr>
          <w:sz w:val="20"/>
          <w:szCs w:val="20"/>
          <w:color w:val="auto"/>
        </w:rPr>
      </w:pPr>
    </w:p>
    <w:p>
      <w:pPr>
        <w:ind w:right="9700" w:firstLine="8"/>
        <w:spacing w:after="0" w:line="417" w:lineRule="auto"/>
        <w:tabs>
          <w:tab w:leader="none" w:pos="446"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an expense for matching contributions of approximately $5.3 million, $4.9 million and $3.4 million for the years ended December 31, 2008, 2007 and 2006, respectively. Effective March 16, 2009, the Company is suspending matching contributions to this plan.</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an expense of approximately $4.6 million, $4.5 million and $4.6 million under such plans for the years ended December 31, 2008, 2007 and 2006, respectively. Information from the plans’ sponsors is not available to permit the Company to determine its share of unfunded vested benefits, if 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established the 2002 Stock Incentive Plan (the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Stock Plan. However, only employees of the Company are eligible to receive incentive stock options.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maximum of 9,750,000 shares of Common Stock were reserved for issuance under the Stock Plan. As of December 31, 2008, 3,124,212 shares remain available for the grant of stock options or nonvested shares of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Stock Plan as of December 31, 2008, and the changes during the year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4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4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7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Term</w:t>
            </w:r>
          </w:p>
        </w:tc>
        <w:tc>
          <w:tcPr>
            <w:tcW w:w="4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2,024,425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48.04</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860,000</w:t>
            </w:r>
          </w:p>
        </w:tc>
        <w:tc>
          <w:tcPr>
            <w:tcW w:w="2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106.84</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(94,583)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29.41</w:t>
            </w: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66.20</w:t>
            </w: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2,782,342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8"/>
              </w:rPr>
              <w:t>$9,562,878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2008</w:t>
            </w: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42.24</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5.60</w:t>
            </w:r>
          </w:p>
        </w:tc>
        <w:tc>
          <w:tcPr>
            <w:tcW w:w="1260" w:type="dxa"/>
            <w:vAlign w:val="bottom"/>
            <w:gridSpan w:val="3"/>
            <w:vMerge w:val="restart"/>
          </w:tcPr>
          <w:p>
            <w:pPr>
              <w:jc w:val="center"/>
              <w:ind w:left="332"/>
              <w:spacing w:after="0"/>
              <w:rPr>
                <w:sz w:val="20"/>
                <w:szCs w:val="20"/>
                <w:color w:val="auto"/>
              </w:rPr>
            </w:pPr>
            <w:r>
              <w:rPr>
                <w:rFonts w:ascii="Arial" w:cs="Arial" w:eastAsia="Arial" w:hAnsi="Arial"/>
                <w:sz w:val="18"/>
                <w:szCs w:val="18"/>
                <w:color w:val="auto"/>
                <w:w w:val="88"/>
              </w:rPr>
              <w:t>$9,562,878</w:t>
            </w: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1,102,570</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December 31, 2008, 2007 and 2006 was $61.50, $52.40 and $31.01, respectively. The total intrinsic value of the options exercised for the years ended December 31, 2008, 2007 and 2006 was $6.1 million, $21.4 million and $72.5 million, respectively. Net cash proceeds from the exercise of stock options were $2.8 million, $9.2 million, and $21.8 million for the years ended December 31, 2008, 2007 and 2006, respectively. No tax benefits were recognized since these benefits did not reduce income taxes payable.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Nonvested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Stock Plan’s nonvested shares as of December 31, 2008 and changes during the year then ended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6"/>
              </w:rPr>
              <w:t>489,500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w w:val="86"/>
              </w:rPr>
              <w:t>560,000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(35,000)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w w:val="92"/>
              </w:rPr>
              <w:t>(96,000)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14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6"/>
              </w:rPr>
              <w:t>918,500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Cost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2005, the SEC issued SAB No. 107, “Share-Based Payment”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 (including corporate expenses).</w:t>
      </w:r>
    </w:p>
    <w:p>
      <w:pPr>
        <w:spacing w:after="0" w:line="143"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Expected term represents the weighted average time between the option’s grant date and its exercise date. The Company used the simplified method prescribed by SAB No.’s 107 and 110 for companies with a limited trading history to estimate the expected term. Prior to the adoption of SFAS No. 123(R), the Company used its best estimate and comparisons to industry peers. The risk-free interest rate used for each period presented is based on the U.S. Treasury yield curve at the time of grant for the period equal to the expected term.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following weighted-average assumptions: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5"/>
              </w:rPr>
              <w:t>Years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2007</w:t>
            </w:r>
          </w:p>
        </w:tc>
        <w:tc>
          <w:tcPr>
            <w:tcW w:w="7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44.1%</w:t>
            </w:r>
          </w:p>
        </w:tc>
        <w:tc>
          <w:tcPr>
            <w:tcW w:w="1700" w:type="dxa"/>
            <w:vAlign w:val="bottom"/>
            <w:gridSpan w:val="3"/>
          </w:tcPr>
          <w:p>
            <w:pPr>
              <w:jc w:val="right"/>
              <w:ind w:right="580"/>
              <w:spacing w:after="0"/>
              <w:rPr>
                <w:sz w:val="20"/>
                <w:szCs w:val="20"/>
                <w:color w:val="auto"/>
              </w:rPr>
            </w:pPr>
            <w:r>
              <w:rPr>
                <w:rFonts w:ascii="Arial" w:cs="Arial" w:eastAsia="Arial" w:hAnsi="Arial"/>
                <w:sz w:val="18"/>
                <w:szCs w:val="18"/>
                <w:color w:val="auto"/>
              </w:rPr>
              <w:t>37.1%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7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adoption of SFAS No. 123(R) and the related interpretations on January 1, 2006 resulted in the Company’s elimination of approximately $15.8 million of deferred compensation against additional paid-in capital. The Company recognized approximately $11.7 million ($0.08 per basic and diluted share), approximately $10.9 million ($0.08 and $0.07, per basic and diluted share, respectively) and approximately $11.6 million ($0.08 and $0.07, per basic and diluted share, respectively) of compensation expense related to stock options for the years ended December 31, 2008, 2007 and 2006, respectively.</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compensation cost relating to stock options, during the year ended December 31, 2008, the Company recognized compensation expense related to nonvested shares of Common Stock of approximately $8.6 million ($0.07 per basic and diluted share). Approximately $56.6 million of unamortized compensation cost relating to nonvested shares of Common Stock at December 31, 2008 will be recognized as compensation over the vesting period of the related grants through December 2016. The total fair value of the shares vested during the years ended December 31, 2008, 2007, and 2006 was $2.5 million, $3.9 million and $11.2 million, respectively.</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years ended December 31, 2007 and 2006, the Company recognized compensation expense related to nonvested shares of Common Stock of approximately $7.6 million and $5.1 million ($0.05 and $0.03 per basic and diluted share) respectively. In addition, approximately $0.7 million and $1.3 million was capitalized to construction in progress during the years ended December 31, 2007 and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relating both to stock options and nonvested stock is allocated as follows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Rooms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11,634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Pre-opening</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20,328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18,527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Total stock-based compensation capitalized</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costs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20,908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19,336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40" w:type="dxa"/>
            <w:vAlign w:val="bottom"/>
            <w:vMerge w:val="restart"/>
          </w:tcPr>
          <w:p>
            <w:pPr>
              <w:jc w:val="right"/>
              <w:ind w:right="3112"/>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Sale of Macau Subconcession Right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4, 2006, Wynn Macau, S.A. entered into an agreement with Publishing &amp; Broadcasting, Ltd. (“PBL”) pursuant to which Wynn Macau, S.A.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agreed to sell to PBL for $900 million, the right to negotiate with the government of Macau for a subconcession to allow PBL to operate casinos in Macau.</w:t>
      </w:r>
    </w:p>
    <w:p>
      <w:pPr>
        <w:spacing w:after="0" w:line="1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September 8, 2006, the government of Macau approved the sale of the subconcession right. On September 11, 2006, Wynn Macau, S.A. completed the sale to PBL and received a cash payment of $900 million. As a result of the sale and the subconcession awarded to PBL by the government of Macau, Wynn Macau, S.A. has no continuing rights or obligations with respect to the subconcession. The proceeds from this sale, net of related costs, are recorded as gain on sale of subconcession right in the accompanying Consolidated Statements of Income for the year ended December 31, 2006.</w:t>
      </w:r>
    </w:p>
    <w:p>
      <w:pPr>
        <w:spacing w:after="0" w:line="22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Consolidated income (loss) before taxes for domestic and foreign operations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38"/>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160" w:type="dxa"/>
            <w:vAlign w:val="bottom"/>
            <w:tcBorders>
              <w:right w:val="single" w:sz="8" w:color="CCEEFF"/>
            </w:tcBorders>
            <w:gridSpan w:val="4"/>
            <w:shd w:val="clear" w:color="auto" w:fill="CCEEFF"/>
          </w:tcPr>
          <w:p>
            <w:pPr>
              <w:jc w:val="right"/>
              <w:ind w:right="272"/>
              <w:spacing w:after="0"/>
              <w:rPr>
                <w:sz w:val="20"/>
                <w:szCs w:val="20"/>
                <w:color w:val="auto"/>
              </w:rPr>
            </w:pPr>
            <w:r>
              <w:rPr>
                <w:rFonts w:ascii="Arial" w:cs="Arial" w:eastAsia="Arial" w:hAnsi="Arial"/>
                <w:sz w:val="18"/>
                <w:szCs w:val="18"/>
                <w:color w:val="auto"/>
                <w:w w:val="86"/>
              </w:rPr>
              <w:t>$ (104,731)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151,390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(28,893)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Foreign</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254,014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175,843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828,122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right w:val="single" w:sz="8" w:color="CCEEFF"/>
            </w:tcBorders>
            <w:gridSpan w:val="4"/>
            <w:shd w:val="clear" w:color="auto" w:fill="CCEEFF"/>
          </w:tcPr>
          <w:p>
            <w:pPr>
              <w:jc w:val="right"/>
              <w:ind w:right="332"/>
              <w:spacing w:after="0"/>
              <w:rPr>
                <w:sz w:val="20"/>
                <w:szCs w:val="20"/>
                <w:color w:val="auto"/>
              </w:rPr>
            </w:pPr>
            <w:r>
              <w:rPr>
                <w:rFonts w:ascii="Arial" w:cs="Arial" w:eastAsia="Arial" w:hAnsi="Arial"/>
                <w:sz w:val="18"/>
                <w:szCs w:val="18"/>
                <w:color w:val="auto"/>
                <w:w w:val="92"/>
              </w:rPr>
              <w:t>$ 149,283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327,233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799,229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40"/>
              <w:spacing w:after="0"/>
              <w:rPr>
                <w:sz w:val="20"/>
                <w:szCs w:val="20"/>
                <w:color w:val="auto"/>
              </w:rPr>
            </w:pPr>
            <w:r>
              <w:rPr>
                <w:rFonts w:ascii="Arial" w:cs="Arial" w:eastAsia="Arial" w:hAnsi="Arial"/>
                <w:sz w:val="18"/>
                <w:szCs w:val="18"/>
                <w:color w:val="auto"/>
                <w:w w:val="97"/>
              </w:rPr>
              <w:t>The Company’s benefit (provision) for income taxes consisted of the following (amounts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2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8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2008</w:t>
            </w:r>
          </w:p>
        </w:tc>
        <w:tc>
          <w:tcPr>
            <w:tcW w:w="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Federal</w:t>
            </w:r>
          </w:p>
        </w:tc>
        <w:tc>
          <w:tcPr>
            <w:tcW w:w="1160" w:type="dxa"/>
            <w:vAlign w:val="bottom"/>
            <w:gridSpan w:val="4"/>
          </w:tcPr>
          <w:p>
            <w:pPr>
              <w:jc w:val="right"/>
              <w:ind w:right="452"/>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312"/>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Federal</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57,968</w:t>
            </w:r>
          </w:p>
        </w:tc>
        <w:tc>
          <w:tcPr>
            <w:tcW w:w="40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(70,286)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4,854</w:t>
            </w: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2,134</w:t>
            </w: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62,822</w:t>
            </w:r>
          </w:p>
        </w:tc>
        <w:tc>
          <w:tcPr>
            <w:tcW w:w="40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(68,152)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(83,337)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60,923</w:t>
            </w: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(69,085)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(170,501)</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jc w:val="right"/>
              <w:ind w:right="2552"/>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4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consisted of the following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assets—U.S.: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Current:</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Receivables, inventories, accrued liabilities and other</w:t>
            </w:r>
          </w:p>
        </w:tc>
        <w:tc>
          <w:tcPr>
            <w:tcW w:w="424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29,896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Long-term:</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tax credit carryforwards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698,371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Net operating loss carryforwards</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Pre-opening costs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32,073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Intangibles and related other</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23,992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Interest rate swap valuation adjustment</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credit carryforwards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4,041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Syndication costs</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810,076</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valuation allowance</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(632,516)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177,560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181,470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liabilities—U.S.:</w:t>
            </w:r>
          </w:p>
        </w:tc>
        <w:tc>
          <w:tcPr>
            <w:tcW w:w="4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Current:</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insurance, Maintenance and taxes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(10,333)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Long-term:</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and equipment</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(179,695)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Undistributed earnings of foreign subsidiaries</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Interest rate swap valuation adjustment</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(191,437)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(313,744)</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Deferred tax assets—Foreign:</w:t>
            </w:r>
          </w:p>
        </w:tc>
        <w:tc>
          <w:tcPr>
            <w:tcW w:w="4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Pre-opening costs and other</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Pre-opening costs and other</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operating loss carryforwards</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19,484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Less: valuation allowance</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(10,625)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10,378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Deferred tax liabilities—Foreign:</w:t>
            </w:r>
          </w:p>
        </w:tc>
        <w:tc>
          <w:tcPr>
            <w:tcW w:w="4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w:t>
            </w:r>
          </w:p>
        </w:tc>
        <w:tc>
          <w:tcPr>
            <w:tcW w:w="4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Property equipment and other</w:t>
            </w: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4240" w:type="dxa"/>
            <w:vAlign w:val="bottom"/>
            <w:gridSpan w:val="2"/>
            <w:shd w:val="clear" w:color="auto" w:fill="CCEEFF"/>
          </w:tcPr>
          <w:p>
            <w:pPr>
              <w:ind w:left="4100"/>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(128,207)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100" w:type="dxa"/>
            <w:vAlign w:val="bottom"/>
            <w:vMerge w:val="restart"/>
          </w:tcPr>
          <w:p>
            <w:pPr>
              <w:jc w:val="right"/>
              <w:ind w:right="3332"/>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5"/>
              </w:rPr>
              <w:t>Years Ended December 31,</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8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35.0%</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7"/>
              </w:rPr>
              <w:t>35.0%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280" w:type="dxa"/>
            <w:vAlign w:val="bottom"/>
            <w:gridSpan w:val="2"/>
          </w:tcPr>
          <w:p>
            <w:pPr>
              <w:jc w:val="right"/>
              <w:ind w:right="552"/>
              <w:spacing w:after="0"/>
              <w:rPr>
                <w:sz w:val="20"/>
                <w:szCs w:val="20"/>
                <w:color w:val="auto"/>
              </w:rPr>
            </w:pPr>
            <w:r>
              <w:rPr>
                <w:rFonts w:ascii="Arial" w:cs="Arial" w:eastAsia="Arial" w:hAnsi="Arial"/>
                <w:sz w:val="18"/>
                <w:szCs w:val="18"/>
                <w:color w:val="auto"/>
              </w:rPr>
              <w:t>(38.5%)</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 net:</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440"/>
              <w:spacing w:after="0"/>
              <w:rPr>
                <w:sz w:val="20"/>
                <w:szCs w:val="20"/>
                <w:color w:val="auto"/>
              </w:rPr>
            </w:pPr>
            <w:r>
              <w:rPr>
                <w:rFonts w:ascii="Arial" w:cs="Arial" w:eastAsia="Arial" w:hAnsi="Arial"/>
                <w:sz w:val="18"/>
                <w:szCs w:val="18"/>
                <w:color w:val="auto"/>
              </w:rPr>
              <w:t>Foreign tax credits, net of valuation</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40"/>
              <w:spacing w:after="0"/>
              <w:rPr>
                <w:sz w:val="20"/>
                <w:szCs w:val="20"/>
                <w:color w:val="auto"/>
              </w:rPr>
            </w:pPr>
            <w:r>
              <w:rPr>
                <w:rFonts w:ascii="Arial" w:cs="Arial" w:eastAsia="Arial" w:hAnsi="Arial"/>
                <w:sz w:val="18"/>
                <w:szCs w:val="18"/>
                <w:color w:val="auto"/>
              </w:rPr>
              <w:t>allowance</w:t>
            </w:r>
          </w:p>
        </w:tc>
        <w:tc>
          <w:tcPr>
            <w:tcW w:w="1280" w:type="dxa"/>
            <w:vAlign w:val="bottom"/>
            <w:gridSpan w:val="2"/>
          </w:tcPr>
          <w:p>
            <w:pPr>
              <w:jc w:val="right"/>
              <w:ind w:right="552"/>
              <w:spacing w:after="0"/>
              <w:rPr>
                <w:sz w:val="20"/>
                <w:szCs w:val="20"/>
                <w:color w:val="auto"/>
              </w:rPr>
            </w:pPr>
            <w:r>
              <w:rPr>
                <w:rFonts w:ascii="Arial" w:cs="Arial" w:eastAsia="Arial" w:hAnsi="Arial"/>
                <w:sz w:val="18"/>
                <w:szCs w:val="18"/>
                <w:color w:val="auto"/>
                <w:w w:val="87"/>
              </w:rPr>
              <w:t>(483.4%)</w:t>
            </w:r>
          </w:p>
        </w:tc>
        <w:tc>
          <w:tcPr>
            <w:tcW w:w="12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Repatriation of Foreign earnings</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w w:val="94"/>
              </w:rPr>
              <w:t>471.6%</w:t>
            </w:r>
          </w:p>
        </w:tc>
        <w:tc>
          <w:tcPr>
            <w:tcW w:w="12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Distribution to Debenture Holders</w:t>
            </w:r>
          </w:p>
        </w:tc>
        <w:tc>
          <w:tcPr>
            <w:tcW w:w="128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Non-taxable Foreign income</w:t>
            </w:r>
          </w:p>
        </w:tc>
        <w:tc>
          <w:tcPr>
            <w:tcW w:w="12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(29.6%)</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(10.0%)</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360" w:type="dxa"/>
            <w:vAlign w:val="bottom"/>
          </w:tcPr>
          <w:p>
            <w:pPr>
              <w:ind w:left="440"/>
              <w:spacing w:after="0"/>
              <w:rPr>
                <w:sz w:val="20"/>
                <w:szCs w:val="20"/>
                <w:color w:val="auto"/>
              </w:rPr>
            </w:pPr>
            <w:r>
              <w:rPr>
                <w:rFonts w:ascii="Arial" w:cs="Arial" w:eastAsia="Arial" w:hAnsi="Arial"/>
                <w:sz w:val="18"/>
                <w:szCs w:val="18"/>
                <w:color w:val="auto"/>
              </w:rPr>
              <w:t>Non-deductible foreign property</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60" w:type="dxa"/>
            <w:vAlign w:val="bottom"/>
          </w:tcPr>
          <w:p>
            <w:pPr>
              <w:ind w:left="440"/>
              <w:spacing w:after="0"/>
              <w:rPr>
                <w:sz w:val="20"/>
                <w:szCs w:val="20"/>
                <w:color w:val="auto"/>
              </w:rPr>
            </w:pPr>
            <w:r>
              <w:rPr>
                <w:rFonts w:ascii="Arial" w:cs="Arial" w:eastAsia="Arial" w:hAnsi="Arial"/>
                <w:sz w:val="18"/>
                <w:szCs w:val="18"/>
                <w:color w:val="auto"/>
              </w:rPr>
              <w:t>charges</w:t>
            </w:r>
          </w:p>
        </w:tc>
        <w:tc>
          <w:tcPr>
            <w:tcW w:w="128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2.1%</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Increase(decrease) in liability for</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uncertain tax positions</w:t>
            </w:r>
          </w:p>
        </w:tc>
        <w:tc>
          <w:tcPr>
            <w:tcW w:w="128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1280" w:type="dxa"/>
            <w:vAlign w:val="bottom"/>
            <w:gridSpan w:val="2"/>
          </w:tcPr>
          <w:p>
            <w:pPr>
              <w:jc w:val="right"/>
              <w:ind w:right="612"/>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0.2%</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other</w:t>
            </w:r>
          </w:p>
        </w:tc>
        <w:tc>
          <w:tcPr>
            <w:tcW w:w="12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5.0%</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(11.9%)</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40"/>
              <w:spacing w:after="0"/>
              <w:rPr>
                <w:sz w:val="20"/>
                <w:szCs w:val="20"/>
                <w:color w:val="auto"/>
              </w:rPr>
            </w:pPr>
            <w:r>
              <w:rPr>
                <w:rFonts w:ascii="Arial" w:cs="Arial" w:eastAsia="Arial" w:hAnsi="Arial"/>
                <w:sz w:val="18"/>
                <w:szCs w:val="18"/>
                <w:color w:val="auto"/>
              </w:rPr>
              <w:t>Effective tax rate</w:t>
            </w:r>
          </w:p>
        </w:tc>
        <w:tc>
          <w:tcPr>
            <w:tcW w:w="4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60" w:type="dxa"/>
            <w:vAlign w:val="bottom"/>
            <w:vMerge w:val="continue"/>
          </w:tcPr>
          <w:p>
            <w:pPr>
              <w:spacing w:after="0"/>
              <w:rPr>
                <w:sz w:val="19"/>
                <w:szCs w:val="19"/>
                <w:color w:val="auto"/>
              </w:rPr>
            </w:pPr>
          </w:p>
        </w:tc>
        <w:tc>
          <w:tcPr>
            <w:tcW w:w="1280" w:type="dxa"/>
            <w:vAlign w:val="bottom"/>
            <w:gridSpan w:val="2"/>
          </w:tcPr>
          <w:p>
            <w:pPr>
              <w:jc w:val="right"/>
              <w:ind w:right="552"/>
              <w:spacing w:after="0"/>
              <w:rPr>
                <w:sz w:val="20"/>
                <w:szCs w:val="20"/>
                <w:color w:val="auto"/>
              </w:rPr>
            </w:pPr>
            <w:r>
              <w:rPr>
                <w:rFonts w:ascii="Arial" w:cs="Arial" w:eastAsia="Arial" w:hAnsi="Arial"/>
                <w:sz w:val="18"/>
                <w:szCs w:val="18"/>
                <w:color w:val="auto"/>
              </w:rPr>
              <w:t>(40.8%)</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21.1%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During its development stage, the Company accumulated significant net operating losses. Accordingly, at December 31, 2007, the Company had estimated available tax loss carryforwards of approximately $510 million for U.S. income tax purposes, which were entirely used in 2008. The Company has foreign tax loss carryforwards of approximately $268.4 million as of December 31, 2008, which are partially reserved and expire in 2010 and 2011. The Company’s U.S. tax loss carryforward included a tax deduction of $9.2 million associated with the conversion of the Debentures into common stock; the tax benefit of $3.2 million was credited directly to shareholders’ equity as of December 31, 2007. The Company has not recorded tax benefits resulting from the exercise of nonqualified stock options and the value of vested restricted stock of $128.6 million, $120.6 million, and $92.2 million as of December 31, 2008, 2007 and 2006, respectively, in excess of the amounts reported for such items as compensation costs under SFAS No. 123(R) that have not yet reduced income taxes payable. The company uses a with-and-without approach to determine if the excess tax deductions associated with compensation costs under SFAS No. 123(R) have reduced income taxes payable. The deferred tax asset for net operating loss carryforwards in the above table of temporary differences excludes amounts relating to items that have not yet reduced taxes payable. Accordingly, no deferred tax asset has been recorded for these amounts. Subsequent recognition of income tax benefits associated with these items will be allocated to additional paid-in capital.</w:t>
      </w:r>
    </w:p>
    <w:p>
      <w:pPr>
        <w:spacing w:after="0" w:line="12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SFAS No. 109 requires recognition of a future tax benefit to the extent that realization of such benefit is more likely than not. Otherwise, a valuation allowance is applied. During 2008, the aggregate valuation allowance for deferred tax assets increased by $635.4 million and $3.4 million respectively. During 2006 the aggregate valuation allowance decreased by $107.6 million. The 2008 increase is primarily related to foreign tax credit carryforwards that are not considered more likely than not realizable. The 2007 increase is primarily due to foreign tax loss carryforwards that are not more likely than not realizable. The 2006 decrease was primarily due to the recognition of net U.S. deferred tax assets, the write off of foreign deferred tax assets considered no longer realizable and the write off of tax loss carryforwards attributable to tax deductions in excess of the amounts reported as stock compensation costs under SFAS 123(R) that have not yet reduced income taxes payable under this statement. The Company maintains valuation allowances for deferred tax assets that it determines are not yet more likely than not realizable.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December 31, 2008, 2007 and 2006 U.S. valuation allowances, approximately $3.8 million for each year is attributable to syndication costs.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recognition of income tax benefits associated with this item will be allocated to additional paid-in capital.</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year ended December 31, 2008, the Company completed a study of the taxes, levies and obligations assessed on operations of Wynn Macau under Macau law and its Macau Gaming Concession. As a result, the Company recognized tax benefits of $721.6 million (net of valuation allowance increases) for foreign tax credits applicable to the earnings of Wynn Macau. Of the $721.6 million, $650.6 was used to offset 2008 U.S. income tax expense incurred as a result of the repatriation of Wynn Macau earnings and $71.0 million (net of valuation allowance) is recorded as a deferred tax asset. As of December 31, 2008, the Company has no earnings in foreign subsidiaries that are considered permanently invested.</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As of December 31, 2007 and 2006, the Company had not provided deferred U.S. income taxes or foreign withholding taxes on temporary differences of approximately $494 million and $297.1 million, respectively, resulting from earnings of certain non-U.S. subsidiaries which were considered permanently reinvested outside the United States. The amount of the unrecognized deferred tax liability without regard to potential foreign tax credits associated with these temporary differences is approximately $172.9 million and $103.9 million for the years ended December 31, 2007 and 2006, respectively.</w:t>
      </w:r>
    </w:p>
    <w:p>
      <w:pPr>
        <w:spacing w:after="0" w:line="113"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Accordingly, the Company was exempted from the payment of approximately $27.7 million ($.26 and $.25 per basic and diluted share, respectively), $26.4 million ($0.25 and $0.23 per basic and diluted share, respectively) and $4.7 million ($0.05 and $0.04 per basic and diluted share, respectively) in such taxes for the years ended December 31, 2008, 2007 and 2006, respectively. The Company’s non-gaming profits remain subject to the Macau Complementary Tax and its casino winnings remain subject to the Macau Special Gaming tax and other levies in accordance with its concession agreement.</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The Company files income tax returns in the U.S. federal jurisdiction, various states and foreign jurisdictions. The Company's income tax returns are subject to examination by the Internal Revenue Service (“IRS”) and other tax authorities in the locations where it operates. As of December 31, 2008, the Company has filed domestic income tax returns for the years 2002 to 2007 and foreign income tax returns for 2002 to 2007. The Company's 2002 to 2007 domestic income tax returns remain subject to examination by the IRS and the Company's 2006 and 2007 Macau income tax returns remain subject to examination by the Macau Finance Bureau. During 2007, the IRS commenced an examination of the Company's U.S income tax returns for the 2004 and 2005 tax years.</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adoption of FIN 48 on January 1, 2007, the Company assessed potentially unfavorable outcomes of such examinations based on the criteria of SFAS No. 5, “Accounting for Contingencies”. Quarterly, the Company reviews any potentially unfavorable tax outcome and when an unfavorable outcome was identified as probable and could be reasonably estimated, the Company then established a tax reserve for such possible unfavorable outcome. Estimating potential tax outcomes for any uncertain tax issue is highly judgmental and may not be indicative of the ultimate settlement with the tax authorities. The Company believes that it has adequately provided reasonable reserves for reasonable and foreseeable outcomes related to uncertain tax matters.</w:t>
      </w:r>
    </w:p>
    <w:p>
      <w:pPr>
        <w:spacing w:after="0" w:line="1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1, 2007, the Company adopted the provisions of FIN 48 which effectively amended SFAS No. 5 with respect to income taxes. Accordingly, the Company’s income tax recognition policy related to uncertain income tax positions is no longer covered by SFAS No. 5. As a result of the implementation of FIN 48,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Company recognized a total liability for unrecognized tax benefits of approximately $45.4 million, $2 million of which was accounted for as an increase to the January 1, 2007 balance of accumulated deficit as a cumulative effect adjustment. As of December 31, 2008 and 2007, approximately $14.2 million and $10 million, respectively, of unrecognized tax benefit would, if recognized, impact the effective tax rate. A reconciliation of the beginning and ending amount of unrecognized tax benefits is as follows (amounts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Balance—beginning of year</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89,216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$45,471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15,135</w:t>
            </w:r>
          </w:p>
        </w:tc>
        <w:tc>
          <w:tcPr>
            <w:tcW w:w="580" w:type="dxa"/>
            <w:vAlign w:val="bottom"/>
          </w:tcPr>
          <w:p>
            <w:pPr>
              <w:jc w:val="right"/>
              <w:spacing w:after="0"/>
              <w:rPr>
                <w:sz w:val="20"/>
                <w:szCs w:val="20"/>
                <w:color w:val="auto"/>
              </w:rPr>
            </w:pPr>
            <w:r>
              <w:rPr>
                <w:rFonts w:ascii="Arial" w:cs="Arial" w:eastAsia="Arial" w:hAnsi="Arial"/>
                <w:sz w:val="18"/>
                <w:szCs w:val="18"/>
                <w:color w:val="auto"/>
              </w:rPr>
              <w:t>17,962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23,348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(6,920)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(4,573)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Balance—end of year</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120,779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89,216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During 2007, the IRS initiated an examination of the Company’s 2004 and 2005 tax returns. The Company does not anticipate resolution of the federal examinations during the next 12 months. The Company’s unrecognized tax benefits include certain income tax accounting methods. These accounting methods govern the timing of income tax deductions. As a result the Company’s unrecognized tax benefits could increase by a range of $0 to $25 million over the next 12 months.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incurred, the Company would recognize penalties and interest related to unrecognized tax benefits in the provision for income taxes. During the years ended December 31, 2008, 2007 and 2006, the Company recognized no interest or penalties.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2008 and 2007, approximately $30.5 million and $58.4 million, respectively, of FIN 48 liabilities related to U.S. and foreign uncertain tax positions that increase the NOL and foreign tax credit carryforward deferred tax assets are classified as reductions of the NOL and foreign tax credit carryforward deferred tax assets in the net deferred tax asset and liability table above. During 2008, $56.4 million of uncertain tax positions previously netted against the domestic NOL deferred tax asset were reclassified to the liability for uncertain positions in connection with the utilization of the domestic NOL carryforward. Other uncertain tax positions not increasing the NOL and foreign tax credit carryforward deferred tax asset have increased the liability for uncertain tax positions.</w:t>
      </w:r>
    </w:p>
    <w:p>
      <w:pPr>
        <w:spacing w:after="0" w:line="260" w:lineRule="exact"/>
        <w:rPr>
          <w:sz w:val="20"/>
          <w:szCs w:val="20"/>
          <w:color w:val="auto"/>
        </w:rPr>
      </w:pPr>
    </w:p>
    <w:p>
      <w:pPr>
        <w:ind w:left="240" w:right="8460" w:hanging="232"/>
        <w:spacing w:after="0" w:line="347" w:lineRule="auto"/>
        <w:tabs>
          <w:tab w:leader="none" w:pos="45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Wynn Macau</w:t>
      </w:r>
    </w:p>
    <w:p>
      <w:pPr>
        <w:spacing w:after="0" w:line="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Encore at Wynn Macau Construction Development. </w:t>
      </w:r>
      <w:r>
        <w:rPr>
          <w:rFonts w:ascii="Arial" w:cs="Arial" w:eastAsia="Arial" w:hAnsi="Arial"/>
          <w:sz w:val="18"/>
          <w:szCs w:val="18"/>
          <w:color w:val="auto"/>
        </w:rPr>
        <w:t>Construction has commenced on a further expansion of Wynn Macau. Encore at Wynn Macau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open in 2010, and will add a fully-integrated resort hotel to Wynn Macau with approximately 400 luxury suites and four villas along with restaurants, additional retail space and additional VIP gaming space. On November 8, 2007, Wynn Macau, S.A. executed a guaranteed maximum price contract for $347.8 million with Leighton Contractors (Asia) Limited, China State Construction Engineering (Hong Kong) Limited and China Construction Engineering (Macau) Company Limited, acting together as the general contractor for the construction of the Encore at Wynn Macau. While the project budget is still being finalized, the company expects total costs to be approximately $700 million.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 December 31, 2008, the Company had incurred approximately $202 million of costs related to Encore at Wynn Macau.</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Land Concession Contract. </w:t>
      </w:r>
      <w:r>
        <w:rPr>
          <w:rFonts w:ascii="Arial" w:cs="Arial" w:eastAsia="Arial" w:hAnsi="Arial"/>
          <w:sz w:val="16"/>
          <w:szCs w:val="16"/>
          <w:color w:val="auto"/>
        </w:rPr>
        <w:t>Wynn Macau, S.A. has entered into a land concession contract for the Wynn Macau project site. Under the land concession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approximately $36.4 million and is required to make two additional semi-annual payments (including interest) totaling approximately $6.3 million for total payments of approximately $42.7 million. Wynn Macau, S.A. also paid approximately $18.4 million to an unrelated third party for its relinquishment of rights to a portion of the land. During the term of the land concession contract, Wynn Macau, S.A. is required to make annual lease payments of up to $400,000.</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Cotai Land Agreement. </w:t>
      </w:r>
      <w:r>
        <w:rPr>
          <w:rFonts w:ascii="Arial" w:cs="Arial" w:eastAsia="Arial" w:hAnsi="Arial"/>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 portion of approximately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Aircraft Deposits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has made deposits on three aircraft purchases totaling $19.4 million which are included in other assets in the accompanying consolidated balance sheets as of December 31, 2008. The Company was scheduled to take delivery of those aircraft in 2009, 2012 and 2017 with additional payments to be made totaling $142.2 million. On February 19, 2009, the Company cancelled the agreements to purchase two of these aircraft. The deposit on one of the aircraft is refundable only to the extent the seller is able to find another buyer. Due to the uncertainty as to the recoverability of this deposit and a $1.5 million nonrefundable deposit on the second aircraft, the Company will write-off $14.9 million of deposits in the first quarter of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and other arrangements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other retail outlet and the Ferrari and Maserati automobile dealership at Wynn Las Vegas.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future minimum rentals to be received under the operating leases (amounts in thousands):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8"/>
              </w:rPr>
              <w:t>Years Ending December 31,</w:t>
            </w: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9,946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6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0" w:type="dxa"/>
            <w:vAlign w:val="bottom"/>
            <w:vMerge w:val="restart"/>
          </w:tcPr>
          <w:p>
            <w:pPr>
              <w:jc w:val="right"/>
              <w:ind w:right="3552"/>
              <w:spacing w:after="0"/>
              <w:rPr>
                <w:sz w:val="20"/>
                <w:szCs w:val="20"/>
                <w:color w:val="auto"/>
              </w:rPr>
            </w:pPr>
            <w:r>
              <w:rPr>
                <w:rFonts w:ascii="Arial" w:cs="Arial" w:eastAsia="Arial" w:hAnsi="Arial"/>
                <w:sz w:val="18"/>
                <w:szCs w:val="18"/>
                <w:color w:val="auto"/>
              </w:rPr>
              <w:t>96</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the Company is the lessee under several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December 31, 2008, the Company was obligated under non-cancelable operating leases to make future minimum lease payments as follows (amounts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8"/>
              </w:rPr>
              <w:t>Years Ending December 31,</w:t>
            </w:r>
          </w:p>
        </w:tc>
        <w:tc>
          <w:tcPr>
            <w:tcW w:w="64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$ 12,431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2010</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6,621</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2,791</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2012</w:t>
            </w:r>
          </w:p>
        </w:tc>
        <w:tc>
          <w:tcPr>
            <w:tcW w:w="7020" w:type="dxa"/>
            <w:vAlign w:val="bottom"/>
            <w:gridSpan w:val="2"/>
          </w:tcPr>
          <w:p>
            <w:pPr>
              <w:jc w:val="right"/>
              <w:spacing w:after="0"/>
              <w:rPr>
                <w:sz w:val="20"/>
                <w:szCs w:val="20"/>
                <w:color w:val="auto"/>
              </w:rPr>
            </w:pPr>
            <w:r>
              <w:rPr>
                <w:rFonts w:ascii="Arial" w:cs="Arial" w:eastAsia="Arial" w:hAnsi="Arial"/>
                <w:sz w:val="18"/>
                <w:szCs w:val="18"/>
                <w:color w:val="auto"/>
              </w:rPr>
              <w:t>1,262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6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7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$ 26,466</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2008, 2007 and 2006, was $17.8 million, $18.4 million and $14.3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fully-insured.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other than Mr. Wynn’s,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December 31, 2008, the Company had not recorded a receivable related to this matter.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(including Encore at Wynn Las Vegas) and Wynn Macau. Wynn Las Vegas opened on April 28, 2005, Encore at Wynn Las Vegas opened on December 22, 2008, and Wynn Macau opened on September 6, 2006.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total assets and capital expenditures by segment consisted of the following (amounts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4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4,584,271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3,558,877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1,415,325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1,724,039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743,019</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1,016,366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4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6,742,615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6,299,282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4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1,129,525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202,808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Corporate and other</w:t>
            </w:r>
          </w:p>
        </w:tc>
        <w:tc>
          <w:tcPr>
            <w:tcW w:w="4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 expenditures</w:t>
            </w:r>
          </w:p>
        </w:tc>
        <w:tc>
          <w:tcPr>
            <w:tcW w:w="4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1,333,182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1,007,370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100" w:type="dxa"/>
            <w:vAlign w:val="bottom"/>
            <w:vMerge w:val="restart"/>
          </w:tcPr>
          <w:p>
            <w:pPr>
              <w:jc w:val="right"/>
              <w:ind w:right="2752"/>
              <w:spacing w:after="0"/>
              <w:rPr>
                <w:sz w:val="20"/>
                <w:szCs w:val="20"/>
                <w:color w:val="auto"/>
              </w:rPr>
            </w:pPr>
            <w:r>
              <w:rPr>
                <w:rFonts w:ascii="Arial" w:cs="Arial" w:eastAsia="Arial" w:hAnsi="Arial"/>
                <w:sz w:val="18"/>
                <w:szCs w:val="18"/>
                <w:color w:val="auto"/>
              </w:rPr>
              <w:t>98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Company’s results of operations by segment for the years ended December 31, 2008, 2007 and 2006 consisted of the following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1,098,889</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1,295,381</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1,138,549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1,888,435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1,392,138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color w:val="auto"/>
              </w:rPr>
              <w:t>Total net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2,987,324</w:t>
            </w: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2,687,519</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1,432,257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EBITDA(1, 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Wynn Las Vegas, including Encore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252,875</w:t>
            </w:r>
          </w:p>
        </w:tc>
        <w:tc>
          <w:tcPr>
            <w:tcW w:w="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417,028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485,857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364,113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60" w:type="dxa"/>
            <w:vAlign w:val="bottom"/>
            <w:gridSpan w:val="2"/>
          </w:tcPr>
          <w:p>
            <w:pPr>
              <w:ind w:left="860"/>
              <w:spacing w:after="0"/>
              <w:rPr>
                <w:sz w:val="20"/>
                <w:szCs w:val="20"/>
                <w:color w:val="auto"/>
              </w:rPr>
            </w:pPr>
            <w:r>
              <w:rPr>
                <w:rFonts w:ascii="Arial" w:cs="Arial" w:eastAsia="Arial" w:hAnsi="Arial"/>
                <w:sz w:val="18"/>
                <w:szCs w:val="18"/>
                <w:color w:val="auto"/>
              </w:rPr>
              <w:t>Total adjusted property EBITDA</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738,732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781,141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72,375</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7,063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262,848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32,584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60,857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Corporate expenses and other</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63,895</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operating costs and expenses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424,878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351,738</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313,854</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429,403</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70,899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21,517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47,259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(172,693)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(143,777)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Gain on sale of subconcession right, net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899,409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Gain/(loss) from extinguishment of debt.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22,347</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(4,257)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non-operating costs and expenses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(164,571)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(102,170)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728,330</w:t>
            </w:r>
          </w:p>
        </w:tc>
        <w:tc>
          <w:tcPr>
            <w:tcW w:w="0" w:type="dxa"/>
            <w:vAlign w:val="bottom"/>
          </w:tcPr>
          <w:p>
            <w:pPr>
              <w:spacing w:after="0"/>
              <w:rPr>
                <w:sz w:val="1"/>
                <w:szCs w:val="1"/>
                <w:color w:val="auto"/>
              </w:rPr>
            </w:pPr>
          </w:p>
        </w:tc>
      </w:tr>
      <w:tr>
        <w:trPr>
          <w:trHeight w:val="221"/>
        </w:trPr>
        <w:tc>
          <w:tcPr>
            <w:tcW w:w="7980" w:type="dxa"/>
            <w:vAlign w:val="bottom"/>
            <w:gridSpan w:val="3"/>
          </w:tcPr>
          <w:p>
            <w:pPr>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149,283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327,233</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799,229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(69,085)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(170,501)</w:t>
            </w:r>
          </w:p>
        </w:tc>
        <w:tc>
          <w:tcPr>
            <w:tcW w:w="0" w:type="dxa"/>
            <w:vAlign w:val="bottom"/>
          </w:tcPr>
          <w:p>
            <w:pPr>
              <w:spacing w:after="0"/>
              <w:rPr>
                <w:sz w:val="1"/>
                <w:szCs w:val="1"/>
                <w:color w:val="auto"/>
              </w:rPr>
            </w:pPr>
          </w:p>
        </w:tc>
      </w:tr>
      <w:tr>
        <w:trPr>
          <w:trHeight w:val="20"/>
        </w:trPr>
        <w:tc>
          <w:tcPr>
            <w:tcW w:w="798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3"/>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210,206</w:t>
            </w:r>
          </w:p>
        </w:tc>
        <w:tc>
          <w:tcPr>
            <w:tcW w:w="6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258,148</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628,728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to its opening on September 6, 2006, Wynn Macau was in the development stage. Wynn Macau was open for 117 days during the year ended December 31, 2006. Encore at Wynn Las Vegas opened December 22, 2008 and is included with Wynn Las Vegas as the two properties operate as one segment.</w:t>
      </w:r>
    </w:p>
    <w:p>
      <w:pPr>
        <w:spacing w:after="0" w:line="45" w:lineRule="exact"/>
        <w:rPr>
          <w:rFonts w:ascii="Arial" w:cs="Arial" w:eastAsia="Arial" w:hAnsi="Arial"/>
          <w:sz w:val="18"/>
          <w:szCs w:val="18"/>
          <w:color w:val="auto"/>
        </w:rPr>
      </w:pPr>
    </w:p>
    <w:p>
      <w:pPr>
        <w:ind w:left="460" w:right="60" w:hanging="452"/>
        <w:spacing w:after="0" w:line="291"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contract termination fee,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net income,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53"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6" w:lineRule="exact"/>
        <w:rPr>
          <w:sz w:val="20"/>
          <w:szCs w:val="20"/>
          <w:color w:val="auto"/>
        </w:rPr>
      </w:pPr>
    </w:p>
    <w:p>
      <w:pPr>
        <w:ind w:right="480" w:firstLine="456"/>
        <w:spacing w:after="0" w:line="335" w:lineRule="auto"/>
        <w:rPr>
          <w:sz w:val="20"/>
          <w:szCs w:val="20"/>
          <w:color w:val="auto"/>
        </w:rPr>
      </w:pPr>
      <w:r>
        <w:rPr>
          <w:rFonts w:ascii="Arial" w:cs="Arial" w:eastAsia="Arial" w:hAnsi="Arial"/>
          <w:sz w:val="15"/>
          <w:szCs w:val="15"/>
          <w:color w:val="auto"/>
        </w:rPr>
        <w:t>The following tables (amounts in thousands, except per share data) present selected quarterly financial information for 2008 and 2007, as previously reported. Because income (loss) per share amounts are calculated using the weighted average number of common and dilutive common equivalent shares outstanding during each quarter, the sum of the per share amounts for the four quarters may not equal the total income (loss) per share amounts for the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 2008</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2"/>
              </w:rPr>
              <w:t>Second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778,706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825,157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769,186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614,275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2,987,324</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91,411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144,514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78,189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313,854</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46,717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271,993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51,130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(159,634)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210,206</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share</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r>
      <w:tr>
        <w:trPr>
          <w:trHeight w:val="365"/>
        </w:trPr>
        <w:tc>
          <w:tcPr>
            <w:tcW w:w="39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0"/>
          </w:tcPr>
          <w:p>
            <w:pPr>
              <w:jc w:val="right"/>
              <w:ind w:right="680"/>
              <w:spacing w:after="0"/>
              <w:rPr>
                <w:sz w:val="20"/>
                <w:szCs w:val="20"/>
                <w:color w:val="auto"/>
              </w:rPr>
            </w:pPr>
            <w:r>
              <w:rPr>
                <w:rFonts w:ascii="Arial" w:cs="Arial" w:eastAsia="Arial" w:hAnsi="Arial"/>
                <w:sz w:val="14"/>
                <w:szCs w:val="14"/>
                <w:b w:val="1"/>
                <w:bCs w:val="1"/>
                <w:color w:val="auto"/>
              </w:rPr>
              <w:t>Year Ended December 31, 2007</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39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First</w:t>
            </w: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82"/>
              </w:rPr>
              <w:t>Second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Fourth</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635,317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687,541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653,386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711,275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2,687,519</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108,179</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126,153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86,296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108,775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429,403</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58,405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65,453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258,148</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Basic income per share</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0.58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r>
      <w:tr>
        <w:trPr>
          <w:trHeight w:val="363"/>
        </w:trPr>
        <w:tc>
          <w:tcPr>
            <w:tcW w:w="3900" w:type="dxa"/>
            <w:vAlign w:val="bottom"/>
          </w:tcPr>
          <w:p>
            <w:pPr>
              <w:spacing w:after="0"/>
              <w:rPr>
                <w:sz w:val="24"/>
                <w:szCs w:val="24"/>
                <w:color w:val="auto"/>
              </w:rPr>
            </w:pPr>
          </w:p>
        </w:tc>
        <w:tc>
          <w:tcPr>
            <w:tcW w:w="214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2008,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2008.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2008, the Company’s internal control over financial reporting was effective.</w:t>
      </w:r>
    </w:p>
    <w:p>
      <w:pPr>
        <w:spacing w:after="0" w:line="19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62.</w:t>
      </w:r>
    </w:p>
    <w:p>
      <w:pPr>
        <w:spacing w:after="0" w:line="85" w:lineRule="exact"/>
        <w:rPr>
          <w:sz w:val="20"/>
          <w:szCs w:val="20"/>
          <w:color w:val="auto"/>
        </w:rPr>
      </w:pPr>
    </w:p>
    <w:p>
      <w:pPr>
        <w:ind w:right="40" w:firstLine="464"/>
        <w:spacing w:after="0" w:line="306" w:lineRule="auto"/>
        <w:tabs>
          <w:tab w:leader="none" w:pos="695"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The information required by this item will be contained in the Registrant’s definitive Proxy Statement for its Annual Stockholder Meeting to be held on May 5, 2009, to be filed with the Securities and Exchange Commission within 120 days after December 31, 2008 (the “2009 Proxy Statement”) under the captions “Directors and Executive Officers, “Further Information Concerning the Board of Directors-Corporate Governance,” “Section 16(a) Beneficial Ownership Reporting Compliance,” and “Code of Ethics”, and is incorporated herein by reference.</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2009 Proxy Statement under the caption “Director and Executive Officer Compensation and Other Matters,” and is incorporated herein by reference.</w:t>
      </w:r>
    </w:p>
    <w:p>
      <w:pPr>
        <w:spacing w:after="0" w:line="248"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w:t>
            </w: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 Issued Upon</w:t>
            </w:r>
          </w:p>
        </w:tc>
        <w:tc>
          <w:tcPr>
            <w:tcW w:w="90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90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0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90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securities reflected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and Rights</w:t>
            </w:r>
          </w:p>
        </w:tc>
        <w:tc>
          <w:tcPr>
            <w:tcW w:w="900" w:type="dxa"/>
            <w:vAlign w:val="bottom"/>
          </w:tcPr>
          <w:p>
            <w:pPr>
              <w:spacing w:after="0"/>
              <w:rPr>
                <w:sz w:val="12"/>
                <w:szCs w:val="12"/>
                <w:color w:val="auto"/>
              </w:rPr>
            </w:pPr>
          </w:p>
        </w:tc>
        <w:tc>
          <w:tcPr>
            <w:tcW w:w="19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and Rights</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 column (a))</w:t>
            </w:r>
          </w:p>
        </w:tc>
        <w:tc>
          <w:tcPr>
            <w:tcW w:w="0" w:type="dxa"/>
            <w:vAlign w:val="bottom"/>
          </w:tcPr>
          <w:p>
            <w:pPr>
              <w:spacing w:after="0"/>
              <w:rPr>
                <w:sz w:val="1"/>
                <w:szCs w:val="1"/>
                <w:color w:val="auto"/>
              </w:rPr>
            </w:pPr>
          </w:p>
        </w:tc>
      </w:t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00" w:type="dxa"/>
            <w:vAlign w:val="bottom"/>
          </w:tcPr>
          <w:p>
            <w:pPr>
              <w:spacing w:after="0"/>
              <w:rPr>
                <w:sz w:val="14"/>
                <w:szCs w:val="14"/>
                <w:color w:val="auto"/>
              </w:rPr>
            </w:pPr>
          </w:p>
        </w:tc>
        <w:tc>
          <w:tcPr>
            <w:tcW w:w="19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(b)</w:t>
            </w: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2,782,342</w:t>
            </w:r>
          </w:p>
        </w:tc>
        <w:tc>
          <w:tcPr>
            <w:tcW w:w="28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66.80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2,782,342</w:t>
            </w:r>
          </w:p>
        </w:tc>
        <w:tc>
          <w:tcPr>
            <w:tcW w:w="28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66.80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2009 Proxy Statement under the caption “Security Ownership of Certain Beneficial Owners and Management,” and is incorporated herein by reference.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2009 Proxy Statement under the caption “Certain Relationships and Related Transactions, and “Further Information Concerning the Board of Directors-Corporate Governance,” and is incorporated herein by reference.</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2009 Proxy Statement under the caption “Ratification of Appointment of Independent Public Accountants,”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460" w:right="340" w:firstLine="438"/>
        <w:spacing w:after="0" w:line="268"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 – Financial Statements and Supplemental Data.”</w:t>
      </w:r>
    </w:p>
    <w:p>
      <w:pPr>
        <w:spacing w:after="0" w:line="51" w:lineRule="exact"/>
        <w:rPr>
          <w:sz w:val="20"/>
          <w:szCs w:val="20"/>
          <w:color w:val="auto"/>
        </w:rPr>
      </w:pPr>
    </w:p>
    <w:p>
      <w:pPr>
        <w:ind w:left="1480" w:hanging="446"/>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Balance Sheets as of December 31, 2008 and 2007</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2008, 2007 and 2006</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2008, 2007 and 2006</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2008, 2007 and 2006</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(a)2. Financial Statement Schedules filed in Part IV of this report are listed below;</w:t>
      </w:r>
    </w:p>
    <w:p>
      <w:pPr>
        <w:spacing w:after="0" w:line="90" w:lineRule="exact"/>
        <w:rPr>
          <w:sz w:val="20"/>
          <w:szCs w:val="20"/>
          <w:color w:val="auto"/>
        </w:rPr>
      </w:pPr>
    </w:p>
    <w:p>
      <w:pPr>
        <w:ind w:left="1480" w:hanging="446"/>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Schedule I – Condensed financial information of the registrant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171"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240" w:top="459" w:right="4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the registrant</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662,285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664,445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500,068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Due from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1,414,191</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2,337,575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2,092,773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3,272,710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25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15,891</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21,554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payable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Note payable to Wynn Las Vegas, LLC</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interest—due to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19,177</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80,086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Due to subsidiaries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500,251</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1,324,551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w w:val="92"/>
              </w:rPr>
              <w:t>Common stock, par value $0.01; 400,000,000 shares authorized; 124,817,994 and 116,259,411 shares issued; and,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40"/>
              <w:spacing w:after="0"/>
              <w:rPr>
                <w:sz w:val="20"/>
                <w:szCs w:val="20"/>
                <w:color w:val="auto"/>
              </w:rPr>
            </w:pPr>
            <w:r>
              <w:rPr>
                <w:rFonts w:ascii="Arial" w:cs="Arial" w:eastAsia="Arial" w:hAnsi="Arial"/>
                <w:sz w:val="18"/>
                <w:szCs w:val="18"/>
                <w:color w:val="auto"/>
              </w:rPr>
              <w:t>112,013,040 and 114,370,090 shares outstanding</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12,804,954 and 1,889,321 shares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(1,119,407)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2,640,667</w:t>
            </w: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2,273,078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67,400</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(143,899)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1,592,522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1,948,159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2,092,773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3,272,710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jc w:val="center"/>
              <w:ind w:left="2332"/>
              <w:spacing w:after="0"/>
              <w:rPr>
                <w:sz w:val="20"/>
                <w:szCs w:val="20"/>
                <w:color w:val="auto"/>
              </w:rPr>
            </w:pPr>
            <w:r>
              <w:rPr>
                <w:rFonts w:ascii="Arial" w:cs="Arial" w:eastAsia="Arial" w:hAnsi="Arial"/>
                <w:sz w:val="18"/>
                <w:szCs w:val="18"/>
                <w:color w:val="auto"/>
                <w:w w:val="86"/>
              </w:rPr>
              <w:t>The accompanying notes are an integral part of these condensed financial statements.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980" w:type="dxa"/>
            <w:vAlign w:val="bottom"/>
            <w:gridSpan w:val="2"/>
          </w:tcPr>
          <w:p>
            <w:pPr>
              <w:jc w:val="right"/>
              <w:ind w:right="3052"/>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Wynn Las Vegas management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16,504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19,473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 royalty fees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89,927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14,126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19,772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14,035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20,361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subsidiaries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123,779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308,827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744,529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199,671</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344,477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753,022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9,437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(59,320)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(24,855)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Distribution to convertible debenture holders</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(58,477)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(19,434)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Gain on early extinguishment of debt</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22,347</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(47,433)</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(16,043)</w:t>
            </w: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152,238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328,434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711,659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420"/>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57,968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(70,286)</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(82,931)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210,206</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258,148</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628,728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common share:</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108,408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106,030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109,441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112,685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210,206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258,148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628,728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early extinguishment of debt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Amortization of deferred financing costs and other</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received from subsidiary</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1,071,148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Equity in income of subsidiaries</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(123,779)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(308,827)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(744,529)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(9,083)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(from) affiliates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(52,912)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1,045,390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33,975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(from) subsidiaries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Repayment of intercompany loans</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347,313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 term debt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Principal payments on long term debt</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(596,094)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payable to Wynn Las Vegas, LLC</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Borrowings from Wynn Resorts International</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to Wynn Resorts International</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344,250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664,125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distributions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(683,299)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(608,299)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restricted for stock repurchases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(500,068)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(940,130)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(179,277)</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transactions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Payments for deferred financing costs and other</w:t>
            </w: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(776,356)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(586,509)</w:t>
            </w:r>
          </w:p>
        </w:tc>
        <w:tc>
          <w:tcPr>
            <w:tcW w:w="0" w:type="dxa"/>
            <w:vAlign w:val="bottom"/>
          </w:tcPr>
          <w:p>
            <w:pPr>
              <w:spacing w:after="0"/>
              <w:rPr>
                <w:sz w:val="1"/>
                <w:szCs w:val="1"/>
                <w:color w:val="auto"/>
              </w:rPr>
            </w:pPr>
          </w:p>
        </w:tc>
      </w:tr>
      <w:tr>
        <w:trPr>
          <w:trHeight w:val="222"/>
        </w:trPr>
        <w:tc>
          <w:tcPr>
            <w:tcW w:w="80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(253,271)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Balance, beginning of year</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402,268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308,013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662,285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5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Note Payable to Wynn Las Vegas, LLC</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On August 15, 2005, the Company borrowed $80 million from its wholly-owned subsidiary, Wynn Las Vegas, LLC, to fund a portion of the construction costs for Wynn Macau. Interest was payable semi-annually at 7.5% per annum. Unpaid principal and interest was due at maturity on August 15, 2012.</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repaid this note, including accrued interest, in July 2008. The Company recorded approximately $3.3 million and $6 million in interest expense related to this note during each of the years ended December 31, 2008 and 2007, respectively.</w:t>
      </w:r>
    </w:p>
    <w:p>
      <w:pPr>
        <w:spacing w:after="0" w:line="24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except for allowing the cash distribution of the proceeds of the sale of the subconcession right (see Note 14—Cash Distribution, in the Company’s consolidated financial statements included elsewhere in this Form 10-K), the terms of the loan agreements of Wynn Resorts (Macau), S.A. and the Wynn Resorts $1 billion term loan facility noted below contain similar restrictions. The Company received a cash dividend of $1.072 billion from Wynn Group Asia in November 2008. The Company received a cash dividend of $30 million from Wynn Group Asia in November 2006.</w:t>
      </w:r>
    </w:p>
    <w:p>
      <w:pPr>
        <w:spacing w:after="0" w:line="224" w:lineRule="exact"/>
        <w:rPr>
          <w:sz w:val="20"/>
          <w:szCs w:val="20"/>
          <w:color w:val="auto"/>
        </w:rPr>
      </w:pPr>
    </w:p>
    <w:p>
      <w:pPr>
        <w:ind w:left="240" w:right="9640" w:hanging="232"/>
        <w:spacing w:after="0" w:line="391" w:lineRule="auto"/>
        <w:tabs>
          <w:tab w:leader="none" w:pos="45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Debt </w:t>
      </w:r>
      <w:r>
        <w:rPr>
          <w:rFonts w:ascii="Arial" w:cs="Arial" w:eastAsia="Arial" w:hAnsi="Arial"/>
          <w:sz w:val="16"/>
          <w:szCs w:val="16"/>
          <w:i w:val="1"/>
          <w:iCs w:val="1"/>
          <w:color w:val="auto"/>
        </w:rPr>
        <w:t>$1 Billion Term Loan</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21, 2007, the Company entered into a $1 billion term loan facility (the “Term Loan Facility”). Borrowings under the Term Loan Facility were available in the form of a delayed-draw term loan facility available through December 31, 2007, with the option to increase the facility to $1.25 billion if certain conditions are met. As of December 31, 2007, the Company had borrowed $1 billion under the Term Loan Facility and no additional amounts are available. The Term Loan Facility was available to fund (a) the Company’s equity repurchase program announced on June 7, 2007 and (b) up to $350 million for general corporate purposes. Of the $1 billion drawn at December 31, 2007, $500 million was included as restricted cash in the accompanying Consolidated Balance Sheet as such amount was only to be used to fund the Company’s equity repurchases or repay the loans.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On August 1, 2008, the Company amended the $1 billion Wynn Resorts Term Loan. This amendment allowed Stephen A. Wynn, the Company’s Chairman and Chief Executive Officer, to purchase an interest in the debt. On August 1, 2008, Mr. Wynn advised the Company that he purchased $198,250,000 of the face amount of the outstanding debt under the $1 billion Wynn Term Loan Facility from a third party. On November 13, 2008, the Company further amended the Term Loan Facility to purchase loans outstanding up to $650 million prior to March 31, 2009. On November 26, 2008, the Company purchased $625 million of loans under the Term Loan Facility at a discounted price of 95.375%, resulting in the retirement of $625 million of principal for a payment of $596.1 million. The loans purchased included the interests held by Mr. Wynn. In connection with this transaction, the Company recognized a $22.3 million gain on early retirement of debt, net of the write-off of unamortized debt issue costs and fees. The remaining $375 million will mature and be payable on June 21, 2010.</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Amounts borrowed under the Term Loan Facility accrue interest, at the election of the Company, at either the London Interbank Offer Rate (“LIBOR”) or a Base Rate, plus a borrowing margin as described below. Interest on LIBOR loans is payable at the end of the applicable interest period in the case of interest periods of one, two or three months, and every three months in the case of interest periods of nine months or longer. Base Rate loans bear interest at (a) the greater of (i) the rate most recently announced by Deutsche Bank as its “prime rate,” or (ii) the Federal Funds Rate plus 1/2 of 1% per annum; plus (b) a borrowing margin as described below. Interest on Base Rate loans are payable quarterly in arrears. The borrowing margin is 2.25% for LIBOR loans and 1% for Base Rate loans, if Wynn Resorts, Limited and Wynn Macau’s combined net liquidity is equal to or greater than $400 million and 2.50% for LIBOR loans and 1.25% for Base Rate loans, if such net liquidity is less than $400 million. The Company incurred a fee of 112.5 bps per annum of the actual daily amount by which the actual Term Loan Facility commitment exceeded the outstanding amount of the Term Loan Facility.</w:t>
      </w:r>
    </w:p>
    <w:p>
      <w:pPr>
        <w:spacing w:after="0" w:line="234"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Equity Repurchase Program</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June 6, 2007, the Board of Directors of Wynn Resorts authorized an equity repurchase program of up to $1.2 billion which may include purchases of both its common stock and its Debentures. On July 10, 2008, the Board of Directors authorized an increase of $500 million to the previously announced equity repurchase program bringing the total authorized to $1.7 billion. The repurchase program may include repurchases from time to time through open market purchases or negotiated transactions, depending upon market conditions. During the year ended December 31, 2008, the Company repurchased 10,915,633 shares for a net cost of $940.1 million. As of December 31, 2008, the Company had repurchased 12,804,954 shares of the Company’s common stock through open market purchases for a net cost of $1.1 billion, at an average cost of $87.42 per share.</w:t>
      </w:r>
    </w:p>
    <w:p>
      <w:pPr>
        <w:spacing w:after="0" w:line="236"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Secondary Offering</w:t>
      </w:r>
    </w:p>
    <w:p>
      <w:pPr>
        <w:spacing w:after="0" w:line="96" w:lineRule="exact"/>
        <w:rPr>
          <w:rFonts w:ascii="Arial" w:cs="Arial" w:eastAsia="Arial" w:hAnsi="Arial"/>
          <w:sz w:val="18"/>
          <w:szCs w:val="18"/>
          <w:b w:val="1"/>
          <w:bCs w:val="1"/>
          <w:color w:val="auto"/>
        </w:rPr>
      </w:pPr>
    </w:p>
    <w:p>
      <w:pPr>
        <w:ind w:left="460" w:right="900"/>
        <w:spacing w:after="0" w:line="516" w:lineRule="auto"/>
        <w:rPr>
          <w:rFonts w:ascii="Arial" w:cs="Arial" w:eastAsia="Arial" w:hAnsi="Arial"/>
          <w:sz w:val="18"/>
          <w:szCs w:val="18"/>
          <w:b w:val="1"/>
          <w:bCs w:val="1"/>
          <w:color w:val="auto"/>
        </w:rPr>
      </w:pPr>
      <w:r>
        <w:rPr>
          <w:rFonts w:ascii="Arial" w:cs="Arial" w:eastAsia="Arial" w:hAnsi="Arial"/>
          <w:sz w:val="15"/>
          <w:szCs w:val="15"/>
          <w:color w:val="auto"/>
        </w:rPr>
        <w:t>On November 18, 2008, the Company completed a secondary common stock offering of 8,000,000 shares with net proceeds of $344.3 million. On October 3, 2007, the Company completed a secondary common stock offering of 4,312,500 shares with net proceeds of $664.1 million.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Provisions for</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Doubtful</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840" w:type="dxa"/>
            <w:vAlign w:val="bottom"/>
            <w:gridSpan w:val="2"/>
          </w:tcPr>
          <w:p>
            <w:pPr>
              <w:jc w:val="center"/>
              <w:ind w:left="3121"/>
              <w:spacing w:after="0"/>
              <w:rPr>
                <w:sz w:val="20"/>
                <w:szCs w:val="20"/>
                <w:color w:val="auto"/>
              </w:rPr>
            </w:pPr>
            <w:r>
              <w:rPr>
                <w:rFonts w:ascii="Arial" w:cs="Arial" w:eastAsia="Arial" w:hAnsi="Arial"/>
                <w:sz w:val="14"/>
                <w:szCs w:val="14"/>
                <w:b w:val="1"/>
                <w:bCs w:val="1"/>
                <w:color w:val="auto"/>
                <w:w w:val="89"/>
              </w:rPr>
              <w:t>2008</w:t>
            </w:r>
          </w:p>
        </w:tc>
        <w:tc>
          <w:tcPr>
            <w:tcW w:w="4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Accounts</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701"/>
              <w:spacing w:after="0"/>
              <w:rPr>
                <w:sz w:val="20"/>
                <w:szCs w:val="20"/>
                <w:color w:val="auto"/>
              </w:rPr>
            </w:pPr>
            <w:r>
              <w:rPr>
                <w:rFonts w:ascii="Arial" w:cs="Arial" w:eastAsia="Arial" w:hAnsi="Arial"/>
                <w:sz w:val="18"/>
                <w:szCs w:val="18"/>
                <w:color w:val="auto"/>
                <w:w w:val="88"/>
              </w:rPr>
              <w:t>$ 66,146</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49,405</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(12,732)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Provisions for</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Doubtful</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840" w:type="dxa"/>
            <w:vAlign w:val="bottom"/>
            <w:gridSpan w:val="2"/>
          </w:tcPr>
          <w:p>
            <w:pPr>
              <w:jc w:val="center"/>
              <w:ind w:left="3121"/>
              <w:spacing w:after="0"/>
              <w:rPr>
                <w:sz w:val="20"/>
                <w:szCs w:val="20"/>
                <w:color w:val="auto"/>
              </w:rPr>
            </w:pPr>
            <w:r>
              <w:rPr>
                <w:rFonts w:ascii="Arial" w:cs="Arial" w:eastAsia="Arial" w:hAnsi="Arial"/>
                <w:sz w:val="14"/>
                <w:szCs w:val="14"/>
                <w:b w:val="1"/>
                <w:bCs w:val="1"/>
                <w:color w:val="auto"/>
                <w:w w:val="89"/>
              </w:rPr>
              <w:t>2007</w:t>
            </w:r>
          </w:p>
        </w:tc>
        <w:tc>
          <w:tcPr>
            <w:tcW w:w="4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Accounts</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701"/>
              <w:spacing w:after="0"/>
              <w:rPr>
                <w:sz w:val="20"/>
                <w:szCs w:val="20"/>
                <w:color w:val="auto"/>
              </w:rPr>
            </w:pPr>
            <w:r>
              <w:rPr>
                <w:rFonts w:ascii="Arial" w:cs="Arial" w:eastAsia="Arial" w:hAnsi="Arial"/>
                <w:sz w:val="18"/>
                <w:szCs w:val="18"/>
                <w:color w:val="auto"/>
                <w:w w:val="88"/>
              </w:rPr>
              <w:t>$ 35,527</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36,109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Balance at</w:t>
            </w: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4"/>
              </w:rPr>
              <w:t>Provisions for</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Write-offs,</w:t>
            </w: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Doubtful</w:t>
            </w: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Net of</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840" w:type="dxa"/>
            <w:vAlign w:val="bottom"/>
            <w:gridSpan w:val="2"/>
          </w:tcPr>
          <w:p>
            <w:pPr>
              <w:jc w:val="center"/>
              <w:ind w:left="3121"/>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Accounts</w:t>
            </w: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2"/>
              </w:rPr>
              <w:t>Recoveries</w:t>
            </w:r>
          </w:p>
        </w:tc>
        <w:tc>
          <w:tcPr>
            <w:tcW w:w="100" w:type="dxa"/>
            <w:vAlign w:val="bottom"/>
          </w:tcPr>
          <w:p>
            <w:pPr>
              <w:spacing w:after="0"/>
              <w:rPr>
                <w:sz w:val="14"/>
                <w:szCs w:val="14"/>
                <w:color w:val="auto"/>
              </w:rPr>
            </w:pPr>
          </w:p>
        </w:tc>
        <w:tc>
          <w:tcPr>
            <w:tcW w:w="700" w:type="dxa"/>
            <w:vAlign w:val="bottom"/>
          </w:tcPr>
          <w:p>
            <w:pPr>
              <w:jc w:val="center"/>
              <w:ind w:right="26"/>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280" w:type="dxa"/>
            <w:vAlign w:val="bottom"/>
            <w:gridSpan w:val="3"/>
            <w:shd w:val="clear" w:color="auto" w:fill="CCEEFF"/>
          </w:tcPr>
          <w:p>
            <w:pPr>
              <w:jc w:val="center"/>
              <w:ind w:left="2701"/>
              <w:spacing w:after="0"/>
              <w:rPr>
                <w:sz w:val="20"/>
                <w:szCs w:val="20"/>
                <w:color w:val="auto"/>
              </w:rPr>
            </w:pPr>
            <w:r>
              <w:rPr>
                <w:rFonts w:ascii="Arial" w:cs="Arial" w:eastAsia="Arial" w:hAnsi="Arial"/>
                <w:sz w:val="18"/>
                <w:szCs w:val="18"/>
                <w:color w:val="auto"/>
                <w:w w:val="88"/>
              </w:rPr>
              <w:t>$ 15,812</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21,163</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tcPr>
          <w:p>
            <w:pPr>
              <w:jc w:val="right"/>
              <w:ind w:right="1241"/>
              <w:spacing w:after="0"/>
              <w:rPr>
                <w:sz w:val="20"/>
                <w:szCs w:val="20"/>
                <w:color w:val="auto"/>
              </w:rPr>
            </w:pPr>
            <w:r>
              <w:rPr>
                <w:rFonts w:ascii="Arial" w:cs="Arial" w:eastAsia="Arial" w:hAnsi="Arial"/>
                <w:sz w:val="18"/>
                <w:szCs w:val="18"/>
                <w:color w:val="auto"/>
              </w:rPr>
              <w:t>109</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rPr>
              <w:t>(a)3. Exhibits</w:t>
            </w:r>
          </w:p>
        </w:tc>
      </w:tr>
      <w:tr>
        <w:trPr>
          <w:trHeight w:val="297"/>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740" w:type="dxa"/>
            <w:vAlign w:val="bottom"/>
            <w:gridSpan w:val="3"/>
          </w:tcPr>
          <w:p>
            <w:pPr>
              <w:ind w:left="32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tc>
      </w:tr>
      <w:tr>
        <w:trPr>
          <w:trHeight w:val="340"/>
        </w:trPr>
        <w:tc>
          <w:tcPr>
            <w:tcW w:w="1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60" w:type="dxa"/>
            <w:vAlign w:val="bottom"/>
          </w:tcPr>
          <w:p>
            <w:pPr>
              <w:spacing w:after="0"/>
              <w:rPr>
                <w:sz w:val="24"/>
                <w:szCs w:val="24"/>
                <w:color w:val="auto"/>
              </w:rPr>
            </w:pPr>
          </w:p>
        </w:tc>
      </w:tr>
      <w:tr>
        <w:trPr>
          <w:trHeight w:val="161"/>
        </w:trPr>
        <w:tc>
          <w:tcPr>
            <w:tcW w:w="120" w:type="dxa"/>
            <w:vAlign w:val="bottom"/>
          </w:tcPr>
          <w:p>
            <w:pPr>
              <w:spacing w:after="0"/>
              <w:rPr>
                <w:sz w:val="14"/>
                <w:szCs w:val="14"/>
                <w:color w:val="auto"/>
              </w:rPr>
            </w:pPr>
          </w:p>
        </w:tc>
        <w:tc>
          <w:tcPr>
            <w:tcW w:w="460" w:type="dxa"/>
            <w:vAlign w:val="bottom"/>
          </w:tcPr>
          <w:p>
            <w:pPr>
              <w:jc w:val="right"/>
              <w:ind w:right="4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1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106"/>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Second</w:t>
            </w:r>
          </w:p>
        </w:tc>
        <w:tc>
          <w:tcPr>
            <w:tcW w:w="9460" w:type="dxa"/>
            <w:vAlign w:val="bottom"/>
          </w:tcPr>
          <w:p>
            <w:pPr>
              <w:jc w:val="right"/>
              <w:ind w:right="4592"/>
              <w:spacing w:after="0"/>
              <w:rPr>
                <w:sz w:val="20"/>
                <w:szCs w:val="20"/>
                <w:color w:val="auto"/>
              </w:rPr>
            </w:pPr>
            <w:r>
              <w:rPr>
                <w:rFonts w:ascii="Arial" w:cs="Arial" w:eastAsia="Arial" w:hAnsi="Arial"/>
                <w:sz w:val="18"/>
                <w:szCs w:val="18"/>
                <w:color w:val="auto"/>
                <w:w w:val="86"/>
              </w:rPr>
              <w:t>Amended and Restated Articles of Incorporation of the Registrant. (1)</w:t>
            </w:r>
          </w:p>
        </w:tc>
      </w:tr>
      <w:tr>
        <w:trPr>
          <w:trHeight w:val="316"/>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Fourth Amended and Restated Bylaws of the Registrant, as amended. (31)</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Specimen certificate for shares of Common Stock, $0.01 par value per share of the Registrant. (1)</w:t>
            </w:r>
          </w:p>
        </w:tc>
      </w:tr>
      <w:tr>
        <w:trPr>
          <w:trHeight w:val="318"/>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U.S. Bank National Association, as trustee. (4)</w:t>
            </w:r>
          </w:p>
        </w:tc>
      </w:tr>
      <w:tr>
        <w:trPr>
          <w:trHeight w:val="318"/>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therein and U.S. Bank National Association, as trustee. (20)</w:t>
            </w:r>
          </w:p>
        </w:tc>
      </w:tr>
      <w:tr>
        <w:trPr>
          <w:trHeight w:val="318"/>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88"/>
              </w:rPr>
              <w:t>Completion Guaranty, dated December 14, 2004, by Wynn Completion Guarantor, LLC in favor of Deutsche Bank Trust Company Americas, as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the Bank Agent, and U.S. Bank National Association, as Indenture Trustee. (17)</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*10.2</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 (1)</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*10.3</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First Amendment to Employment Agreement, dated as of August 6, 2004, by and between Stephen A. Wynn and Wynn Resorts, Limited. (10)</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*10.4</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6"/>
              </w:rPr>
              <w:t>Second Amendment to employment agreement between Wynn Resorts, Limited and Stephen A. Wynn dated January 31, 2007. (35)</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*10.5</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Third Amendment to Employment Agreement, dated as of September 11, 2008, between Wynn Resorts, Limited and Stephen A. Wynn. (37)</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*10.6</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0"/>
              </w:rPr>
              <w:t>Fourth Amendment to Employment Agreement dated as of December 31, 2008, between Wynn Resorts, Limited and Stephen A. Wynn. (42)</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*10.7</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 (27)</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*10.8</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First Amendment to Employment Agreement dated as of December 31, 2008, between Wynn Resorts, Limited and Marc D. Schorr. (42)</w:t>
            </w:r>
          </w:p>
        </w:tc>
      </w:tr>
      <w:tr>
        <w:trPr>
          <w:trHeight w:val="324"/>
        </w:trPr>
        <w:tc>
          <w:tcPr>
            <w:tcW w:w="580" w:type="dxa"/>
            <w:vAlign w:val="bottom"/>
            <w:gridSpan w:val="2"/>
          </w:tcPr>
          <w:p>
            <w:pPr>
              <w:jc w:val="right"/>
              <w:ind w:right="106"/>
              <w:spacing w:after="0"/>
              <w:rPr>
                <w:sz w:val="20"/>
                <w:szCs w:val="20"/>
                <w:color w:val="auto"/>
              </w:rPr>
            </w:pPr>
            <w:r>
              <w:rPr>
                <w:rFonts w:ascii="Arial" w:cs="Arial" w:eastAsia="Arial" w:hAnsi="Arial"/>
                <w:sz w:val="18"/>
                <w:szCs w:val="18"/>
                <w:color w:val="auto"/>
                <w:w w:val="90"/>
              </w:rPr>
              <w:t>*10.9</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Employment Agreement, dated as of October 1, 2005, by and between Wynn Las Vegas, LLC and Matt Maddox. (42)</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*10.10</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4"/>
              </w:rPr>
              <w:t>First Amendment to Employment Agreement, dated as of May 5, 2008, by and between Wynn Resorts, Limited and Matt Maddox. (41)</w:t>
            </w:r>
          </w:p>
        </w:tc>
      </w:tr>
      <w:tr>
        <w:trPr>
          <w:trHeight w:val="324"/>
        </w:trPr>
        <w:tc>
          <w:tcPr>
            <w:tcW w:w="580" w:type="dxa"/>
            <w:vAlign w:val="bottom"/>
            <w:gridSpan w:val="2"/>
          </w:tcPr>
          <w:p>
            <w:pPr>
              <w:jc w:val="right"/>
              <w:ind w:right="26"/>
              <w:spacing w:after="0"/>
              <w:rPr>
                <w:sz w:val="20"/>
                <w:szCs w:val="20"/>
                <w:color w:val="auto"/>
              </w:rPr>
            </w:pPr>
            <w:r>
              <w:rPr>
                <w:rFonts w:ascii="Arial" w:cs="Arial" w:eastAsia="Arial" w:hAnsi="Arial"/>
                <w:sz w:val="18"/>
                <w:szCs w:val="18"/>
                <w:color w:val="auto"/>
                <w:w w:val="88"/>
              </w:rPr>
              <w:t>*10.11</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3"/>
              </w:rPr>
              <w:t>Second Amendment to Employment Agreement dated as of December 31, 2008, between Wynn Resorts, Limited and Matt Maddox. (42)</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*10.12</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Employment Agreement, dated as of August 31, 2005, between Wynn Resorts, Limited and John Strzemp. (23)</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*10.13</w:t>
            </w:r>
          </w:p>
        </w:tc>
        <w:tc>
          <w:tcPr>
            <w:tcW w:w="58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w w:val="99"/>
              </w:rPr>
              <w:t>First Amendment to Employee Agreement, dated as of March 26, 2008, between Wynn Resorts, Limited and John Strzemp (39)</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740" w:type="dxa"/>
            <w:vAlign w:val="bottom"/>
            <w:gridSpan w:val="3"/>
          </w:tcPr>
          <w:p>
            <w:pPr>
              <w:jc w:val="right"/>
              <w:ind w:right="5392"/>
              <w:spacing w:after="0"/>
              <w:rPr>
                <w:sz w:val="20"/>
                <w:szCs w:val="20"/>
                <w:color w:val="auto"/>
              </w:rPr>
            </w:pPr>
            <w:r>
              <w:rPr>
                <w:rFonts w:ascii="Arial" w:cs="Arial" w:eastAsia="Arial" w:hAnsi="Arial"/>
                <w:sz w:val="18"/>
                <w:szCs w:val="18"/>
                <w:color w:val="auto"/>
              </w:rPr>
              <w:t>110</w:t>
            </w:r>
          </w:p>
        </w:tc>
      </w:tr>
    </w:tbl>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2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20" w:type="dxa"/>
            <w:vAlign w:val="bottom"/>
          </w:tcPr>
          <w:p>
            <w:pPr>
              <w:spacing w:after="0"/>
              <w:rPr>
                <w:sz w:val="14"/>
                <w:szCs w:val="14"/>
                <w:color w:val="auto"/>
              </w:rPr>
            </w:pPr>
          </w:p>
        </w:tc>
      </w:tr>
      <w:tr>
        <w:trPr>
          <w:trHeight w:val="216"/>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*10.14</w:t>
            </w:r>
          </w:p>
        </w:tc>
        <w:tc>
          <w:tcPr>
            <w:tcW w:w="5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Second Amendment to Employment Agreement dated as of December 31, 2008, between Wynn Resorts, Limited and John Strzemp. (42)</w:t>
            </w:r>
          </w:p>
        </w:tc>
      </w:tr>
      <w:tr>
        <w:trPr>
          <w:trHeight w:val="309"/>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Tax Indemnification Agreement, effective as of September 24, 2002, by and among Stephen A. Wynn, Aruze USA, Inc., Baron Asset Fun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behalf of the Baron Asset Fund Series, Baron Asset Fund on behalf of the Baron Growth Fund Series, Kenneth R. Wynn Family Trust dated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February 20, 1985, Valvino Lamore, LLC and Wynn Resorts, Limited. (1)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*10.16</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2002 Stock Incentive Plan. (2)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*10.17</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Stock Option Agreement. (14)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*10.18</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Stock Option Grant Notice. (13)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*10.19</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Restricted Stock Agreement. (13)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*10.20</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Indemnity Agreement. (13)</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8"/>
              </w:rPr>
              <w:t>Stockholders Agreement, dated as of April 11, 2002, by and among Stephen A. Wynn, Baron Asset Fund and Aruze USA, Inc. (7)</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Amendment to Stockholders Agreement as of November 8, 2006 (30)</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Amended and Restated Shareholders Agreement, dated as of September 16, 2004 by and among Wynn Resorts (Macau), Ltd., Wong Chi Seng</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and Wynn Resorts (Macau), S.A. (10)</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Concession Contract for the Operation of Games of Chance or Other Games in Casinos in the Macau Special Administrative Region, dated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 of</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Concession Agreement). (8)</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Concession Contract for Operating Casino Gaming or Other Forms of Gaming in the Macao Special Administrative Region, dated June 24, 2002,</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between the Macau Special Administrative Region and Wynn Resorts (Macau) S.A. (English translation of Chinese version of Concession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Agreement). (12)</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Unofficial English translation of Land Concession Contract between the Macau Special Administrative Region and Wynn Resorts (Macau) S.A.</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(9)</w:t>
            </w:r>
          </w:p>
        </w:tc>
        <w:tc>
          <w:tcPr>
            <w:tcW w:w="952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Agreement, dated as of June 13, 2002, by and between Stephen A. Wynn and Wynn Resorts, Limited. (8)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10.28</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7"/>
              </w:rPr>
              <w:t>Surname Rights Agreement, dated as of August 6, 2004, by and between Stephen A. Wynn and Wynn Resorts Holdings, LLC. (10)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8"/>
              </w:rPr>
              <w:t>Rights of Publicity License, dated as of August 6, 2004, by and between Stephen A. Wynn and Wynn Resorts Holdings, LLC. (10)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 (10)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 (10)</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10.32</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Rights Agreement, dated October 30, 2002, by and between the Registrant and Stephen A. Wynn. (2)</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10.33</w:t>
            </w:r>
          </w:p>
        </w:tc>
        <w:tc>
          <w:tcPr>
            <w:tcW w:w="58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Registration Rights Agreement, dated as of June 12, 2003, by and between Wynn Resorts, Limited and Societe des Bains de Mer et du Cercle des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Etrangers a Monaco. (5)</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0" w:type="dxa"/>
            <w:vAlign w:val="bottom"/>
            <w:gridSpan w:val="3"/>
          </w:tcPr>
          <w:p>
            <w:pPr>
              <w:jc w:val="right"/>
              <w:ind w:right="5540"/>
              <w:spacing w:after="0"/>
              <w:rPr>
                <w:sz w:val="20"/>
                <w:szCs w:val="20"/>
                <w:color w:val="auto"/>
              </w:rPr>
            </w:pPr>
            <w:r>
              <w:rPr>
                <w:rFonts w:ascii="Arial" w:cs="Arial" w:eastAsia="Arial" w:hAnsi="Arial"/>
                <w:sz w:val="18"/>
                <w:szCs w:val="18"/>
                <w:color w:val="auto"/>
              </w:rPr>
              <w:t>111</w:t>
            </w:r>
          </w:p>
        </w:tc>
      </w:tr>
    </w:tbl>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Pr>
          <w:p>
            <w:pPr>
              <w:jc w:val="right"/>
              <w:ind w:right="4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10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4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10.34</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2"/>
              </w:rPr>
              <w:t>Registration</w:t>
            </w:r>
          </w:p>
        </w:tc>
        <w:tc>
          <w:tcPr>
            <w:tcW w:w="9640" w:type="dxa"/>
            <w:vAlign w:val="bottom"/>
          </w:tcPr>
          <w:p>
            <w:pPr>
              <w:jc w:val="right"/>
              <w:ind w:right="292"/>
              <w:spacing w:after="0" w:line="201" w:lineRule="exact"/>
              <w:rPr>
                <w:sz w:val="20"/>
                <w:szCs w:val="20"/>
                <w:color w:val="auto"/>
              </w:rPr>
            </w:pPr>
            <w:r>
              <w:rPr>
                <w:rFonts w:ascii="Arial" w:cs="Arial" w:eastAsia="Arial" w:hAnsi="Arial"/>
                <w:sz w:val="18"/>
                <w:szCs w:val="18"/>
                <w:color w:val="auto"/>
                <w:w w:val="90"/>
              </w:rPr>
              <w:t>Rights Agreement, dated as of July 7, 2003, by and among Wynn Resorts, Limited, Wynn Resorts Funding,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Securities Inc. and SG Cowen Securities Corporation. (3)</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10.35</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8"/>
              </w:rPr>
              <w:t>Registration Rights Agreement, dated as of August 28, 2004, by and between S.H.W. &amp; Co. Limited and Wynn Resorts, Limited. (6)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10.36</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as of September 1, 2004, by and between Classic Wave Limited and Wynn Resorts, Limited. (6)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10.37</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Registration Rights Agreement, dated as of September 1, 2004, by and between L’Arc de Triomphe Limited and Wynn Resorts, Limited. (6)</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10.38</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Registration Rights Agreement, dated as of September 1, 2004, by and between SKKG Limited and Wynn Resorts, Limited. (6)</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10.39</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Registration Rights Agreement, dated as of December 14, 2004, by and among Wynn Las Vegas, LLC, Wynn Las Vegas Capital Corp.,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Guarantor signatories thereto and Deutsche Bank Securities Inc., Banc of America Securities LLC, Bear, Stearns &amp; Co. Inc., J.P. Morgan Securities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Inc. and SG Americas Securities, LLC. (17)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10.40</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as of November 6, 2007, by and among Wynn Las Vegas, LLC, Wynn Las Vegas Capital Corp.,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guarantors party thereto, Deutsche Bank Securities Inc. and Banc of America Securities LLC. (33)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10.41</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Pledge and Security Agreement, dated as of July 7, 2003, by and between Wynn Resorts, Limited, as pledgor, and U.S. Bank National Association,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as trustee and collateral agent.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10.42</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Collateral Pledge and Security Agreement, dated as of July 7, 2003, by and between Wynn Resorts Funding, LLC, as the pledgor, and U.S.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National Association, as collateral agent and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10.43</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Supplement No. 1, dated as of July 30, 2003, to the Collateral Pledge and Security Agreement dated as of July 7, 2003, by and between Wynn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Resorts Funding, LLC, as pledgor and U.S. Bank National Association, as collateral agent and trustee. (3)</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10.44</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 the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lenders named therein. (15)</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10.45</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Common Terms Agreement, dated as of September 14, 2004, among Wynn Resorts (Macau), S.A., certain financial institutions as Hotel Facility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Lenders, Project Facility Lenders and Revolving Credit Facility Lenders, Deutsche Bank AG, Hong Kong Branch and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Limited as Global Coordinating Lead Arrangers and Societe Generale Asia Limited as Hotel Facility Agent, Project Facility Agent, Intercreditor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Agent and Security Agent.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10.46</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Common Terms Agreement Amendment Agreement, dated as of September 14, 2005, between Wynn Resorts (Macau), S.A. as the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Certain Financial Institutions as Hotel Facility Lenders, Project Facility Lenders, Revolving Credit Facility Lenders and Hedging Counterparties,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Bank of America Securities Asia Limited, Deutsche Bank AG, Hong Kong Branch and Societe Generale Asia Limited as Global Coordinating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Lead Arrangers, Societe Generale Asia Limited as Hotel Facility Agent and Project Facility Agent, Societe Generale Asia Limited as Intercreditor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Agent, and Societe Generale, Hong Kong Branch as Security Agent.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10.47</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Second Amendment Agreement to the Common Terms Agreement dated June 27, 2007 among Wynn Resorts (Macau), S.A., certain financial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institutions as Hotel Facility Lenders, Project Facility Lenders, and Revolving Credit Facility Lenders, Banc of America Securities Asia Limited,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Deutsche Bank A.G. Hong Kong Branch, and Societe Generale Asia Limited as Global Lead Arrangers and Societe Generale Asia Limited 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Hotel Facility Agent and Project Facility Agent and Societe Generale Hong Kong Branch as Intercreditor Agent. (31)</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40" w:type="dxa"/>
            <w:vAlign w:val="bottom"/>
            <w:gridSpan w:val="3"/>
          </w:tcPr>
          <w:p>
            <w:pPr>
              <w:jc w:val="right"/>
              <w:ind w:right="5472"/>
              <w:spacing w:after="0"/>
              <w:rPr>
                <w:sz w:val="20"/>
                <w:szCs w:val="20"/>
                <w:color w:val="auto"/>
              </w:rPr>
            </w:pPr>
            <w:r>
              <w:rPr>
                <w:rFonts w:ascii="Arial" w:cs="Arial" w:eastAsia="Arial" w:hAnsi="Arial"/>
                <w:sz w:val="18"/>
                <w:szCs w:val="18"/>
                <w:color w:val="auto"/>
              </w:rPr>
              <w:t>112</w:t>
            </w:r>
          </w:p>
        </w:tc>
      </w:tr>
    </w:tbl>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6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9"/>
              </w:rPr>
              <w:t>10.48</w:t>
            </w:r>
          </w:p>
        </w:tc>
        <w:tc>
          <w:tcPr>
            <w:tcW w:w="580" w:type="dxa"/>
            <w:vAlign w:val="bottom"/>
          </w:tcPr>
          <w:p>
            <w:pPr>
              <w:spacing w:after="0"/>
              <w:rPr>
                <w:sz w:val="17"/>
                <w:szCs w:val="17"/>
                <w:color w:val="auto"/>
              </w:rPr>
            </w:pPr>
          </w:p>
        </w:tc>
        <w:tc>
          <w:tcPr>
            <w:tcW w:w="10340" w:type="dxa"/>
            <w:vAlign w:val="bottom"/>
            <w:gridSpan w:val="2"/>
          </w:tcPr>
          <w:p>
            <w:pPr>
              <w:spacing w:after="0" w:line="201" w:lineRule="exact"/>
              <w:rPr>
                <w:sz w:val="20"/>
                <w:szCs w:val="20"/>
                <w:color w:val="auto"/>
              </w:rPr>
            </w:pPr>
            <w:r>
              <w:rPr>
                <w:rFonts w:ascii="Arial" w:cs="Arial" w:eastAsia="Arial" w:hAnsi="Arial"/>
                <w:sz w:val="18"/>
                <w:szCs w:val="18"/>
                <w:color w:val="auto"/>
                <w:w w:val="90"/>
              </w:rPr>
              <w:t>Hotel Facility Agreement, dated as of September 14, 2004, among Wynn Resorts (Macau), S.A., Societe Generale Asia Limited as Hotel Facility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Agent and the several Hotel Facility Lenders named therein.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10.49</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0"/>
              </w:rPr>
              <w:t>Hotel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10.50</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9"/>
              </w:rPr>
              <w:t>Second Amendment Agreement to the Hotel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Limited as Hotel Facility Agent, and certain financial institutions as Hotel Facility Lenders. (31)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10.51</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2"/>
              </w:rPr>
              <w:t>Project Facility Agreement, dated as of September 14, 2004, among Wynn Resorts (Macau), S.A., Societe Generale Asia Limited as Project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Facility Agent and the several Project Facility Lenders named therein.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10.52</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8"/>
              </w:rPr>
              <w:t>Project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10.53</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8"/>
              </w:rPr>
              <w:t>Second Amendment Agreement to the Project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Limited as Project Facility Agent, and certain financial institutions as Project Facility Lenders. (31)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10.54</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2"/>
              </w:rPr>
              <w:t>Revolving Credit Facility Agreement, dated as of September 14, 2004, among Wynn Resorts (Macau), S.A. and the several Revolving Credit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Facility Lenders named therein.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10.55</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8"/>
              </w:rPr>
              <w:t>Revolving Credit Facility Agreement Amendment Agreement, dated as of September 14, 2005, between Wynn Resorts (Macau), S.A. as Company</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and Certain Financial Institutions as Revolving Credit Facility Lenders.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10.56</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9"/>
              </w:rPr>
              <w:t>Revolving Credit Facility Second Amendment Agreement dated June 27, 2007 among Wynn Resorts (Macau), S.A.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 (31)</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10.57</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0"/>
              </w:rPr>
              <w:t>Deed of Appointment and Priority, dated as of September 14, 2004, among Wynn Resorts (Macau), S.A., certain financial institutions as Original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1"/>
              </w:rPr>
              <w:t>First Ranking Lenders, Banco Nacional Ultramarino, S.A. as Second Ranking Finance Party, Wynn Group Asia, Inc. as Third Ranking Finance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8"/>
              </w:rPr>
              <w:t>Party, Societe Generale -Hong Kong Branch as Security Agent, Societe Generale Asia Limited as Intercreditor Agent and Hotel Facility Agent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Project Facility Agent and others.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10.58</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0"/>
              </w:rPr>
              <w:t>Floating Charge (unofficial English Translation), dated September 14, 2004 between Wynn Resorts (Macau), S.A.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Kong Branch as the Security Agent. (10)</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10.59</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8"/>
              </w:rPr>
              <w:t>Debenture, dated September 14, 2004 between Wynn Resorts (Macau), S.A. and Societe Generale, Hong Kong Branch as the Security Agent.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10.60</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7"/>
              </w:rPr>
              <w:t>Wynn Resorts Support Agreement, dated September 14, 2004 between Wynn Resorts, Limited, Wynn Resorts (Macau), S.A. and Societe Generale,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Hong Kong Branch as the Security Agent.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10.61</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89"/>
              </w:rPr>
              <w:t>Wynn Pledgors’ Guarantee, dated September 14, 2004 between Wynn Group Asia, Inc., Wynn Resorts International, Ltd., Wynn Resorts (Macau)</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7"/>
              </w:rPr>
              <w:t>Holdings, Ltd. and Wynn Resorts (Macau), Ltd. as Guarantors; and Societe Generale, Hong Kong Branch as the Security Agent. (10)</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10.62</w:t>
            </w:r>
          </w:p>
        </w:tc>
        <w:tc>
          <w:tcPr>
            <w:tcW w:w="58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4"/>
              </w:rPr>
              <w:t>Sponsors’ Subordination Deed, dated September 14, 2004 between Wynn Resorts (Macau), S.A., Wynn Group Asia, Inc.,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w w:val="90"/>
              </w:rPr>
              <w:t>International, Ltd., Wynn Resorts (Macau) Holdings, Ltd. and Wynn Resorts (Macau), Ltd. as the Wynn Companies and Societe Generale, Hong</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gridSpan w:val="2"/>
          </w:tcPr>
          <w:p>
            <w:pPr>
              <w:spacing w:after="0"/>
              <w:rPr>
                <w:sz w:val="20"/>
                <w:szCs w:val="20"/>
                <w:color w:val="auto"/>
              </w:rPr>
            </w:pPr>
            <w:r>
              <w:rPr>
                <w:rFonts w:ascii="Arial" w:cs="Arial" w:eastAsia="Arial" w:hAnsi="Arial"/>
                <w:sz w:val="18"/>
                <w:szCs w:val="18"/>
                <w:color w:val="auto"/>
              </w:rPr>
              <w:t>Kong Branch as the Security Agent. (10)</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20" w:type="dxa"/>
            <w:vAlign w:val="bottom"/>
            <w:gridSpan w:val="3"/>
          </w:tcPr>
          <w:p>
            <w:pPr>
              <w:jc w:val="right"/>
              <w:ind w:right="5540"/>
              <w:spacing w:after="0"/>
              <w:rPr>
                <w:sz w:val="20"/>
                <w:szCs w:val="20"/>
                <w:color w:val="auto"/>
              </w:rPr>
            </w:pPr>
            <w:r>
              <w:rPr>
                <w:rFonts w:ascii="Arial" w:cs="Arial" w:eastAsia="Arial" w:hAnsi="Arial"/>
                <w:sz w:val="18"/>
                <w:szCs w:val="18"/>
                <w:color w:val="auto"/>
              </w:rPr>
              <w:t>113</w:t>
            </w:r>
          </w:p>
        </w:tc>
      </w:tr>
    </w:tbl>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6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79"/>
              </w:rPr>
              <w:t>10.63</w:t>
            </w:r>
          </w:p>
        </w:tc>
        <w:tc>
          <w:tcPr>
            <w:tcW w:w="580" w:type="dxa"/>
            <w:vAlign w:val="bottom"/>
          </w:tcPr>
          <w:p>
            <w:pPr>
              <w:spacing w:after="0"/>
              <w:rPr>
                <w:sz w:val="17"/>
                <w:szCs w:val="17"/>
                <w:color w:val="auto"/>
              </w:rPr>
            </w:pPr>
          </w:p>
        </w:tc>
        <w:tc>
          <w:tcPr>
            <w:tcW w:w="10360" w:type="dxa"/>
            <w:vAlign w:val="bottom"/>
            <w:gridSpan w:val="2"/>
          </w:tcPr>
          <w:p>
            <w:pPr>
              <w:spacing w:after="0" w:line="201" w:lineRule="exact"/>
              <w:rPr>
                <w:sz w:val="20"/>
                <w:szCs w:val="20"/>
                <w:color w:val="auto"/>
              </w:rPr>
            </w:pPr>
            <w:r>
              <w:rPr>
                <w:rFonts w:ascii="Arial" w:cs="Arial" w:eastAsia="Arial" w:hAnsi="Arial"/>
                <w:sz w:val="18"/>
                <w:szCs w:val="18"/>
                <w:color w:val="auto"/>
                <w:w w:val="89"/>
              </w:rPr>
              <w:t>Bank Guarantee Reimbursement Agreement, dated September 14, 2004, between Wynn Resorts (Macau), S.A. and Banco Nacional Ultramarino.</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(10)</w:t>
            </w:r>
          </w:p>
        </w:tc>
        <w:tc>
          <w:tcPr>
            <w:tcW w:w="96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10.64</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Wynn Resorts Support Agreement Deed of Amendment, dated as of September 14, 2005, between Wynn Resorts (Macau), S.A. and Societe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Generale, Hong Kong Branch as Security Agent.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10.65</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Deed of Appointment and Priority Deed of Amendment, dated as of September 14, 2005, between Wynn Resorts (Macau), S.A. as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5"/>
              </w:rPr>
              <w:t>Certain Financial Institutions as Original First Ranking Lenders, Certain Financial Institutions as Original Hedging Counterparties, Banco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Nacional Ultramarino, S.A. as Second Ranking Finance Party, Wynn Group Asia, Inc. as Third Ranking Finance Party,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Limited as Security Agent, Societe Generale Asia Limited as Intercreditor Agent, Societe Generale Asia Limited as Hotel Facility Agent and</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Project Facility Agent, and Others. (22)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10.66</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 Wynn Las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Vegas, LLC, as trustor, to Nevada Title Company, as trustee, for the benefit of Deutsche Bank Trust Company Americas, as collateral agent. (17)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10.67</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Sunrise,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10.68</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Deed of Trust, Assignment of Rents and Leases, Security Agreement and Fixture Filing, dated as of December 14, 2004, made by Wynn Golf,</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4"/>
              </w:rPr>
              <w:t>LLC, as trustor, to Nevada Title Company, as trustee, for the benefit of Deutsche Bank Trust Company Americas, as collateral agent. (17)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10.69</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Guarantee and Collateral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(17)</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10.70</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5"/>
              </w:rPr>
              <w:t>Trust Company Americas, as the initial Bank Agent, and Deutsche Bank Trust Company America, as the initial Disbursement Agent. (34)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10.71</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7"/>
              </w:rPr>
              <w:t>First Amendment to Amended and Restated Master Disbursement Agreement, dated as of October 31, 2007, by and among Wynn Las Vegas,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Deutsche Bank Trust Company Americas, as the initial Bank Agent, and Deutsche Bank Trust Company America, as the initial Disbursement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Agent. (32)</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10.72</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(33)</w:t>
            </w:r>
          </w:p>
        </w:tc>
        <w:tc>
          <w:tcPr>
            <w:tcW w:w="9640" w:type="dxa"/>
            <w:vAlign w:val="bottom"/>
          </w:tcPr>
          <w:p>
            <w:pPr>
              <w:spacing w:after="0"/>
              <w:rPr>
                <w:sz w:val="19"/>
                <w:szCs w:val="19"/>
                <w:color w:val="auto"/>
              </w:rPr>
            </w:pP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10.73</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 Bank Trust</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Company Americas, as collateral agent, and U.S. Bank National Association, as trustee. (4)</w:t>
            </w:r>
          </w:p>
        </w:tc>
      </w:tr>
      <w:tr>
        <w:trPr>
          <w:trHeight w:val="318"/>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10.74</w:t>
            </w:r>
          </w:p>
        </w:tc>
        <w:tc>
          <w:tcPr>
            <w:tcW w:w="580" w:type="dxa"/>
            <w:vAlign w:val="bottom"/>
          </w:tcPr>
          <w:p>
            <w:pPr>
              <w:spacing w:after="0"/>
              <w:rPr>
                <w:sz w:val="24"/>
                <w:szCs w:val="24"/>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Pledge and Security Agreement, dated as of December 14, 2004, made by Wynn Resorts Holdings, LLC, Wynn Las Vegas, LLC, Wynn Show</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2"/>
              </w:rPr>
              <w:t>Performers, LLC, Wynn Las Vegas Capital Corp., Wynn Golf, LLC, World Travel, LLC, Las Vegas Jet, LLC, Wynn Sunrise, LLC and the other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(17)</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40" w:type="dxa"/>
            <w:vAlign w:val="bottom"/>
            <w:gridSpan w:val="3"/>
          </w:tcPr>
          <w:p>
            <w:pPr>
              <w:jc w:val="right"/>
              <w:ind w:right="5560"/>
              <w:spacing w:after="0"/>
              <w:rPr>
                <w:sz w:val="20"/>
                <w:szCs w:val="20"/>
                <w:color w:val="auto"/>
              </w:rPr>
            </w:pPr>
            <w:r>
              <w:rPr>
                <w:rFonts w:ascii="Arial" w:cs="Arial" w:eastAsia="Arial" w:hAnsi="Arial"/>
                <w:sz w:val="18"/>
                <w:szCs w:val="18"/>
                <w:color w:val="auto"/>
              </w:rPr>
              <w:t>114</w:t>
            </w:r>
          </w:p>
        </w:tc>
      </w:tr>
    </w:tbl>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6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60" w:type="dxa"/>
            <w:vAlign w:val="bottom"/>
          </w:tcPr>
          <w:p>
            <w:pPr>
              <w:spacing w:after="0"/>
              <w:rPr>
                <w:sz w:val="14"/>
                <w:szCs w:val="14"/>
                <w:color w:val="auto"/>
              </w:rPr>
            </w:pPr>
          </w:p>
        </w:tc>
      </w:tr>
      <w:tr>
        <w:trPr>
          <w:trHeight w:val="201"/>
        </w:trPr>
        <w:tc>
          <w:tcPr>
            <w:tcW w:w="580" w:type="dxa"/>
            <w:vAlign w:val="bottom"/>
            <w:gridSpan w:val="2"/>
          </w:tcPr>
          <w:p>
            <w:pPr>
              <w:jc w:val="right"/>
              <w:ind w:right="112"/>
              <w:spacing w:after="0" w:line="201" w:lineRule="exact"/>
              <w:rPr>
                <w:sz w:val="20"/>
                <w:szCs w:val="20"/>
                <w:color w:val="auto"/>
              </w:rPr>
            </w:pPr>
            <w:r>
              <w:rPr>
                <w:rFonts w:ascii="Arial" w:cs="Arial" w:eastAsia="Arial" w:hAnsi="Arial"/>
                <w:sz w:val="18"/>
                <w:szCs w:val="18"/>
                <w:color w:val="auto"/>
                <w:w w:val="84"/>
              </w:rPr>
              <w:t>10.75</w:t>
            </w:r>
          </w:p>
        </w:tc>
        <w:tc>
          <w:tcPr>
            <w:tcW w:w="58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 xml:space="preserve">Vegas Capital Corp., and those subsidiaries of Wynn Las Vegas, LLC listed on </w:t>
            </w:r>
            <w:r>
              <w:rPr>
                <w:rFonts w:ascii="Arial" w:cs="Arial" w:eastAsia="Arial" w:hAnsi="Arial"/>
                <w:sz w:val="18"/>
                <w:szCs w:val="18"/>
                <w:i w:val="1"/>
                <w:iCs w:val="1"/>
                <w:color w:val="auto"/>
                <w:w w:val="93"/>
              </w:rPr>
              <w:t>Exhibit A</w:t>
            </w:r>
            <w:r>
              <w:rPr>
                <w:rFonts w:ascii="Arial" w:cs="Arial" w:eastAsia="Arial" w:hAnsi="Arial"/>
                <w:sz w:val="18"/>
                <w:szCs w:val="18"/>
                <w:color w:val="auto"/>
                <w:w w:val="93"/>
              </w:rPr>
              <w:t xml:space="preserve"> hereto in favor of Deutsche Bank Trust Company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Americas, as administrative agent, and U.S. Bank National Association, as trustee. (17)</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10.76</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Management Agreement, made as of December 14, 2004, by and among Wynn Las Vegas, LLC, Wynn Show Performers, LLC, Wynn Las Vegas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(17)</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10.77</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Irrevocable Trust Agreement, dated as of December 14, 2004, by and among Wynn Las Vegas, LLC, Wynn Las Vegas Capital Corp., and Wells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Fargo Bank, National Association, as Trustee. (17)</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10.78</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Amended and Restated Project Administration Services Agreement, dated December 14, 2004, between Wynn Las Vegas, LLC and Wynn Design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&amp; Development, LLC. (17)</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10.79</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Intellectual Property License Agreement, dated as of December 14, 2004, by and among Wynn Resorts Holdings, Wynn Resorts, Limited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Wynn Las Vegas, LLC. (17)</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10.80</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Agreement of Lease, dated January 10, 2005, by and between Stephen A. Wynn and Wynn Las Vegas, LLC. (18)</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Amendment No. 1 to Agreement of Lease, dated April 21, 2005, by and between Stephen A. Wynn and Wynn Las Vegas, LLC. (18)</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10.82</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Second Amendment to Agreement of Lease, made as of June 10, 2008, by and between Wynn Las Vegas, LLC and Stephen A. Wynn. (40)</w:t>
            </w:r>
          </w:p>
        </w:tc>
      </w:tr>
      <w:tr>
        <w:trPr>
          <w:trHeight w:val="324"/>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10.83</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(19)</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10.84</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Fourth Amended and Restated Art Rental and Licensing Agreement, dated as of June 30, 2005, between Stephen A. Wynn, as lessor, Wynn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Gallery, LLC, as lessee. (19)</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10.85</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Commitment to Pay Project Costs, dated as of March 31, 2006, by and between Wynn Resorts, Limited in favor of Deutsche Bank Trust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 Americas, as administrative agent, and US Bank National Association, as Trustee. (25)</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10.86</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agents, and Deutsche Bank Trust Company Americas, as Administrative Agent. (28)</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10.87</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First Amendment to Amended and Restated Credit Agreement dated April 9,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Corp., Wynn Show Performers, LLC, Wynn Golf, LLC, Wynn Sunrise, LLC, World Travel, LLC, Kevyn, LLC, Las Vegas Jet, LLC,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Deutsche Bank Trust Company Americas, as Administrative Agent on behalf of the several banks and other financial institutions or entities from</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time to time party to Wynn Las Vegas LLC’s Amended and Restated Credit Agreement, dated as of August 15, 2006. (31)</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10.88</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Wynn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Resorts Holdings, LLC, Wynn Completion Guarantors, LLC and Deutsche Bank Trust Company Americas, as Administrative Agent on behalf of</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Agreement, dated as of August 15, 2006. (32)</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40" w:type="dxa"/>
            <w:vAlign w:val="bottom"/>
            <w:gridSpan w:val="3"/>
          </w:tcPr>
          <w:p>
            <w:pPr>
              <w:jc w:val="right"/>
              <w:ind w:right="5580"/>
              <w:spacing w:after="0"/>
              <w:rPr>
                <w:sz w:val="20"/>
                <w:szCs w:val="20"/>
                <w:color w:val="auto"/>
              </w:rPr>
            </w:pPr>
            <w:r>
              <w:rPr>
                <w:rFonts w:ascii="Arial" w:cs="Arial" w:eastAsia="Arial" w:hAnsi="Arial"/>
                <w:sz w:val="18"/>
                <w:szCs w:val="18"/>
                <w:color w:val="auto"/>
              </w:rPr>
              <w:t>115</w:t>
            </w: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6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60" w:type="dxa"/>
            <w:vAlign w:val="bottom"/>
          </w:tcPr>
          <w:p>
            <w:pPr>
              <w:spacing w:after="0"/>
              <w:rPr>
                <w:sz w:val="14"/>
                <w:szCs w:val="14"/>
                <w:color w:val="auto"/>
              </w:rPr>
            </w:pPr>
          </w:p>
        </w:tc>
      </w:tr>
      <w:tr>
        <w:trPr>
          <w:trHeight w:val="201"/>
        </w:trPr>
        <w:tc>
          <w:tcPr>
            <w:tcW w:w="120" w:type="dxa"/>
            <w:vAlign w:val="bottom"/>
          </w:tcPr>
          <w:p>
            <w:pPr>
              <w:spacing w:after="0"/>
              <w:rPr>
                <w:sz w:val="17"/>
                <w:szCs w:val="17"/>
                <w:color w:val="auto"/>
              </w:rPr>
            </w:pPr>
          </w:p>
        </w:tc>
        <w:tc>
          <w:tcPr>
            <w:tcW w:w="460" w:type="dxa"/>
            <w:vAlign w:val="bottom"/>
          </w:tcPr>
          <w:p>
            <w:pPr>
              <w:jc w:val="right"/>
              <w:ind w:right="6"/>
              <w:spacing w:after="0" w:line="201" w:lineRule="exact"/>
              <w:rPr>
                <w:sz w:val="20"/>
                <w:szCs w:val="20"/>
                <w:color w:val="auto"/>
              </w:rPr>
            </w:pPr>
            <w:r>
              <w:rPr>
                <w:rFonts w:ascii="Arial" w:cs="Arial" w:eastAsia="Arial" w:hAnsi="Arial"/>
                <w:sz w:val="18"/>
                <w:szCs w:val="18"/>
                <w:color w:val="auto"/>
                <w:w w:val="79"/>
              </w:rPr>
              <w:t>10.89</w:t>
            </w:r>
          </w:p>
        </w:tc>
        <w:tc>
          <w:tcPr>
            <w:tcW w:w="58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Credit Agreement, dated as of August 15, 2006. (38)</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*10.90</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Employment Agreement dated October 27, 2006, by and between World Wide Wynn, LLC and Linda C. Chen (29)</w:t>
            </w:r>
          </w:p>
        </w:tc>
      </w:tr>
      <w:tr>
        <w:trPr>
          <w:trHeight w:val="324"/>
        </w:trPr>
        <w:tc>
          <w:tcPr>
            <w:tcW w:w="580" w:type="dxa"/>
            <w:vAlign w:val="bottom"/>
            <w:gridSpan w:val="2"/>
          </w:tcPr>
          <w:p>
            <w:pPr>
              <w:jc w:val="right"/>
              <w:ind w:right="6"/>
              <w:spacing w:after="0"/>
              <w:rPr>
                <w:sz w:val="20"/>
                <w:szCs w:val="20"/>
                <w:color w:val="auto"/>
              </w:rPr>
            </w:pPr>
            <w:r>
              <w:rPr>
                <w:rFonts w:ascii="Arial" w:cs="Arial" w:eastAsia="Arial" w:hAnsi="Arial"/>
                <w:sz w:val="18"/>
                <w:szCs w:val="18"/>
                <w:color w:val="auto"/>
                <w:w w:val="92"/>
              </w:rPr>
              <w:t>*10.91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First Amendment to Employment Agreement, dated as of December 31, 2008, by and between World Wide Wynn, LLC and Linda C. Chen. (42)</w:t>
            </w: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10.92</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Credit Agreement dated June 21, 2007 among Wynn Resorts, Limited and Deutsche Bank Securities, Inc and Bank of America Securities LLC.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(31)</w:t>
            </w:r>
          </w:p>
        </w:tc>
        <w:tc>
          <w:tcPr>
            <w:tcW w:w="9560" w:type="dxa"/>
            <w:vAlign w:val="bottom"/>
          </w:tcPr>
          <w:p>
            <w:pPr>
              <w:spacing w:after="0"/>
              <w:rPr>
                <w:sz w:val="19"/>
                <w:szCs w:val="19"/>
                <w:color w:val="auto"/>
              </w:rPr>
            </w:pP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10.93</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First Amendment to Credit Agreement, dated as of August 1, 2008, among Wynn Resorts, Limited and Deutsche Bank Trust Company Americas,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as Administrative Agent on behalf of the several banks and other financial institutions or entities from time to time party to the Credit Agreement.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(36)</w:t>
            </w:r>
          </w:p>
        </w:tc>
        <w:tc>
          <w:tcPr>
            <w:tcW w:w="9560" w:type="dxa"/>
            <w:vAlign w:val="bottom"/>
          </w:tcPr>
          <w:p>
            <w:pPr>
              <w:spacing w:after="0"/>
              <w:rPr>
                <w:sz w:val="19"/>
                <w:szCs w:val="19"/>
                <w:color w:val="auto"/>
              </w:rPr>
            </w:pPr>
          </w:p>
        </w:tc>
      </w:tr>
      <w:tr>
        <w:trPr>
          <w:trHeight w:val="318"/>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10.94</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Second Amendment to Credit Agreement, dated as of November 13, 2008, among Wynn Resorts, Limited and Deutsche Bank Trust Company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Americas, as Administrative Agent on behalf of the several banks and other financial institutions or entities from time to time party to the Credit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Agreement. (43)</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Code of Ethics for the Chief Executive Officer, President and Senior Financial Officers (adopted November 12, 2003) (16)</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Subsidiaries of the Registrant (42)</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Consent of Ernst &amp; Young LLP (42)</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(42)</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(42)</w:t>
            </w:r>
          </w:p>
        </w:tc>
      </w:tr>
    </w:tbl>
    <w:p>
      <w:pPr>
        <w:spacing w:after="0" w:line="102" w:lineRule="exact"/>
        <w:rPr>
          <w:sz w:val="20"/>
          <w:szCs w:val="20"/>
          <w:color w:val="auto"/>
        </w:rPr>
      </w:pPr>
    </w:p>
    <w:p>
      <w:pPr>
        <w:ind w:left="1160" w:hanging="1064"/>
        <w:spacing w:after="0"/>
        <w:tabs>
          <w:tab w:leader="none" w:pos="11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Certification of CEO and CFO Pursuant to 18 U.S.C. Section 1350, as Adopted Pursuant to Section 906 of the Sarbanes-Oxley Act of 2002. (42)</w:t>
      </w:r>
    </w:p>
    <w:p>
      <w:pPr>
        <w:spacing w:after="0" w:line="1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14,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December 17,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13,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Incorporated by reference from the Registration Statement on Form S-3 filed by the Registrant on September 1, 2004 (File No. 333-118741).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the Registrant on June 17, 2002.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from Amendment No. 1 to the Form S-1 filed by the Registrant on August 20, 2002 (File No. 333-90600).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from Amendment No. 3 to the Form S-1 filed by the Registrant on September 18, 2002 (File No. 333-90600).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Incorporated by reference from Amendment No. 5 to the Form S-1 filed by the Registrant on October 21, 2002 (File No. 333-90600).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Form S-8 filed by the Registrant on October 31,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8,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10,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used.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4,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2,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14,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28,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12,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2008.</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219"/>
          </w:cols>
          <w:pgMar w:left="240" w:top="459" w:right="1440"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620" w:val="left"/>
          <w:tab w:leader="none" w:pos="7660" w:val="left"/>
          <w:tab w:leader="none" w:pos="8000" w:val="left"/>
        </w:tabs>
        <w:rPr>
          <w:sz w:val="20"/>
          <w:szCs w:val="20"/>
          <w:color w:val="auto"/>
        </w:rPr>
      </w:pPr>
      <w:r>
        <w:rPr>
          <w:rFonts w:ascii="Arial" w:cs="Arial" w:eastAsia="Arial" w:hAnsi="Arial"/>
          <w:sz w:val="18"/>
          <w:szCs w:val="18"/>
          <w:color w:val="auto"/>
        </w:rPr>
        <w:t>Dated: February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4"/>
          <w:szCs w:val="14"/>
          <w:b w:val="1"/>
          <w:bCs w:val="1"/>
          <w:color w:val="auto"/>
        </w:rPr>
        <w:t>Stephen A. Wynn</w:t>
      </w:r>
    </w:p>
    <w:p>
      <w:pPr>
        <w:jc w:val="center"/>
        <w:ind w:left="5960"/>
        <w:spacing w:after="0" w:line="221" w:lineRule="auto"/>
        <w:rPr>
          <w:sz w:val="20"/>
          <w:szCs w:val="20"/>
          <w:color w:val="auto"/>
        </w:rPr>
      </w:pPr>
      <w:r>
        <w:rPr>
          <w:rFonts w:ascii="Arial" w:cs="Arial" w:eastAsia="Arial" w:hAnsi="Arial"/>
          <w:sz w:val="14"/>
          <w:szCs w:val="14"/>
          <w:b w:val="1"/>
          <w:bCs w:val="1"/>
          <w:color w:val="auto"/>
        </w:rPr>
        <w:t>Chairman of the Board and Chief Executive</w:t>
      </w:r>
    </w:p>
    <w:p>
      <w:pPr>
        <w:jc w:val="center"/>
        <w:ind w:left="5960"/>
        <w:spacing w:after="0"/>
        <w:rPr>
          <w:sz w:val="20"/>
          <w:szCs w:val="20"/>
          <w:color w:val="auto"/>
        </w:rPr>
      </w:pPr>
      <w:r>
        <w:rPr>
          <w:rFonts w:ascii="Arial" w:cs="Arial" w:eastAsia="Arial" w:hAnsi="Arial"/>
          <w:sz w:val="14"/>
          <w:szCs w:val="14"/>
          <w:b w:val="1"/>
          <w:bCs w:val="1"/>
          <w:color w:val="auto"/>
        </w:rPr>
        <w:t>Officer (Principal Executive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660" w:type="dxa"/>
            <w:vAlign w:val="bottom"/>
          </w:tcPr>
          <w:p>
            <w:pPr>
              <w:spacing w:after="0"/>
              <w:rPr>
                <w:sz w:val="14"/>
                <w:szCs w:val="14"/>
                <w:color w:val="auto"/>
              </w:rPr>
            </w:pPr>
          </w:p>
        </w:tc>
        <w:tc>
          <w:tcPr>
            <w:tcW w:w="4120" w:type="dxa"/>
            <w:vAlign w:val="bottom"/>
            <w:gridSpan w:val="3"/>
          </w:tcPr>
          <w:p>
            <w:pPr>
              <w:ind w:left="1700"/>
              <w:spacing w:after="0"/>
              <w:rPr>
                <w:sz w:val="20"/>
                <w:szCs w:val="20"/>
                <w:color w:val="auto"/>
              </w:rPr>
            </w:pPr>
            <w:r>
              <w:rPr>
                <w:rFonts w:ascii="Arial" w:cs="Arial" w:eastAsia="Arial" w:hAnsi="Arial"/>
                <w:sz w:val="14"/>
                <w:szCs w:val="14"/>
                <w:b w:val="1"/>
                <w:bCs w:val="1"/>
                <w:color w:val="auto"/>
              </w:rPr>
              <w:t>Title</w:t>
            </w:r>
          </w:p>
        </w:tc>
        <w:tc>
          <w:tcPr>
            <w:tcW w:w="1320" w:type="dxa"/>
            <w:vAlign w:val="bottom"/>
          </w:tcPr>
          <w:p>
            <w:pPr>
              <w:spacing w:after="0"/>
              <w:rPr>
                <w:sz w:val="14"/>
                <w:szCs w:val="14"/>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280" w:type="dxa"/>
            <w:vAlign w:val="bottom"/>
            <w:vMerge w:val="restart"/>
          </w:tcPr>
          <w:p>
            <w:pPr>
              <w:ind w:left="10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80" w:type="dxa"/>
            <w:vAlign w:val="bottom"/>
            <w:gridSpan w:val="2"/>
            <w:vMerge w:val="restart"/>
          </w:tcPr>
          <w:p>
            <w:pPr>
              <w:ind w:left="160"/>
              <w:spacing w:after="0"/>
              <w:rPr>
                <w:sz w:val="20"/>
                <w:szCs w:val="20"/>
                <w:color w:val="auto"/>
              </w:rPr>
            </w:pPr>
            <w:r>
              <w:rPr>
                <w:rFonts w:ascii="Arial" w:cs="Arial" w:eastAsia="Arial" w:hAnsi="Arial"/>
                <w:sz w:val="18"/>
                <w:szCs w:val="18"/>
                <w:color w:val="auto"/>
              </w:rPr>
              <w:t>S</w:t>
            </w:r>
          </w:p>
        </w:tc>
        <w:tc>
          <w:tcPr>
            <w:tcW w:w="5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vMerge w:val="restart"/>
          </w:tcPr>
          <w:p>
            <w:pPr>
              <w:ind w:left="120"/>
              <w:spacing w:after="0"/>
              <w:rPr>
                <w:sz w:val="20"/>
                <w:szCs w:val="20"/>
                <w:color w:val="auto"/>
              </w:rPr>
            </w:pPr>
            <w:r>
              <w:rPr>
                <w:rFonts w:ascii="Arial" w:cs="Arial" w:eastAsia="Arial" w:hAnsi="Arial"/>
                <w:sz w:val="18"/>
                <w:szCs w:val="18"/>
                <w:color w:val="auto"/>
                <w:w w:val="86"/>
              </w:rPr>
              <w:t>Chairman of the Board</w:t>
            </w:r>
          </w:p>
        </w:tc>
        <w:tc>
          <w:tcPr>
            <w:tcW w:w="260" w:type="dxa"/>
            <w:vAlign w:val="bottom"/>
            <w:shd w:val="clear" w:color="auto" w:fill="000000"/>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1320" w:type="dxa"/>
            <w:vAlign w:val="bottom"/>
            <w:vMerge w:val="restart"/>
          </w:tcPr>
          <w:p>
            <w:pPr>
              <w:ind w:left="820"/>
              <w:spacing w:after="0"/>
              <w:rPr>
                <w:sz w:val="20"/>
                <w:szCs w:val="20"/>
                <w:color w:val="auto"/>
              </w:rPr>
            </w:pPr>
            <w:r>
              <w:rPr>
                <w:rFonts w:ascii="Arial" w:cs="Arial" w:eastAsia="Arial" w:hAnsi="Arial"/>
                <w:sz w:val="16"/>
                <w:szCs w:val="16"/>
                <w:color w:val="auto"/>
                <w:w w:val="74"/>
              </w:rPr>
              <w:t>February</w:t>
            </w: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gridSpan w:val="2"/>
            <w:vMerge w:val="continue"/>
          </w:tcPr>
          <w:p>
            <w:pPr>
              <w:spacing w:after="0"/>
              <w:rPr>
                <w:sz w:val="18"/>
                <w:szCs w:val="18"/>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 xml:space="preserve">TEPHEN </w:t>
            </w:r>
            <w:r>
              <w:rPr>
                <w:rFonts w:ascii="Arial" w:cs="Arial" w:eastAsia="Arial" w:hAnsi="Arial"/>
                <w:sz w:val="17"/>
                <w:szCs w:val="17"/>
                <w:color w:val="auto"/>
              </w:rPr>
              <w:t>A. W</w:t>
            </w:r>
            <w:r>
              <w:rPr>
                <w:rFonts w:ascii="Arial" w:cs="Arial" w:eastAsia="Arial" w:hAnsi="Arial"/>
                <w:sz w:val="15"/>
                <w:szCs w:val="15"/>
                <w:color w:val="auto"/>
              </w:rPr>
              <w:t>YNN</w:t>
            </w:r>
          </w:p>
        </w:tc>
        <w:tc>
          <w:tcPr>
            <w:tcW w:w="1700" w:type="dxa"/>
            <w:vAlign w:val="bottom"/>
            <w:vMerge w:val="continue"/>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3"/>
                <w:szCs w:val="13"/>
                <w:color w:val="auto"/>
                <w:w w:val="73"/>
              </w:rPr>
              <w:t>and</w:t>
            </w:r>
          </w:p>
        </w:tc>
        <w:tc>
          <w:tcPr>
            <w:tcW w:w="21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27, 2009</w:t>
            </w:r>
          </w:p>
        </w:tc>
        <w:tc>
          <w:tcPr>
            <w:tcW w:w="0" w:type="dxa"/>
            <w:vAlign w:val="bottom"/>
          </w:tcPr>
          <w:p>
            <w:pPr>
              <w:spacing w:after="0"/>
              <w:rPr>
                <w:sz w:val="1"/>
                <w:szCs w:val="1"/>
                <w:color w:val="auto"/>
              </w:rPr>
            </w:pPr>
          </w:p>
        </w:tc>
      </w:tr>
      <w:tr>
        <w:trPr>
          <w:trHeight w:val="188"/>
        </w:trPr>
        <w:tc>
          <w:tcPr>
            <w:tcW w:w="1280" w:type="dxa"/>
            <w:vAlign w:val="bottom"/>
          </w:tcPr>
          <w:p>
            <w:pPr>
              <w:spacing w:after="0"/>
              <w:rPr>
                <w:sz w:val="16"/>
                <w:szCs w:val="16"/>
                <w:color w:val="auto"/>
              </w:rPr>
            </w:pPr>
          </w:p>
        </w:tc>
        <w:tc>
          <w:tcPr>
            <w:tcW w:w="2620" w:type="dxa"/>
            <w:vAlign w:val="bottom"/>
            <w:gridSpan w:val="4"/>
          </w:tcPr>
          <w:p>
            <w:pPr>
              <w:ind w:left="160"/>
              <w:spacing w:after="0"/>
              <w:rPr>
                <w:sz w:val="20"/>
                <w:szCs w:val="20"/>
                <w:color w:val="auto"/>
              </w:rPr>
            </w:pPr>
            <w:r>
              <w:rPr>
                <w:rFonts w:ascii="Arial" w:cs="Arial" w:eastAsia="Arial" w:hAnsi="Arial"/>
                <w:sz w:val="14"/>
                <w:szCs w:val="14"/>
                <w:b w:val="1"/>
                <w:bCs w:val="1"/>
                <w:color w:val="auto"/>
              </w:rPr>
              <w:t>Stephen A. Wynn</w:t>
            </w:r>
          </w:p>
        </w:tc>
        <w:tc>
          <w:tcPr>
            <w:tcW w:w="4120" w:type="dxa"/>
            <w:vAlign w:val="bottom"/>
            <w:gridSpan w:val="3"/>
          </w:tcPr>
          <w:p>
            <w:pPr>
              <w:ind w:left="120"/>
              <w:spacing w:after="0" w:line="188" w:lineRule="exact"/>
              <w:rPr>
                <w:sz w:val="20"/>
                <w:szCs w:val="20"/>
                <w:color w:val="auto"/>
              </w:rPr>
            </w:pPr>
            <w:r>
              <w:rPr>
                <w:rFonts w:ascii="Arial" w:cs="Arial" w:eastAsia="Arial" w:hAnsi="Arial"/>
                <w:sz w:val="18"/>
                <w:szCs w:val="18"/>
                <w:color w:val="auto"/>
              </w:rPr>
              <w:t>Chief Executive Officer (Principal Executive</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Officer)</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1480" w:type="dxa"/>
            <w:vAlign w:val="bottom"/>
            <w:tcBorders>
              <w:bottom w:val="single" w:sz="8" w:color="auto"/>
            </w:tcBorders>
            <w:gridSpan w:val="2"/>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Vice Chairman of the Board</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0"/>
              </w:rPr>
              <w:t>Kazuo Okada</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center"/>
              <w:ind w:right="130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President, Wynn International</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1"/>
              </w:rPr>
              <w:t>Linda Chen</w:t>
            </w:r>
          </w:p>
        </w:tc>
        <w:tc>
          <w:tcPr>
            <w:tcW w:w="41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Marketing and Director</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4"/>
          </w:tcPr>
          <w:p>
            <w:pPr>
              <w:jc w:val="center"/>
              <w:ind w:right="9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USSELL</w:t>
            </w:r>
            <w:r>
              <w:rPr>
                <w:rFonts w:ascii="Arial" w:cs="Arial" w:eastAsia="Arial" w:hAnsi="Arial"/>
                <w:sz w:val="18"/>
                <w:szCs w:val="18"/>
                <w:color w:val="auto"/>
                <w:w w:val="99"/>
              </w:rPr>
              <w:t xml:space="preserve"> G</w:t>
            </w:r>
            <w:r>
              <w:rPr>
                <w:rFonts w:ascii="Arial" w:cs="Arial" w:eastAsia="Arial" w:hAnsi="Arial"/>
                <w:sz w:val="14"/>
                <w:szCs w:val="14"/>
                <w:color w:val="auto"/>
                <w:w w:val="99"/>
              </w:rPr>
              <w:t>OLDSMITH</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620" w:type="dxa"/>
            <w:vAlign w:val="bottom"/>
            <w:gridSpan w:val="4"/>
          </w:tcPr>
          <w:p>
            <w:pPr>
              <w:ind w:left="140"/>
              <w:spacing w:after="0"/>
              <w:rPr>
                <w:sz w:val="20"/>
                <w:szCs w:val="20"/>
                <w:color w:val="auto"/>
              </w:rPr>
            </w:pPr>
            <w:r>
              <w:rPr>
                <w:rFonts w:ascii="Arial" w:cs="Arial" w:eastAsia="Arial" w:hAnsi="Arial"/>
                <w:sz w:val="14"/>
                <w:szCs w:val="14"/>
                <w:b w:val="1"/>
                <w:bCs w:val="1"/>
                <w:color w:val="auto"/>
              </w:rPr>
              <w:t>Russell Goldsmith</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42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62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93"/>
              </w:rPr>
              <w:t>Dr. Ray R. Irani</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6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J. M</w:t>
            </w:r>
            <w:r>
              <w:rPr>
                <w:rFonts w:ascii="Arial" w:cs="Arial" w:eastAsia="Arial" w:hAnsi="Arial"/>
                <w:sz w:val="14"/>
                <w:szCs w:val="14"/>
                <w:color w:val="auto"/>
              </w:rPr>
              <w:t>ILLER</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92"/>
              </w:rPr>
              <w:t>Robert J. Miller</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480" w:type="dxa"/>
            <w:vAlign w:val="bottom"/>
            <w:tcBorders>
              <w:bottom w:val="single" w:sz="8" w:color="auto"/>
            </w:tcBorders>
            <w:gridSpan w:val="2"/>
          </w:tcPr>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420" w:type="dxa"/>
            <w:vAlign w:val="bottom"/>
            <w:tcBorders>
              <w:bottom w:val="single" w:sz="8" w:color="auto"/>
            </w:tcBorders>
            <w:gridSpan w:val="3"/>
          </w:tcPr>
          <w:p>
            <w:pPr>
              <w:jc w:val="center"/>
              <w:ind w:right="112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0"/>
              </w:rPr>
              <w:t>John A. Moran</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LVIN</w:t>
            </w:r>
            <w:r>
              <w:rPr>
                <w:rFonts w:ascii="Arial" w:cs="Arial" w:eastAsia="Arial" w:hAnsi="Arial"/>
                <w:sz w:val="18"/>
                <w:szCs w:val="18"/>
                <w:color w:val="auto"/>
              </w:rPr>
              <w:t xml:space="preserve"> S</w:t>
            </w:r>
            <w:r>
              <w:rPr>
                <w:rFonts w:ascii="Arial" w:cs="Arial" w:eastAsia="Arial" w:hAnsi="Arial"/>
                <w:sz w:val="14"/>
                <w:szCs w:val="14"/>
                <w:color w:val="auto"/>
              </w:rPr>
              <w:t>HOEMAKER</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62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7"/>
              </w:rPr>
              <w:t>Alvin V. Shoemaker</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900" w:type="dxa"/>
            <w:vAlign w:val="bottom"/>
            <w:tcBorders>
              <w:bottom w:val="single" w:sz="8" w:color="auto"/>
            </w:tcBorders>
            <w:gridSpan w:val="5"/>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 B</w:t>
            </w:r>
            <w:r>
              <w:rPr>
                <w:rFonts w:ascii="Arial" w:cs="Arial" w:eastAsia="Arial" w:hAnsi="Arial"/>
                <w:sz w:val="14"/>
                <w:szCs w:val="14"/>
                <w:color w:val="auto"/>
              </w:rPr>
              <w:t>OONE</w:t>
            </w:r>
            <w:r>
              <w:rPr>
                <w:rFonts w:ascii="Arial" w:cs="Arial" w:eastAsia="Arial" w:hAnsi="Arial"/>
                <w:sz w:val="18"/>
                <w:szCs w:val="18"/>
                <w:color w:val="auto"/>
              </w:rPr>
              <w:t xml:space="preserve"> W</w:t>
            </w:r>
            <w:r>
              <w:rPr>
                <w:rFonts w:ascii="Arial" w:cs="Arial" w:eastAsia="Arial" w:hAnsi="Arial"/>
                <w:sz w:val="14"/>
                <w:szCs w:val="14"/>
                <w:color w:val="auto"/>
              </w:rPr>
              <w:t>AYSON</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62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5"/>
              </w:rPr>
              <w:t>D. Boone Wayson</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LAINE</w:t>
            </w:r>
            <w:r>
              <w:rPr>
                <w:rFonts w:ascii="Arial" w:cs="Arial" w:eastAsia="Arial" w:hAnsi="Arial"/>
                <w:sz w:val="18"/>
                <w:szCs w:val="18"/>
                <w:color w:val="auto"/>
              </w:rPr>
              <w:t xml:space="preserve"> P. W</w:t>
            </w:r>
            <w:r>
              <w:rPr>
                <w:rFonts w:ascii="Arial" w:cs="Arial" w:eastAsia="Arial" w:hAnsi="Arial"/>
                <w:sz w:val="14"/>
                <w:szCs w:val="14"/>
                <w:color w:val="auto"/>
              </w:rPr>
              <w:t>YNN</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9"/>
              </w:rPr>
              <w:t>Elaine P. Wynn</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6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center"/>
              <w:ind w:right="1480"/>
              <w:spacing w:after="0"/>
              <w:rPr>
                <w:sz w:val="20"/>
                <w:szCs w:val="20"/>
                <w:color w:val="auto"/>
              </w:rPr>
            </w:pPr>
            <w:r>
              <w:rPr>
                <w:rFonts w:ascii="Arial" w:cs="Arial" w:eastAsia="Arial" w:hAnsi="Arial"/>
                <w:sz w:val="14"/>
                <w:szCs w:val="14"/>
                <w:b w:val="1"/>
                <w:bCs w:val="1"/>
                <w:color w:val="auto"/>
                <w:w w:val="88"/>
              </w:rPr>
              <w:t>Allan Zeman</w:t>
            </w: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2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3"/>
              </w:rPr>
              <w:t>Matt Maddox</w:t>
            </w:r>
          </w:p>
        </w:tc>
        <w:tc>
          <w:tcPr>
            <w:tcW w:w="4120" w:type="dxa"/>
            <w:vAlign w:val="bottom"/>
            <w:gridSpan w:val="3"/>
          </w:tcPr>
          <w:p>
            <w:pPr>
              <w:ind w:left="120"/>
              <w:spacing w:after="0" w:line="190" w:lineRule="exact"/>
              <w:rPr>
                <w:sz w:val="20"/>
                <w:szCs w:val="20"/>
                <w:color w:val="auto"/>
              </w:rPr>
            </w:pPr>
            <w:r>
              <w:rPr>
                <w:rFonts w:ascii="Arial" w:cs="Arial" w:eastAsia="Arial" w:hAnsi="Arial"/>
                <w:sz w:val="18"/>
                <w:szCs w:val="18"/>
                <w:color w:val="auto"/>
              </w:rPr>
              <w:t>and Treasurer (Principal Financial and</w:t>
            </w: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120" w:type="dxa"/>
            <w:vAlign w:val="bottom"/>
            <w:gridSpan w:val="3"/>
          </w:tcPr>
          <w:p>
            <w:pPr>
              <w:ind w:left="120"/>
              <w:spacing w:after="0"/>
              <w:rPr>
                <w:sz w:val="20"/>
                <w:szCs w:val="20"/>
                <w:color w:val="auto"/>
              </w:rPr>
            </w:pPr>
            <w:r>
              <w:rPr>
                <w:rFonts w:ascii="Arial" w:cs="Arial" w:eastAsia="Arial" w:hAnsi="Arial"/>
                <w:sz w:val="18"/>
                <w:szCs w:val="18"/>
                <w:color w:val="auto"/>
              </w:rPr>
              <w:t>Accounting Officer)</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60" w:type="dxa"/>
            <w:vAlign w:val="bottom"/>
            <w:gridSpan w:val="2"/>
          </w:tcPr>
          <w:p>
            <w:pPr>
              <w:ind w:left="1680"/>
              <w:spacing w:after="0"/>
              <w:rPr>
                <w:sz w:val="20"/>
                <w:szCs w:val="20"/>
                <w:color w:val="auto"/>
              </w:rPr>
            </w:pPr>
            <w:r>
              <w:rPr>
                <w:rFonts w:ascii="Arial" w:cs="Arial" w:eastAsia="Arial" w:hAnsi="Arial"/>
                <w:sz w:val="18"/>
                <w:szCs w:val="18"/>
                <w:color w:val="auto"/>
                <w:w w:val="86"/>
              </w:rPr>
              <w:t>118</w:t>
            </w:r>
          </w:p>
        </w:tc>
        <w:tc>
          <w:tcPr>
            <w:tcW w:w="2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This FOURTH AMENDMENT TO EMPLOYMENT AGREEMENT (this “</w:t>
      </w:r>
      <w:r>
        <w:rPr>
          <w:rFonts w:ascii="Arial" w:cs="Arial" w:eastAsia="Arial" w:hAnsi="Arial"/>
          <w:sz w:val="18"/>
          <w:szCs w:val="18"/>
          <w:b w:val="1"/>
          <w:bCs w:val="1"/>
          <w:color w:val="auto"/>
        </w:rPr>
        <w:t>Fourth Amendment</w:t>
      </w:r>
      <w:r>
        <w:rPr>
          <w:rFonts w:ascii="Arial" w:cs="Arial" w:eastAsia="Arial" w:hAnsi="Arial"/>
          <w:sz w:val="18"/>
          <w:szCs w:val="18"/>
          <w:color w:val="auto"/>
        </w:rPr>
        <w:t>”) is entered into as of the 31st day of December, 2008,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Stephen A. Wynn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WHEREAS, Employer and Employee have entered into that certain Employment Agreement, dated as of October 4, 2002, as amended by that certain First Amendment to Employment Agreement dated as of August 6, 2004, and as further amended by that certain Second Amendment to Employment Agreement dated as of January 31, 2007, and as further amended by that certain Third Amendment to Employment Agreement dated as of September 11, 2008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right="660" w:firstLine="464"/>
        <w:spacing w:after="0" w:line="306"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06"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ectPr>
          <w:pgSz w:w="11900" w:h="16838" w:orient="portrait"/>
          <w:cols w:equalWidth="0" w:num="1">
            <w:col w:w="11420"/>
          </w:cols>
          <w:pgMar w:left="240" w:top="125" w:right="239" w:bottom="1440" w:gutter="0" w:footer="0" w:header="0"/>
        </w:sectPr>
      </w:pPr>
    </w:p>
    <w:bookmarkStart w:id="119" w:name="page120"/>
    <w:bookmarkEnd w:id="119"/>
    <w:p>
      <w:pPr>
        <w:ind w:right="180" w:firstLine="464"/>
        <w:spacing w:after="0" w:line="268"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Fourth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Fourth Amendment to be executed as of the date first written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680" w:type="dxa"/>
            <w:vAlign w:val="bottom"/>
          </w:tcPr>
          <w:p>
            <w:pPr>
              <w:spacing w:after="0"/>
              <w:rPr>
                <w:sz w:val="19"/>
                <w:szCs w:val="19"/>
                <w:color w:val="auto"/>
              </w:rPr>
            </w:pP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68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Stephen A. Wynn</w:t>
            </w:r>
          </w:p>
        </w:tc>
      </w:tr>
      <w:tr>
        <w:trPr>
          <w:trHeight w:val="202"/>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D. Schorr</w:t>
            </w:r>
          </w:p>
        </w:tc>
        <w:tc>
          <w:tcPr>
            <w:tcW w:w="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Stephen A. Wynn</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Chief Operating Officer</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31 day of December, 2008,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Marc D. Schorr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65" w:lineRule="exact"/>
        <w:rPr>
          <w:sz w:val="20"/>
          <w:szCs w:val="20"/>
          <w:color w:val="auto"/>
        </w:rPr>
      </w:pPr>
    </w:p>
    <w:p>
      <w:pPr>
        <w:ind w:left="460" w:right="760"/>
        <w:spacing w:after="0" w:line="456" w:lineRule="auto"/>
        <w:rPr>
          <w:sz w:val="20"/>
          <w:szCs w:val="20"/>
          <w:color w:val="auto"/>
        </w:rPr>
      </w:pPr>
      <w:r>
        <w:rPr>
          <w:rFonts w:ascii="Arial" w:cs="Arial" w:eastAsia="Arial" w:hAnsi="Arial"/>
          <w:sz w:val="15"/>
          <w:szCs w:val="15"/>
          <w:color w:val="auto"/>
        </w:rPr>
        <w:t>WHEREAS, Employer and Employee have entered into that certain Employment Agreement, dated as of March 4, 2008 (the “</w:t>
      </w:r>
      <w:r>
        <w:rPr>
          <w:rFonts w:ascii="Arial" w:cs="Arial" w:eastAsia="Arial" w:hAnsi="Arial"/>
          <w:sz w:val="15"/>
          <w:szCs w:val="15"/>
          <w:b w:val="1"/>
          <w:bCs w:val="1"/>
          <w:color w:val="auto"/>
        </w:rPr>
        <w:t>Agreement</w:t>
      </w:r>
      <w:r>
        <w:rPr>
          <w:rFonts w:ascii="Arial" w:cs="Arial" w:eastAsia="Arial" w:hAnsi="Arial"/>
          <w:sz w:val="15"/>
          <w:szCs w:val="15"/>
          <w:color w:val="auto"/>
        </w:rPr>
        <w:t>”); and WHEREAS, Employer is willing and Employee desires to modify certain terms and conditions to the Agreement as more fully set forth herein; NOW, THEREFORE, in consideration of the foregoing and the respective representations, warranties, covenants and agreements set forth in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right="660" w:firstLine="464"/>
        <w:spacing w:after="0" w:line="306" w:lineRule="auto"/>
        <w:tabs>
          <w:tab w:leader="none" w:pos="63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06"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20" w:lineRule="exact"/>
        <w:rPr>
          <w:sz w:val="20"/>
          <w:szCs w:val="20"/>
          <w:color w:val="auto"/>
        </w:rPr>
      </w:pPr>
    </w:p>
    <w:p>
      <w:pPr>
        <w:ind w:right="180" w:firstLine="464"/>
        <w:spacing w:after="0" w:line="268" w:lineRule="auto"/>
        <w:tabs>
          <w:tab w:leader="none" w:pos="63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ectPr>
          <w:pgSz w:w="11900" w:h="16838" w:orient="portrait"/>
          <w:cols w:equalWidth="0" w:num="1">
            <w:col w:w="11420"/>
          </w:cols>
          <w:pgMar w:left="240" w:top="125" w:right="23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executed as of the date first written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680" w:type="dxa"/>
            <w:vAlign w:val="bottom"/>
          </w:tcPr>
          <w:p>
            <w:pPr>
              <w:spacing w:after="0"/>
              <w:rPr>
                <w:sz w:val="19"/>
                <w:szCs w:val="19"/>
                <w:color w:val="auto"/>
              </w:rPr>
            </w:pP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Arial" w:cs="Arial" w:eastAsia="Arial" w:hAnsi="Arial"/>
                <w:sz w:val="18"/>
                <w:szCs w:val="18"/>
                <w:color w:val="auto"/>
              </w:rPr>
              <w:t>By:  /s/ Stephen A. Wynn</w:t>
            </w:r>
          </w:p>
        </w:tc>
        <w:tc>
          <w:tcPr>
            <w:tcW w:w="68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Marc D. Schorr</w:t>
            </w:r>
          </w:p>
        </w:tc>
      </w:tr>
      <w:tr>
        <w:trPr>
          <w:trHeight w:val="202"/>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Stephen A. Wynn</w:t>
            </w:r>
          </w:p>
        </w:tc>
        <w:tc>
          <w:tcPr>
            <w:tcW w:w="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Marc D. Schorr</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1" w:lineRule="exact"/>
        <w:rPr>
          <w:sz w:val="20"/>
          <w:szCs w:val="20"/>
          <w:color w:val="auto"/>
        </w:rPr>
      </w:pPr>
    </w:p>
    <w:p>
      <w:pPr>
        <w:ind w:right="280" w:firstLine="456"/>
        <w:spacing w:after="0" w:line="224"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the 1</w:t>
      </w:r>
      <w:r>
        <w:rPr>
          <w:rFonts w:ascii="Arial" w:cs="Arial" w:eastAsia="Arial" w:hAnsi="Arial"/>
          <w:sz w:val="22"/>
          <w:szCs w:val="22"/>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2005,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MATT MADDOX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3131 Las Vegas Boulevard, South, Las Vegas, Nevada 89109, and is engaged in the business of developing, owning and operating a casino resort at such place of business; and,</w:t>
      </w:r>
    </w:p>
    <w:p>
      <w:pPr>
        <w:spacing w:after="0" w:line="134"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 party to that certain Employment Agreement dated as of March 14, 2003, as amended, (the “</w:t>
      </w:r>
      <w:r>
        <w:rPr>
          <w:rFonts w:ascii="Arial" w:cs="Arial" w:eastAsia="Arial" w:hAnsi="Arial"/>
          <w:sz w:val="18"/>
          <w:szCs w:val="18"/>
          <w:b w:val="1"/>
          <w:bCs w:val="1"/>
          <w:color w:val="auto"/>
        </w:rPr>
        <w:t>2003 Employment 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with Worldwide Wynn, LLC, an affiliate of Employer; and</w:t>
      </w:r>
    </w:p>
    <w:p>
      <w:pPr>
        <w:spacing w:after="0" w:line="120" w:lineRule="exact"/>
        <w:rPr>
          <w:sz w:val="20"/>
          <w:szCs w:val="20"/>
          <w:color w:val="auto"/>
        </w:rPr>
      </w:pPr>
    </w:p>
    <w:p>
      <w:pPr>
        <w:ind w:right="74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Worldwide Wynn, LLC have agreed to terminate the 2003 Employment Agreement in order to permit Employer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to enter into this Agreement; and</w:t>
      </w:r>
    </w:p>
    <w:p>
      <w:pPr>
        <w:spacing w:after="0" w:line="12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Employer has need of executive personnel who are qualified and experienced managers in the casino resort business, including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limitation an executive to perform the duties generally associated with the position of Senior Vice President – Business Development;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currently residing at 2834 Gallant Hills Las Vegas, Nevada 89135; and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 sufficient qualifications, expertise and experience in order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 the terms of the employment stated in this Agreement; and</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ectPr>
          <w:pgSz w:w="11900" w:h="16838" w:orient="portrait"/>
          <w:cols w:equalWidth="0" w:num="1">
            <w:col w:w="11420"/>
          </w:cols>
          <w:pgMar w:left="240" w:top="125" w:right="239" w:bottom="1440" w:gutter="0" w:footer="0" w:header="0"/>
        </w:sectPr>
      </w:pPr>
    </w:p>
    <w:bookmarkStart w:id="123" w:name="page124"/>
    <w:bookmarkEnd w:id="123"/>
    <w:p>
      <w:pPr>
        <w:jc w:val="both"/>
        <w:ind w:right="46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40" w:lineRule="exact"/>
        <w:rPr>
          <w:sz w:val="20"/>
          <w:szCs w:val="20"/>
          <w:color w:val="auto"/>
        </w:rPr>
      </w:pPr>
    </w:p>
    <w:p>
      <w:pPr>
        <w:ind w:right="100" w:firstLine="464"/>
        <w:spacing w:after="0" w:line="268" w:lineRule="auto"/>
        <w:tabs>
          <w:tab w:leader="none" w:pos="632" w:val="left"/>
        </w:tabs>
        <w:numPr>
          <w:ilvl w:val="0"/>
          <w:numId w:val="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44" w:lineRule="exact"/>
        <w:rPr>
          <w:rFonts w:ascii="Arial" w:cs="Arial" w:eastAsia="Arial" w:hAnsi="Arial"/>
          <w:sz w:val="18"/>
          <w:szCs w:val="18"/>
          <w:b w:val="1"/>
          <w:bCs w:val="1"/>
          <w:i w:val="1"/>
          <w:iCs w:val="1"/>
          <w:color w:val="auto"/>
        </w:rPr>
      </w:pPr>
    </w:p>
    <w:p>
      <w:pPr>
        <w:ind w:left="460" w:right="40" w:firstLine="443"/>
        <w:spacing w:after="0" w:line="296" w:lineRule="auto"/>
        <w:tabs>
          <w:tab w:leader="none" w:pos="1137"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w:t>
      </w:r>
      <w:r>
        <w:rPr>
          <w:rFonts w:ascii="Arial" w:cs="Arial" w:eastAsia="Arial" w:hAnsi="Arial"/>
          <w:sz w:val="16"/>
          <w:szCs w:val="16"/>
          <w:color w:val="auto"/>
        </w:rPr>
        <w:t>—means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07" w:lineRule="exact"/>
        <w:rPr>
          <w:rFonts w:ascii="Arial" w:cs="Arial" w:eastAsia="Arial" w:hAnsi="Arial"/>
          <w:sz w:val="16"/>
          <w:szCs w:val="16"/>
          <w:color w:val="auto"/>
        </w:rPr>
      </w:pPr>
    </w:p>
    <w:p>
      <w:pPr>
        <w:ind w:left="1160" w:hanging="257"/>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”—means each anniversary date of the Effective Date during the Term (as defined in Section 6 hereof).</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Benefits Date</w:t>
      </w:r>
      <w:r>
        <w:rPr>
          <w:rFonts w:ascii="Arial" w:cs="Arial" w:eastAsia="Arial" w:hAnsi="Arial"/>
          <w:sz w:val="18"/>
          <w:szCs w:val="18"/>
          <w:color w:val="auto"/>
        </w:rPr>
        <w:t>” – means June 3, 2002.</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”—means</w:t>
      </w:r>
    </w:p>
    <w:p>
      <w:pPr>
        <w:spacing w:after="0" w:line="96" w:lineRule="exact"/>
        <w:rPr>
          <w:rFonts w:ascii="Arial" w:cs="Arial" w:eastAsia="Arial" w:hAnsi="Arial"/>
          <w:sz w:val="18"/>
          <w:szCs w:val="18"/>
          <w:color w:val="auto"/>
        </w:rPr>
      </w:pPr>
    </w:p>
    <w:p>
      <w:pPr>
        <w:ind w:left="1560" w:hanging="219"/>
        <w:spacing w:after="0"/>
        <w:tabs>
          <w:tab w:leader="none" w:pos="1560" w:val="left"/>
        </w:tabs>
        <w:numPr>
          <w:ilvl w:val="3"/>
          <w:numId w:val="72"/>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113" w:lineRule="exact"/>
        <w:rPr>
          <w:rFonts w:ascii="Arial" w:cs="Arial" w:eastAsia="Arial" w:hAnsi="Arial"/>
          <w:sz w:val="16"/>
          <w:szCs w:val="16"/>
          <w:color w:val="auto"/>
        </w:rPr>
      </w:pPr>
    </w:p>
    <w:p>
      <w:pPr>
        <w:ind w:left="920" w:right="60" w:firstLine="421"/>
        <w:spacing w:after="0" w:line="268" w:lineRule="auto"/>
        <w:tabs>
          <w:tab w:leader="none" w:pos="1598" w:val="left"/>
        </w:tabs>
        <w:numPr>
          <w:ilvl w:val="3"/>
          <w:numId w:val="72"/>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50" w:lineRule="exact"/>
        <w:rPr>
          <w:rFonts w:ascii="Arial" w:cs="Arial" w:eastAsia="Arial" w:hAnsi="Arial"/>
          <w:sz w:val="18"/>
          <w:szCs w:val="18"/>
          <w:color w:val="auto"/>
        </w:rPr>
      </w:pPr>
    </w:p>
    <w:p>
      <w:pPr>
        <w:ind w:left="920" w:firstLine="421"/>
        <w:spacing w:after="0" w:line="332" w:lineRule="auto"/>
        <w:tabs>
          <w:tab w:leader="none" w:pos="1647" w:val="left"/>
        </w:tabs>
        <w:numPr>
          <w:ilvl w:val="3"/>
          <w:numId w:val="72"/>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4" w:lineRule="exact"/>
        <w:rPr>
          <w:rFonts w:ascii="Arial" w:cs="Arial" w:eastAsia="Arial" w:hAnsi="Arial"/>
          <w:sz w:val="16"/>
          <w:szCs w:val="16"/>
          <w:color w:val="auto"/>
        </w:rPr>
      </w:pPr>
    </w:p>
    <w:p>
      <w:pPr>
        <w:ind w:left="1640" w:hanging="299"/>
        <w:spacing w:after="0"/>
        <w:tabs>
          <w:tab w:leader="none" w:pos="1640" w:val="left"/>
        </w:tabs>
        <w:numPr>
          <w:ilvl w:val="3"/>
          <w:numId w:val="72"/>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commensurate with his title and function, or Employee’s failure to comply with the lawful directions of Employer, that is not cured within fifteen</w:t>
      </w:r>
    </w:p>
    <w:p>
      <w:pPr>
        <w:spacing w:after="0" w:line="32" w:lineRule="exact"/>
        <w:rPr>
          <w:rFonts w:ascii="Arial" w:cs="Arial" w:eastAsia="Arial" w:hAnsi="Arial"/>
          <w:sz w:val="16"/>
          <w:szCs w:val="16"/>
          <w:color w:val="auto"/>
        </w:rPr>
      </w:pPr>
    </w:p>
    <w:p>
      <w:pPr>
        <w:ind w:left="1260" w:hanging="339"/>
        <w:spacing w:after="0"/>
        <w:tabs>
          <w:tab w:leader="none" w:pos="126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days after Employee has received written notice thereof from Employer;</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124" w:name="page125"/>
    <w:bookmarkEnd w:id="124"/>
    <w:p>
      <w:pPr>
        <w:ind w:left="1120" w:hanging="239"/>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willful and knowing material misrepresentation to Employer’s or an Affiliate’s Board of Directors;</w:t>
      </w:r>
    </w:p>
    <w:p>
      <w:pPr>
        <w:spacing w:after="0" w:line="90" w:lineRule="exact"/>
        <w:rPr>
          <w:rFonts w:ascii="Arial" w:cs="Arial" w:eastAsia="Arial" w:hAnsi="Arial"/>
          <w:sz w:val="18"/>
          <w:szCs w:val="18"/>
          <w:color w:val="auto"/>
        </w:rPr>
      </w:pPr>
    </w:p>
    <w:p>
      <w:pPr>
        <w:ind w:left="460" w:right="720" w:firstLine="421"/>
        <w:spacing w:after="0" w:line="268" w:lineRule="auto"/>
        <w:tabs>
          <w:tab w:leader="none" w:pos="11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or an Affiliate, which does or could result in material harm to Employer or to Employer’s reputation, or that of an Affiliate; or</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w:t>
      </w:r>
    </w:p>
    <w:p>
      <w:pPr>
        <w:spacing w:after="0" w:line="171" w:lineRule="exact"/>
        <w:rPr>
          <w:sz w:val="20"/>
          <w:szCs w:val="20"/>
          <w:color w:val="auto"/>
        </w:rPr>
      </w:pPr>
    </w:p>
    <w:p>
      <w:pPr>
        <w:ind w:right="320" w:firstLine="438"/>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herein.</w:t>
      </w:r>
    </w:p>
    <w:p>
      <w:pPr>
        <w:spacing w:after="0" w:line="126" w:lineRule="exact"/>
        <w:rPr>
          <w:sz w:val="20"/>
          <w:szCs w:val="20"/>
          <w:color w:val="auto"/>
        </w:rPr>
      </w:pPr>
    </w:p>
    <w:p>
      <w:pPr>
        <w:ind w:right="580" w:firstLine="443"/>
        <w:spacing w:after="0" w:line="275" w:lineRule="auto"/>
        <w:tabs>
          <w:tab w:leader="none" w:pos="6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”—means the inability of Employee, due to illness or accident or other mental or physical incapacity, to perform his obligations under this Agreement for a period as defined by Employer’s local disability plan or plans.</w:t>
      </w:r>
    </w:p>
    <w:p>
      <w:pPr>
        <w:spacing w:after="0" w:line="119" w:lineRule="exact"/>
        <w:rPr>
          <w:rFonts w:ascii="Arial" w:cs="Arial" w:eastAsia="Arial" w:hAnsi="Arial"/>
          <w:sz w:val="18"/>
          <w:szCs w:val="18"/>
          <w:color w:val="auto"/>
        </w:rPr>
      </w:pPr>
    </w:p>
    <w:p>
      <w:pPr>
        <w:ind w:firstLine="443"/>
        <w:spacing w:after="0" w:line="288" w:lineRule="auto"/>
        <w:tabs>
          <w:tab w:leader="none" w:pos="6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115" w:lineRule="exact"/>
        <w:rPr>
          <w:rFonts w:ascii="Arial" w:cs="Arial" w:eastAsia="Arial" w:hAnsi="Arial"/>
          <w:sz w:val="16"/>
          <w:szCs w:val="16"/>
          <w:color w:val="auto"/>
        </w:rPr>
      </w:pPr>
    </w:p>
    <w:p>
      <w:pPr>
        <w:ind w:left="700" w:hanging="257"/>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”—means October 1, 2005.</w:t>
      </w:r>
    </w:p>
    <w:p>
      <w:pPr>
        <w:spacing w:after="0" w:line="16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25" w:name="page126"/>
    <w:bookmarkEnd w:id="125"/>
    <w:p>
      <w:pPr>
        <w:ind w:left="460" w:right="280" w:firstLine="443"/>
        <w:spacing w:after="0" w:line="296" w:lineRule="auto"/>
        <w:tabs>
          <w:tab w:leader="none" w:pos="1147" w:val="left"/>
        </w:tabs>
        <w:numPr>
          <w:ilvl w:val="1"/>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u w:val="single" w:color="auto"/>
          <w:color w:val="auto"/>
        </w:rPr>
        <w:t>Trade Secrets</w:t>
      </w:r>
      <w:r>
        <w:rPr>
          <w:rFonts w:ascii="Arial" w:cs="Arial" w:eastAsia="Arial" w:hAnsi="Arial"/>
          <w:sz w:val="16"/>
          <w:szCs w:val="16"/>
          <w:color w:val="auto"/>
        </w:rPr>
        <w:t>”—means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107" w:lineRule="exact"/>
        <w:rPr>
          <w:rFonts w:ascii="Arial" w:cs="Arial" w:eastAsia="Arial" w:hAnsi="Arial"/>
          <w:sz w:val="16"/>
          <w:szCs w:val="16"/>
          <w:color w:val="auto"/>
        </w:rPr>
      </w:pPr>
    </w:p>
    <w:p>
      <w:pPr>
        <w:ind w:left="460" w:right="60" w:firstLine="443"/>
        <w:spacing w:after="0" w:line="296" w:lineRule="auto"/>
        <w:tabs>
          <w:tab w:leader="none" w:pos="1108" w:val="left"/>
        </w:tabs>
        <w:numPr>
          <w:ilvl w:val="1"/>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right="60" w:firstLine="464"/>
        <w:spacing w:after="0" w:line="294" w:lineRule="auto"/>
        <w:tabs>
          <w:tab w:leader="none" w:pos="632" w:val="left"/>
        </w:tabs>
        <w:numPr>
          <w:ilvl w:val="0"/>
          <w:numId w:val="7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BASIC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terms and pursuant to the conditions hereinafter set forth, Employer hereby employs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further understood that a change in Employee’s reporting responsibilities is not itself a basis for finding a material reduction in the level of duties.</w:t>
      </w:r>
    </w:p>
    <w:p>
      <w:pPr>
        <w:spacing w:after="0" w:line="115" w:lineRule="exact"/>
        <w:rPr>
          <w:rFonts w:ascii="Arial" w:cs="Arial" w:eastAsia="Arial" w:hAnsi="Arial"/>
          <w:sz w:val="16"/>
          <w:szCs w:val="16"/>
          <w:b w:val="1"/>
          <w:bCs w:val="1"/>
          <w:i w:val="1"/>
          <w:iCs w:val="1"/>
          <w:color w:val="auto"/>
        </w:rPr>
      </w:pPr>
    </w:p>
    <w:p>
      <w:pPr>
        <w:ind w:firstLine="464"/>
        <w:spacing w:after="0" w:line="253" w:lineRule="auto"/>
        <w:tabs>
          <w:tab w:leader="none" w:pos="632"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 with the duties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Senior Vice President – Business Development </w:t>
      </w:r>
      <w:r>
        <w:rPr>
          <w:rFonts w:ascii="Arial" w:cs="Arial" w:eastAsia="Arial" w:hAnsi="Arial"/>
          <w:sz w:val="18"/>
          <w:szCs w:val="18"/>
          <w:color w:val="auto"/>
        </w:rPr>
        <w:t>of Employer, or such similar duties as may be assigned to Employee as Employer may reasonably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duties shall include, but not be limited to: (i) the preparation of relevant budgets and allocation of relevant funds; (ii) the selection and delegation of duties and responsibilities of subordinates; (iii) the direction, review and oversight of all matters under Employee’s supervision; and (iv) such other and further duties as are consistent with his position and which may be assigned by Employer to Employee from time to time. The foregoing notwithstanding, Employee shall devote such time to Employer’s Affiliates as may be required by Employer or its Affiliates, provided such duties are not inconsistent with Employee’s primary duties 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6" w:name="page127"/>
    <w:bookmarkEnd w:id="126"/>
    <w:p>
      <w:pPr>
        <w:ind w:firstLine="464"/>
        <w:spacing w:after="0" w:line="255" w:lineRule="auto"/>
        <w:tabs>
          <w:tab w:leader="none" w:pos="632"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OF EMPLOYMENT/ TERMINATION 2003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As a condition to the acceptance of the employment hereunder and concurrent the execution of this Agreement, Employee agrees that as of the Effective Date and concurrent with the effectiveness of this Agreement Employee agrees to terminate the 2003 Employment Agreement by executing and delivering the Termination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4" w:lineRule="exact"/>
        <w:rPr>
          <w:sz w:val="20"/>
          <w:szCs w:val="20"/>
          <w:color w:val="auto"/>
        </w:rPr>
      </w:pPr>
    </w:p>
    <w:p>
      <w:pPr>
        <w:ind w:right="60" w:firstLine="464"/>
        <w:spacing w:after="0" w:line="301" w:lineRule="auto"/>
        <w:tabs>
          <w:tab w:leader="none" w:pos="632" w:val="left"/>
        </w:tabs>
        <w:numPr>
          <w:ilvl w:val="0"/>
          <w:numId w:val="7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Unless sooner terminated as provided in this Agreement,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shall commence on the Effective Date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 at the end of the day on March 17, 2011.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09" w:lineRule="exact"/>
        <w:rPr>
          <w:rFonts w:ascii="Arial" w:cs="Arial" w:eastAsia="Arial" w:hAnsi="Arial"/>
          <w:sz w:val="16"/>
          <w:szCs w:val="16"/>
          <w:b w:val="1"/>
          <w:bCs w:val="1"/>
          <w:i w:val="1"/>
          <w:iCs w:val="1"/>
          <w:color w:val="auto"/>
        </w:rPr>
      </w:pPr>
    </w:p>
    <w:p>
      <w:pPr>
        <w:ind w:right="80" w:firstLine="464"/>
        <w:spacing w:after="0" w:line="268" w:lineRule="auto"/>
        <w:tabs>
          <w:tab w:leader="none" w:pos="632"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Notwithstanding the provisions of Section 5 of this Agreement, this Agreement shall terminate upon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occurrence of any of the following events:</w:t>
      </w:r>
    </w:p>
    <w:p>
      <w:pPr>
        <w:spacing w:after="0" w:line="50" w:lineRule="exact"/>
        <w:rPr>
          <w:rFonts w:ascii="Arial" w:cs="Arial" w:eastAsia="Arial" w:hAnsi="Arial"/>
          <w:sz w:val="18"/>
          <w:szCs w:val="18"/>
          <w:b w:val="1"/>
          <w:bCs w:val="1"/>
          <w:i w:val="1"/>
          <w:iCs w:val="1"/>
          <w:color w:val="auto"/>
        </w:rPr>
      </w:pPr>
    </w:p>
    <w:p>
      <w:pPr>
        <w:ind w:left="1140" w:hanging="237"/>
        <w:spacing w:after="0"/>
        <w:tabs>
          <w:tab w:leader="none" w:pos="11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194" w:lineRule="exact"/>
        <w:rPr>
          <w:rFonts w:ascii="Arial" w:cs="Arial" w:eastAsia="Arial" w:hAnsi="Arial"/>
          <w:sz w:val="16"/>
          <w:szCs w:val="16"/>
          <w:color w:val="auto"/>
        </w:rPr>
      </w:pPr>
    </w:p>
    <w:p>
      <w:pPr>
        <w:ind w:left="1140" w:hanging="237"/>
        <w:spacing w:after="0"/>
        <w:tabs>
          <w:tab w:leader="none" w:pos="11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194" w:lineRule="exact"/>
        <w:rPr>
          <w:rFonts w:ascii="Arial" w:cs="Arial" w:eastAsia="Arial" w:hAnsi="Arial"/>
          <w:sz w:val="16"/>
          <w:szCs w:val="16"/>
          <w:color w:val="auto"/>
        </w:rPr>
      </w:pPr>
    </w:p>
    <w:p>
      <w:pPr>
        <w:ind w:left="460" w:right="180" w:firstLine="443"/>
        <w:spacing w:after="0" w:line="332" w:lineRule="auto"/>
        <w:tabs>
          <w:tab w:leader="none" w:pos="1147"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 or</w:t>
      </w:r>
    </w:p>
    <w:p>
      <w:pPr>
        <w:spacing w:after="0" w:line="85" w:lineRule="exact"/>
        <w:rPr>
          <w:rFonts w:ascii="Arial" w:cs="Arial" w:eastAsia="Arial" w:hAnsi="Arial"/>
          <w:sz w:val="16"/>
          <w:szCs w:val="16"/>
          <w:color w:val="auto"/>
        </w:rPr>
      </w:pPr>
    </w:p>
    <w:p>
      <w:pPr>
        <w:ind w:left="460" w:right="120" w:firstLine="443"/>
        <w:spacing w:after="0" w:line="268" w:lineRule="auto"/>
        <w:tabs>
          <w:tab w:leader="none" w:pos="113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280" w:right="439" w:bottom="1440" w:gutter="0" w:footer="0" w:header="0"/>
        </w:sectPr>
      </w:pPr>
    </w:p>
    <w:bookmarkStart w:id="127" w:name="page128"/>
    <w:bookmarkEnd w:id="127"/>
    <w:p>
      <w:pPr>
        <w:ind w:right="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of a termination of this Agreement pursuant to the provisions of Subsection 6(a), (b), (c), or (d), Employer shall not be required to make any payments to Employee other than payment of Base Salary and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88" w:lineRule="exact"/>
        <w:rPr>
          <w:sz w:val="20"/>
          <w:szCs w:val="20"/>
          <w:color w:val="auto"/>
        </w:rPr>
      </w:pPr>
    </w:p>
    <w:p>
      <w:pPr>
        <w:ind w:right="220" w:firstLine="464"/>
        <w:spacing w:after="0" w:line="259" w:lineRule="auto"/>
        <w:tabs>
          <w:tab w:leader="none" w:pos="632"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3" w:lineRule="exact"/>
        <w:rPr>
          <w:rFonts w:ascii="Arial" w:cs="Arial" w:eastAsia="Arial" w:hAnsi="Arial"/>
          <w:sz w:val="18"/>
          <w:szCs w:val="18"/>
          <w:b w:val="1"/>
          <w:bCs w:val="1"/>
          <w:i w:val="1"/>
          <w:iCs w:val="1"/>
          <w:color w:val="auto"/>
        </w:rPr>
      </w:pPr>
    </w:p>
    <w:p>
      <w:pPr>
        <w:ind w:left="460" w:right="40" w:firstLine="443"/>
        <w:spacing w:after="0" w:line="313" w:lineRule="auto"/>
        <w:tabs>
          <w:tab w:leader="none" w:pos="1137" w:val="left"/>
        </w:tabs>
        <w:numPr>
          <w:ilvl w:val="1"/>
          <w:numId w:val="79"/>
        </w:numPr>
        <w:rPr>
          <w:rFonts w:ascii="Arial" w:cs="Arial" w:eastAsia="Arial" w:hAnsi="Arial"/>
          <w:sz w:val="15"/>
          <w:szCs w:val="15"/>
          <w:color w:val="auto"/>
        </w:rPr>
      </w:pPr>
      <w:r>
        <w:rPr>
          <w:rFonts w:ascii="Arial" w:cs="Arial" w:eastAsia="Arial" w:hAnsi="Arial"/>
          <w:sz w:val="15"/>
          <w:szCs w:val="15"/>
          <w:b w:val="1"/>
          <w:bCs w:val="1"/>
          <w:u w:val="single" w:color="auto"/>
          <w:color w:val="auto"/>
        </w:rPr>
        <w:t>Base Salary</w:t>
      </w:r>
      <w:r>
        <w:rPr>
          <w:rFonts w:ascii="Arial" w:cs="Arial" w:eastAsia="Arial" w:hAnsi="Arial"/>
          <w:sz w:val="15"/>
          <w:szCs w:val="15"/>
          <w:b w:val="1"/>
          <w:bCs w:val="1"/>
          <w:color w:val="auto"/>
        </w:rPr>
        <w:t xml:space="preserve">. </w:t>
      </w:r>
      <w:r>
        <w:rPr>
          <w:rFonts w:ascii="Arial" w:cs="Arial" w:eastAsia="Arial" w:hAnsi="Arial"/>
          <w:sz w:val="15"/>
          <w:szCs w:val="15"/>
          <w:color w:val="auto"/>
        </w:rPr>
        <w:t>Employer hereby covenants and agrees to pay to Employee, and Employee hereby covenants and agrees to accept from Employer, a</w:t>
      </w:r>
      <w:r>
        <w:rPr>
          <w:rFonts w:ascii="Arial" w:cs="Arial" w:eastAsia="Arial" w:hAnsi="Arial"/>
          <w:sz w:val="15"/>
          <w:szCs w:val="15"/>
          <w:b w:val="1"/>
          <w:bCs w:val="1"/>
          <w:color w:val="auto"/>
        </w:rPr>
        <w:t xml:space="preserve"> </w:t>
      </w:r>
      <w:r>
        <w:rPr>
          <w:rFonts w:ascii="Arial" w:cs="Arial" w:eastAsia="Arial" w:hAnsi="Arial"/>
          <w:sz w:val="15"/>
          <w:szCs w:val="15"/>
          <w:color w:val="auto"/>
        </w:rPr>
        <w:t>base salary at the rate of Three Hundred Seventy-Five Thousand Dollars ($375,000.00) per annum from the Effective Date through September 30, 2006 and at a base salary of Four Hundred Thousand Dollars ($400,000.00) thereafter during the Term, payable in such installments as shall be convenient to Employer (the “</w:t>
      </w:r>
      <w:r>
        <w:rPr>
          <w:rFonts w:ascii="Arial" w:cs="Arial" w:eastAsia="Arial" w:hAnsi="Arial"/>
          <w:sz w:val="15"/>
          <w:szCs w:val="15"/>
          <w:b w:val="1"/>
          <w:bCs w:val="1"/>
          <w:color w:val="auto"/>
        </w:rPr>
        <w:t>Base Salary</w:t>
      </w:r>
      <w:r>
        <w:rPr>
          <w:rFonts w:ascii="Arial" w:cs="Arial" w:eastAsia="Arial" w:hAnsi="Arial"/>
          <w:sz w:val="15"/>
          <w:szCs w:val="15"/>
          <w:color w:val="auto"/>
        </w:rPr>
        <w:t>”). Such Base Salary shall be subject to periodic merit reviews and may be increased, but not decreased, as a result of any such review. Such Base Salary shall be exclusive of and in addition to any other benefits which Employer, in its sole discretion, may make available to Employee, including, but not limited to, any discretionary bonus, executive stock option plan, profit sharing plan, pension plan, retirement plan, disability or life insurance plan, medical and/or hospitalization plan, or any and all other benefit plans which may be in effect during the Term.</w:t>
      </w:r>
    </w:p>
    <w:p>
      <w:pPr>
        <w:spacing w:after="0" w:line="100" w:lineRule="exact"/>
        <w:rPr>
          <w:rFonts w:ascii="Arial" w:cs="Arial" w:eastAsia="Arial" w:hAnsi="Arial"/>
          <w:sz w:val="15"/>
          <w:szCs w:val="15"/>
          <w:color w:val="auto"/>
        </w:rPr>
      </w:pPr>
    </w:p>
    <w:p>
      <w:pPr>
        <w:ind w:left="460" w:firstLine="443"/>
        <w:spacing w:after="0" w:line="316" w:lineRule="auto"/>
        <w:tabs>
          <w:tab w:leader="none" w:pos="1147" w:val="left"/>
        </w:tabs>
        <w:numPr>
          <w:ilvl w:val="1"/>
          <w:numId w:val="79"/>
        </w:numPr>
        <w:rPr>
          <w:rFonts w:ascii="Arial" w:cs="Arial" w:eastAsia="Arial" w:hAnsi="Arial"/>
          <w:sz w:val="15"/>
          <w:szCs w:val="15"/>
          <w:color w:val="auto"/>
        </w:rPr>
      </w:pPr>
      <w:r>
        <w:rPr>
          <w:rFonts w:ascii="Arial" w:cs="Arial" w:eastAsia="Arial" w:hAnsi="Arial"/>
          <w:sz w:val="15"/>
          <w:szCs w:val="15"/>
          <w:b w:val="1"/>
          <w:bCs w:val="1"/>
          <w:color w:val="auto"/>
        </w:rPr>
        <w:t>Bonus Compensation</w:t>
      </w:r>
      <w:r>
        <w:rPr>
          <w:rFonts w:ascii="Arial" w:cs="Arial" w:eastAsia="Arial" w:hAnsi="Arial"/>
          <w:sz w:val="15"/>
          <w:szCs w:val="15"/>
          <w:color w:val="auto"/>
        </w:rPr>
        <w:t>. Employee also will be eligible to receive a bonus at such times and in such amounts as Employer, in its sole and exclusive</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may determine, until such time as Employer may adopt a performance-based bonus plan, and thereafter in accordance with such plan, provided, however, that Employee’s bonus potential under any such plan (as a percentage of base salary) shall not be less than any vice president of Wynn Las Vegas or any of its Affiliates. Subject to and effective upon the approval of the Compensation Committee of Wynn Resorts, Limited, Employee shall at the earliest possible time after the Effective Date be granted an additional 50,000 options of Wynn Resorts, Limited common stock under the Wynn Resorts, Limited 2002 Stock Incentive Plan. Nothing in this Agreement shall limit Employer’s discretion to adopt, amend or terminate any bonus plan at any time.</w:t>
      </w:r>
    </w:p>
    <w:p>
      <w:pPr>
        <w:spacing w:after="0" w:line="95" w:lineRule="exact"/>
        <w:rPr>
          <w:rFonts w:ascii="Arial" w:cs="Arial" w:eastAsia="Arial" w:hAnsi="Arial"/>
          <w:sz w:val="15"/>
          <w:szCs w:val="15"/>
          <w:color w:val="auto"/>
        </w:rPr>
      </w:pPr>
    </w:p>
    <w:p>
      <w:pPr>
        <w:ind w:left="460" w:right="120" w:firstLine="443"/>
        <w:spacing w:after="0" w:line="339" w:lineRule="auto"/>
        <w:tabs>
          <w:tab w:leader="none" w:pos="1137" w:val="left"/>
        </w:tabs>
        <w:numPr>
          <w:ilvl w:val="1"/>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pension plan, executive stock option plan, retirement plan, disability or life insurance plan, medical and/or hospitalization plan, and/or</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28" w:name="page129"/>
    <w:bookmarkEnd w:id="12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all other benefit plans that may be placed in effect by Employer or any of its Affiliates for the benefit of Employer’s employees during the Term. Nothing in this Agreement shall limit Employer’s or any of its Affiliates’ ability to (i) exercise the discretion provided to it under any employee benefit plan, or (ii) adopt, amend or terminate any such benefit plan at any time.</w:t>
      </w:r>
    </w:p>
    <w:p>
      <w:pPr>
        <w:spacing w:after="0" w:line="134" w:lineRule="exact"/>
        <w:rPr>
          <w:sz w:val="20"/>
          <w:szCs w:val="20"/>
          <w:color w:val="auto"/>
        </w:rPr>
      </w:pPr>
    </w:p>
    <w:p>
      <w:pPr>
        <w:ind w:right="60" w:firstLine="443"/>
        <w:spacing w:after="0" w:line="301" w:lineRule="auto"/>
        <w:tabs>
          <w:tab w:leader="none" w:pos="687"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provided the same are authorized in advance by Employer, Employer shall either pay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103" w:lineRule="exact"/>
        <w:rPr>
          <w:rFonts w:ascii="Arial" w:cs="Arial" w:eastAsia="Arial" w:hAnsi="Arial"/>
          <w:sz w:val="16"/>
          <w:szCs w:val="16"/>
          <w:color w:val="auto"/>
        </w:rPr>
      </w:pPr>
    </w:p>
    <w:p>
      <w:pPr>
        <w:ind w:right="360" w:firstLine="443"/>
        <w:spacing w:after="0" w:line="262" w:lineRule="auto"/>
        <w:tabs>
          <w:tab w:leader="none" w:pos="677"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annual paid vacation and paid holidays (or, at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option, an equivalent number of paid days off) in accordance with Employer’s respective standard policies, but in no event shall Employee receive fewer than two (2) weeks of paid vacation in any full year of the Term.</w:t>
      </w:r>
    </w:p>
    <w:p>
      <w:pPr>
        <w:spacing w:after="0" w:line="132" w:lineRule="exact"/>
        <w:rPr>
          <w:rFonts w:ascii="Arial" w:cs="Arial" w:eastAsia="Arial" w:hAnsi="Arial"/>
          <w:sz w:val="18"/>
          <w:szCs w:val="18"/>
          <w:color w:val="auto"/>
        </w:rPr>
      </w:pPr>
    </w:p>
    <w:p>
      <w:pPr>
        <w:ind w:right="20" w:firstLine="443"/>
        <w:spacing w:after="0" w:line="262" w:lineRule="auto"/>
        <w:tabs>
          <w:tab w:leader="none" w:pos="657"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132" w:lineRule="exact"/>
        <w:rPr>
          <w:sz w:val="20"/>
          <w:szCs w:val="20"/>
          <w:color w:val="auto"/>
        </w:rPr>
      </w:pPr>
    </w:p>
    <w:p>
      <w:pPr>
        <w:ind w:left="660" w:hanging="217"/>
        <w:spacing w:after="0"/>
        <w:tabs>
          <w:tab w:leader="none" w:pos="660" w:val="left"/>
        </w:tabs>
        <w:numPr>
          <w:ilvl w:val="1"/>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 Date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Benefits Date shall be used for determining vacation and other benefits.</w:t>
      </w:r>
    </w:p>
    <w:p>
      <w:pPr>
        <w:spacing w:after="0" w:line="258" w:lineRule="exact"/>
        <w:rPr>
          <w:rFonts w:ascii="Arial" w:cs="Arial" w:eastAsia="Arial" w:hAnsi="Arial"/>
          <w:sz w:val="18"/>
          <w:szCs w:val="18"/>
          <w:color w:val="auto"/>
        </w:rPr>
      </w:pPr>
    </w:p>
    <w:p>
      <w:pPr>
        <w:ind w:left="180" w:hanging="176"/>
        <w:spacing w:after="0"/>
        <w:tabs>
          <w:tab w:leader="none" w:pos="18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firstLine="443"/>
        <w:spacing w:after="0" w:line="253" w:lineRule="auto"/>
        <w:tabs>
          <w:tab w:leader="none" w:pos="6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this Agreement may be subject to the approval of one or more gaming regulatory authorities (the “</w:t>
      </w:r>
      <w:r>
        <w:rPr>
          <w:rFonts w:ascii="Arial" w:cs="Arial" w:eastAsia="Arial" w:hAnsi="Arial"/>
          <w:sz w:val="18"/>
          <w:szCs w:val="18"/>
          <w:b w:val="1"/>
          <w:bCs w:val="1"/>
          <w:color w:val="auto"/>
        </w:rPr>
        <w:t>Authorities</w:t>
      </w:r>
      <w:r>
        <w:rPr>
          <w:rFonts w:ascii="Arial" w:cs="Arial" w:eastAsia="Arial" w:hAnsi="Arial"/>
          <w:sz w:val="18"/>
          <w:szCs w:val="18"/>
          <w:color w:val="auto"/>
        </w:rPr>
        <w:t>”) pursuant to the provisions of the relevant gaming regulatory statutes (the “</w:t>
      </w:r>
      <w:r>
        <w:rPr>
          <w:rFonts w:ascii="Arial" w:cs="Arial" w:eastAsia="Arial" w:hAnsi="Arial"/>
          <w:sz w:val="18"/>
          <w:szCs w:val="18"/>
          <w:b w:val="1"/>
          <w:bCs w:val="1"/>
          <w:color w:val="auto"/>
        </w:rPr>
        <w:t>Gaming Acts</w:t>
      </w:r>
      <w:r>
        <w:rPr>
          <w:rFonts w:ascii="Arial" w:cs="Arial" w:eastAsia="Arial" w:hAnsi="Arial"/>
          <w:sz w:val="18"/>
          <w:szCs w:val="18"/>
          <w:color w:val="auto"/>
        </w:rPr>
        <w:t>”) and the regulations promulgated thereunder (the “</w:t>
      </w:r>
      <w:r>
        <w:rPr>
          <w:rFonts w:ascii="Arial" w:cs="Arial" w:eastAsia="Arial" w:hAnsi="Arial"/>
          <w:sz w:val="18"/>
          <w:szCs w:val="18"/>
          <w:b w:val="1"/>
          <w:bCs w:val="1"/>
          <w:color w:val="auto"/>
        </w:rPr>
        <w:t>Gaming Regulations</w:t>
      </w:r>
      <w:r>
        <w:rPr>
          <w:rFonts w:ascii="Arial" w:cs="Arial" w:eastAsia="Arial" w:hAnsi="Arial"/>
          <w:sz w:val="18"/>
          <w:szCs w:val="18"/>
          <w:color w:val="auto"/>
        </w:rPr>
        <w:t>”). Employer and Employee hereby covenant and agree to use their best efforts to obtain any and all approvals required by the Gaming Acts, Gaming Regulations, or the concession agreement. In the event that (i) an approval of this Agreement by the Authorities is required for Employee to carry out his duties and responsibilities set forth in Section 3 of this Agreement, (ii) Employer and Employee have used their best efforts to obtain such approval, and (iii) this Agreement is not so approved by the Authorities, then this Agreement shall immediately terminate and shall be null and void.</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29" w:name="page130"/>
    <w:bookmarkEnd w:id="129"/>
    <w:p>
      <w:pPr>
        <w:ind w:right="80" w:firstLine="443"/>
        <w:spacing w:after="0" w:line="310" w:lineRule="auto"/>
        <w:tabs>
          <w:tab w:leader="none" w:pos="687" w:val="left"/>
        </w:tabs>
        <w:numPr>
          <w:ilvl w:val="1"/>
          <w:numId w:val="8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5"/>
          <w:szCs w:val="15"/>
          <w:b w:val="1"/>
          <w:bCs w:val="1"/>
          <w:color w:val="auto"/>
        </w:rPr>
        <w:t>License</w:t>
      </w:r>
      <w:r>
        <w:rPr>
          <w:rFonts w:ascii="Arial" w:cs="Arial" w:eastAsia="Arial" w:hAnsi="Arial"/>
          <w:sz w:val="15"/>
          <w:szCs w:val="15"/>
          <w:color w:val="auto"/>
        </w:rPr>
        <w:t>”) as issued by the Authorities pursuant to the terms of the relevant Gaming Act, Gaming Regulations or the concession agreement,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events described in Subsection 1(d) of this Agreement, then Employer’s obligations under this Section 8 also shall not be operative and Employee shall promptly reimburse Employer upon demand for any expenses incurred by Employer pursuant to this Section 8.</w:t>
      </w:r>
    </w:p>
    <w:p>
      <w:pPr>
        <w:spacing w:after="0" w:line="108" w:lineRule="exact"/>
        <w:rPr>
          <w:rFonts w:ascii="Arial" w:cs="Arial" w:eastAsia="Arial" w:hAnsi="Arial"/>
          <w:sz w:val="15"/>
          <w:szCs w:val="15"/>
          <w:color w:val="auto"/>
        </w:rPr>
      </w:pPr>
    </w:p>
    <w:p>
      <w:pPr>
        <w:ind w:right="180" w:firstLine="443"/>
        <w:spacing w:after="0" w:line="268" w:lineRule="auto"/>
        <w:tabs>
          <w:tab w:leader="none" w:pos="677" w:val="left"/>
        </w:tabs>
        <w:numPr>
          <w:ilvl w:val="1"/>
          <w:numId w:val="83"/>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212" w:lineRule="exact"/>
        <w:rPr>
          <w:rFonts w:ascii="Arial" w:cs="Arial" w:eastAsia="Arial" w:hAnsi="Arial"/>
          <w:sz w:val="18"/>
          <w:szCs w:val="18"/>
          <w:color w:val="auto"/>
        </w:rPr>
      </w:pPr>
    </w:p>
    <w:p>
      <w:pPr>
        <w:ind w:left="180" w:hanging="176"/>
        <w:spacing w:after="0"/>
        <w:tabs>
          <w:tab w:leader="none" w:pos="18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right="100" w:firstLine="443"/>
        <w:spacing w:after="0" w:line="294" w:lineRule="auto"/>
        <w:tabs>
          <w:tab w:leader="none" w:pos="677" w:val="left"/>
        </w:tabs>
        <w:numPr>
          <w:ilvl w:val="1"/>
          <w:numId w:val="84"/>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115" w:lineRule="exact"/>
        <w:rPr>
          <w:rFonts w:ascii="Arial" w:cs="Arial" w:eastAsia="Arial" w:hAnsi="Arial"/>
          <w:sz w:val="16"/>
          <w:szCs w:val="16"/>
          <w:color w:val="auto"/>
        </w:rPr>
      </w:pPr>
    </w:p>
    <w:p>
      <w:pPr>
        <w:ind w:firstLine="443"/>
        <w:spacing w:after="0" w:line="256" w:lineRule="auto"/>
        <w:tabs>
          <w:tab w:leader="none" w:pos="6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80" w:right="279" w:bottom="1440" w:gutter="0" w:footer="0" w:header="0"/>
        </w:sectPr>
      </w:pPr>
    </w:p>
    <w:bookmarkStart w:id="130" w:name="page131"/>
    <w:bookmarkEnd w:id="130"/>
    <w:p>
      <w:pPr>
        <w:ind w:right="180" w:firstLine="443"/>
        <w:spacing w:after="0" w:line="253" w:lineRule="auto"/>
        <w:tabs>
          <w:tab w:leader="none" w:pos="677"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147" w:lineRule="exact"/>
        <w:rPr>
          <w:rFonts w:ascii="Arial" w:cs="Arial" w:eastAsia="Arial" w:hAnsi="Arial"/>
          <w:sz w:val="18"/>
          <w:szCs w:val="18"/>
          <w:color w:val="auto"/>
        </w:rPr>
      </w:pPr>
    </w:p>
    <w:p>
      <w:pPr>
        <w:ind w:right="120" w:firstLine="443"/>
        <w:spacing w:after="0" w:line="294" w:lineRule="auto"/>
        <w:tabs>
          <w:tab w:leader="none" w:pos="68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115" w:lineRule="exact"/>
        <w:rPr>
          <w:rFonts w:ascii="Arial" w:cs="Arial" w:eastAsia="Arial" w:hAnsi="Arial"/>
          <w:sz w:val="16"/>
          <w:szCs w:val="16"/>
          <w:color w:val="auto"/>
        </w:rPr>
      </w:pPr>
    </w:p>
    <w:p>
      <w:pPr>
        <w:ind w:left="680" w:hanging="237"/>
        <w:spacing w:after="0"/>
        <w:tabs>
          <w:tab w:leader="none" w:pos="6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obligations of this Section 9 are continuing and shall survive the termination of Employee’s employment with Employer.</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firstLine="443"/>
        <w:spacing w:after="0" w:line="290" w:lineRule="auto"/>
        <w:tabs>
          <w:tab w:leader="none" w:pos="67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longer period so long as Employer pays to Employee the compensation set forth in Subsection 7(a) of this Agreement, Employee shall not directly or indirectly, either as a principal, agent, employee, employer, consultant, partner, member of a limited liability company, shareholder of a closely held corporation, or shareholder in excess of two (2%) per cent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Employer’s Affiliates, in or about any market in which Employer or Employer’s Affiliates have or plan to have hotel or gaming operations. Employee hereby further covenants and agrees that the restrictive covenant contained in this Subsection 10(a) is reasonable as to duration, terms and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31" w:name="page132"/>
    <w:bookmarkEnd w:id="131"/>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geographical area and that the same protects the legitimate interests of Employer, imposes no undue hardship on Employee, and is not injurious to the public.</w:t>
      </w:r>
    </w:p>
    <w:p>
      <w:pPr>
        <w:spacing w:after="0" w:line="132" w:lineRule="exact"/>
        <w:rPr>
          <w:sz w:val="20"/>
          <w:szCs w:val="20"/>
          <w:color w:val="auto"/>
        </w:rPr>
      </w:pPr>
    </w:p>
    <w:p>
      <w:pPr>
        <w:ind w:right="20" w:firstLine="443"/>
        <w:spacing w:after="0" w:line="255" w:lineRule="auto"/>
        <w:tabs>
          <w:tab w:leader="none" w:pos="687" w:val="left"/>
        </w:tabs>
        <w:numPr>
          <w:ilvl w:val="1"/>
          <w:numId w:val="87"/>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during the Term and for a period of one (1) year following the scheduled expiration of the Term,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to have hotel or gaming operations.</w:t>
      </w:r>
    </w:p>
    <w:p>
      <w:pPr>
        <w:spacing w:after="0" w:line="142" w:lineRule="exact"/>
        <w:rPr>
          <w:rFonts w:ascii="Arial" w:cs="Arial" w:eastAsia="Arial" w:hAnsi="Arial"/>
          <w:sz w:val="18"/>
          <w:szCs w:val="18"/>
          <w:color w:val="auto"/>
        </w:rPr>
      </w:pPr>
    </w:p>
    <w:p>
      <w:pPr>
        <w:ind w:left="-460" w:right="140" w:firstLine="464"/>
        <w:spacing w:after="0" w:line="332" w:lineRule="auto"/>
        <w:tabs>
          <w:tab w:leader="none" w:pos="250" w:val="left"/>
        </w:tabs>
        <w:numPr>
          <w:ilvl w:val="0"/>
          <w:numId w:val="8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BEST EVIDENCE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be executed in original and “Xerox” or photostatic copies and each copy bearing original signatures in ink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deemed an original.</w:t>
      </w:r>
    </w:p>
    <w:p>
      <w:pPr>
        <w:spacing w:after="0" w:line="85" w:lineRule="exact"/>
        <w:rPr>
          <w:rFonts w:ascii="Arial" w:cs="Arial" w:eastAsia="Arial" w:hAnsi="Arial"/>
          <w:sz w:val="16"/>
          <w:szCs w:val="16"/>
          <w:b w:val="1"/>
          <w:bCs w:val="1"/>
          <w:i w:val="1"/>
          <w:iCs w:val="1"/>
          <w:color w:val="auto"/>
        </w:rPr>
      </w:pPr>
    </w:p>
    <w:p>
      <w:pPr>
        <w:ind w:left="260" w:hanging="256"/>
        <w:spacing w:after="0"/>
        <w:tabs>
          <w:tab w:leader="none" w:pos="260" w:val="left"/>
        </w:tabs>
        <w:numPr>
          <w:ilvl w:val="0"/>
          <w:numId w:val="88"/>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205" w:lineRule="exact"/>
        <w:rPr>
          <w:rFonts w:ascii="Arial" w:cs="Arial" w:eastAsia="Arial" w:hAnsi="Arial"/>
          <w:sz w:val="15"/>
          <w:szCs w:val="15"/>
          <w:b w:val="1"/>
          <w:bCs w:val="1"/>
          <w:i w:val="1"/>
          <w:iCs w:val="1"/>
          <w:color w:val="auto"/>
        </w:rPr>
      </w:pPr>
    </w:p>
    <w:p>
      <w:pPr>
        <w:ind w:left="-460" w:right="140" w:firstLine="464"/>
        <w:spacing w:after="0" w:line="259" w:lineRule="auto"/>
        <w:tabs>
          <w:tab w:leader="none" w:pos="2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 hereunder without the prior express written consent of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thereto. Any purported assignment by Employee in violation of this Section 13 shall be null and void and of no force or effect. Employer shall have the right to assign this Agreement freely.</w:t>
      </w:r>
    </w:p>
    <w:p>
      <w:pPr>
        <w:spacing w:after="0" w:line="140" w:lineRule="exact"/>
        <w:rPr>
          <w:rFonts w:ascii="Arial" w:cs="Arial" w:eastAsia="Arial" w:hAnsi="Arial"/>
          <w:sz w:val="18"/>
          <w:szCs w:val="18"/>
          <w:b w:val="1"/>
          <w:bCs w:val="1"/>
          <w:i w:val="1"/>
          <w:iCs w:val="1"/>
          <w:color w:val="auto"/>
        </w:rPr>
      </w:pPr>
    </w:p>
    <w:p>
      <w:pPr>
        <w:ind w:left="-460" w:right="500" w:firstLine="464"/>
        <w:spacing w:after="0" w:line="268" w:lineRule="auto"/>
        <w:tabs>
          <w:tab w:leader="none" w:pos="2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left="-460" w:right="500" w:firstLine="464"/>
        <w:spacing w:after="0" w:line="268" w:lineRule="auto"/>
        <w:tabs>
          <w:tab w:leader="none" w:pos="2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conflicts of law principles.</w:t>
      </w:r>
    </w:p>
    <w:p>
      <w:pPr>
        <w:spacing w:after="0" w:line="131" w:lineRule="exact"/>
        <w:rPr>
          <w:rFonts w:ascii="Arial" w:cs="Arial" w:eastAsia="Arial" w:hAnsi="Arial"/>
          <w:sz w:val="18"/>
          <w:szCs w:val="18"/>
          <w:b w:val="1"/>
          <w:bCs w:val="1"/>
          <w:i w:val="1"/>
          <w:iCs w:val="1"/>
          <w:color w:val="auto"/>
        </w:rPr>
      </w:pPr>
    </w:p>
    <w:p>
      <w:pPr>
        <w:ind w:left="-460" w:right="220" w:firstLine="464"/>
        <w:spacing w:after="0" w:line="268" w:lineRule="auto"/>
        <w:tabs>
          <w:tab w:leader="none" w:pos="260" w:val="left"/>
        </w:tabs>
        <w:numPr>
          <w:ilvl w:val="0"/>
          <w:numId w:val="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460" w:type="dxa"/>
            <w:vAlign w:val="bottom"/>
            <w:gridSpan w:val="5"/>
          </w:tcPr>
          <w:p>
            <w:pPr>
              <w:spacing w:after="0"/>
              <w:rPr>
                <w:sz w:val="20"/>
                <w:szCs w:val="20"/>
                <w:color w:val="auto"/>
              </w:rPr>
            </w:pPr>
            <w:r>
              <w:rPr>
                <w:rFonts w:ascii="Arial" w:cs="Arial" w:eastAsia="Arial" w:hAnsi="Arial"/>
                <w:sz w:val="18"/>
                <w:szCs w:val="18"/>
                <w:color w:val="auto"/>
              </w:rPr>
              <w:t>TO EMPLOYER:</w:t>
            </w:r>
          </w:p>
        </w:tc>
        <w:tc>
          <w:tcPr>
            <w:tcW w:w="2960" w:type="dxa"/>
            <w:vAlign w:val="bottom"/>
          </w:tcPr>
          <w:p>
            <w:pPr>
              <w:ind w:left="620"/>
              <w:spacing w:after="0"/>
              <w:rPr>
                <w:sz w:val="20"/>
                <w:szCs w:val="20"/>
                <w:color w:val="auto"/>
              </w:rPr>
            </w:pPr>
            <w:r>
              <w:rPr>
                <w:rFonts w:ascii="Arial" w:cs="Arial" w:eastAsia="Arial" w:hAnsi="Arial"/>
                <w:sz w:val="18"/>
                <w:szCs w:val="18"/>
                <w:color w:val="auto"/>
              </w:rPr>
              <w:t>Wynn Las Vegas, LLC</w:t>
            </w:r>
          </w:p>
        </w:tc>
      </w:tr>
      <w:tr>
        <w:trPr>
          <w:trHeight w:val="228"/>
        </w:trPr>
        <w:tc>
          <w:tcPr>
            <w:tcW w:w="10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60" w:type="dxa"/>
            <w:vAlign w:val="bottom"/>
          </w:tcPr>
          <w:p>
            <w:pPr>
              <w:ind w:left="620"/>
              <w:spacing w:after="0"/>
              <w:rPr>
                <w:sz w:val="20"/>
                <w:szCs w:val="20"/>
                <w:color w:val="auto"/>
              </w:rPr>
            </w:pPr>
            <w:r>
              <w:rPr>
                <w:rFonts w:ascii="Arial" w:cs="Arial" w:eastAsia="Arial" w:hAnsi="Arial"/>
                <w:sz w:val="18"/>
                <w:szCs w:val="18"/>
                <w:color w:val="auto"/>
                <w:w w:val="86"/>
              </w:rPr>
              <w:t>3131 Las Vegas Boulevard South</w:t>
            </w:r>
          </w:p>
        </w:tc>
      </w:tr>
      <w:tr>
        <w:trPr>
          <w:trHeight w:val="222"/>
        </w:trPr>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60" w:type="dxa"/>
            <w:vAlign w:val="bottom"/>
          </w:tcPr>
          <w:p>
            <w:pPr>
              <w:ind w:left="620"/>
              <w:spacing w:after="0"/>
              <w:rPr>
                <w:sz w:val="20"/>
                <w:szCs w:val="20"/>
                <w:color w:val="auto"/>
              </w:rPr>
            </w:pPr>
            <w:r>
              <w:rPr>
                <w:rFonts w:ascii="Arial" w:cs="Arial" w:eastAsia="Arial" w:hAnsi="Arial"/>
                <w:sz w:val="18"/>
                <w:szCs w:val="18"/>
                <w:color w:val="auto"/>
              </w:rPr>
              <w:t>Las Vegas, Nevada 89109</w:t>
            </w:r>
          </w:p>
        </w:tc>
      </w:tr>
      <w:tr>
        <w:trPr>
          <w:trHeight w:val="461"/>
        </w:trPr>
        <w:tc>
          <w:tcPr>
            <w:tcW w:w="2460" w:type="dxa"/>
            <w:vAlign w:val="bottom"/>
            <w:gridSpan w:val="5"/>
          </w:tcPr>
          <w:p>
            <w:pPr>
              <w:spacing w:after="0"/>
              <w:rPr>
                <w:sz w:val="20"/>
                <w:szCs w:val="20"/>
                <w:color w:val="auto"/>
              </w:rPr>
            </w:pPr>
            <w:r>
              <w:rPr>
                <w:rFonts w:ascii="Arial" w:cs="Arial" w:eastAsia="Arial" w:hAnsi="Arial"/>
                <w:sz w:val="18"/>
                <w:szCs w:val="18"/>
                <w:color w:val="auto"/>
              </w:rPr>
              <w:t>WITH A COPY</w:t>
            </w:r>
          </w:p>
        </w:tc>
        <w:tc>
          <w:tcPr>
            <w:tcW w:w="2960" w:type="dxa"/>
            <w:vAlign w:val="bottom"/>
          </w:tcPr>
          <w:p>
            <w:pPr>
              <w:ind w:left="620"/>
              <w:spacing w:after="0"/>
              <w:rPr>
                <w:sz w:val="20"/>
                <w:szCs w:val="20"/>
                <w:color w:val="auto"/>
              </w:rPr>
            </w:pPr>
            <w:r>
              <w:rPr>
                <w:rFonts w:ascii="Arial" w:cs="Arial" w:eastAsia="Arial" w:hAnsi="Arial"/>
                <w:sz w:val="18"/>
                <w:szCs w:val="18"/>
                <w:color w:val="auto"/>
              </w:rPr>
              <w:t>Wynn Resorts, Limited</w:t>
            </w:r>
          </w:p>
        </w:tc>
      </w:tr>
      <w:tr>
        <w:trPr>
          <w:trHeight w:val="20"/>
        </w:trPr>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2460" w:type="dxa"/>
            <w:vAlign w:val="bottom"/>
            <w:gridSpan w:val="5"/>
          </w:tcPr>
          <w:p>
            <w:pPr>
              <w:spacing w:after="0" w:line="196" w:lineRule="exact"/>
              <w:rPr>
                <w:sz w:val="20"/>
                <w:szCs w:val="20"/>
                <w:color w:val="auto"/>
              </w:rPr>
            </w:pPr>
            <w:r>
              <w:rPr>
                <w:rFonts w:ascii="Arial" w:cs="Arial" w:eastAsia="Arial" w:hAnsi="Arial"/>
                <w:sz w:val="18"/>
                <w:szCs w:val="18"/>
                <w:color w:val="auto"/>
              </w:rPr>
              <w:t>THAT SHALL NOT BE</w:t>
            </w:r>
          </w:p>
        </w:tc>
        <w:tc>
          <w:tcPr>
            <w:tcW w:w="2960" w:type="dxa"/>
            <w:vAlign w:val="bottom"/>
          </w:tcPr>
          <w:p>
            <w:pPr>
              <w:ind w:left="620"/>
              <w:spacing w:after="0" w:line="196" w:lineRule="exact"/>
              <w:rPr>
                <w:sz w:val="20"/>
                <w:szCs w:val="20"/>
                <w:color w:val="auto"/>
              </w:rPr>
            </w:pPr>
            <w:r>
              <w:rPr>
                <w:rFonts w:ascii="Arial" w:cs="Arial" w:eastAsia="Arial" w:hAnsi="Arial"/>
                <w:sz w:val="18"/>
                <w:szCs w:val="18"/>
                <w:color w:val="auto"/>
                <w:w w:val="86"/>
              </w:rPr>
              <w:t>3131 Las Vegas Boulevard South</w:t>
            </w:r>
          </w:p>
        </w:tc>
      </w:tr>
      <w:tr>
        <w:trPr>
          <w:trHeight w:val="196"/>
        </w:trPr>
        <w:tc>
          <w:tcPr>
            <w:tcW w:w="184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NOTICE TO:</w:t>
            </w:r>
          </w:p>
        </w:tc>
        <w:tc>
          <w:tcPr>
            <w:tcW w:w="620" w:type="dxa"/>
            <w:vAlign w:val="bottom"/>
          </w:tcPr>
          <w:p>
            <w:pPr>
              <w:spacing w:after="0"/>
              <w:rPr>
                <w:sz w:val="17"/>
                <w:szCs w:val="17"/>
                <w:color w:val="auto"/>
              </w:rPr>
            </w:pPr>
          </w:p>
        </w:tc>
        <w:tc>
          <w:tcPr>
            <w:tcW w:w="2960" w:type="dxa"/>
            <w:vAlign w:val="bottom"/>
          </w:tcPr>
          <w:p>
            <w:pPr>
              <w:ind w:left="620"/>
              <w:spacing w:after="0" w:line="196" w:lineRule="exact"/>
              <w:rPr>
                <w:sz w:val="20"/>
                <w:szCs w:val="20"/>
                <w:color w:val="auto"/>
              </w:rPr>
            </w:pPr>
            <w:r>
              <w:rPr>
                <w:rFonts w:ascii="Arial" w:cs="Arial" w:eastAsia="Arial" w:hAnsi="Arial"/>
                <w:sz w:val="18"/>
                <w:szCs w:val="18"/>
                <w:color w:val="auto"/>
              </w:rPr>
              <w:t>Las Vegas, Nevada 89109</w:t>
            </w:r>
          </w:p>
        </w:tc>
      </w:tr>
      <w:tr>
        <w:trPr>
          <w:trHeight w:val="235"/>
        </w:trPr>
        <w:tc>
          <w:tcPr>
            <w:tcW w:w="10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60" w:type="dxa"/>
            <w:vAlign w:val="bottom"/>
          </w:tcPr>
          <w:p>
            <w:pPr>
              <w:ind w:left="620"/>
              <w:spacing w:after="0"/>
              <w:rPr>
                <w:sz w:val="20"/>
                <w:szCs w:val="20"/>
                <w:color w:val="auto"/>
              </w:rPr>
            </w:pPr>
            <w:r>
              <w:rPr>
                <w:rFonts w:ascii="Arial" w:cs="Arial" w:eastAsia="Arial" w:hAnsi="Arial"/>
                <w:sz w:val="18"/>
                <w:szCs w:val="18"/>
                <w:color w:val="auto"/>
              </w:rPr>
              <w:t>Attn: Legal Department</w:t>
            </w:r>
          </w:p>
        </w:tc>
      </w:tr>
      <w:tr>
        <w:trPr>
          <w:trHeight w:val="365"/>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ind w:left="22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0880"/>
          </w:cols>
          <w:pgMar w:left="700" w:top="280" w:right="319"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auto"/>
              </w:rPr>
              <w:t>TO EMPLOYEE:</w:t>
            </w:r>
          </w:p>
        </w:tc>
        <w:tc>
          <w:tcPr>
            <w:tcW w:w="2720" w:type="dxa"/>
            <w:vAlign w:val="bottom"/>
          </w:tcPr>
          <w:p>
            <w:pPr>
              <w:ind w:left="900"/>
              <w:spacing w:after="0"/>
              <w:rPr>
                <w:sz w:val="20"/>
                <w:szCs w:val="20"/>
                <w:color w:val="auto"/>
              </w:rPr>
            </w:pPr>
            <w:r>
              <w:rPr>
                <w:rFonts w:ascii="Arial" w:cs="Arial" w:eastAsia="Arial" w:hAnsi="Arial"/>
                <w:sz w:val="18"/>
                <w:szCs w:val="18"/>
                <w:color w:val="auto"/>
              </w:rPr>
              <w:t>Matt Maddox</w:t>
            </w:r>
          </w:p>
        </w:tc>
      </w:tr>
      <w:tr>
        <w:trPr>
          <w:trHeight w:val="228"/>
        </w:trPr>
        <w:tc>
          <w:tcPr>
            <w:tcW w:w="124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2720" w:type="dxa"/>
            <w:vAlign w:val="bottom"/>
          </w:tcPr>
          <w:p>
            <w:pPr>
              <w:ind w:left="900"/>
              <w:spacing w:after="0"/>
              <w:rPr>
                <w:sz w:val="20"/>
                <w:szCs w:val="20"/>
                <w:color w:val="auto"/>
              </w:rPr>
            </w:pPr>
            <w:r>
              <w:rPr>
                <w:rFonts w:ascii="Arial" w:cs="Arial" w:eastAsia="Arial" w:hAnsi="Arial"/>
                <w:sz w:val="18"/>
                <w:szCs w:val="18"/>
                <w:color w:val="auto"/>
              </w:rPr>
              <w:t>2834 Gallant Hills</w:t>
            </w:r>
          </w:p>
        </w:tc>
      </w:tr>
      <w:tr>
        <w:trPr>
          <w:trHeight w:val="222"/>
        </w:trPr>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20" w:type="dxa"/>
            <w:vAlign w:val="bottom"/>
          </w:tcPr>
          <w:p>
            <w:pPr>
              <w:ind w:left="900"/>
              <w:spacing w:after="0"/>
              <w:rPr>
                <w:sz w:val="20"/>
                <w:szCs w:val="20"/>
                <w:color w:val="auto"/>
              </w:rPr>
            </w:pPr>
            <w:r>
              <w:rPr>
                <w:rFonts w:ascii="Arial" w:cs="Arial" w:eastAsia="Arial" w:hAnsi="Arial"/>
                <w:sz w:val="18"/>
                <w:szCs w:val="18"/>
                <w:color w:val="auto"/>
                <w:w w:val="84"/>
              </w:rPr>
              <w:t>Las Vegas, Nevada 89135</w:t>
            </w:r>
          </w:p>
        </w:tc>
      </w:tr>
    </w:tbl>
    <w:p>
      <w:pPr>
        <w:spacing w:after="0" w:line="15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16.</w:t>
      </w:r>
    </w:p>
    <w:p>
      <w:pPr>
        <w:spacing w:after="0" w:line="85" w:lineRule="exact"/>
        <w:rPr>
          <w:sz w:val="20"/>
          <w:szCs w:val="20"/>
          <w:color w:val="auto"/>
        </w:rPr>
      </w:pPr>
    </w:p>
    <w:p>
      <w:pPr>
        <w:ind w:right="160" w:firstLine="464"/>
        <w:spacing w:after="0" w:line="259" w:lineRule="auto"/>
        <w:tabs>
          <w:tab w:leader="none" w:pos="72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Sections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 and, this Agreement is not to be construed either for or against Employer or Employee, but shall be interpreted in accordance with the general tenor of its language.</w:t>
      </w:r>
    </w:p>
    <w:p>
      <w:pPr>
        <w:spacing w:after="0" w:line="140" w:lineRule="exact"/>
        <w:rPr>
          <w:rFonts w:ascii="Arial" w:cs="Arial" w:eastAsia="Arial" w:hAnsi="Arial"/>
          <w:sz w:val="18"/>
          <w:szCs w:val="18"/>
          <w:b w:val="1"/>
          <w:bCs w:val="1"/>
          <w:i w:val="1"/>
          <w:iCs w:val="1"/>
          <w:color w:val="auto"/>
        </w:rPr>
      </w:pPr>
    </w:p>
    <w:p>
      <w:pPr>
        <w:ind w:right="140" w:firstLine="464"/>
        <w:spacing w:after="0" w:line="332" w:lineRule="auto"/>
        <w:tabs>
          <w:tab w:leader="none" w:pos="720" w:val="left"/>
        </w:tabs>
        <w:numPr>
          <w:ilvl w:val="0"/>
          <w:numId w:val="8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85" w:lineRule="exact"/>
        <w:rPr>
          <w:rFonts w:ascii="Arial" w:cs="Arial" w:eastAsia="Arial" w:hAnsi="Arial"/>
          <w:sz w:val="16"/>
          <w:szCs w:val="16"/>
          <w:b w:val="1"/>
          <w:bCs w:val="1"/>
          <w:i w:val="1"/>
          <w:iCs w:val="1"/>
          <w:color w:val="auto"/>
        </w:rPr>
      </w:pPr>
    </w:p>
    <w:p>
      <w:pPr>
        <w:ind w:firstLine="464"/>
        <w:spacing w:after="0" w:line="291" w:lineRule="auto"/>
        <w:tabs>
          <w:tab w:leader="none" w:pos="720" w:val="left"/>
        </w:tabs>
        <w:numPr>
          <w:ilvl w:val="0"/>
          <w:numId w:val="8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provisions of Sections 9 and 10 of this Agreement, jurisdiction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in accordance with Employer’s or Employer’s Affiliates’ arbitration policy governing employment disputes, or, in the absence of any such policy, as conducted by and in accordance with the labor arbitration rules of the American Arbitration Association. This agreement to arbitrate shall be specifically enforceable in any court of competent jurisdiction.</w:t>
      </w:r>
    </w:p>
    <w:p>
      <w:pPr>
        <w:spacing w:after="0" w:line="120" w:lineRule="exact"/>
        <w:rPr>
          <w:rFonts w:ascii="Arial" w:cs="Arial" w:eastAsia="Arial" w:hAnsi="Arial"/>
          <w:sz w:val="16"/>
          <w:szCs w:val="16"/>
          <w:b w:val="1"/>
          <w:bCs w:val="1"/>
          <w:i w:val="1"/>
          <w:iCs w:val="1"/>
          <w:color w:val="auto"/>
        </w:rPr>
      </w:pPr>
    </w:p>
    <w:p>
      <w:pPr>
        <w:jc w:val="both"/>
        <w:ind w:right="60" w:firstLine="464"/>
        <w:spacing w:after="0" w:line="259" w:lineRule="auto"/>
        <w:tabs>
          <w:tab w:leader="none" w:pos="72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Section 20, or any term, right or remedy hereunder shall be deemed waived unless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waiver is in writing and 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right="220" w:firstLine="464"/>
        <w:spacing w:after="0" w:line="306" w:lineRule="auto"/>
        <w:tabs>
          <w:tab w:leader="none" w:pos="720" w:val="left"/>
        </w:tabs>
        <w:numPr>
          <w:ilvl w:val="0"/>
          <w:numId w:val="8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with respect to the subject matter hereto and supersedes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57" w:right="279" w:bottom="1440" w:gutter="0" w:footer="0" w:header="0"/>
        </w:sectPr>
      </w:pPr>
    </w:p>
    <w:bookmarkStart w:id="133" w:name="page134"/>
    <w:bookmarkEnd w:id="133"/>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LAS VEGAS , LLC</w:t>
            </w:r>
          </w:p>
        </w:tc>
        <w:tc>
          <w:tcPr>
            <w:tcW w:w="680" w:type="dxa"/>
            <w:vAlign w:val="bottom"/>
          </w:tcPr>
          <w:p>
            <w:pPr>
              <w:spacing w:after="0"/>
              <w:rPr>
                <w:sz w:val="19"/>
                <w:szCs w:val="19"/>
                <w:color w:val="auto"/>
              </w:rPr>
            </w:pP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Arial" w:cs="Arial" w:eastAsia="Arial" w:hAnsi="Arial"/>
                <w:sz w:val="18"/>
                <w:szCs w:val="18"/>
                <w:color w:val="auto"/>
              </w:rPr>
              <w:t>By:  /s/ Andrew Pascal</w:t>
            </w:r>
          </w:p>
        </w:tc>
        <w:tc>
          <w:tcPr>
            <w:tcW w:w="68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Andrew Pascal</w:t>
            </w:r>
          </w:p>
        </w:tc>
        <w:tc>
          <w:tcPr>
            <w:tcW w:w="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President and Chief Operating Officer</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78"/>
        </w:trPr>
        <w:tc>
          <w:tcPr>
            <w:tcW w:w="2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80" w:type="dxa"/>
            <w:vAlign w:val="bottom"/>
          </w:tcPr>
          <w:p>
            <w:pPr>
              <w:jc w:val="right"/>
              <w:ind w:right="292"/>
              <w:spacing w:after="0"/>
              <w:rPr>
                <w:sz w:val="20"/>
                <w:szCs w:val="20"/>
                <w:color w:val="auto"/>
              </w:rPr>
            </w:pPr>
            <w:r>
              <w:rPr>
                <w:rFonts w:ascii="Arial" w:cs="Arial" w:eastAsia="Arial" w:hAnsi="Arial"/>
                <w:sz w:val="18"/>
                <w:szCs w:val="18"/>
                <w:color w:val="auto"/>
              </w:rPr>
              <w:t>12</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TERMINATION AGREEMENT</w:t>
      </w:r>
    </w:p>
    <w:p>
      <w:pPr>
        <w:spacing w:after="0" w:line="198" w:lineRule="exact"/>
        <w:rPr>
          <w:sz w:val="20"/>
          <w:szCs w:val="20"/>
          <w:color w:val="auto"/>
        </w:rPr>
      </w:pPr>
    </w:p>
    <w:p>
      <w:pPr>
        <w:ind w:right="960"/>
        <w:spacing w:after="0" w:line="224" w:lineRule="auto"/>
        <w:rPr>
          <w:sz w:val="20"/>
          <w:szCs w:val="20"/>
          <w:color w:val="auto"/>
        </w:rPr>
      </w:pPr>
      <w:r>
        <w:rPr>
          <w:rFonts w:ascii="Arial" w:cs="Arial" w:eastAsia="Arial" w:hAnsi="Arial"/>
          <w:sz w:val="18"/>
          <w:szCs w:val="18"/>
          <w:color w:val="auto"/>
        </w:rPr>
        <w:t>This Termination Agreement (“</w:t>
      </w:r>
      <w:r>
        <w:rPr>
          <w:rFonts w:ascii="Arial" w:cs="Arial" w:eastAsia="Arial" w:hAnsi="Arial"/>
          <w:sz w:val="18"/>
          <w:szCs w:val="18"/>
          <w:b w:val="1"/>
          <w:bCs w:val="1"/>
          <w:color w:val="auto"/>
        </w:rPr>
        <w:t>Termination Agreement</w:t>
      </w:r>
      <w:r>
        <w:rPr>
          <w:rFonts w:ascii="Arial" w:cs="Arial" w:eastAsia="Arial" w:hAnsi="Arial"/>
          <w:sz w:val="18"/>
          <w:szCs w:val="18"/>
          <w:color w:val="auto"/>
        </w:rPr>
        <w:t>”) is made and entered into as of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October 2005, by and between Matt Maddox (“</w:t>
      </w:r>
      <w:r>
        <w:rPr>
          <w:rFonts w:ascii="Arial" w:cs="Arial" w:eastAsia="Arial" w:hAnsi="Arial"/>
          <w:sz w:val="18"/>
          <w:szCs w:val="18"/>
          <w:b w:val="1"/>
          <w:bCs w:val="1"/>
          <w:color w:val="auto"/>
        </w:rPr>
        <w:t>Employee</w:t>
      </w:r>
      <w:r>
        <w:rPr>
          <w:rFonts w:ascii="Arial" w:cs="Arial" w:eastAsia="Arial" w:hAnsi="Arial"/>
          <w:sz w:val="18"/>
          <w:szCs w:val="18"/>
          <w:color w:val="auto"/>
        </w:rPr>
        <w:t>”) and Worldwide Wynn, LLC (“</w:t>
      </w:r>
      <w:r>
        <w:rPr>
          <w:rFonts w:ascii="Arial" w:cs="Arial" w:eastAsia="Arial" w:hAnsi="Arial"/>
          <w:sz w:val="18"/>
          <w:szCs w:val="18"/>
          <w:b w:val="1"/>
          <w:bCs w:val="1"/>
          <w:color w:val="auto"/>
        </w:rPr>
        <w:t>WWW</w:t>
      </w:r>
      <w:r>
        <w:rPr>
          <w:rFonts w:ascii="Arial" w:cs="Arial" w:eastAsia="Arial" w:hAnsi="Arial"/>
          <w:sz w:val="18"/>
          <w:szCs w:val="18"/>
          <w:color w:val="auto"/>
        </w:rPr>
        <w:t>”).</w:t>
      </w:r>
    </w:p>
    <w:p>
      <w:pPr>
        <w:spacing w:after="0" w:line="178"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entered into that certain Employment Agreement dated as of March 14, 2003 (the “</w:t>
      </w:r>
      <w:r>
        <w:rPr>
          <w:rFonts w:ascii="Arial" w:cs="Arial" w:eastAsia="Arial" w:hAnsi="Arial"/>
          <w:sz w:val="18"/>
          <w:szCs w:val="18"/>
          <w:b w:val="1"/>
          <w:bCs w:val="1"/>
          <w:color w:val="auto"/>
        </w:rPr>
        <w:t>2003 Employment Agreement</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WWW; and</w:t>
      </w:r>
    </w:p>
    <w:p>
      <w:pPr>
        <w:spacing w:after="0" w:line="120"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has agreed to enter into an employment agreement with Wynn Las Vegas, LLC (the “</w:t>
      </w:r>
      <w:r>
        <w:rPr>
          <w:rFonts w:ascii="Arial" w:cs="Arial" w:eastAsia="Arial" w:hAnsi="Arial"/>
          <w:sz w:val="18"/>
          <w:szCs w:val="18"/>
          <w:b w:val="1"/>
          <w:bCs w:val="1"/>
          <w:color w:val="auto"/>
        </w:rPr>
        <w:t>WLV Employment Agreement</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and concurrent with the termination of the 2003 Employment Agreement; and</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WWW have agreed to terminate the 2003 Employment Agreement concurrent with the effectiveness of the WLV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2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WLV and Employee do hereby covenant and agree as follows:</w:t>
      </w:r>
    </w:p>
    <w:p>
      <w:pPr>
        <w:spacing w:after="0" w:line="53" w:lineRule="exact"/>
        <w:rPr>
          <w:sz w:val="20"/>
          <w:szCs w:val="20"/>
          <w:color w:val="auto"/>
        </w:rPr>
      </w:pPr>
    </w:p>
    <w:p>
      <w:pPr>
        <w:ind w:left="900" w:right="100" w:hanging="446"/>
        <w:spacing w:after="0" w:line="339"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b w:val="1"/>
          <w:bCs w:val="1"/>
          <w:color w:val="auto"/>
        </w:rPr>
        <w:t>TERMINATION OF AGREEMENT</w:t>
      </w:r>
      <w:r>
        <w:rPr>
          <w:rFonts w:ascii="Arial" w:cs="Arial" w:eastAsia="Arial" w:hAnsi="Arial"/>
          <w:sz w:val="16"/>
          <w:szCs w:val="16"/>
          <w:color w:val="auto"/>
        </w:rPr>
        <w:t>. Employee and WWW agree that the 2003 Employment Agreement shall terminated and be of no further</w:t>
      </w:r>
      <w:r>
        <w:rPr>
          <w:rFonts w:ascii="Arial" w:cs="Arial" w:eastAsia="Arial" w:hAnsi="Arial"/>
          <w:sz w:val="16"/>
          <w:szCs w:val="16"/>
          <w:b w:val="1"/>
          <w:bCs w:val="1"/>
          <w:color w:val="auto"/>
        </w:rPr>
        <w:t xml:space="preserve"> </w:t>
      </w:r>
      <w:r>
        <w:rPr>
          <w:rFonts w:ascii="Arial" w:cs="Arial" w:eastAsia="Arial" w:hAnsi="Arial"/>
          <w:sz w:val="16"/>
          <w:szCs w:val="16"/>
          <w:color w:val="auto"/>
        </w:rPr>
        <w:t>force or effect concurrent with the effectiveness of the WLV Employment Agreement which is scheduled to become effective as of October 1, 2005.</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WORLDWIDE WYNN, LLC</w:t>
            </w:r>
          </w:p>
        </w:tc>
        <w:tc>
          <w:tcPr>
            <w:tcW w:w="720" w:type="dxa"/>
            <w:vAlign w:val="bottom"/>
          </w:tcPr>
          <w:p>
            <w:pPr>
              <w:spacing w:after="0"/>
              <w:rPr>
                <w:sz w:val="19"/>
                <w:szCs w:val="19"/>
                <w:color w:val="auto"/>
              </w:rPr>
            </w:pPr>
          </w:p>
        </w:tc>
        <w:tc>
          <w:tcPr>
            <w:tcW w:w="5340" w:type="dxa"/>
            <w:vAlign w:val="bottom"/>
          </w:tcPr>
          <w:p>
            <w:pPr>
              <w:ind w:left="214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Marc D. Schorr</w:t>
            </w:r>
          </w:p>
        </w:tc>
        <w:tc>
          <w:tcPr>
            <w:tcW w:w="72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5360" w:type="dxa"/>
            <w:vAlign w:val="bottom"/>
          </w:tcPr>
          <w:p>
            <w:pPr>
              <w:ind w:left="120"/>
              <w:spacing w:after="0" w:line="202" w:lineRule="exact"/>
              <w:rPr>
                <w:sz w:val="20"/>
                <w:szCs w:val="20"/>
                <w:color w:val="auto"/>
              </w:rPr>
            </w:pPr>
            <w:r>
              <w:rPr>
                <w:rFonts w:ascii="Arial" w:cs="Arial" w:eastAsia="Arial" w:hAnsi="Arial"/>
                <w:sz w:val="18"/>
                <w:szCs w:val="18"/>
                <w:color w:val="auto"/>
              </w:rPr>
              <w:t>Marc D. Schorr</w:t>
            </w:r>
          </w:p>
        </w:tc>
        <w:tc>
          <w:tcPr>
            <w:tcW w:w="72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22"/>
        </w:trPr>
        <w:tc>
          <w:tcPr>
            <w:tcW w:w="536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720" w:type="dxa"/>
            <w:vAlign w:val="bottom"/>
          </w:tcPr>
          <w:p>
            <w:pPr>
              <w:spacing w:after="0"/>
              <w:rPr>
                <w:sz w:val="19"/>
                <w:szCs w:val="19"/>
                <w:color w:val="auto"/>
              </w:rPr>
            </w:pPr>
          </w:p>
        </w:tc>
        <w:tc>
          <w:tcPr>
            <w:tcW w:w="5340" w:type="dxa"/>
            <w:vAlign w:val="bottom"/>
          </w:tcPr>
          <w:p>
            <w:pPr>
              <w:spacing w:after="0"/>
              <w:rPr>
                <w:sz w:val="19"/>
                <w:szCs w:val="19"/>
                <w:color w:val="auto"/>
              </w:rPr>
            </w:pPr>
          </w:p>
        </w:tc>
      </w:tr>
      <w:tr>
        <w:trPr>
          <w:trHeight w:val="378"/>
        </w:trPr>
        <w:tc>
          <w:tcPr>
            <w:tcW w:w="5360" w:type="dxa"/>
            <w:vAlign w:val="bottom"/>
          </w:tcPr>
          <w:p>
            <w:pPr>
              <w:spacing w:after="0"/>
              <w:rPr>
                <w:sz w:val="24"/>
                <w:szCs w:val="24"/>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2078355</wp:posOffset>
            </wp:positionH>
            <wp:positionV relativeFrom="page">
              <wp:posOffset>183515</wp:posOffset>
            </wp:positionV>
            <wp:extent cx="340487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04870" cy="8890"/>
                    </a:xfrm>
                    <a:prstGeom prst="rect">
                      <a:avLst/>
                    </a:prstGeom>
                    <a:noFill/>
                  </pic:spPr>
                </pic:pic>
              </a:graphicData>
            </a:graphic>
          </wp:anchor>
        </w:drawing>
        <w:t>EMPLOYMENT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LAS VEGAS, LLC,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and -</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MATT MADDOX</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October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66040</wp:posOffset>
            </wp:positionV>
            <wp:extent cx="34048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019"/>
          </w:cols>
          <w:pgMar w:left="1440" w:top="409"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31 day of December, 2008,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Matt Maddox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Employer and Employee have entered into that certain Employment Agreement, dated as of October 1, 2005, as amended by that certain First Amendment to Employment Agreement dated as of May 5, 2008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right="660" w:firstLine="464"/>
        <w:spacing w:after="0" w:line="306"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06"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ectPr>
          <w:pgSz w:w="11900" w:h="16838" w:orient="portrait"/>
          <w:cols w:equalWidth="0" w:num="1">
            <w:col w:w="11420"/>
          </w:cols>
          <w:pgMar w:left="240" w:top="125" w:right="239" w:bottom="1440" w:gutter="0" w:footer="0" w:header="0"/>
        </w:sectPr>
      </w:pPr>
    </w:p>
    <w:bookmarkStart w:id="137" w:name="page138"/>
    <w:bookmarkEnd w:id="137"/>
    <w:p>
      <w:pPr>
        <w:ind w:right="180" w:firstLine="464"/>
        <w:spacing w:after="0" w:line="268"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680" w:type="dxa"/>
            <w:vAlign w:val="bottom"/>
          </w:tcPr>
          <w:p>
            <w:pPr>
              <w:spacing w:after="0"/>
              <w:rPr>
                <w:sz w:val="19"/>
                <w:szCs w:val="19"/>
                <w:color w:val="auto"/>
              </w:rPr>
            </w:pP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68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Matt Maddox</w:t>
            </w:r>
          </w:p>
        </w:tc>
      </w:tr>
      <w:tr>
        <w:trPr>
          <w:trHeight w:val="202"/>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D. Schorr</w:t>
            </w:r>
          </w:p>
        </w:tc>
        <w:tc>
          <w:tcPr>
            <w:tcW w:w="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Matt Maddox</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Chief Operating Officer</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This SECOND AMENDMENT TO EMPLOYMENT AGREEMENT (this “</w:t>
      </w:r>
      <w:r>
        <w:rPr>
          <w:rFonts w:ascii="Arial" w:cs="Arial" w:eastAsia="Arial" w:hAnsi="Arial"/>
          <w:sz w:val="18"/>
          <w:szCs w:val="18"/>
          <w:b w:val="1"/>
          <w:bCs w:val="1"/>
          <w:color w:val="auto"/>
        </w:rPr>
        <w:t>Second Amendment</w:t>
      </w:r>
      <w:r>
        <w:rPr>
          <w:rFonts w:ascii="Arial" w:cs="Arial" w:eastAsia="Arial" w:hAnsi="Arial"/>
          <w:sz w:val="18"/>
          <w:szCs w:val="18"/>
          <w:color w:val="auto"/>
        </w:rPr>
        <w:t>”) is entered into as of the 31 day of December, 2008, by and between Wynn Resorts, Limited (“</w:t>
      </w:r>
      <w:r>
        <w:rPr>
          <w:rFonts w:ascii="Arial" w:cs="Arial" w:eastAsia="Arial" w:hAnsi="Arial"/>
          <w:sz w:val="18"/>
          <w:szCs w:val="18"/>
          <w:b w:val="1"/>
          <w:bCs w:val="1"/>
          <w:color w:val="auto"/>
        </w:rPr>
        <w:t>Employer</w:t>
      </w:r>
      <w:r>
        <w:rPr>
          <w:rFonts w:ascii="Arial" w:cs="Arial" w:eastAsia="Arial" w:hAnsi="Arial"/>
          <w:sz w:val="18"/>
          <w:szCs w:val="18"/>
          <w:color w:val="auto"/>
        </w:rPr>
        <w:t>”) and John Strzemp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WHEREAS, Employer and Employee have entered into that certain Employment Agreement, dated as of August 31, 2005, as amended by that certain First Amendment to Employment Agreement dated as of March 26, 2008, effective March 18, 2008 (collectively, the “</w:t>
      </w:r>
      <w:r>
        <w:rPr>
          <w:rFonts w:ascii="Arial" w:cs="Arial" w:eastAsia="Arial" w:hAnsi="Arial"/>
          <w:sz w:val="16"/>
          <w:szCs w:val="16"/>
          <w:b w:val="1"/>
          <w:bCs w:val="1"/>
          <w:color w:val="auto"/>
        </w:rPr>
        <w:t>Agreement</w:t>
      </w:r>
      <w:r>
        <w:rPr>
          <w:rFonts w:ascii="Arial" w:cs="Arial" w:eastAsia="Arial" w:hAnsi="Arial"/>
          <w:sz w:val="16"/>
          <w:szCs w:val="16"/>
          <w:color w:val="auto"/>
        </w:rPr>
        <w:t>”); and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Employer is willing and Employee desires to modify certain terms and conditions to the Agreement as more fully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right="660" w:firstLine="464"/>
        <w:spacing w:after="0" w:line="306"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06" w:lineRule="exact"/>
        <w:rPr>
          <w:rFonts w:ascii="Arial" w:cs="Arial" w:eastAsia="Arial" w:hAnsi="Arial"/>
          <w:sz w:val="16"/>
          <w:szCs w:val="16"/>
          <w:color w:val="auto"/>
        </w:rPr>
      </w:pPr>
    </w:p>
    <w:p>
      <w:pPr>
        <w:ind w:right="60" w:firstLine="464"/>
        <w:spacing w:after="0" w:line="288" w:lineRule="auto"/>
        <w:tabs>
          <w:tab w:leader="none" w:pos="632"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ectPr>
          <w:pgSz w:w="11900" w:h="16838" w:orient="portrait"/>
          <w:cols w:equalWidth="0" w:num="1">
            <w:col w:w="11420"/>
          </w:cols>
          <w:pgMar w:left="240" w:top="125" w:right="239" w:bottom="1440" w:gutter="0" w:footer="0" w:header="0"/>
        </w:sectPr>
      </w:pPr>
    </w:p>
    <w:bookmarkStart w:id="139" w:name="page140"/>
    <w:bookmarkEnd w:id="139"/>
    <w:p>
      <w:pPr>
        <w:ind w:right="180" w:firstLine="464"/>
        <w:spacing w:after="0" w:line="268"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Second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Second Amendment to be executed as of the date first written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WYNN RESORTS, LIMITED</w:t>
            </w:r>
          </w:p>
        </w:tc>
        <w:tc>
          <w:tcPr>
            <w:tcW w:w="680" w:type="dxa"/>
            <w:vAlign w:val="bottom"/>
          </w:tcPr>
          <w:p>
            <w:pPr>
              <w:spacing w:after="0"/>
              <w:rPr>
                <w:sz w:val="19"/>
                <w:szCs w:val="19"/>
                <w:color w:val="auto"/>
              </w:rPr>
            </w:pP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68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John Strzemp</w:t>
            </w:r>
          </w:p>
        </w:tc>
      </w:tr>
      <w:tr>
        <w:trPr>
          <w:trHeight w:val="202"/>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D. Schorr</w:t>
            </w:r>
          </w:p>
        </w:tc>
        <w:tc>
          <w:tcPr>
            <w:tcW w:w="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John Strzemp</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Chief Operating Officer</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59"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color w:val="auto"/>
        </w:rPr>
        <w:t>This FIRST AMENDMENT TO EMPLOYMENT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31 day of December, 2008, by and between Worldwide Wynn, LLC (“</w:t>
      </w:r>
      <w:r>
        <w:rPr>
          <w:rFonts w:ascii="Arial" w:cs="Arial" w:eastAsia="Arial" w:hAnsi="Arial"/>
          <w:sz w:val="18"/>
          <w:szCs w:val="18"/>
          <w:b w:val="1"/>
          <w:bCs w:val="1"/>
          <w:color w:val="auto"/>
        </w:rPr>
        <w:t>Employer</w:t>
      </w:r>
      <w:r>
        <w:rPr>
          <w:rFonts w:ascii="Arial" w:cs="Arial" w:eastAsia="Arial" w:hAnsi="Arial"/>
          <w:sz w:val="18"/>
          <w:szCs w:val="18"/>
          <w:color w:val="auto"/>
        </w:rPr>
        <w:t>”) and Linda C. Chen (“</w:t>
      </w:r>
      <w:r>
        <w:rPr>
          <w:rFonts w:ascii="Arial" w:cs="Arial" w:eastAsia="Arial" w:hAnsi="Arial"/>
          <w:sz w:val="18"/>
          <w:szCs w:val="18"/>
          <w:b w:val="1"/>
          <w:bCs w:val="1"/>
          <w:color w:val="auto"/>
        </w:rPr>
        <w:t>Employee</w:t>
      </w:r>
      <w:r>
        <w:rPr>
          <w:rFonts w:ascii="Arial" w:cs="Arial" w:eastAsia="Arial" w:hAnsi="Arial"/>
          <w:sz w:val="18"/>
          <w:szCs w:val="18"/>
          <w:color w:val="auto"/>
        </w:rPr>
        <w:t>”). Capitalized terms that are not defined herein shall have the meanings ascribed to them in the Agreement (as defined below).</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65" w:lineRule="exact"/>
        <w:rPr>
          <w:sz w:val="20"/>
          <w:szCs w:val="20"/>
          <w:color w:val="auto"/>
        </w:rPr>
      </w:pPr>
    </w:p>
    <w:p>
      <w:pPr>
        <w:ind w:left="460" w:right="560"/>
        <w:spacing w:after="0" w:line="428" w:lineRule="auto"/>
        <w:rPr>
          <w:sz w:val="20"/>
          <w:szCs w:val="20"/>
          <w:color w:val="auto"/>
        </w:rPr>
      </w:pPr>
      <w:r>
        <w:rPr>
          <w:rFonts w:ascii="Arial" w:cs="Arial" w:eastAsia="Arial" w:hAnsi="Arial"/>
          <w:sz w:val="16"/>
          <w:szCs w:val="16"/>
          <w:color w:val="auto"/>
        </w:rPr>
        <w:t>WHEREAS, Employer and Employee have entered into that certain Employment Agreement, dated as of October 27, 2006 (the “</w:t>
      </w:r>
      <w:r>
        <w:rPr>
          <w:rFonts w:ascii="Arial" w:cs="Arial" w:eastAsia="Arial" w:hAnsi="Arial"/>
          <w:sz w:val="16"/>
          <w:szCs w:val="16"/>
          <w:b w:val="1"/>
          <w:bCs w:val="1"/>
          <w:color w:val="auto"/>
        </w:rPr>
        <w:t>Agreement</w:t>
      </w:r>
      <w:r>
        <w:rPr>
          <w:rFonts w:ascii="Arial" w:cs="Arial" w:eastAsia="Arial" w:hAnsi="Arial"/>
          <w:sz w:val="16"/>
          <w:szCs w:val="16"/>
          <w:color w:val="auto"/>
        </w:rPr>
        <w:t>”); and WHEREAS, Employer is willing and Employee desires to modify certain terms and conditions to the Agreement as more fully set forth herein; NOW, THEREFORE, in consideration of the foregoing and the respective representations, warranties, covenants and agreements set forth in this</w:t>
      </w:r>
    </w:p>
    <w:p>
      <w:pPr>
        <w:spacing w:after="0"/>
        <w:rPr>
          <w:sz w:val="20"/>
          <w:szCs w:val="20"/>
          <w:color w:val="auto"/>
        </w:rPr>
      </w:pPr>
      <w:r>
        <w:rPr>
          <w:rFonts w:ascii="Arial" w:cs="Arial" w:eastAsia="Arial" w:hAnsi="Arial"/>
          <w:sz w:val="18"/>
          <w:szCs w:val="18"/>
          <w:color w:val="auto"/>
        </w:rPr>
        <w:t>Amendment, the parties hereto agree as follows:</w:t>
      </w:r>
    </w:p>
    <w:p>
      <w:pPr>
        <w:spacing w:after="0" w:line="165" w:lineRule="exact"/>
        <w:rPr>
          <w:sz w:val="20"/>
          <w:szCs w:val="20"/>
          <w:color w:val="auto"/>
        </w:rPr>
      </w:pPr>
    </w:p>
    <w:p>
      <w:pPr>
        <w:ind w:right="660" w:firstLine="464"/>
        <w:spacing w:after="0" w:line="306" w:lineRule="auto"/>
        <w:tabs>
          <w:tab w:leader="none" w:pos="63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Termination of Affiliate Positions</w:t>
      </w:r>
      <w:r>
        <w:rPr>
          <w:rFonts w:ascii="Arial" w:cs="Arial" w:eastAsia="Arial" w:hAnsi="Arial"/>
          <w:sz w:val="16"/>
          <w:szCs w:val="16"/>
          <w:color w:val="auto"/>
        </w:rPr>
        <w:t>. Concurrent with Employee’s resignation from Employer or upon expiration or termination of the Agreement, Employee agrees to resign, and shall be deemed to have resigned, all other positions and Board of Director memberships that Employee may have held immediately prior to Employee’s resignation from Employer or expiration or termination of the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Definition of Separation Payment</w:t>
      </w:r>
      <w:r>
        <w:rPr>
          <w:rFonts w:ascii="Arial" w:cs="Arial" w:eastAsia="Arial" w:hAnsi="Arial"/>
          <w:sz w:val="18"/>
          <w:szCs w:val="18"/>
          <w:color w:val="auto"/>
        </w:rPr>
        <w:t>. Section 1(j) of the Agreement is hereby deleted and replaced in its entirety as follows:</w:t>
      </w:r>
    </w:p>
    <w:p>
      <w:pPr>
        <w:spacing w:after="0" w:line="84" w:lineRule="exact"/>
        <w:rPr>
          <w:sz w:val="20"/>
          <w:szCs w:val="20"/>
          <w:color w:val="auto"/>
        </w:rPr>
      </w:pPr>
    </w:p>
    <w:p>
      <w:pPr>
        <w:ind w:left="460" w:right="260" w:firstLine="438"/>
        <w:spacing w:after="0" w:line="30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b w:val="1"/>
          <w:bCs w:val="1"/>
          <w:color w:val="auto"/>
        </w:rPr>
        <w:t>”</w:t>
      </w:r>
      <w:r>
        <w:rPr>
          <w:rFonts w:ascii="Arial" w:cs="Arial" w:eastAsia="Arial" w:hAnsi="Arial"/>
          <w:sz w:val="16"/>
          <w:szCs w:val="16"/>
          <w:color w:val="auto"/>
        </w:rPr>
        <w:t>—means a lump sum equal to (A) Employee’s Base Salary (as defined in Subparagraph 7(a) of this Agreement)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remainder of the Term, but not less than one (1) year of Base Salary, plus (B) the bonus that was paid to Employee under Subparagraph 7(b) for the preceding bonus period, projected over the remainder of the Term (but not less than the preceding bonus that was paid), plus (C) any accrued but unpaid vacation pay, plus (D) any Gross-Up Payment required by Exhibit 1 to this Agreement, which is incorporated herein by reference.</w:t>
      </w:r>
    </w:p>
    <w:p>
      <w:pPr>
        <w:spacing w:after="0" w:line="109" w:lineRule="exact"/>
        <w:rPr>
          <w:sz w:val="20"/>
          <w:szCs w:val="20"/>
          <w:color w:val="auto"/>
        </w:rPr>
      </w:pPr>
    </w:p>
    <w:p>
      <w:pPr>
        <w:ind w:right="60" w:firstLine="464"/>
        <w:spacing w:after="0" w:line="298" w:lineRule="auto"/>
        <w:tabs>
          <w:tab w:leader="none" w:pos="63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Section 409A Provision</w:t>
      </w:r>
      <w:r>
        <w:rPr>
          <w:rFonts w:ascii="Arial" w:cs="Arial" w:eastAsia="Arial" w:hAnsi="Arial"/>
          <w:sz w:val="16"/>
          <w:szCs w:val="16"/>
          <w:color w:val="auto"/>
        </w:rPr>
        <w:t>. 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w:t>
      </w:r>
    </w:p>
    <w:p>
      <w:pPr>
        <w:sectPr>
          <w:pgSz w:w="11900" w:h="16838" w:orient="portrait"/>
          <w:cols w:equalWidth="0" w:num="1">
            <w:col w:w="11420"/>
          </w:cols>
          <w:pgMar w:left="240" w:top="125" w:right="239" w:bottom="1440" w:gutter="0" w:footer="0" w:header="0"/>
        </w:sectPr>
      </w:pPr>
    </w:p>
    <w:bookmarkStart w:id="141" w:name="page142"/>
    <w:bookmarkEnd w:id="141"/>
    <w:p>
      <w:pPr>
        <w:ind w:right="2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116" w:lineRule="exact"/>
        <w:rPr>
          <w:sz w:val="20"/>
          <w:szCs w:val="20"/>
          <w:color w:val="auto"/>
        </w:rPr>
      </w:pPr>
    </w:p>
    <w:p>
      <w:pPr>
        <w:ind w:right="180" w:firstLine="464"/>
        <w:spacing w:after="0" w:line="268" w:lineRule="auto"/>
        <w:tabs>
          <w:tab w:leader="none" w:pos="632"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Other Provisions of Agreement</w:t>
      </w:r>
      <w:r>
        <w:rPr>
          <w:rFonts w:ascii="Arial" w:cs="Arial" w:eastAsia="Arial" w:hAnsi="Arial"/>
          <w:sz w:val="18"/>
          <w:szCs w:val="18"/>
          <w:color w:val="auto"/>
        </w:rPr>
        <w:t>. The parties acknowledge that the Agreement is being modified only as stated herein, and agree that nothing else in the Agreement shall be affected by this Amendment.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caused this Amendment to be executed as of the date first written above.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WORLDWIDE WYNN , LLC</w:t>
            </w:r>
          </w:p>
        </w:tc>
        <w:tc>
          <w:tcPr>
            <w:tcW w:w="680" w:type="dxa"/>
            <w:vAlign w:val="bottom"/>
          </w:tcPr>
          <w:p>
            <w:pPr>
              <w:spacing w:after="0"/>
              <w:rPr>
                <w:sz w:val="19"/>
                <w:szCs w:val="19"/>
                <w:color w:val="auto"/>
              </w:rPr>
            </w:pPr>
          </w:p>
        </w:tc>
        <w:tc>
          <w:tcPr>
            <w:tcW w:w="5240" w:type="dxa"/>
            <w:vAlign w:val="bottom"/>
          </w:tcPr>
          <w:p>
            <w:pPr>
              <w:ind w:left="2120"/>
              <w:spacing w:after="0"/>
              <w:rPr>
                <w:sz w:val="20"/>
                <w:szCs w:val="20"/>
                <w:color w:val="auto"/>
              </w:rPr>
            </w:pPr>
            <w:r>
              <w:rPr>
                <w:rFonts w:ascii="Arial" w:cs="Arial" w:eastAsia="Arial" w:hAnsi="Arial"/>
                <w:sz w:val="18"/>
                <w:szCs w:val="18"/>
                <w:b w:val="1"/>
                <w:bCs w:val="1"/>
                <w:color w:val="auto"/>
              </w:rPr>
              <w:t>EMPLOYEE</w:t>
            </w:r>
          </w:p>
        </w:tc>
      </w:tr>
      <w:tr>
        <w:trPr>
          <w:trHeight w:val="433"/>
        </w:trPr>
        <w:tc>
          <w:tcPr>
            <w:tcW w:w="5500" w:type="dxa"/>
            <w:vAlign w:val="bottom"/>
            <w:gridSpan w:val="2"/>
          </w:tcPr>
          <w:p>
            <w:pPr>
              <w:spacing w:after="0"/>
              <w:rPr>
                <w:sz w:val="20"/>
                <w:szCs w:val="20"/>
                <w:color w:val="auto"/>
              </w:rPr>
            </w:pPr>
            <w:r>
              <w:rPr>
                <w:rFonts w:ascii="Arial" w:cs="Arial" w:eastAsia="Arial" w:hAnsi="Arial"/>
                <w:sz w:val="18"/>
                <w:szCs w:val="18"/>
                <w:color w:val="auto"/>
              </w:rPr>
              <w:t>By:  /s/ Marc D. Schorr</w:t>
            </w:r>
          </w:p>
        </w:tc>
        <w:tc>
          <w:tcPr>
            <w:tcW w:w="68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 Linda C. Chen</w:t>
            </w:r>
          </w:p>
        </w:tc>
      </w:tr>
      <w:tr>
        <w:trPr>
          <w:trHeight w:val="202"/>
        </w:trPr>
        <w:tc>
          <w:tcPr>
            <w:tcW w:w="260" w:type="dxa"/>
            <w:vAlign w:val="bottom"/>
          </w:tcPr>
          <w:p>
            <w:pPr>
              <w:spacing w:after="0"/>
              <w:rPr>
                <w:sz w:val="17"/>
                <w:szCs w:val="17"/>
                <w:color w:val="auto"/>
              </w:rPr>
            </w:pPr>
          </w:p>
        </w:tc>
        <w:tc>
          <w:tcPr>
            <w:tcW w:w="52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Marc D. Schorr</w:t>
            </w:r>
          </w:p>
        </w:tc>
        <w:tc>
          <w:tcPr>
            <w:tcW w:w="68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Linda C. Chen</w:t>
            </w:r>
          </w:p>
        </w:tc>
      </w:tr>
      <w:tr>
        <w:trPr>
          <w:trHeight w:val="222"/>
        </w:trPr>
        <w:tc>
          <w:tcPr>
            <w:tcW w:w="260" w:type="dxa"/>
            <w:vAlign w:val="bottom"/>
          </w:tcPr>
          <w:p>
            <w:pPr>
              <w:spacing w:after="0"/>
              <w:rPr>
                <w:sz w:val="19"/>
                <w:szCs w:val="19"/>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President</w:t>
            </w:r>
          </w:p>
        </w:tc>
        <w:tc>
          <w:tcPr>
            <w:tcW w:w="680" w:type="dxa"/>
            <w:vAlign w:val="bottom"/>
          </w:tcPr>
          <w:p>
            <w:pPr>
              <w:spacing w:after="0"/>
              <w:rPr>
                <w:sz w:val="19"/>
                <w:szCs w:val="19"/>
                <w:color w:val="auto"/>
              </w:rPr>
            </w:pPr>
          </w:p>
        </w:tc>
        <w:tc>
          <w:tcPr>
            <w:tcW w:w="5240" w:type="dxa"/>
            <w:vAlign w:val="bottom"/>
          </w:tcPr>
          <w:p>
            <w:pPr>
              <w:spacing w:after="0"/>
              <w:rPr>
                <w:sz w:val="19"/>
                <w:szCs w:val="19"/>
                <w:color w:val="auto"/>
              </w:rPr>
            </w:pPr>
          </w:p>
        </w:tc>
      </w:tr>
    </w:tbl>
    <w:p>
      <w:pPr>
        <w:sectPr>
          <w:pgSz w:w="11900" w:h="16838" w:orient="portrait"/>
          <w:cols w:equalWidth="0" w:num="1">
            <w:col w:w="11420"/>
          </w:cols>
          <w:pgMar w:left="240" w:top="2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International Marketing, LLC (an Isle of Man limited liability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 Clothiers, LLC (a 50% owned joint venture)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 (f.k.a. World Travel BBJ,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LRW Development,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Far East Aviation,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South China Air Limited (a Hong Kong limited company)</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South China Heliport Management, Limited (a Hong Kong Limited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 (f.k.a. WDD-Asia,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International, Ltd. (an Isle of Man company)</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Wynn Resorts (Macau) Holdings, Ltd. (an Isle of Man company)</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Wynn Resorts (Macau), Ltd. (a Hong Kong Limited company)</w:t>
      </w:r>
    </w:p>
    <w:p>
      <w:pPr>
        <w:spacing w:after="0" w:line="9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Wynn Resorts (Macau), S.A. (a Macau SA company)</w:t>
      </w:r>
    </w:p>
    <w:p>
      <w:pPr>
        <w:spacing w:after="0" w:line="90"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Palo Real Estate Company Ltd. (a Macau SA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Cotai Partner, Ltd. (an Isle of Man company)</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Cotai Land Development Company (a Macau SA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Wynn IOM Holdco II, Ltd. (as Isle of Man company)</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Wynn Manpower, Limited (a Macau limited company)</w:t>
      </w:r>
    </w:p>
    <w:p>
      <w:pPr>
        <w:spacing w:after="0" w:line="9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SH Hoteleria Limitada (a Macau limited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Las Vegas,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Las Vegas Jet,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World Travel,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Completion Guarantor,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Golf,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Las Vegas Capital Corp.</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Show Performers,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Sunrise, LLC</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Kevyn, LLC</w:t>
      </w:r>
    </w:p>
    <w:p>
      <w:pPr>
        <w:spacing w:after="0" w:line="9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ectPr>
          <w:pgSz w:w="11900" w:h="16838" w:orient="portrait"/>
          <w:cols w:equalWidth="0" w:num="1">
            <w:col w:w="11420"/>
          </w:cols>
          <w:pgMar w:left="240" w:top="125"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 333-100891 on Form S-8, Registration Statement No. 333-114022 on Form S-3 and Registration Statement No. 333-146360 on Form S-3 of our reports dated February 27, 2009 with respect to the consolidated financial statements and schedules of Wynn Resorts, Limited and the effectiveness of internal control over financial reporting of Wynn Resorts, Limited, included in this Annual Report on Form 10-K for the year ended December 31, 2008.</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w:t>
      </w:r>
      <w:r>
        <w:rPr>
          <w:rFonts w:ascii="Arial" w:cs="Arial" w:eastAsia="Arial" w:hAnsi="Arial"/>
          <w:sz w:val="14"/>
          <w:szCs w:val="14"/>
          <w:color w:val="auto"/>
        </w:rPr>
        <w:t>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ectPr>
          <w:pgSz w:w="11900" w:h="16838" w:orient="portrait"/>
          <w:cols w:equalWidth="0" w:num="1">
            <w:col w:w="11420"/>
          </w:cols>
          <w:pgMar w:left="240" w:top="125"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40" w:val="left"/>
          <w:tab w:leader="none" w:pos="808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Stephen A. Wynn</w:t>
      </w:r>
    </w:p>
    <w:p>
      <w:pPr>
        <w:jc w:val="center"/>
        <w:ind w:left="58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8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7700" w:val="left"/>
          <w:tab w:leader="none" w:pos="806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Matt Maddox</w:t>
      </w:r>
    </w:p>
    <w:p>
      <w:pPr>
        <w:jc w:val="center"/>
        <w:ind w:left="582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8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2008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tcBorders>
              <w:bottom w:val="single" w:sz="8" w:color="auto"/>
            </w:tcBorders>
          </w:tcPr>
          <w:p>
            <w:pPr>
              <w:jc w:val="center"/>
              <w:ind w:right="145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r>
      <w:tr>
        <w:trPr>
          <w:trHeight w:val="144"/>
        </w:trPr>
        <w:tc>
          <w:tcPr>
            <w:tcW w:w="640" w:type="dxa"/>
            <w:vAlign w:val="bottom"/>
          </w:tcPr>
          <w:p>
            <w:pPr>
              <w:spacing w:after="0" w:line="144" w:lineRule="exact"/>
              <w:rPr>
                <w:sz w:val="20"/>
                <w:szCs w:val="20"/>
                <w:color w:val="auto"/>
              </w:rPr>
            </w:pPr>
            <w:r>
              <w:rPr>
                <w:rFonts w:ascii="Arial" w:cs="Arial" w:eastAsia="Arial" w:hAnsi="Arial"/>
                <w:sz w:val="14"/>
                <w:szCs w:val="14"/>
                <w:b w:val="1"/>
                <w:bCs w:val="1"/>
                <w:color w:val="auto"/>
              </w:rPr>
              <w:t>Name:</w:t>
            </w:r>
          </w:p>
        </w:tc>
        <w:tc>
          <w:tcPr>
            <w:tcW w:w="3940" w:type="dxa"/>
            <w:vAlign w:val="bottom"/>
            <w:gridSpan w:val="2"/>
          </w:tcPr>
          <w:p>
            <w:pPr>
              <w:ind w:left="240"/>
              <w:spacing w:after="0" w:line="144" w:lineRule="exact"/>
              <w:rPr>
                <w:sz w:val="20"/>
                <w:szCs w:val="20"/>
                <w:color w:val="auto"/>
              </w:rPr>
            </w:pPr>
            <w:r>
              <w:rPr>
                <w:rFonts w:ascii="Arial" w:cs="Arial" w:eastAsia="Arial" w:hAnsi="Arial"/>
                <w:sz w:val="14"/>
                <w:szCs w:val="14"/>
                <w:b w:val="1"/>
                <w:bCs w:val="1"/>
                <w:color w:val="auto"/>
              </w:rPr>
              <w:t>Stephen A. Wynn</w:t>
            </w: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39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w w:val="94"/>
              </w:rPr>
              <w:t>Chairman and Chief Executive Officer (Principal Executive</w:t>
            </w:r>
          </w:p>
        </w:tc>
      </w:tr>
      <w:tr>
        <w:trPr>
          <w:trHeight w:val="149"/>
        </w:trPr>
        <w:tc>
          <w:tcPr>
            <w:tcW w:w="640" w:type="dxa"/>
            <w:vAlign w:val="bottom"/>
          </w:tcPr>
          <w:p>
            <w:pPr>
              <w:spacing w:after="0"/>
              <w:rPr>
                <w:sz w:val="12"/>
                <w:szCs w:val="12"/>
                <w:color w:val="auto"/>
              </w:rPr>
            </w:pPr>
          </w:p>
        </w:tc>
        <w:tc>
          <w:tcPr>
            <w:tcW w:w="9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Officer)</w:t>
            </w:r>
          </w:p>
        </w:tc>
        <w:tc>
          <w:tcPr>
            <w:tcW w:w="2980" w:type="dxa"/>
            <w:vAlign w:val="bottom"/>
          </w:tcPr>
          <w:p>
            <w:pPr>
              <w:spacing w:after="0"/>
              <w:rPr>
                <w:sz w:val="12"/>
                <w:szCs w:val="12"/>
                <w:color w:val="auto"/>
              </w:rPr>
            </w:pPr>
          </w:p>
        </w:tc>
      </w:tr>
      <w:tr>
        <w:trPr>
          <w:trHeight w:val="174"/>
        </w:trPr>
        <w:tc>
          <w:tcPr>
            <w:tcW w:w="64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940" w:type="dxa"/>
            <w:vAlign w:val="bottom"/>
            <w:gridSpan w:val="2"/>
          </w:tcPr>
          <w:p>
            <w:pPr>
              <w:ind w:left="240"/>
              <w:spacing w:after="0"/>
              <w:rPr>
                <w:sz w:val="20"/>
                <w:szCs w:val="20"/>
                <w:color w:val="auto"/>
              </w:rPr>
            </w:pPr>
            <w:r>
              <w:rPr>
                <w:rFonts w:ascii="Arial" w:cs="Arial" w:eastAsia="Arial" w:hAnsi="Arial"/>
                <w:sz w:val="14"/>
                <w:szCs w:val="14"/>
                <w:b w:val="1"/>
                <w:bCs w:val="1"/>
                <w:color w:val="auto"/>
              </w:rPr>
              <w:t>February 27, 2009</w:t>
            </w:r>
          </w:p>
        </w:tc>
      </w:tr>
      <w:tr>
        <w:trPr>
          <w:trHeight w:val="418"/>
        </w:trPr>
        <w:tc>
          <w:tcPr>
            <w:tcW w:w="6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980" w:type="dxa"/>
            <w:vAlign w:val="bottom"/>
            <w:tcBorders>
              <w:bottom w:val="single" w:sz="8" w:color="auto"/>
            </w:tcBorders>
          </w:tcPr>
          <w:p>
            <w:pPr>
              <w:jc w:val="center"/>
              <w:ind w:right="1452"/>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r>
      <w:tr>
        <w:trPr>
          <w:trHeight w:val="252"/>
        </w:trPr>
        <w:tc>
          <w:tcPr>
            <w:tcW w:w="6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9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Matt Maddox</w:t>
            </w:r>
          </w:p>
        </w:tc>
      </w:tr>
      <w:tr>
        <w:trPr>
          <w:trHeight w:val="149"/>
        </w:trPr>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rPr>
              <w:t>Title:</w:t>
            </w:r>
          </w:p>
        </w:tc>
        <w:tc>
          <w:tcPr>
            <w:tcW w:w="39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w w:val="97"/>
              </w:rPr>
              <w:t>Chief Financial Officer and Treasurer (Principal Financial</w:t>
            </w:r>
          </w:p>
        </w:tc>
      </w:tr>
      <w:tr>
        <w:trPr>
          <w:trHeight w:val="149"/>
        </w:trPr>
        <w:tc>
          <w:tcPr>
            <w:tcW w:w="640" w:type="dxa"/>
            <w:vAlign w:val="bottom"/>
          </w:tcPr>
          <w:p>
            <w:pPr>
              <w:spacing w:after="0"/>
              <w:rPr>
                <w:sz w:val="12"/>
                <w:szCs w:val="12"/>
                <w:color w:val="auto"/>
              </w:rPr>
            </w:pPr>
          </w:p>
        </w:tc>
        <w:tc>
          <w:tcPr>
            <w:tcW w:w="9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Officer)</w:t>
            </w:r>
          </w:p>
        </w:tc>
        <w:tc>
          <w:tcPr>
            <w:tcW w:w="2980" w:type="dxa"/>
            <w:vAlign w:val="bottom"/>
          </w:tcPr>
          <w:p>
            <w:pPr>
              <w:spacing w:after="0"/>
              <w:rPr>
                <w:sz w:val="12"/>
                <w:szCs w:val="12"/>
                <w:color w:val="auto"/>
              </w:rPr>
            </w:pPr>
          </w:p>
        </w:tc>
      </w:tr>
      <w:tr>
        <w:trPr>
          <w:trHeight w:val="174"/>
        </w:trPr>
        <w:tc>
          <w:tcPr>
            <w:tcW w:w="64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3940" w:type="dxa"/>
            <w:vAlign w:val="bottom"/>
            <w:gridSpan w:val="2"/>
          </w:tcPr>
          <w:p>
            <w:pPr>
              <w:ind w:left="240"/>
              <w:spacing w:after="0"/>
              <w:rPr>
                <w:sz w:val="20"/>
                <w:szCs w:val="20"/>
                <w:color w:val="auto"/>
              </w:rPr>
            </w:pPr>
            <w:r>
              <w:rPr>
                <w:rFonts w:ascii="Arial" w:cs="Arial" w:eastAsia="Arial" w:hAnsi="Arial"/>
                <w:sz w:val="14"/>
                <w:szCs w:val="14"/>
                <w:b w:val="1"/>
                <w:bCs w:val="1"/>
                <w:color w:val="auto"/>
              </w:rPr>
              <w:t>February 27, 2009</w:t>
            </w:r>
          </w:p>
        </w:tc>
      </w:tr>
    </w:tbl>
    <w:p>
      <w:pPr>
        <w:spacing w:after="0" w:line="14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lvl w:ilvl="1">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lowerLetter"/>
      <w:start w:val="2"/>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1)"/>
      <w:numFmt w:val="lowerRoman"/>
      <w:start w:val="2"/>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2"/>
    </w:lvl>
  </w:abstractNum>
  <w:abstractNum w:abstractNumId="35">
    <w:nsid w:val="5DB70AE5"/>
    <w:multiLevelType w:val="hybridMultilevel"/>
    <w:lvl w:ilvl="0">
      <w:lvlJc w:val="left"/>
      <w:lvlText w:val="%1."/>
      <w:numFmt w:val="decimal"/>
      <w:start w:val="3"/>
    </w:lvl>
  </w:abstractNum>
  <w:abstractNum w:abstractNumId="36">
    <w:nsid w:val="100F8FCA"/>
    <w:multiLevelType w:val="hybridMultilevel"/>
    <w:lvl w:ilvl="0">
      <w:lvlJc w:val="left"/>
      <w:lvlText w:val="%1."/>
      <w:numFmt w:val="decimal"/>
      <w:start w:val="4"/>
    </w:lvl>
  </w:abstractNum>
  <w:abstractNum w:abstractNumId="37">
    <w:nsid w:val="6590700B"/>
    <w:multiLevelType w:val="hybridMultilevel"/>
    <w:lvl w:ilvl="0">
      <w:lvlJc w:val="left"/>
      <w:lvlText w:val="%1."/>
      <w:numFmt w:val="decimal"/>
      <w:start w:val="5"/>
    </w:lvl>
  </w:abstractNum>
  <w:abstractNum w:abstractNumId="38">
    <w:nsid w:val="15014ACB"/>
    <w:multiLevelType w:val="hybridMultilevel"/>
    <w:lvl w:ilvl="0">
      <w:lvlJc w:val="left"/>
      <w:lvlText w:val="%1."/>
      <w:numFmt w:val="decimal"/>
      <w:start w:val="6"/>
    </w:lvl>
  </w:abstractNum>
  <w:abstractNum w:abstractNumId="39">
    <w:nsid w:val="5F5E7FD0"/>
    <w:multiLevelType w:val="hybridMultilevel"/>
    <w:lvl w:ilvl="0">
      <w:lvlJc w:val="left"/>
      <w:lvlText w:val="(%1)"/>
      <w:numFmt w:val="lowerRoman"/>
      <w:start w:val="1"/>
    </w:lvl>
  </w:abstractNum>
  <w:abstractNum w:abstractNumId="40">
    <w:nsid w:val="98A3148"/>
    <w:multiLevelType w:val="hybridMultilevel"/>
    <w:lvl w:ilvl="0">
      <w:lvlJc w:val="left"/>
      <w:lvlText w:val="%1."/>
      <w:numFmt w:val="decimal"/>
      <w:start w:val="8"/>
    </w:lvl>
  </w:abstractNum>
  <w:abstractNum w:abstractNumId="41">
    <w:nsid w:val="799D0247"/>
    <w:multiLevelType w:val="hybridMultilevel"/>
    <w:lvl w:ilvl="0">
      <w:lvlJc w:val="left"/>
      <w:lvlText w:val="%1."/>
      <w:numFmt w:val="decimal"/>
      <w:start w:val="9"/>
    </w:lvl>
  </w:abstractNum>
  <w:abstractNum w:abstractNumId="42">
    <w:nsid w:val="6B94764"/>
    <w:multiLevelType w:val="hybridMultilevel"/>
    <w:lvl w:ilvl="0">
      <w:lvlJc w:val="left"/>
      <w:lvlText w:val="%1."/>
      <w:numFmt w:val="decimal"/>
      <w:start w:val="10"/>
    </w:lvl>
  </w:abstractNum>
  <w:abstractNum w:abstractNumId="43">
    <w:nsid w:val="42C296BD"/>
    <w:multiLevelType w:val="hybridMultilevel"/>
    <w:lvl w:ilvl="0">
      <w:lvlJc w:val="left"/>
      <w:lvlText w:val="%1."/>
      <w:numFmt w:val="decimal"/>
      <w:start w:val="11"/>
    </w:lvl>
  </w:abstractNum>
  <w:abstractNum w:abstractNumId="44">
    <w:nsid w:val="168E121F"/>
    <w:multiLevelType w:val="hybridMultilevel"/>
    <w:lvl w:ilvl="0">
      <w:lvlJc w:val="left"/>
      <w:lvlText w:val="%1."/>
      <w:numFmt w:val="decimal"/>
      <w:start w:val="12"/>
    </w:lvl>
  </w:abstractNum>
  <w:abstractNum w:abstractNumId="45">
    <w:nsid w:val="1EBA5D23"/>
    <w:multiLevelType w:val="hybridMultilevel"/>
    <w:lvl w:ilvl="0">
      <w:lvlJc w:val="left"/>
      <w:lvlText w:val="%1."/>
      <w:numFmt w:val="decimal"/>
      <w:start w:val="13"/>
    </w:lvl>
  </w:abstractNum>
  <w:abstractNum w:abstractNumId="46">
    <w:nsid w:val="661E3F1E"/>
    <w:multiLevelType w:val="hybridMultilevel"/>
    <w:lvl w:ilvl="0">
      <w:lvlJc w:val="left"/>
      <w:lvlText w:val="%1."/>
      <w:numFmt w:val="decimal"/>
      <w:start w:val="14"/>
    </w:lvl>
  </w:abstractNum>
  <w:abstractNum w:abstractNumId="47">
    <w:nsid w:val="5DC79EA8"/>
    <w:multiLevelType w:val="hybridMultilevel"/>
    <w:lvl w:ilvl="0">
      <w:lvlJc w:val="left"/>
      <w:lvlText w:val="%1."/>
      <w:numFmt w:val="decimal"/>
      <w:start w:val="15"/>
    </w:lvl>
  </w:abstractNum>
  <w:abstractNum w:abstractNumId="48">
    <w:nsid w:val="540A471C"/>
    <w:multiLevelType w:val="hybridMultilevel"/>
    <w:lvl w:ilvl="0">
      <w:lvlJc w:val="left"/>
      <w:lvlText w:val="%1."/>
      <w:numFmt w:val="decimal"/>
      <w:start w:val="16"/>
    </w:lvl>
  </w:abstractNum>
  <w:abstractNum w:abstractNumId="49">
    <w:nsid w:val="7BD3EE7B"/>
    <w:multiLevelType w:val="hybridMultilevel"/>
    <w:lvl w:ilvl="0">
      <w:lvlJc w:val="left"/>
      <w:lvlText w:val="%1."/>
      <w:numFmt w:val="decimal"/>
      <w:start w:val="17"/>
    </w:lvl>
  </w:abstractNum>
  <w:abstractNum w:abstractNumId="50">
    <w:nsid w:val="51D9C564"/>
    <w:multiLevelType w:val="hybridMultilevel"/>
    <w:lvl w:ilvl="0">
      <w:lvlJc w:val="left"/>
      <w:lvlText w:val="%1."/>
      <w:numFmt w:val="decimal"/>
      <w:start w:val="18"/>
    </w:lvl>
  </w:abstractNum>
  <w:abstractNum w:abstractNumId="51">
    <w:nsid w:val="613EFDC5"/>
    <w:multiLevelType w:val="hybridMultilevel"/>
    <w:lvl w:ilvl="0">
      <w:lvlJc w:val="left"/>
      <w:lvlText w:val="%1."/>
      <w:numFmt w:val="decimal"/>
      <w:start w:val="19"/>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decimal"/>
      <w:start w:val="20"/>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lowerLetter"/>
      <w:start w:val="3"/>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2"/>
    </w:lvl>
  </w:abstractNum>
  <w:abstractNum w:abstractNumId="60">
    <w:nsid w:val="4962813B"/>
    <w:multiLevelType w:val="hybridMultilevel"/>
    <w:lvl w:ilvl="0">
      <w:lvlJc w:val="left"/>
      <w:lvlText w:val="%1."/>
      <w:numFmt w:val="decimal"/>
      <w:start w:val="3"/>
    </w:lvl>
  </w:abstractNum>
  <w:abstractNum w:abstractNumId="61">
    <w:nsid w:val="60B6DF70"/>
    <w:multiLevelType w:val="hybridMultilevel"/>
    <w:lvl w:ilvl="0">
      <w:lvlJc w:val="left"/>
      <w:lvlText w:val="%1."/>
      <w:numFmt w:val="decimal"/>
      <w:start w:val="4"/>
    </w:lvl>
  </w:abstractNum>
  <w:abstractNum w:abstractNumId="62">
    <w:nsid w:val="6A5EE64"/>
    <w:multiLevelType w:val="hybridMultilevel"/>
    <w:lvl w:ilvl="0">
      <w:lvlJc w:val="left"/>
      <w:lvlText w:val="%1."/>
      <w:numFmt w:val="decimal"/>
      <w:start w:val="5"/>
    </w:lvl>
  </w:abstractNum>
  <w:abstractNum w:abstractNumId="63">
    <w:nsid w:val="14330624"/>
    <w:multiLevelType w:val="hybridMultilevel"/>
    <w:lvl w:ilvl="0">
      <w:lvlJc w:val="left"/>
      <w:lvlText w:val="%1."/>
      <w:numFmt w:val="decimal"/>
      <w:start w:val="6"/>
    </w:lvl>
  </w:abstractNum>
  <w:abstractNum w:abstractNumId="64">
    <w:nsid w:val="7FFFCA11"/>
    <w:multiLevelType w:val="hybridMultilevel"/>
    <w:lvl w:ilvl="0">
      <w:lvlJc w:val="left"/>
      <w:lvlText w:val="*"/>
      <w:numFmt w:val="bullet"/>
      <w:start w:val="1"/>
    </w:lvl>
    <w:lvl w:ilvl="1">
      <w:lvlJc w:val="left"/>
      <w:lvlText w:val="%2"/>
      <w:numFmt w:val="decimal"/>
      <w:start w:val="32"/>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8"/>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decimal"/>
      <w:start w:val="2"/>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2"/>
    </w:lvl>
  </w:abstractNum>
  <w:abstractNum w:abstractNumId="71">
    <w:nsid w:val="9421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4"/>
    </w:lvl>
    <w:lvl w:ilvl="3">
      <w:lvlJc w:val="left"/>
      <w:lvlText w:val="(%4)"/>
      <w:numFmt w:val="lowerRoman"/>
      <w:start w:val="1"/>
    </w:lvl>
  </w:abstractNum>
  <w:abstractNum w:abstractNumId="72">
    <w:nsid w:val="885E1B"/>
    <w:multiLevelType w:val="hybridMultilevel"/>
    <w:lvl w:ilvl="0">
      <w:lvlJc w:val="left"/>
      <w:lvlText w:val="(%1)"/>
      <w:numFmt w:val="lowerRoman"/>
      <w:start w:val="5"/>
    </w:lvl>
  </w:abstractNum>
  <w:abstractNum w:abstractNumId="73">
    <w:nsid w:val="76272110"/>
    <w:multiLevelType w:val="hybridMultilevel"/>
    <w:lvl w:ilvl="0">
      <w:lvlJc w:val="left"/>
      <w:lvlText w:val="(%1)"/>
      <w:numFmt w:val="lowerLetter"/>
      <w:start w:val="5"/>
    </w:lvl>
  </w:abstractNum>
  <w:abstractNum w:abstractNumId="74">
    <w:nsid w:val="4C04A8AF"/>
    <w:multiLevelType w:val="hybridMultilevel"/>
    <w:lvl w:ilvl="0">
      <w:lvlJc w:val="left"/>
      <w:lvlText w:val="%1"/>
      <w:numFmt w:val="decimal"/>
      <w:start w:val="1"/>
    </w:lvl>
    <w:lvl w:ilvl="1">
      <w:lvlJc w:val="left"/>
      <w:lvlText w:val="(%2)"/>
      <w:numFmt w:val="lowerLetter"/>
      <w:start w:val="8"/>
    </w:lvl>
  </w:abstractNum>
  <w:abstractNum w:abstractNumId="75">
    <w:nsid w:val="1716703B"/>
    <w:multiLevelType w:val="hybridMultilevel"/>
    <w:lvl w:ilvl="0">
      <w:lvlJc w:val="left"/>
      <w:lvlText w:val="%1."/>
      <w:numFmt w:val="decimal"/>
      <w:start w:val="2"/>
    </w:lvl>
    <w:lvl w:ilvl="1">
      <w:lvlJc w:val="left"/>
      <w:lvlText w:val="%2"/>
      <w:numFmt w:val="lowerLetter"/>
      <w:start w:val="1"/>
    </w:lvl>
  </w:abstractNum>
  <w:abstractNum w:abstractNumId="76">
    <w:nsid w:val="14E17E33"/>
    <w:multiLevelType w:val="hybridMultilevel"/>
    <w:lvl w:ilvl="0">
      <w:lvlJc w:val="left"/>
      <w:lvlText w:val="%1."/>
      <w:numFmt w:val="decimal"/>
      <w:start w:val="4"/>
    </w:lvl>
  </w:abstractNum>
  <w:abstractNum w:abstractNumId="77">
    <w:nsid w:val="3222E7CD"/>
    <w:multiLevelType w:val="hybridMultilevel"/>
    <w:lvl w:ilvl="0">
      <w:lvlJc w:val="left"/>
      <w:lvlText w:val="%1."/>
      <w:numFmt w:val="decimal"/>
      <w:start w:val="5"/>
    </w:lvl>
    <w:lvl w:ilvl="1">
      <w:lvlJc w:val="left"/>
      <w:lvlText w:val="(%2)"/>
      <w:numFmt w:val="lowerLetter"/>
      <w:start w:val="1"/>
    </w:lvl>
  </w:abstractNum>
  <w:abstractNum w:abstractNumId="78">
    <w:nsid w:val="74DE0EE3"/>
    <w:multiLevelType w:val="hybridMultilevel"/>
    <w:lvl w:ilvl="0">
      <w:lvlJc w:val="left"/>
      <w:lvlText w:val="%1."/>
      <w:numFmt w:val="decimal"/>
      <w:start w:val="7"/>
    </w:lvl>
    <w:lvl w:ilvl="1">
      <w:lvlJc w:val="left"/>
      <w:lvlText w:val="(%2)"/>
      <w:numFmt w:val="lowerLetter"/>
      <w:start w:val="1"/>
    </w:lvl>
  </w:abstractNum>
  <w:abstractNum w:abstractNumId="79">
    <w:nsid w:val="68EBC550"/>
    <w:multiLevelType w:val="hybridMultilevel"/>
    <w:lvl w:ilvl="0">
      <w:lvlJc w:val="left"/>
      <w:lvlText w:val="(%1)"/>
      <w:numFmt w:val="lowerLetter"/>
      <w:start w:val="4"/>
    </w:lvl>
  </w:abstractNum>
  <w:abstractNum w:abstractNumId="80">
    <w:nsid w:val="2DF6D648"/>
    <w:multiLevelType w:val="hybridMultilevel"/>
    <w:lvl w:ilvl="0">
      <w:lvlJc w:val="left"/>
      <w:lvlText w:val="%1"/>
      <w:numFmt w:val="decimal"/>
      <w:start w:val="1"/>
    </w:lvl>
    <w:lvl w:ilvl="1">
      <w:lvlJc w:val="left"/>
      <w:lvlText w:val="(%2)"/>
      <w:numFmt w:val="lowerLetter"/>
      <w:start w:val="10"/>
    </w:lvl>
  </w:abstractNum>
  <w:abstractNum w:abstractNumId="81">
    <w:nsid w:val="46B7D447"/>
    <w:multiLevelType w:val="hybridMultilevel"/>
    <w:lvl w:ilvl="0">
      <w:lvlJc w:val="left"/>
      <w:lvlText w:val="%1."/>
      <w:numFmt w:val="decimal"/>
      <w:start w:val="8"/>
    </w:lvl>
    <w:lvl w:ilvl="1">
      <w:lvlJc w:val="left"/>
      <w:lvlText w:val="(%2)"/>
      <w:numFmt w:val="lowerLetter"/>
      <w:start w:val="1"/>
    </w:lvl>
  </w:abstractNum>
  <w:abstractNum w:abstractNumId="82">
    <w:nsid w:val="4A2AC315"/>
    <w:multiLevelType w:val="hybridMultilevel"/>
    <w:lvl w:ilvl="0">
      <w:lvlJc w:val="left"/>
      <w:lvlText w:val="%1"/>
      <w:numFmt w:val="decimal"/>
      <w:start w:val="1"/>
    </w:lvl>
    <w:lvl w:ilvl="1">
      <w:lvlJc w:val="left"/>
      <w:lvlText w:val="(%2)"/>
      <w:numFmt w:val="lowerLetter"/>
      <w:start w:val="2"/>
    </w:lvl>
  </w:abstractNum>
  <w:abstractNum w:abstractNumId="83">
    <w:nsid w:val="39EE015C"/>
    <w:multiLevelType w:val="hybridMultilevel"/>
    <w:lvl w:ilvl="0">
      <w:lvlJc w:val="left"/>
      <w:lvlText w:val="%1."/>
      <w:numFmt w:val="decimal"/>
      <w:start w:val="9"/>
    </w:lvl>
    <w:lvl w:ilvl="1">
      <w:lvlJc w:val="left"/>
      <w:lvlText w:val="(%2)"/>
      <w:numFmt w:val="lowerLetter"/>
      <w:start w:val="1"/>
    </w:lvl>
  </w:abstractNum>
  <w:abstractNum w:abstractNumId="84">
    <w:nsid w:val="57FC4FBB"/>
    <w:multiLevelType w:val="hybridMultilevel"/>
    <w:lvl w:ilvl="0">
      <w:lvlJc w:val="left"/>
      <w:lvlText w:val="%1"/>
      <w:numFmt w:val="decimal"/>
      <w:start w:val="1"/>
    </w:lvl>
    <w:lvl w:ilvl="1">
      <w:lvlJc w:val="left"/>
      <w:lvlText w:val="(%2)"/>
      <w:numFmt w:val="lowerLetter"/>
      <w:start w:val="3"/>
    </w:lvl>
  </w:abstractNum>
  <w:abstractNum w:abstractNumId="85">
    <w:nsid w:val="CC1016F"/>
    <w:multiLevelType w:val="hybridMultilevel"/>
    <w:lvl w:ilvl="0">
      <w:lvlJc w:val="left"/>
      <w:lvlText w:val="%1."/>
      <w:numFmt w:val="decimal"/>
      <w:start w:val="10"/>
    </w:lvl>
    <w:lvl w:ilvl="1">
      <w:lvlJc w:val="left"/>
      <w:lvlText w:val="(%2)"/>
      <w:numFmt w:val="lowerLetter"/>
      <w:start w:val="1"/>
    </w:lvl>
  </w:abstractNum>
  <w:abstractNum w:abstractNumId="86">
    <w:nsid w:val="43F18422"/>
    <w:multiLevelType w:val="hybridMultilevel"/>
    <w:lvl w:ilvl="0">
      <w:lvlJc w:val="left"/>
      <w:lvlText w:val="%1"/>
      <w:numFmt w:val="decimal"/>
      <w:start w:val="1"/>
    </w:lvl>
    <w:lvl w:ilvl="1">
      <w:lvlJc w:val="left"/>
      <w:lvlText w:val="(%2)"/>
      <w:numFmt w:val="lowerLetter"/>
      <w:start w:val="2"/>
    </w:lvl>
  </w:abstractNum>
  <w:abstractNum w:abstractNumId="87">
    <w:nsid w:val="60EF0119"/>
    <w:multiLevelType w:val="hybridMultilevel"/>
    <w:lvl w:ilvl="0">
      <w:lvlJc w:val="left"/>
      <w:lvlText w:val="%1."/>
      <w:numFmt w:val="decimal"/>
      <w:start w:val="11"/>
    </w:lvl>
    <w:lvl w:ilvl="1">
      <w:lvlJc w:val="left"/>
      <w:lvlText w:val="%2"/>
      <w:numFmt w:val="lowerLetter"/>
      <w:start w:val="1"/>
    </w:lvl>
  </w:abstractNum>
  <w:abstractNum w:abstractNumId="88">
    <w:nsid w:val="26F324BA"/>
    <w:multiLevelType w:val="hybridMultilevel"/>
    <w:lvl w:ilvl="0">
      <w:lvlJc w:val="left"/>
      <w:lvlText w:val="%1."/>
      <w:numFmt w:val="decimal"/>
      <w:start w:val="17"/>
    </w:lvl>
  </w:abstractNum>
  <w:abstractNum w:abstractNumId="89">
    <w:nsid w:val="7F01579B"/>
    <w:multiLevelType w:val="hybridMultilevel"/>
    <w:lvl w:ilvl="0">
      <w:lvlJc w:val="left"/>
      <w:lvlText w:val="%1."/>
      <w:numFmt w:val="decimal"/>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2"/>
    </w:lvl>
  </w:abstractNum>
  <w:abstractNum w:abstractNumId="92">
    <w:nsid w:val="5FB8370B"/>
    <w:multiLevelType w:val="hybridMultilevel"/>
    <w:lvl w:ilvl="0">
      <w:lvlJc w:val="left"/>
      <w:lvlText w:val="%1."/>
      <w:numFmt w:val="decimal"/>
      <w:start w:val="1"/>
    </w:lvl>
  </w:abstractNum>
  <w:abstractNum w:abstractNumId="93">
    <w:nsid w:val="50801EE1"/>
    <w:multiLevelType w:val="hybridMultilevel"/>
    <w:lvl w:ilvl="0">
      <w:lvlJc w:val="left"/>
      <w:lvlText w:val="%1."/>
      <w:numFmt w:val="decimal"/>
      <w:start w:val="2"/>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3"/>
    </w:lvl>
  </w:abstractNum>
  <w:abstractNum w:abstractNumId="96">
    <w:nsid w:val="6AA78F7F"/>
    <w:multiLevelType w:val="hybridMultilevel"/>
    <w:lvl w:ilvl="0">
      <w:lvlJc w:val="left"/>
      <w:lvlText w:val="%1."/>
      <w:numFmt w:val="decimal"/>
      <w:start w:val="4"/>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2)"/>
      <w:numFmt w:val="lowerLetter"/>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2019-12-10T22:19:51Z</dcterms:created>
  <dcterms:modified xsi:type="dcterms:W3CDTF">2019-12-10T22:19:51Z</dcterms:modified>
</cp:coreProperties>
</file>