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February 7, 2024</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WYNN RESORTS, LIMITED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5469" w:type="dxa"/>
        <w:jc w:val="center"/>
        <w:tblInd w:w="0" w:type="dxa"/>
        <w:tblLayout w:type="fixed"/>
        <w:tblCellMar>
          <w:top w:w="28" w:type="dxa"/>
          <w:left w:w="28" w:type="dxa"/>
          <w:bottom w:w="28" w:type="dxa"/>
          <w:right w:w="28" w:type="dxa"/>
        </w:tblCellMar>
      </w:tblPr>
      <w:tblGrid>
        <w:gridCol w:w="537"/>
        <w:gridCol w:w="472"/>
        <w:gridCol w:w="472"/>
        <w:gridCol w:w="472"/>
        <w:gridCol w:w="472"/>
        <w:gridCol w:w="496"/>
        <w:gridCol w:w="353"/>
        <w:gridCol w:w="353"/>
        <w:gridCol w:w="358"/>
        <w:gridCol w:w="433"/>
        <w:gridCol w:w="433"/>
        <w:gridCol w:w="618"/>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000-50028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3131 Las Vegas Boulevard South</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Las Vegas,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Nevada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89109</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(702) 770-7555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72" w:type="dxa"/>
        <w:jc w:val="left"/>
        <w:tblInd w:w="0" w:type="dxa"/>
        <w:tblLayout w:type="fixed"/>
        <w:tblCellMar>
          <w:top w:w="28" w:type="dxa"/>
          <w:left w:w="28" w:type="dxa"/>
          <w:bottom w:w="28" w:type="dxa"/>
          <w:right w:w="28" w:type="dxa"/>
        </w:tblCellMar>
      </w:tblPr>
      <w:tblGrid>
        <w:gridCol w:w="975"/>
        <w:gridCol w:w="857"/>
        <w:gridCol w:w="867"/>
        <w:gridCol w:w="109"/>
        <w:gridCol w:w="109"/>
        <w:gridCol w:w="109"/>
        <w:gridCol w:w="564"/>
        <w:gridCol w:w="564"/>
        <w:gridCol w:w="566"/>
        <w:gridCol w:w="109"/>
        <w:gridCol w:w="109"/>
        <w:gridCol w:w="109"/>
        <w:gridCol w:w="1118"/>
        <w:gridCol w:w="1118"/>
        <w:gridCol w:w="1589"/>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WYNN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 w:after="10"/>
        <w:jc w:val="both"/>
        <w:rPr/>
      </w:pPr>
      <w:r>
        <w:rPr/>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0" w:after="10"/>
        <w:jc w:val="both"/>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10" w:after="1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 w:after="10"/>
        <w:jc w:val="both"/>
        <w:rPr/>
      </w:pP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lineRule="auto" w:line="288" w:before="10" w:after="1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10" w:type="dxa"/>
        <w:jc w:val="left"/>
        <w:tblInd w:w="0" w:type="dxa"/>
        <w:tblLayout w:type="fixed"/>
        <w:tblCellMar>
          <w:top w:w="28" w:type="dxa"/>
          <w:left w:w="28" w:type="dxa"/>
          <w:bottom w:w="28" w:type="dxa"/>
          <w:right w:w="28" w:type="dxa"/>
        </w:tblCellMar>
      </w:tblPr>
      <w:tblGrid>
        <w:gridCol w:w="332"/>
        <w:gridCol w:w="291"/>
        <w:gridCol w:w="293"/>
        <w:gridCol w:w="1199"/>
        <w:gridCol w:w="1199"/>
        <w:gridCol w:w="169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and Financial Condition.</w:t>
            </w:r>
          </w:p>
        </w:tc>
      </w:tr>
    </w:tbl>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7, 2024, Wynn Resorts, Limited (the "Company) issued a press release announcing its results of operations for the fourth quarter and year ended December 31, 2023. The press release is furnished herewith as Exhibit 99.1. The information furnished under Items 2.02 and 7.01 of this report,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tbl>
      <w:tblPr>
        <w:tblW w:w="3270" w:type="dxa"/>
        <w:jc w:val="left"/>
        <w:tblInd w:w="0" w:type="dxa"/>
        <w:tblLayout w:type="fixed"/>
        <w:tblCellMar>
          <w:top w:w="28" w:type="dxa"/>
          <w:left w:w="28" w:type="dxa"/>
          <w:bottom w:w="28" w:type="dxa"/>
          <w:right w:w="28" w:type="dxa"/>
        </w:tblCellMar>
      </w:tblPr>
      <w:tblGrid>
        <w:gridCol w:w="332"/>
        <w:gridCol w:w="291"/>
        <w:gridCol w:w="293"/>
        <w:gridCol w:w="688"/>
        <w:gridCol w:w="688"/>
        <w:gridCol w:w="978"/>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Regulation FD Disclosure.</w:t>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Item 2.02 of this report is incorporated herein by reference.</w:t>
      </w:r>
    </w:p>
    <w:tbl>
      <w:tblPr>
        <w:tblW w:w="2220" w:type="dxa"/>
        <w:jc w:val="left"/>
        <w:tblInd w:w="0" w:type="dxa"/>
        <w:tblLayout w:type="fixed"/>
        <w:tblCellMar>
          <w:top w:w="28" w:type="dxa"/>
          <w:left w:w="28" w:type="dxa"/>
          <w:bottom w:w="28" w:type="dxa"/>
          <w:right w:w="28" w:type="dxa"/>
        </w:tblCellMar>
      </w:tblPr>
      <w:tblGrid>
        <w:gridCol w:w="332"/>
        <w:gridCol w:w="291"/>
        <w:gridCol w:w="293"/>
        <w:gridCol w:w="381"/>
        <w:gridCol w:w="381"/>
        <w:gridCol w:w="54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Events.</w:t>
            </w:r>
          </w:p>
        </w:tc>
      </w:tr>
    </w:tbl>
    <w:p>
      <w:pPr>
        <w:pStyle w:val="TextBody"/>
        <w:bidi w:val="0"/>
        <w:spacing w:lineRule="auto" w:line="288"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7, 2024, the Company announced that its Board of Directors declared a quarterly cash dividend of $0.25 per share, payable on February 29, 2024 to stockholders of record as of February 20, 2024.</w:t>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(d)Exhibits.</w:t>
      </w:r>
    </w:p>
    <w:tbl>
      <w:tblPr>
        <w:tblW w:w="9991" w:type="dxa"/>
        <w:jc w:val="left"/>
        <w:tblInd w:w="0" w:type="dxa"/>
        <w:tblLayout w:type="fixed"/>
        <w:tblCellMar>
          <w:top w:w="28" w:type="dxa"/>
          <w:left w:w="28" w:type="dxa"/>
          <w:bottom w:w="28" w:type="dxa"/>
          <w:right w:w="28" w:type="dxa"/>
        </w:tblCellMar>
      </w:tblPr>
      <w:tblGrid>
        <w:gridCol w:w="342"/>
        <w:gridCol w:w="301"/>
        <w:gridCol w:w="303"/>
        <w:gridCol w:w="2641"/>
        <w:gridCol w:w="2641"/>
        <w:gridCol w:w="3763"/>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63"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wrlye2023pressrelease.htm">
              <w:r>
                <w:rPr>
                  <w:rStyle w:val="InternetLink"/>
                  <w:rFonts w:ascii="Times New Roman;sans-serif" w:hAnsi="Times New Roman;sans-serif"/>
                  <w:b w:val="false"/>
                  <w:color w:val="0000FF"/>
                  <w:sz w:val="20"/>
                  <w:u w:val="single"/>
                </w:rPr>
                <w:t>Press release, dated February 7, 2024, of Wynn Resorts, Limited.</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797" w:type="dxa"/>
        <w:jc w:val="left"/>
        <w:tblInd w:w="0" w:type="dxa"/>
        <w:tblLayout w:type="fixed"/>
        <w:tblCellMar>
          <w:top w:w="28" w:type="dxa"/>
          <w:left w:w="28" w:type="dxa"/>
          <w:bottom w:w="28" w:type="dxa"/>
          <w:right w:w="28" w:type="dxa"/>
        </w:tblCellMar>
      </w:tblPr>
      <w:tblGrid>
        <w:gridCol w:w="754"/>
        <w:gridCol w:w="662"/>
        <w:gridCol w:w="669"/>
        <w:gridCol w:w="109"/>
        <w:gridCol w:w="109"/>
        <w:gridCol w:w="109"/>
        <w:gridCol w:w="134"/>
        <w:gridCol w:w="134"/>
        <w:gridCol w:w="136"/>
        <w:gridCol w:w="109"/>
        <w:gridCol w:w="109"/>
        <w:gridCol w:w="109"/>
        <w:gridCol w:w="777"/>
        <w:gridCol w:w="777"/>
        <w:gridCol w:w="1100"/>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RESORTS, LIMITED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Julie Cameron-Doe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Cameron-Doe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ind w:left="0" w:right="0" w:firstLine="495"/>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Wynn Resorts, Limited Reports Fourth Quarter and Year End 2023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LAS VEGAS, February 7, 2024 — Wynn Resorts, Limited (NASDAQ: WYNN) ("Wynn Resorts" or the "Company") today reported financial results for the fourth quarter ended December 31, 2023.</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Operating revenues were $1.84 billion for the fourth quarter of 2023, an increase of $835.5 million from $1.00 billion for the fourth quarter of 2022. Net income attributable to Wynn Resorts, Limited was $729.2 million for the fourth quarter of 2023, compared to net income attributable to Wynn Resorts, Limited of $32.4 million for the fourth quarter of 2022. The increase in net income attributable to Wynn Resorts, Limited was primarily the result of increased operating revenues from our Macau Operations and our Las Vegas Operations, as well as an income tax benefit related to the release of valuation allowance on certain deferred tax assets as a result of achieving sustained profitability in the U.S. Diluted net income per share was $6.19 for the fourth quarter of 2023, compared to diluted net income per share of $0.29 for the fourth quarter of 2022. Adjusted Property EBITDAR</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0"/>
        </w:rPr>
        <w:t>was $630.4 million for the fourth quarter of 2023, compared to Adjusted Property EBITDAR of $195.1 million for the fourth quarter of 2022.</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strong momentum we built throughout 2023 continued during the fourth quarter with Adjusted Property EBITDAR reaching a new all-time record. These impressive results highlight our team’s relentless focus on delivering five-star hospitality, which continues to elevate our properties above our peers as the destinations of choice for luxury guests in Las Vegas, Boston and Macau," said Craig Billings, CEO of Wynn Resorts, Limited. "On the development front, construction of Wynn Al Marjan Island continues, with much of the hotel tower and podium foundation complete, and preparations underway to start vertical construction of the hotel tower. We are confident the resort will be a 'must see' tourism destination in the UAE. We are excited about the outlook for the Company, and we will continue to focus on driving long-term returns for shareholders."</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Consolidated Results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were $1.84 billion for the fourth quarter of 2023, an increase of $835.5 million from $1.00 billion for the fourth quarter of 2022. For the fourth quarter of 2023, operating revenues increased $411.3 million, $309.0 million, $111.3 million, and $5.1 million at Wynn Palace, Wynn Macau, our Las Vegas Operations, and Wynn Interactive, respectively, and decreased $1.2 million at Encore Boston Harbor, from the fourth quarter of 2022.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Net income attributable to Wynn Resorts, Limited was $729.2 million for the fourth quarter of 2023, compared to net income attributable to Wynn Resorts, Limited of $32.4 million for the fourth quarter of 2022. The increase in net income attributable to Wynn Resorts, Limited was primarily the result of increased operating revenues from our Macau Operations and our Las Vegas Operations, as well as an income tax benefit related to the release of valuation allowance on certain deferred tax assets as a result of achieving sustained profitability in the U.S. Diluted net income per share was $6.19 for the fourth quarter of 2023, compared to diluted net income per share of $0.29 for the fourth quarter of 2022. Adjusted net income attributable to Wynn Resorts, Limited</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was $213.7 million, or $1.91 per diluted share, for the fourth quarter of 2023, compared to adjusted net loss attributable to Wynn Resorts, Limited of $138.7 million, or $1.23 per diluted share, for the fourth quarter of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Property EBITDAR was $630.4 million for the fourth quarter of 2023, an increase of $435.3 million compared to Adjusted Property EBITDAR of $195.1 million for the fourth quarter of 2022. For the fourth quarter of 2023, Adjusted Property EBITDAR increased $195.1 million, $161.0 million, $51.5 million, $26.5 million, and $1.1 million at Wynn Palace, Wynn Macau, our Las Vegas Operations, Wynn Interactive, and Encore Boston Harbor, respectively, from the fourth quarter of 2022.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operating revenues were $6.53 billion, an increase of $2.78 billion from $3.76 billion for the year ended December 31, 2022. Operating revenues for the year ended December 31, 2023 increased $1.48 billion, $902.3 million, $348.5 million, $34.7 million, and $13.0 million at Wynn Palace, Wynn Macau, our Las Vegas Operations, Encore Boston Harbor, and Wynn Interactive, respectively, from the year ended December 31, 2022.</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Wynn Resorts, Limited was $730.0 million, or $6.32 per diluted share for the year ended December 31, 2023, compared to net loss attributable to Wynn Resorts, Limited of $423.9 million, or $3.73 per diluted share for the year ended December 31, 2022. The increase in net income attributable to Wynn Resorts, Limited was primarily the result of increased operating revenues from our Macau Operations and our Las Vegas Operations, as well as an income tax benefit related to the release of valuation allowance on certain deferred tax assets as a result of achieving sustained profitability in the U.S. Adjusted net income attributable to Wynn Resorts, Limited was $462.3 million, or $4.10 per diluted share, for the year ended December 31, 2023, compared to adjusted net loss attributable to Wynn Resorts, Limited of $507.4 million, or $4.47 per diluted share, for the year ended December 31, 2022.</w:t>
      </w: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Property EBITDAR was $2.11 billion for the year ended December 31, 2023, compared to $725.4 million for the year ended December 31, 2022. Adjusted Property EBITDAR for the year ended December 31, 2023 increased $712.4 million, $462.1 million, $145.1 million, $55.8 million, and $14.0 million, at Wynn Palace, Wynn Macau, our Las Vegas Operations, Wynn Interactive, and Encore Boston Harbor, respectively, from the year ended December 31,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Wynn Resorts, Limited also announced today that its Board of Directors has declared a cash dividend of $0.25 per share, payable on February 29, 2024 to stockholders of record as of February 20, 2024.</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Property Results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Macau Operations</w:t>
      </w:r>
    </w:p>
    <w:p>
      <w:pPr>
        <w:pStyle w:val="TextBody"/>
        <w:bidi w:val="0"/>
        <w:spacing w:lineRule="auto" w:line="27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Wynn Palace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from Wynn Palace were $524.4 million for the fourth quarter of 2023, an increase of $411.3 million from $113.1 million for the fourth quarter of 2022. Adjusted Property EBITDAR from Wynn Palace was $171.1 million for the fourth quarter of 2023, compared to $(23.9) million for the fourth quarter of 2022. Table games win percentage in mass market operations was 23.6%, above the 23.3% experienced in the fourth quarter of 2022. VIP table games win as a percentage of turnover was 2.97%, below the property's expected range of 3.1% to 3.4% and above the 0.11% experienced in the fourth quarter of 2022.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Wynn Macau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from Wynn Macau were $386.2 million for the fourth quarter of 2023, an increase of $309.0 million from $77.2 million for the fourth quarter of 2022. Adjusted Property EBITDAR from Wynn Macau was $125.8 million for the fourth quarter of 2023, compared to $(35.2) million for the fourth quarter of 2022. Table games win percentage in mass market operations was 19.1%, above the 17.2% experienced in the fourth quarter of 2022. VIP table games win as a percentage of turnover was 4.37%, above the property's expected range of 3.1% to 3.4% and above the 1.20% experienced in the fourth quarter of 2022. </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Las Vegas Operations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revenues from our Las Vegas Operations were $696.8 million for the fourth quarter of 2023, an increase of $111.3 million from $585.5 million for the fourth quarter of 2022. Adjusted Property EBITDAR from our Las Vegas Operations for the fourth quarter of 2023 was $270.8 million, compared to $219.3 million for the fourth quarter of 2022. Table games win percentage for the fourth quarter of 2023 was 25.4%, within the property's expected range of 22% to 26% and above the 21.2% experienced in the fourth quarter of 2022.</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Encore Boston Harbor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from Encore Boston Harbor were $217.1 million for the fourth quarter of 2023, a decrease of $1.2 million from $218.3 million for the fourth quarter of 2022. Adjusted Property EBITDAR from Encore Boston Harbor for the fourth quarter of 2023 was $64.4 million, compared to $63.3 million for the fourth quarter of 2022. Table games win percentage for the fourth quarter of 2023 was 22.0%, within the property's expected range of 18% to 22% and slightly above the 21.9% experienced in the fourth quarter of 2022. </w:t>
      </w:r>
    </w:p>
    <w:p>
      <w:pPr>
        <w:pStyle w:val="TextBody"/>
        <w:bidi w:val="0"/>
        <w:spacing w:before="0" w:after="120"/>
        <w:jc w:val="both"/>
        <w:rPr/>
      </w:pPr>
      <w:r>
        <w:rPr/>
      </w:r>
    </w:p>
    <w:p>
      <w:pPr>
        <w:pStyle w:val="TextBody"/>
        <w:bidi w:val="0"/>
        <w:spacing w:lineRule="auto" w:line="276" w:before="0" w:after="120"/>
        <w:jc w:val="both"/>
        <w:rPr>
          <w:rFonts w:ascii="Times New Roman;sans-serif" w:hAnsi="Times New Roman;sans-serif"/>
          <w:b/>
          <w:color w:val="000000"/>
          <w:sz w:val="20"/>
        </w:rPr>
      </w:pPr>
      <w:r>
        <w:rPr>
          <w:rFonts w:ascii="Times New Roman;sans-serif" w:hAnsi="Times New Roman;sans-serif"/>
          <w:b/>
          <w:color w:val="000000"/>
          <w:sz w:val="20"/>
        </w:rPr>
        <w:t>Balance Sheet</w:t>
      </w:r>
    </w:p>
    <w:p>
      <w:pPr>
        <w:pStyle w:val="TextBody"/>
        <w:bidi w:val="0"/>
        <w:spacing w:lineRule="auto" w:line="276"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as of December 31, 2023 totaled $2.88 billion, comprised of $1.32 billion held by Wynn Macau, Limited ("WML") and subsidiaries, $361.5 million held by Wynn Resorts Finance, LLC ("WRF") and subsidiaries excluding WML, and $1.20 billion held at Corporate and other. In addition, as of December 31, 2023, we had $697.9 million and $147.3 million in short-term investments held at WML and Corporate and other, respectively. As of December 31, 2023, the available borrowing capacity under the Wynn Resorts Finance Revolver was $736.5 million, and the WM Cayman II Revolver was fully drawn.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current and long-term debt outstanding at December 31, 2023 was $11.74 billion, comprised of $6.74 billion of Macau related debt, $2.25 billion of Wynn Las Vegas debt, $2.13 billion of WRF debt, and $614.1 million of debt held by the retail joint venture which we consolidate.</w:t>
      </w:r>
    </w:p>
    <w:p>
      <w:pPr>
        <w:pStyle w:val="TextBody"/>
        <w:bidi w:val="0"/>
        <w:spacing w:before="0" w:after="0"/>
        <w:jc w:val="both"/>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2023, the Company repurchased 1,609,625 shares of its common stock under its publicly announced equity repurchase program at an average price of $86.56 per share, for an aggregate cost of $139.3 million, bringing </w:t>
      </w: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repurchases by the Company for the year ended December 31, 2023 to 2,206,573 shares of its common stock for an aggregate cost of $195.5 million.</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Conference Call and Other Information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hold a conference call to discuss its results, including the results of Wynn Resorts Finance, LLC and Wynn Las Vegas, LLC, on February 7, 2024 at 2:00 p.m. PT (5:00 p.m. ET). Interested parties are invited to join the call by accessing a live audio webcast at http://www.wynnresorts.com. On or before March 30, 2024, the Company will make Wynn Resorts Finance, LLC and Wynn Las Vegas, LLC financial information for the quarter ended December 31, 2023 available to noteholders, prospective investors, broker-dealers and securities analysts. Please contact our investor relations office at 702-770-7555 or at investorrelations@wynnresorts.com, to obtain access to such financial information.</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reductions in discretionary consumer spending, adverse macroeconomic conditions and their impact on levels of disposable consumer income and wealth, changes in interest rates, inflation, a decline in general economic activity or recession in the U.S. and/or global economies, extensive regulation of our business, pending or future legal proceedings, ability to maintain gaming licenses and concessions, dependence on key employees, general global political conditions, adverse tourism trends, travel disruptions caused by events outside of our control, dependence on a limited number of resorts, competition in the casino/hotel and resort industries, uncertainties over the development and success of new gaming and resort properties, construction and regulatory risks associated with current and future projects (including Wynn Al Marjan Island), cybersecurity risk and our leverage and ability to meet our debt service obligations. Additional information concerning potential factors that could affect the Company's financial results is included in the Company's Annual Report on Form 10-K for the year ended December 31, 2022, as supplemented by the Company's other periodic reports filed with the Securities and Exchange Commission from time to time. The Company is under no obligation to (and expressly disclaims any such obligation to) update or revise its forward-looking statements as a result of new information, future events or otherwise, except as required by law.</w:t>
      </w:r>
    </w:p>
    <w:p>
      <w:pPr>
        <w:pStyle w:val="TextBody"/>
        <w:bidi w:val="0"/>
        <w:spacing w:before="0" w:after="0"/>
        <w:jc w:val="both"/>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"Adjusted Property EBITDAR" is net income (loss) before interest, income taxes, depreciation and amortization, pre-opening expenses, impairment of goodwill and intangible assets,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(loss) as an indicator of our performance, as an alternative to cash flows from operating activities as a measure of liquidity, or as an alternative to any other measure determined in accordance with GAAP. Unlike net income (loss),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"Adjusted net income (loss) attributable to Wynn Resorts, Limited" is net income (loss) attributable to Wynn Resorts, Limited before pre-opening expenses, impairment of goodwill and intangible assets, property charges and other, change in derivatives fair value, loss on debt financing transactions, foreign currency remeasurement and other, and nonrecurring income tax benefit from release of valuation allowance, net of noncontrolling interests and income taxes calculated using the specific tax treatment applicable to the adjustments based on their respective jurisdictions. Adjusted net income (loss) attributable to Wynn Resorts, Limited and adjusted net income (loss)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measures are used by management and/or evaluated by some investors, in addition to net income (loss) and loss per share computed in accordance with GAAP, as an additional basis for assessing period-to-period results of our business. Adjusted net income (loss) attributable to Wynn Resorts, Limited and adjusted net income (loss) attributable to Wynn Resorts, Limited per diluted share may be different from the calculation methods used by other companies and, therefore, comparability may be limited.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included schedules in the tables that accompany this release that reconcile (i) net income (loss) attributable to Wynn Resorts, Limited to adjusted net income (loss) attributable to Wynn Resorts, Limited, (ii) operating income (loss) to Adjusted Property EBITDAR, and (iii) net income (loss) attributable to Wynn Resorts, Limited to Adjusted Property EBITDAR.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pPr>
      <w:r>
        <w:rPr>
          <w:rFonts w:ascii="Times New Roman;sans-serif" w:hAnsi="Times New Roman;sans-serif"/>
          <w:b/>
          <w:color w:val="000000"/>
          <w:sz w:val="20"/>
        </w:rPr>
        <w:t>(unaudited)</w:t>
      </w:r>
      <w:r>
        <w:rPr>
          <w:color w:val="000000"/>
        </w:rPr>
        <w:t>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57"/>
        <w:gridCol w:w="1292"/>
        <w:gridCol w:w="1295"/>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557"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 xml:space="preserve">December 31, </w:t>
            </w:r>
          </w:p>
        </w:tc>
      </w:tr>
      <w:tr>
        <w:trPr/>
        <w:tc>
          <w:tcPr>
            <w:tcW w:w="4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802,138 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1,840,460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1,004,937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6,531,897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3,756,825</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1,099,801 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328,529 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830,450 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Pre-opening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692,318 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EBH Transaction,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and intangible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1,482,735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905,729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5,691,726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3,857,501</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357,725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99,208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840,171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(100,676)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(650,885)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(83,356)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(126,669)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(554,788)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(599,360)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274,369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(27,461)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285,383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(700,036)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 (loss)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773,777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(33,545)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782,217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(709,368)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Wynn Resorts, Limited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729,156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32,411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729,994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(423,856)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(loss) per common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NET INCOME (LOSS) ATTRIBUTABLE TO WYNN RESORTS, LIMITED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ADJUSTED NET INCOME (LOSS) ATTRIBUTABLE TO WYNN RESORTS, LIMITED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793"/>
        <w:gridCol w:w="1335"/>
        <w:gridCol w:w="1340"/>
        <w:gridCol w:w="211"/>
        <w:gridCol w:w="841"/>
        <w:gridCol w:w="109"/>
        <w:gridCol w:w="109"/>
        <w:gridCol w:w="109"/>
        <w:gridCol w:w="109"/>
        <w:gridCol w:w="211"/>
        <w:gridCol w:w="873"/>
        <w:gridCol w:w="109"/>
        <w:gridCol w:w="109"/>
        <w:gridCol w:w="109"/>
        <w:gridCol w:w="109"/>
        <w:gridCol w:w="211"/>
        <w:gridCol w:w="841"/>
        <w:gridCol w:w="109"/>
        <w:gridCol w:w="109"/>
        <w:gridCol w:w="109"/>
        <w:gridCol w:w="109"/>
        <w:gridCol w:w="211"/>
        <w:gridCol w:w="873"/>
        <w:gridCol w:w="157"/>
      </w:tblGrid>
      <w:tr>
        <w:trPr/>
        <w:tc>
          <w:tcPr>
            <w:tcW w:w="1793"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 xml:space="preserve">December 31, </w:t>
            </w:r>
          </w:p>
        </w:tc>
      </w:tr>
      <w:tr>
        <w:trPr/>
        <w:tc>
          <w:tcPr>
            <w:tcW w:w="44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(423,856)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EBH Transaction,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(181,989)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and intangible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remeasurement and other </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impact on adjustments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Nonrecurring income tax benefit from release of valuation allowance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impact on adjustments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 (loss) attributable to Wynn Resorts, Limited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213,659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(138,685)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462,348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(507,428)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 (loss) attributable to Wynn Resorts, Limited per diluted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1.91</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4.10</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(4.47)</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OPERATING INCOME (LOSS) TO ADJUSTED PROPERTY EBITDAR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2806"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596"/>
        <w:gridCol w:w="109"/>
        <w:gridCol w:w="109"/>
        <w:gridCol w:w="109"/>
        <w:gridCol w:w="109"/>
        <w:gridCol w:w="196"/>
        <w:gridCol w:w="646"/>
        <w:gridCol w:w="109"/>
        <w:gridCol w:w="109"/>
        <w:gridCol w:w="109"/>
        <w:gridCol w:w="109"/>
        <w:gridCol w:w="196"/>
        <w:gridCol w:w="75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5"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 2023</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Interactive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169,756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357,725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2,646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75,048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176,527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(1,388)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28,811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19,305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44,088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Stock-based compensation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4,158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15,376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Triple-net operating lease rent expense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35,404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171,133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125,817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296,950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270,785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64,393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(1,750)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630,378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2766"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661"/>
        <w:gridCol w:w="109"/>
        <w:gridCol w:w="109"/>
        <w:gridCol w:w="109"/>
        <w:gridCol w:w="109"/>
        <w:gridCol w:w="196"/>
        <w:gridCol w:w="571"/>
        <w:gridCol w:w="109"/>
        <w:gridCol w:w="109"/>
        <w:gridCol w:w="109"/>
        <w:gridCol w:w="109"/>
        <w:gridCol w:w="196"/>
        <w:gridCol w:w="751"/>
        <w:gridCol w:w="109"/>
        <w:gridCol w:w="109"/>
        <w:gridCol w:w="109"/>
        <w:gridCol w:w="109"/>
        <w:gridCol w:w="196"/>
        <w:gridCol w:w="751"/>
        <w:gridCol w:w="109"/>
        <w:gridCol w:w="109"/>
        <w:gridCol w:w="109"/>
        <w:gridCol w:w="109"/>
        <w:gridCol w:w="196"/>
        <w:gridCol w:w="736"/>
        <w:gridCol w:w="109"/>
        <w:gridCol w:w="109"/>
        <w:gridCol w:w="109"/>
        <w:gridCol w:w="109"/>
        <w:gridCol w:w="196"/>
        <w:gridCol w:w="661"/>
        <w:gridCol w:w="109"/>
        <w:gridCol w:w="109"/>
        <w:gridCol w:w="109"/>
        <w:gridCol w:w="109"/>
        <w:gridCol w:w="196"/>
        <w:gridCol w:w="646"/>
        <w:gridCol w:w="109"/>
        <w:gridCol w:w="109"/>
        <w:gridCol w:w="109"/>
        <w:gridCol w:w="109"/>
        <w:gridCol w:w="196"/>
        <w:gridCol w:w="75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5"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 2022</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Interactive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(181,345)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99,208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7,247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73,562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172,292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EBH Transaction,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(181,989)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22,510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35,790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6,317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11,443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31,734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8,409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19,058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Triple-net operating lease rent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11,773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(23,935)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(35,169)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(59,104)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219,251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63,254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(28,288)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195,113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0" w:after="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ind w:left="0" w:right="0" w:hanging="27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ind w:left="0" w:right="0" w:hanging="27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OPERATING INCOME (LOSS) TO ADJUSTED PROPERTY EBITDAR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3276"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736"/>
        <w:gridCol w:w="109"/>
        <w:gridCol w:w="109"/>
        <w:gridCol w:w="109"/>
        <w:gridCol w:w="109"/>
        <w:gridCol w:w="196"/>
        <w:gridCol w:w="886"/>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5"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Interactive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465,667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551,128 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(276,646)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840,171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9,468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299,757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687,270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goodwill and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94,490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23,191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130,877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98,396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46,405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146,430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Stock-based compensation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20,428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64,515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Triple-net operating lease rent expense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141,722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615,846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338,091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953,937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946,243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257,409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(42,646)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2,114,943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3141" w:type="dxa"/>
        <w:jc w:val="center"/>
        <w:tblInd w:w="0" w:type="dxa"/>
        <w:tblLayout w:type="fixed"/>
        <w:tblCellMar>
          <w:top w:w="28" w:type="dxa"/>
          <w:left w:w="28" w:type="dxa"/>
          <w:bottom w:w="28" w:type="dxa"/>
          <w:right w:w="28" w:type="dxa"/>
        </w:tblCellMar>
      </w:tblPr>
      <w:tblGrid>
        <w:gridCol w:w="564"/>
        <w:gridCol w:w="258"/>
        <w:gridCol w:w="25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736"/>
        <w:gridCol w:w="109"/>
        <w:gridCol w:w="109"/>
        <w:gridCol w:w="109"/>
        <w:gridCol w:w="109"/>
        <w:gridCol w:w="196"/>
        <w:gridCol w:w="751"/>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0"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Wynn Palace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Macau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Other Macau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Macau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Las Vegas Operations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Encore Boston Harbor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Wynn Interactive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Corporate and Other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(357,666)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(247,727)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(627,583)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(240,111)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(100,676)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Pre-opening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20,643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Depreciation and amortization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290,933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692,318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EBH Transaction,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(181,989)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goodwill and intangible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48,036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charges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34,821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65,116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Management and license fees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25,249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Corporate expenses and other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29,344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102,539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26,632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67,627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Triple-net operating lease rent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11,773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Property EBITDAR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(96,557)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(124,047)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(220,604)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801,095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243,386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(98,490)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725,387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270"/>
        <w:jc w:val="both"/>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ind w:left="0" w:right="0" w:hanging="27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0"/>
        <w:ind w:left="0" w:right="0" w:hanging="27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NET INCOME (LOSS) ATTRIBUTABLE TO WYNN RESORTS, LIMITED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ADJUSTED PROPERTY EBITDAR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09"/>
        <w:gridCol w:w="1358"/>
        <w:gridCol w:w="1363"/>
        <w:gridCol w:w="211"/>
        <w:gridCol w:w="841"/>
        <w:gridCol w:w="109"/>
        <w:gridCol w:w="109"/>
        <w:gridCol w:w="109"/>
        <w:gridCol w:w="109"/>
        <w:gridCol w:w="211"/>
        <w:gridCol w:w="841"/>
        <w:gridCol w:w="109"/>
        <w:gridCol w:w="109"/>
        <w:gridCol w:w="109"/>
        <w:gridCol w:w="109"/>
        <w:gridCol w:w="211"/>
        <w:gridCol w:w="991"/>
        <w:gridCol w:w="109"/>
        <w:gridCol w:w="109"/>
        <w:gridCol w:w="109"/>
        <w:gridCol w:w="109"/>
        <w:gridCol w:w="211"/>
        <w:gridCol w:w="894"/>
        <w:gridCol w:w="156"/>
      </w:tblGrid>
      <w:tr>
        <w:trPr/>
        <w:tc>
          <w:tcPr>
            <w:tcW w:w="160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 xml:space="preserve">December 31, </w:t>
            </w:r>
          </w:p>
        </w:tc>
      </w:tr>
      <w:tr>
        <w:trPr/>
        <w:tc>
          <w:tcPr>
            <w:tcW w:w="43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(423,856)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692,318 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EBH Transaction,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(181,989)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goodwill and intangible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Triple-net operating lease rent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expenses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650,885 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financing transactions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Property EBITDAR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630,378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195,113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2,114,943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725,387</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21"/>
        <w:gridCol w:w="633"/>
        <w:gridCol w:w="637"/>
        <w:gridCol w:w="263"/>
        <w:gridCol w:w="246"/>
        <w:gridCol w:w="580"/>
        <w:gridCol w:w="137"/>
        <w:gridCol w:w="137"/>
        <w:gridCol w:w="137"/>
        <w:gridCol w:w="247"/>
        <w:gridCol w:w="271"/>
        <w:gridCol w:w="555"/>
        <w:gridCol w:w="109"/>
        <w:gridCol w:w="109"/>
        <w:gridCol w:w="109"/>
        <w:gridCol w:w="372"/>
        <w:gridCol w:w="283"/>
        <w:gridCol w:w="284"/>
        <w:gridCol w:w="109"/>
        <w:gridCol w:w="109"/>
        <w:gridCol w:w="109"/>
        <w:gridCol w:w="196"/>
        <w:gridCol w:w="886"/>
        <w:gridCol w:w="256"/>
        <w:gridCol w:w="109"/>
        <w:gridCol w:w="109"/>
        <w:gridCol w:w="109"/>
        <w:gridCol w:w="206"/>
        <w:gridCol w:w="260"/>
        <w:gridCol w:w="580"/>
        <w:gridCol w:w="109"/>
        <w:gridCol w:w="109"/>
        <w:gridCol w:w="109"/>
        <w:gridCol w:w="370"/>
        <w:gridCol w:w="261"/>
        <w:gridCol w:w="379"/>
      </w:tblGrid>
      <w:tr>
        <w:trPr/>
        <w:tc>
          <w:tcPr>
            <w:tcW w:w="72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 xml:space="preserve">December 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Palace Supplemental Information</w:t>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417,273</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505.5 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1,471,280 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50,472</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403.5 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29,538</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156.4 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27,075</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524,358</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113,065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363.8</w:t>
            </w:r>
            <w:r>
              <w:rPr>
                <w:color w:val="000000"/>
              </w:rPr>
              <w:t>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1,886,844</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410,289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359.9</w:t>
            </w:r>
            <w:r>
              <w:rPr>
                <w:color w:val="000000"/>
              </w:rPr>
              <w:t>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Adjusted Property EBITDAR</w:t>
            </w:r>
            <w:r>
              <w:rPr>
                <w:color w:val="000000"/>
              </w:rPr>
              <w:t xml:space="preserve"> </w:t>
            </w:r>
            <w:r>
              <w:rPr>
                <w:rFonts w:ascii="Times New Roman;sans-serif" w:hAnsi="Times New Roman;sans-serif"/>
                <w:b/>
                <w:color w:val="000000"/>
                <w:sz w:val="16"/>
              </w:rPr>
              <w:t>(6)</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171,133</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(23,935)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615,846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(96,557)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NM</w:t>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turnover</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3,161,083</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11,363,248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2,641,321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330.2 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VIP table games win </w:t>
            </w:r>
            <w:r>
              <w:rPr>
                <w:rFonts w:ascii="Times New Roman;sans-serif" w:hAnsi="Times New Roman;sans-serif"/>
                <w:b w:val="false"/>
                <w:color w:val="000000"/>
                <w:sz w:val="16"/>
              </w:rPr>
              <w:t>(1)</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93,892</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table games win as a % of turnover</w:t>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0.89 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17,381</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Mass market:</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drop </w:t>
            </w:r>
            <w:r>
              <w:rPr>
                <w:rFonts w:ascii="Times New Roman;sans-serif" w:hAnsi="Times New Roman;sans-serif"/>
                <w:b w:val="false"/>
                <w:color w:val="000000"/>
                <w:sz w:val="16"/>
              </w:rPr>
              <w:t>(2)</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1,711,850</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358.6 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6,126,841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1,312,786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366.7 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6"/>
              </w:rPr>
              <w:t>(1)</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404,468</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1,373,436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386.8 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17,934</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349.8 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346.4 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624,688</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225.7 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6"/>
              </w:rPr>
              <w:t>(3)</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27,580</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228.5 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win per unit per day</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242.3 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 statistics: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ADR</w:t>
            </w:r>
            <w:r>
              <w:rPr>
                <w:color w:val="000000"/>
              </w:rPr>
              <w:t xml:space="preserve"> </w:t>
            </w:r>
            <w:r>
              <w:rPr>
                <w:rFonts w:ascii="Times New Roman;sans-serif" w:hAnsi="Times New Roman;sans-serif"/>
                <w:b w:val="false"/>
                <w:color w:val="000000"/>
                <w:sz w:val="16"/>
              </w:rPr>
              <w:t>(4)</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REVPAR </w:t>
            </w:r>
            <w:r>
              <w:rPr>
                <w:rFonts w:ascii="Times New Roman;sans-serif" w:hAnsi="Times New Roman;sans-serif"/>
                <w:b w:val="false"/>
                <w:color w:val="000000"/>
                <w:sz w:val="16"/>
              </w:rPr>
              <w:t>(5)</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410.0 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NM: Not meaningful.</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Note: The results of operations of Wynn Palace for the three and twelve months ended December 31, 2022 were negatively impacted by certain travel-related restrictions and conditions, including COVID-19 testing and other mitigation procedures, related to the COVID-19 pandemic.</w:t>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06"/>
        <w:gridCol w:w="620"/>
        <w:gridCol w:w="624"/>
        <w:gridCol w:w="260"/>
        <w:gridCol w:w="246"/>
        <w:gridCol w:w="580"/>
        <w:gridCol w:w="135"/>
        <w:gridCol w:w="135"/>
        <w:gridCol w:w="135"/>
        <w:gridCol w:w="283"/>
        <w:gridCol w:w="214"/>
        <w:gridCol w:w="485"/>
        <w:gridCol w:w="109"/>
        <w:gridCol w:w="109"/>
        <w:gridCol w:w="109"/>
        <w:gridCol w:w="371"/>
        <w:gridCol w:w="279"/>
        <w:gridCol w:w="280"/>
        <w:gridCol w:w="109"/>
        <w:gridCol w:w="109"/>
        <w:gridCol w:w="109"/>
        <w:gridCol w:w="196"/>
        <w:gridCol w:w="886"/>
        <w:gridCol w:w="256"/>
        <w:gridCol w:w="109"/>
        <w:gridCol w:w="109"/>
        <w:gridCol w:w="109"/>
        <w:gridCol w:w="196"/>
        <w:gridCol w:w="751"/>
        <w:gridCol w:w="256"/>
        <w:gridCol w:w="109"/>
        <w:gridCol w:w="109"/>
        <w:gridCol w:w="109"/>
        <w:gridCol w:w="369"/>
        <w:gridCol w:w="258"/>
        <w:gridCol w:w="376"/>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 xml:space="preserve">December 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Macau Supplemental Information</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320,642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970,269 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347.9 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29,534</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15,261</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386,199</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77,198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400.3</w:t>
            </w:r>
            <w:r>
              <w:rPr>
                <w:color w:val="000000"/>
              </w:rPr>
              <w:t>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1,213,534</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311,249</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289.9</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Adjusted Property EBITDAR</w:t>
            </w:r>
            <w:r>
              <w:rPr>
                <w:color w:val="000000"/>
              </w:rPr>
              <w:t xml:space="preserve"> </w:t>
            </w:r>
            <w:r>
              <w:rPr>
                <w:rFonts w:ascii="Times New Roman;sans-serif" w:hAnsi="Times New Roman;sans-serif"/>
                <w:b/>
                <w:color w:val="000000"/>
                <w:sz w:val="16"/>
              </w:rPr>
              <w:t>(6)</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125,817</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(35,169)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338,091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(124,047)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NM</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VIP: </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turnover</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1,405,523</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5,132,628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1,771,143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VIP table games win </w:t>
            </w:r>
            <w:r>
              <w:rPr>
                <w:rFonts w:ascii="Times New Roman;sans-serif" w:hAnsi="Times New Roman;sans-serif"/>
                <w:b w:val="false"/>
                <w:color w:val="000000"/>
                <w:sz w:val="16"/>
              </w:rPr>
              <w:t>(1)</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61,362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VIP table games win as a % of turnover</w:t>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Table games win per unit per day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22,233</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231.7 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Mass market: </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drop </w:t>
            </w:r>
            <w:r>
              <w:rPr>
                <w:rFonts w:ascii="Times New Roman;sans-serif" w:hAnsi="Times New Roman;sans-serif"/>
                <w:b w:val="false"/>
                <w:color w:val="000000"/>
                <w:sz w:val="16"/>
              </w:rPr>
              <w:t>(2)</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1,558,372</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5,155,929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6"/>
              </w:rPr>
              <w:t>(1)</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297,671</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189,769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Table games win per unit per day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14,655</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652,498</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218,935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2,212,196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6"/>
              </w:rPr>
              <w:t>(3)</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20,775</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Slot machine win per unit per day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Poker rake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4,460</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Room statistics: </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ADR</w:t>
            </w:r>
            <w:r>
              <w:rPr>
                <w:color w:val="000000"/>
              </w:rPr>
              <w:t xml:space="preserve"> </w:t>
            </w:r>
            <w:r>
              <w:rPr>
                <w:rFonts w:ascii="Times New Roman;sans-serif" w:hAnsi="Times New Roman;sans-serif"/>
                <w:b w:val="false"/>
                <w:color w:val="000000"/>
                <w:sz w:val="16"/>
              </w:rPr>
              <w:t>(4)</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REVPAR </w:t>
            </w:r>
            <w:r>
              <w:rPr>
                <w:rFonts w:ascii="Times New Roman;sans-serif" w:hAnsi="Times New Roman;sans-serif"/>
                <w:b w:val="false"/>
                <w:color w:val="000000"/>
                <w:sz w:val="16"/>
              </w:rPr>
              <w:t>(5)</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NM: Not meaningful.</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Note: The results of operations of Wynn Macau for three and twelve months ended December 31, 2022 were negatively impacted by certain travel-related restrictions and conditions, including COVID-19 testing and other mitigation procedures, related to the COVID-19 pandemic.</w:t>
      </w:r>
    </w:p>
    <w:p>
      <w:pPr>
        <w:pStyle w:val="TextBody"/>
        <w:bidi w:val="0"/>
        <w:spacing w:before="0" w:after="0"/>
        <w:jc w:val="center"/>
        <w:rPr/>
      </w:pPr>
      <w:r>
        <w:rPr/>
      </w:r>
    </w:p>
    <w:p>
      <w:pPr>
        <w:pStyle w:val="TextBody"/>
        <w:bidi w:val="0"/>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32"/>
        <w:gridCol w:w="731"/>
        <w:gridCol w:w="734"/>
        <w:gridCol w:w="293"/>
        <w:gridCol w:w="246"/>
        <w:gridCol w:w="580"/>
        <w:gridCol w:w="139"/>
        <w:gridCol w:w="139"/>
        <w:gridCol w:w="139"/>
        <w:gridCol w:w="293"/>
        <w:gridCol w:w="246"/>
        <w:gridCol w:w="580"/>
        <w:gridCol w:w="109"/>
        <w:gridCol w:w="109"/>
        <w:gridCol w:w="109"/>
        <w:gridCol w:w="315"/>
        <w:gridCol w:w="288"/>
        <w:gridCol w:w="289"/>
        <w:gridCol w:w="109"/>
        <w:gridCol w:w="109"/>
        <w:gridCol w:w="109"/>
        <w:gridCol w:w="206"/>
        <w:gridCol w:w="260"/>
        <w:gridCol w:w="580"/>
        <w:gridCol w:w="109"/>
        <w:gridCol w:w="109"/>
        <w:gridCol w:w="109"/>
        <w:gridCol w:w="206"/>
        <w:gridCol w:w="260"/>
        <w:gridCol w:w="580"/>
        <w:gridCol w:w="109"/>
        <w:gridCol w:w="109"/>
        <w:gridCol w:w="109"/>
        <w:gridCol w:w="311"/>
        <w:gridCol w:w="265"/>
        <w:gridCol w:w="385"/>
      </w:tblGrid>
      <w:tr>
        <w:trPr/>
        <w:tc>
          <w:tcPr>
            <w:tcW w:w="83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 xml:space="preserve">December 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 Operations Supplemental Information</w:t>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167,579</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535,279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242,993</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190,584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784,385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651,291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199,706</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86,526</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696,804</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585,492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19.0</w:t>
            </w:r>
            <w:r>
              <w:rPr>
                <w:color w:val="000000"/>
              </w:rPr>
              <w:t>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2,480,606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2,132,136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16.3</w:t>
            </w:r>
            <w:r>
              <w:rPr>
                <w:color w:val="000000"/>
              </w:rPr>
              <w:t>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Adjusted Property EBITDAR </w:t>
            </w:r>
            <w:r>
              <w:rPr>
                <w:rFonts w:ascii="Times New Roman;sans-serif" w:hAnsi="Times New Roman;sans-serif"/>
                <w:b/>
                <w:color w:val="000000"/>
                <w:sz w:val="16"/>
              </w:rPr>
              <w:t>(6)</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270,785</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219,251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23.5</w:t>
            </w: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946,243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801,095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18.1</w:t>
            </w: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drop </w:t>
            </w:r>
            <w:r>
              <w:rPr>
                <w:rFonts w:ascii="Times New Roman;sans-serif" w:hAnsi="Times New Roman;sans-serif"/>
                <w:b w:val="false"/>
                <w:color w:val="000000"/>
                <w:sz w:val="16"/>
              </w:rPr>
              <w:t>(2)</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657,564</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2,425,621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2,274,010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6"/>
              </w:rPr>
              <w:t>(1)</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167,106</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511,746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7,816</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1,689,839</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6,423,374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5,617,775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6"/>
              </w:rPr>
              <w:t>(3)</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125,950</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451,833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win per unit per day</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Poker rake</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9,477</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 statistics:</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ADR </w:t>
            </w:r>
            <w:r>
              <w:rPr>
                <w:rFonts w:ascii="Times New Roman;sans-serif" w:hAnsi="Times New Roman;sans-serif"/>
                <w:b w:val="false"/>
                <w:color w:val="000000"/>
                <w:sz w:val="16"/>
              </w:rPr>
              <w:t>(4)</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REVPAR</w:t>
            </w:r>
            <w:r>
              <w:rPr>
                <w:color w:val="000000"/>
              </w:rPr>
              <w:t xml:space="preserve"> </w:t>
            </w:r>
            <w:r>
              <w:rPr>
                <w:rFonts w:ascii="Times New Roman;sans-serif" w:hAnsi="Times New Roman;sans-serif"/>
                <w:b w:val="false"/>
                <w:color w:val="000000"/>
                <w:sz w:val="16"/>
              </w:rPr>
              <w:t>(5)</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3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SUPPLEMENTAL DATA SCHEDULE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win per unit per day, ADR, and REVPAR)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(continued)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05"/>
        <w:gridCol w:w="706"/>
        <w:gridCol w:w="710"/>
        <w:gridCol w:w="295"/>
        <w:gridCol w:w="246"/>
        <w:gridCol w:w="580"/>
        <w:gridCol w:w="141"/>
        <w:gridCol w:w="141"/>
        <w:gridCol w:w="141"/>
        <w:gridCol w:w="295"/>
        <w:gridCol w:w="246"/>
        <w:gridCol w:w="580"/>
        <w:gridCol w:w="109"/>
        <w:gridCol w:w="109"/>
        <w:gridCol w:w="109"/>
        <w:gridCol w:w="309"/>
        <w:gridCol w:w="293"/>
        <w:gridCol w:w="294"/>
        <w:gridCol w:w="109"/>
        <w:gridCol w:w="109"/>
        <w:gridCol w:w="109"/>
        <w:gridCol w:w="206"/>
        <w:gridCol w:w="260"/>
        <w:gridCol w:w="580"/>
        <w:gridCol w:w="109"/>
        <w:gridCol w:w="109"/>
        <w:gridCol w:w="109"/>
        <w:gridCol w:w="206"/>
        <w:gridCol w:w="260"/>
        <w:gridCol w:w="580"/>
        <w:gridCol w:w="109"/>
        <w:gridCol w:w="109"/>
        <w:gridCol w:w="109"/>
        <w:gridCol w:w="361"/>
        <w:gridCol w:w="270"/>
        <w:gridCol w:w="392"/>
      </w:tblGrid>
      <w:tr>
        <w:trPr/>
        <w:tc>
          <w:tcPr>
            <w:tcW w:w="80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w:t>
              <w:br/>
              <w:t xml:space="preserve">December 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Encore Boston Harbor Supplemental Information </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160,464</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648,668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624,738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Rooms</w:t>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24,300</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21,552</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Entertainment, retail and other</w:t>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10,829</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217,145</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218,340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(0.5)</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865,786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831,073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4.2</w:t>
            </w:r>
            <w:r>
              <w:rPr>
                <w:color w:val="000000"/>
              </w:rPr>
              <w:t>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Adjusted Property EBITDAR </w:t>
            </w:r>
            <w:r>
              <w:rPr>
                <w:rFonts w:ascii="Times New Roman;sans-serif" w:hAnsi="Times New Roman;sans-serif"/>
                <w:b/>
                <w:color w:val="000000"/>
                <w:sz w:val="16"/>
              </w:rPr>
              <w:t>(6)</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64,393</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63,254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w:t>
            </w:r>
            <w:r>
              <w:rPr>
                <w:color w:val="000000"/>
              </w:rPr>
              <w:t>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257,409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243,386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5.8</w:t>
            </w:r>
            <w:r>
              <w:rPr>
                <w:color w:val="000000"/>
              </w:rPr>
              <w:t>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Casino Statistics:</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table games</w:t>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Table drop</w:t>
            </w:r>
            <w:r>
              <w:rPr>
                <w:color w:val="000000"/>
              </w:rPr>
              <w:t xml:space="preserve"> </w:t>
            </w:r>
            <w:r>
              <w:rPr>
                <w:rFonts w:ascii="Times New Roman;sans-serif" w:hAnsi="Times New Roman;sans-serif"/>
                <w:b w:val="false"/>
                <w:color w:val="000000"/>
                <w:sz w:val="16"/>
              </w:rPr>
              <w:t>(2)</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358,324</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1,422,416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1,447,851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Table games win </w:t>
            </w:r>
            <w:r>
              <w:rPr>
                <w:rFonts w:ascii="Times New Roman;sans-serif" w:hAnsi="Times New Roman;sans-serif"/>
                <w:b w:val="false"/>
                <w:color w:val="000000"/>
                <w:sz w:val="16"/>
              </w:rPr>
              <w:t>(1)</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78,720</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308,890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315,057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Table games win per unit per day</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4,621</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slot machines</w:t>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2,560</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handle</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1,323,309</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1,303,782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5,256,696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5,007,772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Slot machine win </w:t>
            </w:r>
            <w:r>
              <w:rPr>
                <w:rFonts w:ascii="Times New Roman;sans-serif" w:hAnsi="Times New Roman;sans-serif"/>
                <w:b w:val="false"/>
                <w:color w:val="000000"/>
                <w:sz w:val="16"/>
              </w:rPr>
              <w:t>(3)</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105,061</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402,688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Slot machine win per unit per day</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Poker rake</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5,389</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Room statistics:</w:t>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ADR </w:t>
            </w:r>
            <w:r>
              <w:rPr>
                <w:rFonts w:ascii="Times New Roman;sans-serif" w:hAnsi="Times New Roman;sans-serif"/>
                <w:b w:val="false"/>
                <w:color w:val="000000"/>
                <w:sz w:val="16"/>
              </w:rPr>
              <w:t>(4)</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REVPAR </w:t>
            </w:r>
            <w:r>
              <w:rPr>
                <w:rFonts w:ascii="Times New Roman;sans-serif" w:hAnsi="Times New Roman;sans-serif"/>
                <w:b w:val="false"/>
                <w:color w:val="000000"/>
                <w:sz w:val="16"/>
              </w:rPr>
              <w:t>(5)</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(1)Table games win is shown before discounts, commissions and the allocation of casino revenues to rooms, food and beverage and other revenues for services provided to casino customers on a complimentary basis.</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(3)Slot machine win is calculated as gross slot machine win minus progressive accruals and free play.</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(4)ADR is average daily rate and is calculated by dividing total room revenues including complimentaries (less service charges, if any) by total rooms occupied.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(5)REVPAR is revenue per available room and is calculated by dividing total room revenues including complimentaries (less service charges, if any) by total rooms available. </w:t>
      </w:r>
    </w:p>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(6)Refer to accompanying reconciliations of Operating Income (Loss) to Adjusted Property EBITDAR and Net Income (Loss) Attributable to Wynn Resorts, Limited to Adjusted Property EBITDAR.</w:t>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pStyle w:val="TextBody"/>
        <w:bidi w:val="0"/>
        <w:spacing w:before="240" w:after="283"/>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4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SOURCE: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Wynn Resorts, Limited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CONTACT: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Price Karr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702-770-7555</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investorrelations@wynnresorts.com</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6015</Words>
  <Characters>32299</Characters>
  <CharactersWithSpaces>37327</CharactersWithSpaces>
  <Paragraphs>1965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