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 w:lineRule="exact"/>
        <w:rPr>
          <w:sz w:val="24"/>
          <w:szCs w:val="24"/>
          <w:color w:val="auto"/>
        </w:rPr>
      </w:pPr>
    </w:p>
    <w:p>
      <w:pPr>
        <w:ind w:left="680" w:right="60" w:hanging="641"/>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right="4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6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20" w:type="dxa"/>
            <w:vAlign w:val="bottom"/>
          </w:tcPr>
          <w:p>
            <w:pPr>
              <w:spacing w:after="0"/>
              <w:rPr>
                <w:sz w:val="17"/>
                <w:szCs w:val="17"/>
                <w:color w:val="auto"/>
              </w:rPr>
            </w:pPr>
          </w:p>
        </w:tc>
        <w:tc>
          <w:tcPr>
            <w:tcW w:w="36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
        </w:trPr>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91"/>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00" w:type="dxa"/>
            <w:vAlign w:val="bottom"/>
            <w:gridSpan w:val="7"/>
          </w:tcPr>
          <w:p>
            <w:pPr>
              <w:jc w:val="center"/>
              <w:ind w:right="2848"/>
              <w:spacing w:after="0"/>
              <w:rPr>
                <w:sz w:val="20"/>
                <w:szCs w:val="20"/>
                <w:color w:val="auto"/>
              </w:rPr>
            </w:pPr>
            <w:r>
              <w:rPr>
                <w:rFonts w:ascii="Times New Roman" w:cs="Times New Roman" w:eastAsia="Times New Roman" w:hAnsi="Times New Roman"/>
                <w:sz w:val="18"/>
                <w:szCs w:val="18"/>
                <w:b w:val="1"/>
                <w:bCs w:val="1"/>
                <w:color w:val="auto"/>
                <w:w w:val="99"/>
              </w:rPr>
              <w:t>Commission File No. 000-50028</w:t>
            </w:r>
          </w:p>
        </w:tc>
      </w:tr>
      <w:tr>
        <w:trPr>
          <w:trHeight w:val="135"/>
        </w:trPr>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40" w:type="dxa"/>
            <w:vAlign w:val="bottom"/>
          </w:tcPr>
          <w:p>
            <w:pPr>
              <w:spacing w:after="0"/>
              <w:rPr>
                <w:sz w:val="11"/>
                <w:szCs w:val="11"/>
                <w:color w:val="auto"/>
              </w:rPr>
            </w:pPr>
          </w:p>
        </w:tc>
      </w:tr>
      <w:tr>
        <w:trPr>
          <w:trHeight w:val="579"/>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9"/>
          </w:tcPr>
          <w:p>
            <w:pPr>
              <w:jc w:val="center"/>
              <w:ind w:right="1728"/>
              <w:spacing w:after="0"/>
              <w:rPr>
                <w:sz w:val="20"/>
                <w:szCs w:val="20"/>
                <w:color w:val="auto"/>
              </w:rPr>
            </w:pPr>
            <w:r>
              <w:rPr>
                <w:rFonts w:ascii="Times New Roman" w:cs="Times New Roman" w:eastAsia="Times New Roman" w:hAnsi="Times New Roman"/>
                <w:sz w:val="43"/>
                <w:szCs w:val="43"/>
                <w:b w:val="1"/>
                <w:bCs w:val="1"/>
                <w:color w:val="auto"/>
              </w:rPr>
              <w:t>WYNN RESORTS, LIMITED</w:t>
            </w:r>
          </w:p>
        </w:tc>
      </w:tr>
      <w:tr>
        <w:trPr>
          <w:trHeight w:val="238"/>
        </w:trPr>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80" w:type="dxa"/>
            <w:vAlign w:val="bottom"/>
            <w:gridSpan w:val="8"/>
          </w:tcPr>
          <w:p>
            <w:pPr>
              <w:jc w:val="center"/>
              <w:ind w:right="256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45"/>
        </w:trPr>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540" w:type="dxa"/>
            <w:vAlign w:val="bottom"/>
            <w:gridSpan w:val="6"/>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600" w:type="dxa"/>
            <w:vAlign w:val="bottom"/>
            <w:gridSpan w:val="4"/>
          </w:tcPr>
          <w:p>
            <w:pPr>
              <w:jc w:val="center"/>
              <w:ind w:right="88"/>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46"/>
        </w:trPr>
        <w:tc>
          <w:tcPr>
            <w:tcW w:w="860" w:type="dxa"/>
            <w:vAlign w:val="bottom"/>
          </w:tcPr>
          <w:p>
            <w:pPr>
              <w:spacing w:after="0"/>
              <w:rPr>
                <w:sz w:val="12"/>
                <w:szCs w:val="12"/>
                <w:color w:val="auto"/>
              </w:rPr>
            </w:pPr>
          </w:p>
        </w:tc>
        <w:tc>
          <w:tcPr>
            <w:tcW w:w="5880" w:type="dxa"/>
            <w:vAlign w:val="bottom"/>
            <w:gridSpan w:val="7"/>
          </w:tcPr>
          <w:p>
            <w:pPr>
              <w:jc w:val="center"/>
              <w:ind w:right="204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40" w:type="dxa"/>
            <w:vAlign w:val="bottom"/>
          </w:tcPr>
          <w:p>
            <w:pPr>
              <w:jc w:val="center"/>
              <w:ind w:right="1048"/>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860" w:type="dxa"/>
            <w:vAlign w:val="bottom"/>
          </w:tcPr>
          <w:p>
            <w:pPr>
              <w:spacing w:after="0"/>
              <w:rPr>
                <w:sz w:val="16"/>
                <w:szCs w:val="16"/>
                <w:color w:val="auto"/>
              </w:rPr>
            </w:pPr>
          </w:p>
        </w:tc>
        <w:tc>
          <w:tcPr>
            <w:tcW w:w="5880" w:type="dxa"/>
            <w:vAlign w:val="bottom"/>
            <w:gridSpan w:val="7"/>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40" w:type="dxa"/>
            <w:vAlign w:val="bottom"/>
          </w:tcPr>
          <w:p>
            <w:pPr>
              <w:jc w:val="center"/>
              <w:ind w:right="10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9"/>
          </w:tcPr>
          <w:p>
            <w:pPr>
              <w:jc w:val="center"/>
              <w:ind w:right="1788"/>
              <w:spacing w:after="0"/>
              <w:rPr>
                <w:sz w:val="20"/>
                <w:szCs w:val="20"/>
                <w:color w:val="auto"/>
              </w:rPr>
            </w:pPr>
            <w:r>
              <w:rPr>
                <w:rFonts w:ascii="Times New Roman" w:cs="Times New Roman" w:eastAsia="Times New Roman" w:hAnsi="Times New Roman"/>
                <w:sz w:val="18"/>
                <w:szCs w:val="18"/>
                <w:b w:val="1"/>
                <w:bCs w:val="1"/>
                <w:color w:val="auto"/>
                <w:w w:val="99"/>
              </w:rPr>
              <w:t>3131 Las Vegas Boulevard South - Las Vegas, Nevada 89109</w:t>
            </w:r>
          </w:p>
        </w:tc>
      </w:tr>
      <w:tr>
        <w:trPr>
          <w:trHeight w:val="190"/>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7"/>
          </w:tcPr>
          <w:p>
            <w:pPr>
              <w:jc w:val="center"/>
              <w:ind w:right="28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r>
      <w:tr>
        <w:trPr>
          <w:trHeight w:val="255"/>
        </w:trPr>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980" w:type="dxa"/>
            <w:vAlign w:val="bottom"/>
            <w:gridSpan w:val="5"/>
          </w:tcPr>
          <w:p>
            <w:pPr>
              <w:jc w:val="center"/>
              <w:ind w:left="1628"/>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40" w:type="dxa"/>
            <w:vAlign w:val="bottom"/>
          </w:tcPr>
          <w:p>
            <w:pPr>
              <w:spacing w:after="0"/>
              <w:rPr>
                <w:sz w:val="22"/>
                <w:szCs w:val="22"/>
                <w:color w:val="auto"/>
              </w:rPr>
            </w:pPr>
          </w:p>
        </w:tc>
      </w:tr>
      <w:tr>
        <w:trPr>
          <w:trHeight w:val="190"/>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7"/>
          </w:tcPr>
          <w:p>
            <w:pPr>
              <w:jc w:val="center"/>
              <w:ind w:right="286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91"/>
        </w:trPr>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gridSpan w:val="2"/>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640" w:type="dxa"/>
            <w:vAlign w:val="bottom"/>
          </w:tcPr>
          <w:p>
            <w:pPr>
              <w:spacing w:after="0"/>
              <w:rPr>
                <w:sz w:val="7"/>
                <w:szCs w:val="7"/>
                <w:color w:val="auto"/>
              </w:rPr>
            </w:pPr>
          </w:p>
        </w:tc>
      </w:tr>
      <w:tr>
        <w:trPr>
          <w:trHeight w:val="279"/>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N/A</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90"/>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580" w:type="dxa"/>
            <w:vAlign w:val="bottom"/>
            <w:gridSpan w:val="9"/>
          </w:tcPr>
          <w:p>
            <w:pPr>
              <w:jc w:val="center"/>
              <w:ind w:right="1768"/>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r>
      <w:tr>
        <w:trPr>
          <w:trHeight w:val="455"/>
        </w:trPr>
        <w:tc>
          <w:tcPr>
            <w:tcW w:w="6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1900" w:type="dxa"/>
            <w:vAlign w:val="bottom"/>
            <w:gridSpan w:val="2"/>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80" w:type="dxa"/>
            <w:vAlign w:val="bottom"/>
          </w:tcPr>
          <w:p>
            <w:pPr>
              <w:spacing w:after="0"/>
              <w:rPr>
                <w:sz w:val="18"/>
                <w:szCs w:val="18"/>
                <w:color w:val="auto"/>
              </w:rPr>
            </w:pPr>
          </w:p>
        </w:tc>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40" w:type="dxa"/>
            <w:vAlign w:val="bottom"/>
            <w:gridSpan w:val="2"/>
            <w:shd w:val="clear" w:color="auto" w:fill="000000"/>
          </w:tcPr>
          <w:p>
            <w:pPr>
              <w:spacing w:after="0" w:line="20" w:lineRule="exact"/>
              <w:rPr>
                <w:sz w:val="1"/>
                <w:szCs w:val="1"/>
                <w:color w:val="auto"/>
              </w:rPr>
            </w:pPr>
          </w:p>
        </w:tc>
      </w:tr>
      <w:tr>
        <w:trPr>
          <w:trHeight w:val="250"/>
        </w:trPr>
        <w:tc>
          <w:tcPr>
            <w:tcW w:w="27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0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color w:val="auto"/>
                <w:w w:val="99"/>
              </w:rPr>
              <w:t>WYNN</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w:t>
            </w:r>
          </w:p>
        </w:tc>
        <w:tc>
          <w:tcPr>
            <w:tcW w:w="20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Rule</w:t>
            </w:r>
          </w:p>
        </w:tc>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12b-2</w:t>
            </w:r>
          </w:p>
        </w:tc>
        <w:tc>
          <w:tcPr>
            <w:tcW w:w="1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w:t>
            </w:r>
          </w:p>
        </w:tc>
        <w:tc>
          <w:tcPr>
            <w:tcW w:w="9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w:t>
            </w:r>
          </w:p>
        </w:tc>
        <w:tc>
          <w:tcPr>
            <w:tcW w:w="2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Exchange</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1"/>
              </w:rPr>
              <w:t>Act.</w:t>
            </w: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380" w:type="dxa"/>
            <w:vAlign w:val="bottom"/>
          </w:tcPr>
          <w:p>
            <w:pPr>
              <w:spacing w:after="0"/>
              <w:rPr>
                <w:sz w:val="19"/>
                <w:szCs w:val="19"/>
                <w:color w:val="auto"/>
              </w:rPr>
            </w:pPr>
          </w:p>
        </w:tc>
        <w:tc>
          <w:tcPr>
            <w:tcW w:w="20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8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380" w:type="dxa"/>
            <w:vAlign w:val="bottom"/>
          </w:tcPr>
          <w:p>
            <w:pPr>
              <w:spacing w:after="0"/>
              <w:rPr>
                <w:sz w:val="19"/>
                <w:szCs w:val="19"/>
                <w:color w:val="auto"/>
              </w:rPr>
            </w:pPr>
          </w:p>
        </w:tc>
        <w:tc>
          <w:tcPr>
            <w:tcW w:w="20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8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56" w:lineRule="exact"/>
        <w:rPr>
          <w:sz w:val="24"/>
          <w:szCs w:val="24"/>
          <w:color w:val="auto"/>
        </w:rPr>
      </w:pPr>
    </w:p>
    <w:p>
      <w:pPr>
        <w:jc w:val="both"/>
        <w:ind w:firstLine="44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87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520" w:type="dxa"/>
            <w:vAlign w:val="bottom"/>
            <w:gridSpan w:val="3"/>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r>
        <w:trPr>
          <w:trHeight w:val="234"/>
        </w:trPr>
        <w:tc>
          <w:tcPr>
            <w:tcW w:w="1124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tc>
      </w:tr>
      <w:tr>
        <w:trPr>
          <w:trHeight w:val="175"/>
        </w:trPr>
        <w:tc>
          <w:tcPr>
            <w:tcW w:w="1800" w:type="dxa"/>
            <w:vAlign w:val="bottom"/>
          </w:tcPr>
          <w:p>
            <w:pPr>
              <w:spacing w:after="0"/>
              <w:rPr>
                <w:sz w:val="15"/>
                <w:szCs w:val="15"/>
                <w:color w:val="auto"/>
              </w:rPr>
            </w:pPr>
          </w:p>
        </w:tc>
        <w:tc>
          <w:tcPr>
            <w:tcW w:w="6920" w:type="dxa"/>
            <w:vAlign w:val="bottom"/>
            <w:gridSpan w:val="2"/>
          </w:tcPr>
          <w:p>
            <w:pPr>
              <w:jc w:val="center"/>
              <w:ind w:right="660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60" w:type="dxa"/>
            <w:vAlign w:val="bottom"/>
          </w:tcPr>
          <w:p>
            <w:pPr>
              <w:spacing w:after="0"/>
              <w:rPr>
                <w:sz w:val="15"/>
                <w:szCs w:val="15"/>
                <w:color w:val="auto"/>
              </w:rPr>
            </w:pPr>
          </w:p>
        </w:tc>
        <w:tc>
          <w:tcPr>
            <w:tcW w:w="23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Outstanding at August 2, 2022</w:t>
            </w:r>
          </w:p>
        </w:tc>
      </w:tr>
      <w:tr>
        <w:trPr>
          <w:trHeight w:val="20"/>
        </w:trPr>
        <w:tc>
          <w:tcPr>
            <w:tcW w:w="1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4"/>
        </w:trPr>
        <w:tc>
          <w:tcPr>
            <w:tcW w:w="8720" w:type="dxa"/>
            <w:vAlign w:val="bottom"/>
            <w:gridSpan w:val="3"/>
          </w:tcPr>
          <w:p>
            <w:pPr>
              <w:jc w:val="center"/>
              <w:ind w:right="482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202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113,729,619</w:t>
            </w:r>
          </w:p>
        </w:tc>
        <w:tc>
          <w:tcPr>
            <w:tcW w:w="500" w:type="dxa"/>
            <w:vAlign w:val="bottom"/>
          </w:tcPr>
          <w:p>
            <w:pPr>
              <w:spacing w:after="0"/>
              <w:rPr>
                <w:sz w:val="22"/>
                <w:szCs w:val="22"/>
                <w:color w:val="auto"/>
              </w:rPr>
            </w:pPr>
          </w:p>
        </w:tc>
      </w:tr>
      <w:tr>
        <w:trPr>
          <w:trHeight w:val="763"/>
        </w:trPr>
        <w:tc>
          <w:tcPr>
            <w:tcW w:w="1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180" w:type="dxa"/>
            <w:vAlign w:val="bottom"/>
            <w:gridSpan w:val="16"/>
          </w:tcPr>
          <w:p>
            <w:pPr>
              <w:ind w:left="8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5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0000FF"/>
                <w:w w:val="94"/>
              </w:rPr>
              <w:t>Item 1.</w:t>
            </w:r>
          </w:p>
        </w:tc>
        <w:tc>
          <w:tcPr>
            <w:tcW w:w="10180" w:type="dxa"/>
            <w:vAlign w:val="bottom"/>
            <w:gridSpan w:val="16"/>
          </w:tcPr>
          <w:p>
            <w:pPr>
              <w:ind w:left="800"/>
              <w:spacing w:after="0" w:line="194" w:lineRule="exact"/>
              <w:rPr>
                <w:sz w:val="20"/>
                <w:szCs w:val="20"/>
                <w:color w:val="auto"/>
              </w:rPr>
            </w:pPr>
            <w:r>
              <w:rPr>
                <w:rFonts w:ascii="Times New Roman" w:cs="Times New Roman" w:eastAsia="Times New Roman" w:hAnsi="Times New Roman"/>
                <w:sz w:val="18"/>
                <w:szCs w:val="18"/>
                <w:color w:val="0000FF"/>
              </w:rPr>
              <w:t>Financial Statements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 - June 30, 2022 (unaudited) and December 31, 2021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 - Three and Six Months Ended June 30, 2022 and</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gridSpan w:val="2"/>
          </w:tcPr>
          <w:p>
            <w:pPr>
              <w:spacing w:after="0"/>
              <w:rPr>
                <w:sz w:val="14"/>
                <w:szCs w:val="14"/>
                <w:color w:val="auto"/>
              </w:rPr>
            </w:pPr>
          </w:p>
        </w:tc>
        <w:tc>
          <w:tcPr>
            <w:tcW w:w="340" w:type="dxa"/>
            <w:vAlign w:val="bottom"/>
            <w:tcBorders>
              <w:top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88"/>
              </w:rPr>
              <w:t>2021</w:t>
            </w:r>
          </w:p>
        </w:tc>
        <w:tc>
          <w:tcPr>
            <w:tcW w:w="7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60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(unaudited) - Three and Six Months Ended June 30,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Borders>
              <w:top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5"/>
              </w:rPr>
              <w:t>2022 and 2021</w:t>
            </w:r>
          </w:p>
        </w:tc>
        <w:tc>
          <w:tcPr>
            <w:tcW w:w="4820" w:type="dxa"/>
            <w:vAlign w:val="bottom"/>
            <w:tcBorders>
              <w:top w:val="single" w:sz="8" w:color="0000FF"/>
            </w:tcBorders>
            <w:gridSpan w:val="5"/>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720" w:type="dxa"/>
            <w:vAlign w:val="bottom"/>
            <w:tcBorders>
              <w:top w:val="single" w:sz="8" w:color="0000FF"/>
            </w:tcBorders>
            <w:gridSpan w:val="2"/>
          </w:tcPr>
          <w:p>
            <w:pPr>
              <w:spacing w:after="0"/>
              <w:rPr>
                <w:sz w:val="14"/>
                <w:szCs w:val="14"/>
                <w:color w:val="auto"/>
              </w:rPr>
            </w:pPr>
          </w:p>
        </w:tc>
        <w:tc>
          <w:tcPr>
            <w:tcW w:w="320" w:type="dxa"/>
            <w:vAlign w:val="bottom"/>
            <w:tcBorders>
              <w:top w:val="single" w:sz="8" w:color="0000FF"/>
            </w:tcBorders>
            <w:gridSpan w:val="2"/>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(unaudited) - Three and Six Months Ended June 30,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Borders>
              <w:top w:val="single" w:sz="8" w:color="0000FF"/>
            </w:tcBorders>
            <w:gridSpan w:val="2"/>
          </w:tcPr>
          <w:p>
            <w:pPr>
              <w:spacing w:after="0" w:line="149" w:lineRule="exact"/>
              <w:rPr>
                <w:sz w:val="20"/>
                <w:szCs w:val="20"/>
                <w:color w:val="auto"/>
              </w:rPr>
            </w:pPr>
            <w:r>
              <w:rPr>
                <w:rFonts w:ascii="Times New Roman" w:cs="Times New Roman" w:eastAsia="Times New Roman" w:hAnsi="Times New Roman"/>
                <w:sz w:val="17"/>
                <w:szCs w:val="17"/>
                <w:color w:val="0000FF"/>
              </w:rPr>
              <w:t>2022 and 2021</w:t>
            </w:r>
          </w:p>
        </w:tc>
        <w:tc>
          <w:tcPr>
            <w:tcW w:w="4820" w:type="dxa"/>
            <w:vAlign w:val="bottom"/>
            <w:tcBorders>
              <w:top w:val="single" w:sz="8" w:color="0000FF"/>
            </w:tcBorders>
            <w:gridSpan w:val="5"/>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720" w:type="dxa"/>
            <w:vAlign w:val="bottom"/>
            <w:tcBorders>
              <w:top w:val="single" w:sz="8" w:color="0000FF"/>
            </w:tcBorders>
            <w:gridSpan w:val="2"/>
          </w:tcPr>
          <w:p>
            <w:pPr>
              <w:spacing w:after="0"/>
              <w:rPr>
                <w:sz w:val="12"/>
                <w:szCs w:val="12"/>
                <w:color w:val="auto"/>
              </w:rPr>
            </w:pPr>
          </w:p>
        </w:tc>
        <w:tc>
          <w:tcPr>
            <w:tcW w:w="360" w:type="dxa"/>
            <w:vAlign w:val="bottom"/>
            <w:tcBorders>
              <w:top w:val="single" w:sz="8" w:color="0000FF"/>
            </w:tcBorders>
            <w:gridSpan w:val="3"/>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 - Six Months Ended June 30, 2022 and 2021</w:t>
            </w:r>
          </w:p>
        </w:tc>
        <w:tc>
          <w:tcPr>
            <w:tcW w:w="1220" w:type="dxa"/>
            <w:vAlign w:val="bottom"/>
            <w:gridSpan w:val="4"/>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2.</w:t>
            </w:r>
          </w:p>
        </w:tc>
        <w:tc>
          <w:tcPr>
            <w:tcW w:w="10180" w:type="dxa"/>
            <w:vAlign w:val="bottom"/>
            <w:gridSpan w:val="16"/>
          </w:tcPr>
          <w:p>
            <w:pPr>
              <w:ind w:left="80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3.</w:t>
            </w:r>
          </w:p>
        </w:tc>
        <w:tc>
          <w:tcPr>
            <w:tcW w:w="10180" w:type="dxa"/>
            <w:vAlign w:val="bottom"/>
            <w:gridSpan w:val="16"/>
          </w:tcPr>
          <w:p>
            <w:pPr>
              <w:ind w:left="80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4.</w:t>
            </w:r>
          </w:p>
        </w:tc>
        <w:tc>
          <w:tcPr>
            <w:tcW w:w="10180" w:type="dxa"/>
            <w:vAlign w:val="bottom"/>
            <w:gridSpan w:val="16"/>
          </w:tcPr>
          <w:p>
            <w:pPr>
              <w:ind w:left="80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80" w:type="dxa"/>
            <w:vAlign w:val="bottom"/>
          </w:tcPr>
          <w:p>
            <w:pPr>
              <w:spacing w:after="0"/>
              <w:rPr>
                <w:sz w:val="20"/>
                <w:szCs w:val="20"/>
                <w:color w:val="auto"/>
              </w:rPr>
            </w:pPr>
          </w:p>
        </w:tc>
      </w:tr>
      <w:tr>
        <w:trPr>
          <w:trHeight w:val="194"/>
        </w:trPr>
        <w:tc>
          <w:tcPr>
            <w:tcW w:w="320" w:type="dxa"/>
            <w:vAlign w:val="bottom"/>
          </w:tcPr>
          <w:p>
            <w:pPr>
              <w:spacing w:after="0"/>
              <w:rPr>
                <w:sz w:val="16"/>
                <w:szCs w:val="16"/>
                <w:color w:val="auto"/>
              </w:rPr>
            </w:pPr>
          </w:p>
        </w:tc>
        <w:tc>
          <w:tcPr>
            <w:tcW w:w="5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0000FF"/>
                <w:w w:val="94"/>
              </w:rPr>
              <w:t>Item 1.</w:t>
            </w:r>
          </w:p>
        </w:tc>
        <w:tc>
          <w:tcPr>
            <w:tcW w:w="180" w:type="dxa"/>
            <w:vAlign w:val="bottom"/>
            <w:gridSpan w:val="2"/>
          </w:tcPr>
          <w:p>
            <w:pPr>
              <w:spacing w:after="0"/>
              <w:rPr>
                <w:sz w:val="16"/>
                <w:szCs w:val="16"/>
                <w:color w:val="auto"/>
              </w:rPr>
            </w:pPr>
          </w:p>
        </w:tc>
        <w:tc>
          <w:tcPr>
            <w:tcW w:w="10000" w:type="dxa"/>
            <w:vAlign w:val="bottom"/>
            <w:gridSpan w:val="8"/>
          </w:tcPr>
          <w:p>
            <w:pPr>
              <w:ind w:left="620"/>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49</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Item 1A.</w:t>
            </w: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0"/>
        </w:trPr>
        <w:tc>
          <w:tcPr>
            <w:tcW w:w="3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3.</w:t>
            </w:r>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Default Upon Senior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0"/>
        </w:trPr>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1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Item 4.</w:t>
            </w: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0"/>
        </w:trPr>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5.</w:t>
            </w:r>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60" w:type="dxa"/>
            <w:vAlign w:val="bottom"/>
            <w:gridSpan w:val="4"/>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6.</w:t>
            </w:r>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0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5"/>
              </w:rPr>
              <w:t>Signature</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44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2,014,898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2,522,530</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5,605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$92,579 and $111,319</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186,380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199,463</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69,075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69,967</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95,256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79,061</w:t>
            </w:r>
          </w:p>
        </w:tc>
        <w:tc>
          <w:tcPr>
            <w:tcW w:w="0" w:type="dxa"/>
            <w:vAlign w:val="bottom"/>
          </w:tcPr>
          <w:p>
            <w:pPr>
              <w:spacing w:after="0"/>
              <w:rPr>
                <w:sz w:val="1"/>
                <w:szCs w:val="1"/>
                <w:color w:val="auto"/>
              </w:rPr>
            </w:pP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4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2,371,214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2,875,917</w:t>
            </w: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8,596,653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8,765,308</w:t>
            </w:r>
          </w:p>
        </w:tc>
        <w:tc>
          <w:tcPr>
            <w:tcW w:w="0" w:type="dxa"/>
            <w:vAlign w:val="bottom"/>
          </w:tcPr>
          <w:p>
            <w:pPr>
              <w:spacing w:after="0"/>
              <w:rPr>
                <w:sz w:val="1"/>
                <w:szCs w:val="1"/>
                <w:color w:val="auto"/>
              </w:rPr>
            </w:pPr>
          </w:p>
        </w:tc>
      </w:tr>
      <w:tr>
        <w:trPr>
          <w:trHeight w:val="21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3,641</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256,519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307,578</w:t>
            </w:r>
          </w:p>
        </w:tc>
        <w:tc>
          <w:tcPr>
            <w:tcW w:w="0" w:type="dxa"/>
            <w:vAlign w:val="bottom"/>
          </w:tcPr>
          <w:p>
            <w:pPr>
              <w:spacing w:after="0"/>
              <w:rPr>
                <w:sz w:val="1"/>
                <w:szCs w:val="1"/>
                <w:color w:val="auto"/>
              </w:rPr>
            </w:pPr>
          </w:p>
        </w:tc>
      </w:tr>
      <w:tr>
        <w:trPr>
          <w:trHeight w:val="21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24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356,828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371,365</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204,084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207,017</w:t>
            </w:r>
          </w:p>
        </w:tc>
        <w:tc>
          <w:tcPr>
            <w:tcW w:w="0" w:type="dxa"/>
            <w:vAlign w:val="bottom"/>
          </w:tcPr>
          <w:p>
            <w:pPr>
              <w:spacing w:after="0"/>
              <w:rPr>
                <w:sz w:val="1"/>
                <w:szCs w:val="1"/>
                <w:color w:val="auto"/>
              </w:rPr>
            </w:pP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11,788,531</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12,530,826</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and construction payables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153,816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170,542</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Customer deposits</w:t>
            </w:r>
          </w:p>
        </w:tc>
        <w:tc>
          <w:tcPr>
            <w:tcW w:w="24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412,594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436,388</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Gaming taxes payable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24,986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73,173</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4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161,801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206,225</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interest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132,888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132,877</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4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544,632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186,552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218,675</w:t>
            </w:r>
          </w:p>
        </w:tc>
        <w:tc>
          <w:tcPr>
            <w:tcW w:w="0" w:type="dxa"/>
            <w:vAlign w:val="bottom"/>
          </w:tcPr>
          <w:p>
            <w:pPr>
              <w:spacing w:after="0"/>
              <w:rPr>
                <w:sz w:val="1"/>
                <w:szCs w:val="1"/>
                <w:color w:val="auto"/>
              </w:rPr>
            </w:pP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4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1,617,269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1,287,880</w:t>
            </w: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11,367,861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11,884,546</w:t>
            </w:r>
          </w:p>
        </w:tc>
        <w:tc>
          <w:tcPr>
            <w:tcW w:w="0" w:type="dxa"/>
            <w:vAlign w:val="bottom"/>
          </w:tcPr>
          <w:p>
            <w:pPr>
              <w:spacing w:after="0"/>
              <w:rPr>
                <w:sz w:val="1"/>
                <w:szCs w:val="1"/>
                <w:color w:val="auto"/>
              </w:rPr>
            </w:pPr>
          </w:p>
        </w:tc>
      </w:tr>
      <w:tr>
        <w:trPr>
          <w:trHeight w:val="21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4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109,641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115,187</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68,014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79,428</w:t>
            </w:r>
          </w:p>
        </w:tc>
        <w:tc>
          <w:tcPr>
            <w:tcW w:w="0" w:type="dxa"/>
            <w:vAlign w:val="bottom"/>
          </w:tcPr>
          <w:p>
            <w:pPr>
              <w:spacing w:after="0"/>
              <w:rPr>
                <w:sz w:val="1"/>
                <w:szCs w:val="1"/>
                <w:color w:val="auto"/>
              </w:rPr>
            </w:pP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13,162,785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13,367,041</w:t>
            </w: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16)</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Preferred stock, par value $0.01; 40,000,000 shares authorized; zero shares issued and outstanding</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2"/>
        </w:trPr>
        <w:tc>
          <w:tcPr>
            <w:tcW w:w="7960" w:type="dxa"/>
            <w:vAlign w:val="bottom"/>
          </w:tcPr>
          <w:p>
            <w:pPr>
              <w:ind w:left="360"/>
              <w:spacing w:after="0" w:line="152" w:lineRule="exact"/>
              <w:rPr>
                <w:sz w:val="20"/>
                <w:szCs w:val="20"/>
                <w:color w:val="auto"/>
              </w:rPr>
            </w:pPr>
            <w:r>
              <w:rPr>
                <w:rFonts w:ascii="Times New Roman" w:cs="Times New Roman" w:eastAsia="Times New Roman" w:hAnsi="Times New Roman"/>
                <w:sz w:val="16"/>
                <w:szCs w:val="16"/>
                <w:color w:val="auto"/>
              </w:rPr>
              <w:t>Common stock, par value $0.01; 400,000,000 shares authorized; 131,964,542 and 131,449,806 shares issued;</w:t>
            </w:r>
          </w:p>
        </w:tc>
        <w:tc>
          <w:tcPr>
            <w:tcW w:w="240" w:type="dxa"/>
            <w:vAlign w:val="bottom"/>
          </w:tcPr>
          <w:p>
            <w:pPr>
              <w:spacing w:after="0"/>
              <w:rPr>
                <w:sz w:val="13"/>
                <w:szCs w:val="13"/>
                <w:color w:val="auto"/>
              </w:rPr>
            </w:pPr>
          </w:p>
        </w:tc>
        <w:tc>
          <w:tcPr>
            <w:tcW w:w="13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1,320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0" w:type="dxa"/>
            <w:vAlign w:val="bottom"/>
          </w:tcPr>
          <w:p>
            <w:pPr>
              <w:spacing w:after="0"/>
              <w:rPr>
                <w:sz w:val="1"/>
                <w:szCs w:val="1"/>
                <w:color w:val="auto"/>
              </w:rPr>
            </w:pPr>
          </w:p>
        </w:tc>
      </w:tr>
      <w:tr>
        <w:trPr>
          <w:trHeight w:val="209"/>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113,707,642 and 115,714,943 shares outstanding, respectively</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stock, at cost; 18,256,900 and 15,734,863 shares, respectively</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(1,585,678)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(1,436,373)</w:t>
            </w:r>
          </w:p>
        </w:tc>
        <w:tc>
          <w:tcPr>
            <w:tcW w:w="0" w:type="dxa"/>
            <w:vAlign w:val="bottom"/>
          </w:tcPr>
          <w:p>
            <w:pPr>
              <w:spacing w:after="0"/>
              <w:rPr>
                <w:sz w:val="1"/>
                <w:szCs w:val="1"/>
                <w:color w:val="auto"/>
              </w:rPr>
            </w:pPr>
          </w:p>
        </w:tc>
      </w:tr>
      <w:tr>
        <w:trPr>
          <w:trHeight w:val="211"/>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3,566,498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3,502,715</w:t>
            </w:r>
          </w:p>
        </w:tc>
        <w:tc>
          <w:tcPr>
            <w:tcW w:w="0" w:type="dxa"/>
            <w:vAlign w:val="bottom"/>
          </w:tcPr>
          <w:p>
            <w:pPr>
              <w:spacing w:after="0"/>
              <w:rPr>
                <w:sz w:val="1"/>
                <w:szCs w:val="1"/>
                <w:color w:val="auto"/>
              </w:rPr>
            </w:pPr>
          </w:p>
        </w:tc>
      </w:tr>
      <w:tr>
        <w:trPr>
          <w:trHeight w:val="22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6,004</w:t>
            </w:r>
          </w:p>
        </w:tc>
        <w:tc>
          <w:tcPr>
            <w:tcW w:w="0" w:type="dxa"/>
            <w:vAlign w:val="bottom"/>
          </w:tcPr>
          <w:p>
            <w:pPr>
              <w:spacing w:after="0"/>
              <w:rPr>
                <w:sz w:val="1"/>
                <w:szCs w:val="1"/>
                <w:color w:val="auto"/>
              </w:rPr>
            </w:pPr>
          </w:p>
        </w:tc>
      </w:tr>
      <w:tr>
        <w:trPr>
          <w:trHeight w:val="211"/>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(2,601,331)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(2,288,078)</w:t>
            </w: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Wynn Resorts, Limited stockholders' deficit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(609,362)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(214,418)</w:t>
            </w:r>
          </w:p>
        </w:tc>
        <w:tc>
          <w:tcPr>
            <w:tcW w:w="0" w:type="dxa"/>
            <w:vAlign w:val="bottom"/>
          </w:tcPr>
          <w:p>
            <w:pPr>
              <w:spacing w:after="0"/>
              <w:rPr>
                <w:sz w:val="1"/>
                <w:szCs w:val="1"/>
                <w:color w:val="auto"/>
              </w:rPr>
            </w:pPr>
          </w:p>
        </w:tc>
      </w:tr>
      <w:tr>
        <w:trPr>
          <w:trHeight w:val="211"/>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(764,892)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(621,797)</w:t>
            </w: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(1,374,254)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(836,215)</w:t>
            </w:r>
          </w:p>
        </w:tc>
        <w:tc>
          <w:tcPr>
            <w:tcW w:w="0" w:type="dxa"/>
            <w:vAlign w:val="bottom"/>
          </w:tcPr>
          <w:p>
            <w:pPr>
              <w:spacing w:after="0"/>
              <w:rPr>
                <w:sz w:val="1"/>
                <w:szCs w:val="1"/>
                <w:color w:val="auto"/>
              </w:rPr>
            </w:pPr>
          </w:p>
        </w:tc>
      </w:tr>
      <w:tr>
        <w:trPr>
          <w:trHeight w:val="206"/>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11,788,531</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12,530,826</w:t>
            </w:r>
          </w:p>
        </w:tc>
        <w:tc>
          <w:tcPr>
            <w:tcW w:w="0" w:type="dxa"/>
            <w:vAlign w:val="bottom"/>
          </w:tcPr>
          <w:p>
            <w:pPr>
              <w:spacing w:after="0"/>
              <w:rPr>
                <w:sz w:val="1"/>
                <w:szCs w:val="1"/>
                <w:color w:val="auto"/>
              </w:rPr>
            </w:pPr>
          </w:p>
        </w:tc>
      </w:tr>
      <w:tr>
        <w:trPr>
          <w:trHeight w:val="24"/>
        </w:trPr>
        <w:tc>
          <w:tcPr>
            <w:tcW w:w="7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42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359,585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602,746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849,447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1,118,964</w:t>
            </w: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213,955</w:t>
            </w:r>
          </w:p>
        </w:tc>
      </w:tr>
      <w:tr>
        <w:trPr>
          <w:trHeight w:val="23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217,651</w:t>
            </w: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176,225</w:t>
            </w:r>
          </w:p>
        </w:tc>
      </w:tr>
      <w:tr>
        <w:trPr>
          <w:trHeight w:val="223"/>
        </w:trPr>
        <w:tc>
          <w:tcPr>
            <w:tcW w:w="56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908,832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990,113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1,862,166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1,726,795</w:t>
            </w:r>
          </w:p>
        </w:tc>
      </w:tr>
      <w:tr>
        <w:trPr>
          <w:trHeight w:val="20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733,581</w:t>
            </w: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84,087</w:t>
            </w: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191,054</w:t>
            </w: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154,381</w:t>
            </w: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377,319</w:t>
            </w: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w:t>
            </w:r>
          </w:p>
        </w:tc>
      </w:tr>
      <w:tr>
        <w:trPr>
          <w:trHeight w:val="23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w:t>
            </w: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368,428</w:t>
            </w:r>
          </w:p>
        </w:tc>
      </w:tr>
      <w:tr>
        <w:trPr>
          <w:trHeight w:val="229"/>
        </w:trPr>
        <w:tc>
          <w:tcPr>
            <w:tcW w:w="5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11,268</w:t>
            </w:r>
          </w:p>
        </w:tc>
      </w:tr>
      <w:tr>
        <w:trPr>
          <w:trHeight w:val="223"/>
        </w:trPr>
        <w:tc>
          <w:tcPr>
            <w:tcW w:w="5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960,860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1,019,634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2,009,059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1,932,048</w:t>
            </w: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(146,893)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(205,253)</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(303,276)</w:t>
            </w:r>
          </w:p>
        </w:tc>
      </w:tr>
      <w:tr>
        <w:trPr>
          <w:trHeight w:val="23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w:t>
            </w: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30"/>
        </w:trPr>
        <w:tc>
          <w:tcPr>
            <w:tcW w:w="5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w:t>
            </w:r>
          </w:p>
        </w:tc>
      </w:tr>
      <w:tr>
        <w:trPr>
          <w:trHeight w:val="223"/>
        </w:trPr>
        <w:tc>
          <w:tcPr>
            <w:tcW w:w="5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(143,179)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(319,281)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(303,133)</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(212,704)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(172,700)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(466,174)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(508,386)</w:t>
            </w: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(213,422)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(173,397)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(468,032)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(509,576)</w:t>
            </w: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97,229</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Wynn Resorts, Limited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(130,051)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(131,369)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(313,375)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(412,347)</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5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Wynn Resorts, Limited:</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30"/>
        </w:trPr>
        <w:tc>
          <w:tcPr>
            <w:tcW w:w="5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112,792</w:t>
            </w:r>
          </w:p>
        </w:tc>
      </w:tr>
      <w:tr>
        <w:trPr>
          <w:trHeight w:val="230"/>
        </w:trPr>
        <w:tc>
          <w:tcPr>
            <w:tcW w:w="5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112,792</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44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(509,576)</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 before and after tax</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(212,538)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(173,687)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(462,551)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(505,834)</w:t>
            </w: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96,176</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Wynn Resorts, Limited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(129,523)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(131,577)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(309,550)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(409,658)</w:t>
            </w:r>
          </w:p>
        </w:tc>
      </w:tr>
      <w:tr>
        <w:trPr>
          <w:trHeight w:val="21"/>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4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3"/>
                <w:szCs w:val="13"/>
                <w:b w:val="1"/>
                <w:bCs w:val="1"/>
                <w:color w:val="auto"/>
                <w:w w:val="96"/>
              </w:rPr>
              <w:t>For the Three Months Ended June 30, 2022</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62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Total Wynn</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5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Treasury</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1"/>
                <w:szCs w:val="11"/>
                <w:color w:val="auto"/>
              </w:rPr>
            </w:pPr>
          </w:p>
        </w:tc>
        <w:tc>
          <w:tcPr>
            <w:tcW w:w="8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outstanding</w:t>
            </w: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74"/>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April 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115,917,961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(1,448,040)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3,571,666</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(2,471,285)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(337,040)</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(696,219)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(1,033,259)</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(130,051)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(130,051)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(213,422)</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528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178,038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Shares repurchased by the Company and held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 treasury 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(2,384,952)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(137,638)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(137,638)</w:t>
            </w: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 to noncontrolling interest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(7,244)</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Subsidiary equity issuance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19,646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2,896</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11,584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11,589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13,529</w:t>
            </w:r>
          </w:p>
        </w:tc>
        <w:tc>
          <w:tcPr>
            <w:tcW w:w="0" w:type="dxa"/>
            <w:vAlign w:val="bottom"/>
          </w:tcPr>
          <w:p>
            <w:pPr>
              <w:spacing w:after="0"/>
              <w:rPr>
                <w:sz w:val="1"/>
                <w:szCs w:val="1"/>
                <w:color w:val="auto"/>
              </w:rPr>
            </w:pPr>
          </w:p>
        </w:tc>
      </w:tr>
      <w:tr>
        <w:trPr>
          <w:trHeight w:val="175"/>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June 30, 2022</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113,707,642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1,320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(1,585,678)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3,566,498</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9,829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(2,601,331)</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(609,362)</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(764,892)</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(1,374,254)</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24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3"/>
                <w:szCs w:val="13"/>
                <w:b w:val="1"/>
                <w:bCs w:val="1"/>
                <w:color w:val="auto"/>
                <w:w w:val="96"/>
              </w:rPr>
              <w:t>For the Three Months Ended June 30, 2021</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62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Total Wynn</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0"/>
                <w:szCs w:val="10"/>
                <w:color w:val="auto"/>
              </w:rPr>
            </w:pPr>
          </w:p>
        </w:tc>
        <w:tc>
          <w:tcPr>
            <w:tcW w:w="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0"/>
                <w:szCs w:val="10"/>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83"/>
        </w:trPr>
        <w:tc>
          <w:tcPr>
            <w:tcW w:w="24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outstanding</w:t>
            </w:r>
          </w:p>
        </w:tc>
        <w:tc>
          <w:tcPr>
            <w:tcW w:w="12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equity (deficit)</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00" w:type="dxa"/>
            <w:vAlign w:val="bottom"/>
          </w:tcPr>
          <w:p>
            <w:pPr>
              <w:spacing w:after="0"/>
              <w:rPr>
                <w:sz w:val="15"/>
                <w:szCs w:val="15"/>
                <w:color w:val="auto"/>
              </w:rPr>
            </w:pPr>
          </w:p>
        </w:tc>
        <w:tc>
          <w:tcPr>
            <w:tcW w:w="8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April 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115,647,328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(1,426,887)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3,466,073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(1,813,317)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233,683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(436,622)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(202,939)</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(131,369)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(131,369)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(173,397)</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22"/>
        </w:trPr>
        <w:tc>
          <w:tcPr>
            <w:tcW w:w="24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Shares repurchased by the Company and held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 treasury 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0" w:type="dxa"/>
            <w:vAlign w:val="bottom"/>
          </w:tcPr>
          <w:p>
            <w:pPr>
              <w:spacing w:after="0"/>
              <w:rPr>
                <w:sz w:val="1"/>
                <w:szCs w:val="1"/>
                <w:color w:val="auto"/>
              </w:rPr>
            </w:pPr>
          </w:p>
        </w:tc>
      </w:tr>
      <w:tr>
        <w:trPr>
          <w:trHeight w:val="18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 to noncontrolling interest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(6,479)</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Subsidiary equity issuance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5,160</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21,046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21,046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24,289</w:t>
            </w:r>
          </w:p>
        </w:tc>
        <w:tc>
          <w:tcPr>
            <w:tcW w:w="0" w:type="dxa"/>
            <w:vAlign w:val="bottom"/>
          </w:tcPr>
          <w:p>
            <w:pPr>
              <w:spacing w:after="0"/>
              <w:rPr>
                <w:sz w:val="1"/>
                <w:szCs w:val="1"/>
                <w:color w:val="auto"/>
              </w:rPr>
            </w:pPr>
          </w:p>
        </w:tc>
      </w:tr>
      <w:tr>
        <w:trPr>
          <w:trHeight w:val="175"/>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June 30,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115,683,983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1,313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(1,427,094)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3,466,908</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6,293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(1,944,668)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102,752</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(456,591)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(353,839)</w:t>
            </w: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3"/>
                <w:szCs w:val="13"/>
                <w:b w:val="1"/>
                <w:bCs w:val="1"/>
                <w:color w:val="auto"/>
              </w:rPr>
              <w:t>For the Six Months Ended June 30, 2022</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Total Wynn</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5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Treasury</w:t>
            </w:r>
          </w:p>
        </w:tc>
        <w:tc>
          <w:tcPr>
            <w:tcW w:w="1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1"/>
                <w:szCs w:val="11"/>
                <w:color w:val="auto"/>
              </w:rPr>
            </w:pPr>
          </w:p>
        </w:tc>
        <w:tc>
          <w:tcPr>
            <w:tcW w:w="8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outstanding</w:t>
            </w: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74"/>
        </w:trPr>
        <w:tc>
          <w:tcPr>
            <w:tcW w:w="2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January 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115,714,943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(1,436,373)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3,502,715</w:t>
            </w: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(2,288,078)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(214,418)</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(621,797)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(836,215)</w:t>
            </w:r>
          </w:p>
        </w:tc>
        <w:tc>
          <w:tcPr>
            <w:tcW w:w="0" w:type="dxa"/>
            <w:vAlign w:val="bottom"/>
          </w:tcPr>
          <w:p>
            <w:pPr>
              <w:spacing w:after="0"/>
              <w:rPr>
                <w:sz w:val="1"/>
                <w:szCs w:val="1"/>
                <w:color w:val="auto"/>
              </w:rPr>
            </w:pPr>
          </w:p>
        </w:tc>
      </w:tr>
      <w:tr>
        <w:trPr>
          <w:trHeight w:val="17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(313,375)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(313,375)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(154,657)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(468,032)</w:t>
            </w:r>
          </w:p>
        </w:tc>
        <w:tc>
          <w:tcPr>
            <w:tcW w:w="0" w:type="dxa"/>
            <w:vAlign w:val="bottom"/>
          </w:tcPr>
          <w:p>
            <w:pPr>
              <w:spacing w:after="0"/>
              <w:rPr>
                <w:sz w:val="1"/>
                <w:szCs w:val="1"/>
                <w:color w:val="auto"/>
              </w:rPr>
            </w:pPr>
          </w:p>
        </w:tc>
      </w:tr>
      <w:tr>
        <w:trPr>
          <w:trHeight w:val="181"/>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3,825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5,481</w:t>
            </w:r>
          </w:p>
        </w:tc>
        <w:tc>
          <w:tcPr>
            <w:tcW w:w="0" w:type="dxa"/>
            <w:vAlign w:val="bottom"/>
          </w:tcPr>
          <w:p>
            <w:pPr>
              <w:spacing w:after="0"/>
              <w:rPr>
                <w:sz w:val="1"/>
                <w:szCs w:val="1"/>
                <w:color w:val="auto"/>
              </w:rPr>
            </w:pPr>
          </w:p>
        </w:tc>
      </w:tr>
      <w:tr>
        <w:trPr>
          <w:trHeight w:val="17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597,236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9,288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9,288</w:t>
            </w:r>
          </w:p>
        </w:tc>
        <w:tc>
          <w:tcPr>
            <w:tcW w:w="0" w:type="dxa"/>
            <w:vAlign w:val="bottom"/>
          </w:tcPr>
          <w:p>
            <w:pPr>
              <w:spacing w:after="0"/>
              <w:rPr>
                <w:sz w:val="1"/>
                <w:szCs w:val="1"/>
                <w:color w:val="auto"/>
              </w:rPr>
            </w:pPr>
          </w:p>
        </w:tc>
      </w:tr>
      <w:tr>
        <w:trPr>
          <w:trHeight w:val="181"/>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2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Shares repurchased by the Company and held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as treasury 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(2,522,037)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(149,305)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(149,305)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(149,305)</w:t>
            </w:r>
          </w:p>
        </w:tc>
        <w:tc>
          <w:tcPr>
            <w:tcW w:w="0" w:type="dxa"/>
            <w:vAlign w:val="bottom"/>
          </w:tcPr>
          <w:p>
            <w:pPr>
              <w:spacing w:after="0"/>
              <w:rPr>
                <w:sz w:val="1"/>
                <w:szCs w:val="1"/>
                <w:color w:val="auto"/>
              </w:rPr>
            </w:pPr>
          </w:p>
        </w:tc>
      </w:tr>
      <w:tr>
        <w:trPr>
          <w:trHeight w:val="183"/>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 to noncontrolling interest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(16,523)</w:t>
            </w:r>
          </w:p>
        </w:tc>
        <w:tc>
          <w:tcPr>
            <w:tcW w:w="0" w:type="dxa"/>
            <w:vAlign w:val="bottom"/>
          </w:tcPr>
          <w:p>
            <w:pPr>
              <w:spacing w:after="0"/>
              <w:rPr>
                <w:sz w:val="1"/>
                <w:szCs w:val="1"/>
                <w:color w:val="auto"/>
              </w:rPr>
            </w:pPr>
          </w:p>
        </w:tc>
      </w:tr>
      <w:tr>
        <w:trPr>
          <w:trHeight w:val="17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Contribution from noncontrolling interest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48,559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48,559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50,033</w:t>
            </w:r>
          </w:p>
        </w:tc>
        <w:tc>
          <w:tcPr>
            <w:tcW w:w="0" w:type="dxa"/>
            <w:vAlign w:val="bottom"/>
          </w:tcPr>
          <w:p>
            <w:pPr>
              <w:spacing w:after="0"/>
              <w:rPr>
                <w:sz w:val="1"/>
                <w:szCs w:val="1"/>
                <w:color w:val="auto"/>
              </w:rPr>
            </w:pPr>
          </w:p>
        </w:tc>
      </w:tr>
      <w:tr>
        <w:trPr>
          <w:trHeight w:val="181"/>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Subsidiary equity issuance</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(16,750)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(16,750)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19,646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2,896</w:t>
            </w:r>
          </w:p>
        </w:tc>
        <w:tc>
          <w:tcPr>
            <w:tcW w:w="0" w:type="dxa"/>
            <w:vAlign w:val="bottom"/>
          </w:tcPr>
          <w:p>
            <w:pPr>
              <w:spacing w:after="0"/>
              <w:rPr>
                <w:sz w:val="1"/>
                <w:szCs w:val="1"/>
                <w:color w:val="auto"/>
              </w:rPr>
            </w:pPr>
          </w:p>
        </w:tc>
      </w:tr>
      <w:tr>
        <w:trPr>
          <w:trHeight w:val="17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22,692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22,814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28,123</w:t>
            </w:r>
          </w:p>
        </w:tc>
        <w:tc>
          <w:tcPr>
            <w:tcW w:w="0" w:type="dxa"/>
            <w:vAlign w:val="bottom"/>
          </w:tcPr>
          <w:p>
            <w:pPr>
              <w:spacing w:after="0"/>
              <w:rPr>
                <w:sz w:val="1"/>
                <w:szCs w:val="1"/>
                <w:color w:val="auto"/>
              </w:rPr>
            </w:pPr>
          </w:p>
        </w:tc>
      </w:tr>
      <w:tr>
        <w:trPr>
          <w:trHeight w:val="200"/>
        </w:trPr>
        <w:tc>
          <w:tcPr>
            <w:tcW w:w="2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June 30, 2022</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113,707,642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(1,585,678)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3,566,498</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(2,601,331)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(609,362)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(764,892)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(1,374,254)</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2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3"/>
                <w:szCs w:val="13"/>
                <w:b w:val="1"/>
                <w:bCs w:val="1"/>
                <w:color w:val="auto"/>
              </w:rPr>
              <w:t>For the Six Months Ended June 30, 2021</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Total Wynn</w:t>
            </w: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0"/>
                <w:szCs w:val="10"/>
                <w:color w:val="auto"/>
              </w:rPr>
            </w:pPr>
          </w:p>
        </w:tc>
        <w:tc>
          <w:tcPr>
            <w:tcW w:w="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0"/>
                <w:szCs w:val="10"/>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2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equity (deficit)</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00" w:type="dxa"/>
            <w:vAlign w:val="bottom"/>
          </w:tcPr>
          <w:p>
            <w:pPr>
              <w:spacing w:after="0"/>
              <w:rPr>
                <w:sz w:val="15"/>
                <w:szCs w:val="15"/>
                <w:color w:val="auto"/>
              </w:rPr>
            </w:pPr>
          </w:p>
        </w:tc>
        <w:tc>
          <w:tcPr>
            <w:tcW w:w="8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76"/>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January 1, 2021</w:t>
            </w:r>
          </w:p>
        </w:tc>
        <w:tc>
          <w:tcPr>
            <w:tcW w:w="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107,888,336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(1,422,531)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2,598,115</w:t>
            </w: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(1,532,420)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(351,997)</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(385,320)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(737,317)</w:t>
            </w:r>
          </w:p>
        </w:tc>
        <w:tc>
          <w:tcPr>
            <w:tcW w:w="0" w:type="dxa"/>
            <w:vAlign w:val="bottom"/>
          </w:tcPr>
          <w:p>
            <w:pPr>
              <w:spacing w:after="0"/>
              <w:rPr>
                <w:sz w:val="1"/>
                <w:szCs w:val="1"/>
                <w:color w:val="auto"/>
              </w:rPr>
            </w:pPr>
          </w:p>
        </w:tc>
      </w:tr>
      <w:tr>
        <w:trPr>
          <w:trHeight w:val="17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(412,347)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(412,347)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(97,229)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(509,576)</w:t>
            </w:r>
          </w:p>
        </w:tc>
        <w:tc>
          <w:tcPr>
            <w:tcW w:w="0" w:type="dxa"/>
            <w:vAlign w:val="bottom"/>
          </w:tcPr>
          <w:p>
            <w:pPr>
              <w:spacing w:after="0"/>
              <w:rPr>
                <w:sz w:val="1"/>
                <w:szCs w:val="1"/>
                <w:color w:val="auto"/>
              </w:rPr>
            </w:pPr>
          </w:p>
        </w:tc>
      </w:tr>
      <w:tr>
        <w:trPr>
          <w:trHeight w:val="181"/>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2,689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3,742</w:t>
            </w:r>
          </w:p>
        </w:tc>
        <w:tc>
          <w:tcPr>
            <w:tcW w:w="0" w:type="dxa"/>
            <w:vAlign w:val="bottom"/>
          </w:tcPr>
          <w:p>
            <w:pPr>
              <w:spacing w:after="0"/>
              <w:rPr>
                <w:sz w:val="1"/>
                <w:szCs w:val="1"/>
                <w:color w:val="auto"/>
              </w:rPr>
            </w:pPr>
          </w:p>
        </w:tc>
      </w:tr>
      <w:tr>
        <w:trPr>
          <w:trHeight w:val="122"/>
        </w:trPr>
        <w:tc>
          <w:tcPr>
            <w:tcW w:w="2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common stock, net of $17.7</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million underwriter discounts, commissions</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and other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7,475,000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841,821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841,896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841,896</w:t>
            </w:r>
          </w:p>
        </w:tc>
        <w:tc>
          <w:tcPr>
            <w:tcW w:w="0" w:type="dxa"/>
            <w:vAlign w:val="bottom"/>
          </w:tcPr>
          <w:p>
            <w:pPr>
              <w:spacing w:after="0"/>
              <w:rPr>
                <w:sz w:val="1"/>
                <w:szCs w:val="1"/>
                <w:color w:val="auto"/>
              </w:rPr>
            </w:pPr>
          </w:p>
        </w:tc>
      </w:tr>
      <w:tr>
        <w:trPr>
          <w:trHeight w:val="183"/>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379,971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5,902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6,272</w:t>
            </w:r>
          </w:p>
        </w:tc>
        <w:tc>
          <w:tcPr>
            <w:tcW w:w="0" w:type="dxa"/>
            <w:vAlign w:val="bottom"/>
          </w:tcPr>
          <w:p>
            <w:pPr>
              <w:spacing w:after="0"/>
              <w:rPr>
                <w:sz w:val="1"/>
                <w:szCs w:val="1"/>
                <w:color w:val="auto"/>
              </w:rPr>
            </w:pPr>
          </w:p>
        </w:tc>
      </w:tr>
      <w:tr>
        <w:trPr>
          <w:trHeight w:val="17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127"/>
        </w:trPr>
        <w:tc>
          <w:tcPr>
            <w:tcW w:w="24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9"/>
              </w:rPr>
              <w:t>Shares repurchased by the Company and held</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 treasury shares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(39,790)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(4,563)</w:t>
            </w:r>
          </w:p>
        </w:tc>
        <w:tc>
          <w:tcPr>
            <w:tcW w:w="0" w:type="dxa"/>
            <w:vAlign w:val="bottom"/>
          </w:tcPr>
          <w:p>
            <w:pPr>
              <w:spacing w:after="0"/>
              <w:rPr>
                <w:sz w:val="1"/>
                <w:szCs w:val="1"/>
                <w:color w:val="auto"/>
              </w:rPr>
            </w:pPr>
          </w:p>
        </w:tc>
      </w:tr>
      <w:tr>
        <w:trPr>
          <w:trHeight w:val="17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Distribution to noncontrolling interest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(6,479)</w:t>
            </w:r>
          </w:p>
        </w:tc>
        <w:tc>
          <w:tcPr>
            <w:tcW w:w="0" w:type="dxa"/>
            <w:vAlign w:val="bottom"/>
          </w:tcPr>
          <w:p>
            <w:pPr>
              <w:spacing w:after="0"/>
              <w:rPr>
                <w:sz w:val="1"/>
                <w:szCs w:val="1"/>
                <w:color w:val="auto"/>
              </w:rPr>
            </w:pPr>
          </w:p>
        </w:tc>
      </w:tr>
      <w:tr>
        <w:trPr>
          <w:trHeight w:val="181"/>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Subsidiary equity issuance</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25,371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5,160</w:t>
            </w:r>
          </w:p>
        </w:tc>
        <w:tc>
          <w:tcPr>
            <w:tcW w:w="0" w:type="dxa"/>
            <w:vAlign w:val="bottom"/>
          </w:tcPr>
          <w:p>
            <w:pPr>
              <w:spacing w:after="0"/>
              <w:rPr>
                <w:sz w:val="1"/>
                <w:szCs w:val="1"/>
                <w:color w:val="auto"/>
              </w:rPr>
            </w:pPr>
          </w:p>
        </w:tc>
      </w:tr>
      <w:tr>
        <w:trPr>
          <w:trHeight w:val="170"/>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41,284</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41,284</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5,628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46,912</w:t>
            </w:r>
          </w:p>
        </w:tc>
        <w:tc>
          <w:tcPr>
            <w:tcW w:w="0" w:type="dxa"/>
            <w:vAlign w:val="bottom"/>
          </w:tcPr>
          <w:p>
            <w:pPr>
              <w:spacing w:after="0"/>
              <w:rPr>
                <w:sz w:val="1"/>
                <w:szCs w:val="1"/>
                <w:color w:val="auto"/>
              </w:rPr>
            </w:pPr>
          </w:p>
        </w:tc>
      </w:tr>
      <w:tr>
        <w:trPr>
          <w:trHeight w:val="195"/>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June 30, 2021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115,683,983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(1,427,094)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3,466,908</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6,293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(1,944,668)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102,752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(456,591)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(353,839)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(468,032)</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(509,576)</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347,524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368,428</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49,453</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13,241</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7,808</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derivatives fair value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(5,381)</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Property charges and other</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97,855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16,808</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(decrease) in cash from changes in:</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Receivables,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(53,799)</w:t>
            </w:r>
          </w:p>
        </w:tc>
      </w:tr>
      <w:tr>
        <w:trPr>
          <w:trHeight w:val="213"/>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Inventories, prepaid expenses and other</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(35,819)</w:t>
            </w:r>
          </w:p>
        </w:tc>
      </w:tr>
      <w:tr>
        <w:trPr>
          <w:trHeight w:val="21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Customer deposits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(144,407)</w:t>
            </w:r>
          </w:p>
        </w:tc>
      </w:tr>
      <w:tr>
        <w:trPr>
          <w:trHeight w:val="213"/>
        </w:trPr>
        <w:tc>
          <w:tcPr>
            <w:tcW w:w="79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(149,637)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65,882</w:t>
            </w:r>
          </w:p>
        </w:tc>
      </w:tr>
      <w:tr>
        <w:trPr>
          <w:trHeight w:val="212"/>
        </w:trPr>
        <w:tc>
          <w:tcPr>
            <w:tcW w:w="79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(157,451)</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(226,807)</w:t>
            </w:r>
          </w:p>
        </w:tc>
      </w:tr>
      <w:tr>
        <w:trPr>
          <w:trHeight w:val="19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8"/>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 expenditures, net of construction payables and retention</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(186,038)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(110,045)</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 of intangible and other assets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(15,741)</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sale of assets and other</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w:t>
            </w:r>
          </w:p>
        </w:tc>
      </w:tr>
      <w:tr>
        <w:trPr>
          <w:trHeight w:val="208"/>
        </w:trPr>
        <w:tc>
          <w:tcPr>
            <w:tcW w:w="79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(195,384)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(122,284)</w:t>
            </w:r>
          </w:p>
        </w:tc>
      </w:tr>
      <w:tr>
        <w:trPr>
          <w:trHeight w:val="19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3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50,058</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(1,205,099)</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issuance of Wynn Resorts, Limited common stock</w:t>
            </w:r>
          </w:p>
        </w:tc>
        <w:tc>
          <w:tcPr>
            <w:tcW w:w="3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841,896</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(149,305)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issuance of subsidiary common stock</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4,662</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sale of additional interest in joint venture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Distribution to noncontrolling interest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(6,479)</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Dividends paid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Finance lease payments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(7,784)</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for financing costs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w:t>
            </w:r>
          </w:p>
        </w:tc>
      </w:tr>
      <w:tr>
        <w:trPr>
          <w:trHeight w:val="208"/>
        </w:trPr>
        <w:tc>
          <w:tcPr>
            <w:tcW w:w="79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(150,906)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(329,849)</w:t>
            </w: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on cash, cash equivalents and restricted cash</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(3,590)</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1,641</w:t>
            </w:r>
          </w:p>
        </w:tc>
      </w:tr>
      <w:tr>
        <w:trPr>
          <w:trHeight w:val="19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8"/>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Decrease in cash, cash equivalents and restricted cash</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(507,331)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(677,299)</w:t>
            </w:r>
          </w:p>
        </w:tc>
      </w:tr>
      <w:tr>
        <w:trPr>
          <w:trHeight w:val="214"/>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Balance, beginning of period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2,531,067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3,486,384</w:t>
            </w:r>
          </w:p>
        </w:tc>
      </w:tr>
      <w:tr>
        <w:trPr>
          <w:trHeight w:val="234"/>
        </w:trPr>
        <w:tc>
          <w:tcPr>
            <w:tcW w:w="7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2,023,736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2,809,085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7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paid for interest, net of amounts capitalized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292,218</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294,011</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Liability settled with shares of common stock</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6,272</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and construction payables related to property and equipment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47,305</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66,701</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liabilities related to intangible assets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13,796</w:t>
            </w:r>
          </w:p>
        </w:tc>
      </w:tr>
      <w:tr>
        <w:trPr>
          <w:trHeight w:val="210"/>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Finance lease liabilities arising from obtaining finance lease assets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4,135</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7,423</w:t>
            </w:r>
          </w:p>
        </w:tc>
      </w:tr>
    </w:tbl>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w:t>
      </w:r>
    </w:p>
    <w:p>
      <w:pPr>
        <w:spacing w:after="0" w:line="20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the Macau Special Administrative Region ("Macau") of the People's Republic of China ("PRC"),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In Everett, Massachusetts, the Company owns 100% of and operates Encore Boston Harbor, an integrated resort. The Company also holds an approximately 85% interest in, and consolidates, Wynn Interactive Ltd. ("Wynn Interactive"), through which it operates online sports betting, gaming, and social casino businesses.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 Related to COVID-19</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241" w:lineRule="exact"/>
        <w:rPr>
          <w:sz w:val="20"/>
          <w:szCs w:val="20"/>
          <w:color w:val="auto"/>
        </w:rPr>
      </w:pPr>
    </w:p>
    <w:p>
      <w:pPr>
        <w:jc w:val="both"/>
        <w:ind w:firstLine="405"/>
        <w:spacing w:after="0" w:line="236" w:lineRule="auto"/>
        <w:rPr>
          <w:sz w:val="20"/>
          <w:szCs w:val="20"/>
          <w:color w:val="auto"/>
        </w:rPr>
      </w:pPr>
      <w:r>
        <w:rPr>
          <w:rFonts w:ascii="Times New Roman" w:cs="Times New Roman" w:eastAsia="Times New Roman" w:hAnsi="Times New Roman"/>
          <w:sz w:val="18"/>
          <w:szCs w:val="18"/>
          <w:color w:val="auto"/>
        </w:rPr>
        <w:t>Visitation to Macau has fallen significantly since the outbreak of COVID-19, driven by the strong deterrent effect of the COVID-19 pandemic on travel and social activities, quarantine measures put in place in Macau and elsewhere, travel and entry restrictions and conditions in Macau, the PRC, Hong Kong and Taiwan involving COVID-19 testing, and mandatory quarantine, among other things, and the suspension or reduced accessibility of transportation to and from Macau. Although there have been periods during which certain restrictions and conditions were eased by the Macau government to allow for greater visitation and quarantine-free travel to Macau, adverse conditions and evolving conditions created by and in response to the COVID-19 pandemic may cause these restrictions and conditions to be reintroduced. For example, in response to an outbreak in Macau which initially commenced in mid-June 2022, the Macau government extended its COVID-19 containment measures, including the closures of casino operations in full as well as all non-essential business as of July 11, 2022, and the closure and the limiting of the opening hours and/or operational capacity of various areas and facilities in Macau. On July 23, 2022, casino operations at Wynn Palace and Wynn Macau resumed on a limited basis, and remain limited at the present time due to severely reduced visitation to Macau as a result of enhanced border controls. On August 2, 2022, the Macau government lifted most of the remaining enhanced COVID-19 restrictions which went into effect in June and July and limited non-gaming operations at Wynn Palace and Wynn Macau began to resume. Certain enhanced COVID-19 protective measures remain in effect at the present time with respect to gaming and non-gaming operations. Given the uncertainty around the extent and timing of the potential future spread or mitigation of COVID-19 and around the imposition or relaxation of containment measures, management cannot predict whether future closures, in full or in part, will occur in our properties, and cannot reasonably estimate the impact to the Company's future results of operations, cash flows, or financial condition.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4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COVID-19 pandemic has materially impacted and is likely to continue to materially impact our business, financial condition and results of operations. As of June 30, 2022, the Company had total cash and cash equivalents, excluding restricted cash, of $2.01 billion, and had access to $835.6 million of available borrowing capacity from the WRF Revolver and $211.5 million of available borrowing capacity from the WM Cayman II Revolver. As a result of the negative impact the COVID-19 pandemic has had, and will likely continue to have, on our operating income, the Company has suspended its dividend program for the foreseeable future. Given the Company's liquidity position as of June 30, 2022, the Company believes it will be able to support continuing operations and respond to the continuing impact of the COVID-19 pandemic and related economic disruptions.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Gaming Concession</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June 23, 2022, Wynn Resorts (Macau) S.A. ("WRM") and the Macau government entered into a concession extension agreement (the "Concession Extension Agreement"), pursuant to which the expiration date of WRM's gaming concession was extended from June 26, 2022 to Decem</w:t>
      </w:r>
      <w:r>
        <w:rPr>
          <w:rFonts w:ascii="Times New Roman" w:cs="Times New Roman" w:eastAsia="Times New Roman" w:hAnsi="Times New Roman"/>
          <w:sz w:val="18"/>
          <w:szCs w:val="18"/>
          <w:color w:val="231E1F"/>
        </w:rPr>
        <w:t>ber 31,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E1F"/>
        </w:rPr>
        <w:t>Under the Concession Extension Agreement, WRM paid the Macau</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E1F"/>
        </w:rPr>
        <w:t>government MOP47.0 million (approximately $6.0 million) as a contract premium for the extension, and by no later than September 23, 2022 will provide a first demand bank guarantee of not less than MOP1,210.0 million (approximately $150.0 million) in favor of the Macau government for securing the fulfillment of its labor liabilities upon the expiration of the Concession Extension Agreement.</w:t>
      </w:r>
    </w:p>
    <w:p>
      <w:pPr>
        <w:spacing w:after="0" w:line="20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E1F"/>
        </w:rPr>
        <w:t>In order to enable WRM to fulfill the relevant requirements to become eligible to obtain a concession extension, each of WRM and Palo Real Estate Company Limited ("Palo") (the land concessionaires of Wynn Macau and Wynn Palace, respectively) entered into a letter of undertaking, pursuant to which each of WRM and Palo has undertaken, pursuant to Article 40 of the Macau gaming law and Clause 43 of the concession agreement, to revert to the Macau government relevant gaming equipment and gaming areas at Wynn Macau and Wynn Palace, without compensation and free of encumbrance upon the expiration of the concession agreement term, as amended by the Concession Extension Agreement.</w:t>
      </w:r>
    </w:p>
    <w:p>
      <w:pPr>
        <w:spacing w:after="0" w:line="21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E1F"/>
        </w:rPr>
        <w:t>Under the indentures governing the Company’s $4.7 billion aggregate principal amount of WML Senior Notes and the facility agreement governing the WM Cayman II Revolver, upon the occurrence of any event after which the Company does not own or manage casino or gaming areas or operate casino games of fortune and chance in Macau in substantially the same manner and scope as of the issue date of the respective senior notes or the date of the facility agreement, for a period of 10 consecutive days or more in the case of the WML Senior Notes or a period of 30 consecutive days or more in the case of the WM Cayman II Revolver, and such event has a material adverse effect on the financial condition, business, properties or results of operations of WML and its subsidiaries, taken as a whole, holders of the WML Senior Notes can require the Company to repurchase all or any part of the WML Senior Notes at par, plus any accrued and unpaid interest (the "Special Put Option"), and any amounts owed under the WM Cayman II Revolver may become immediately due and payable (the "Property Mandatory Prepayment Event").</w:t>
      </w:r>
    </w:p>
    <w:p>
      <w:pPr>
        <w:spacing w:after="0" w:line="21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E1F"/>
        </w:rPr>
        <w:t>In June 2022, the Macau government published the amendments to the Macau gaming law approved by the Macau Legislative Assembly. These amendments include, for example, the awarding of up to six gaming concessions with a term up to ten years with a maximum three-year extension possible, and an increase in the minimum capital requirement applicable to concession holders to MOP5.0 billion (approximately $625.0 million), an increase in the percentage of the share capital of the concessionaire that must be held by the local managing director to 15% from 10% and a prohibition on revenue sharing arrangements between gaming promoters and concession holders. The Macau government also published the administrative regulations and related documents in relation to a public tender for the awarding of new gaming concessions in July 2022. Upon the publication and entry into force of the revised gaming law on June 23, 2022, the Company is monitoring developments with respect to the Macau government's public tender process, including the adoption of additional administrative regulations, instructions, dispatches, and further adaptations to the current legal and regulatory system, and at this time believes that its concession agreement will be further extended, renewed or replaced by a new gaming concession agreement beyond December 31, 2022. However, it is possible the Macau government could further change or interpret the associated gaming laws in a manner that could negatively impact the Company.</w:t>
      </w:r>
    </w:p>
    <w:p>
      <w:pPr>
        <w:spacing w:after="0" w:line="2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E1F"/>
        </w:rPr>
        <w:t>If the Company is unable to further extend or renew its concession agreement or obtain a new gaming concession agreement, an election by the WML Senior Notes holders to exercise the Special Put Option and the triggering of the Property Mandatory Prepayment Event would have a material adverse effect on the Company’s business, financial condition, results of operations, and cash flows.</w:t>
      </w:r>
    </w:p>
    <w:p>
      <w:pPr>
        <w:spacing w:after="0" w:line="19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2 -</w:t>
        <w:tab/>
        <w:t>Basis of Presentation and 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and six months ended June 30, 2022 are not necessarily indicative of results to be expected for any other interim period or the full fiscal year ending December 31, 2022. These condensed consolidated financial statements should be read in conjunction with the consolidated financial statements and notes thereto in the Company's Annual Report on Form 10-K for the year ended December 31, 2021.</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its majority-owned subsidiaries and entities the Company identifies as variable interest entities ("VIEs") of which the Company is determined to be the primary beneficiary. For information on the Company's VIEs, see Note 17, "Retail Joint Venture." All significant intercompany accounts and transactions have been eliminated. Certain amounts in the condensed consolidated financial statements for the second quarter of 2021 have been reclassified to be consistent with the current quarter presentation. These reclassifications had no effect on the previously reported net loss or operating loss.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inputs into the Company's estimated allowance for credit losses, estimates regarding the useful lives and recoverability of the cost of long-lived assets, fair value estimates of intangible assets and their estimated useful lives, and litigation and contingency estimates.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Taxes</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revenues in the jurisdictions in which it operates, subject to applicable jurisdictional adjustments. These gaming taxes are recorded as casino expenses in the accompanying Condensed Consolidated Statements of Operations. These taxes totaled $106.3 million and $234.2 million for the three months ended June 30, 2022 and 2021, respectively, and $283.2 million and $449.2 million for the six months ended June 30, 2022 and 2021,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4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March 2020, the FASB issued ASU No. 2020-04, "Reference Rate Reform (Topic 848): Facilitation of the Effects of Reference Rate Reform on Financial Reporting" ("ASU 2020-04"). ASU 2020-04 provides optional expedients and exceptions for applying GAAP to contracts, hedging relationships, and other transactions affected by reference rate reform if certain criteria are met. In response to the concerns about structural risks of interbank offered rates and, particularly, the planned cessation of the London Interbank Offered Rate (referred to as "LIBOR"), regulators in several jurisdictions around the world have undertaken reference rate reform initiatives to identify alternative reference rates that are more observable or transaction-based and less susceptible to manipulation. ASU 2020-04 also provides companies with optional guidance to ease the potential accounting burden associated with transitioning away from reference rates that are expected to be discontinued. ASU 2020-04 must be adopted no later than December 1, 2022 with early adoption permitted. The Company is currently assessing the impact the adoption of the new guidance will have on its consolidated financial statements.</w:t>
      </w:r>
    </w:p>
    <w:p>
      <w:pPr>
        <w:spacing w:after="0" w:line="25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3 -</w:t>
        <w:tab/>
        <w:t>Cash, Cash Equivalents and Restricted Cash</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43"/>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Cash </w:t>
            </w:r>
            <w:r>
              <w:rPr>
                <w:rFonts w:ascii="Times New Roman" w:cs="Times New Roman" w:eastAsia="Times New Roman" w:hAnsi="Times New Roman"/>
                <w:sz w:val="14"/>
                <w:szCs w:val="14"/>
                <w:color w:val="auto"/>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1,298,200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2,021,553</w:t>
            </w:r>
          </w:p>
        </w:tc>
      </w:tr>
      <w:tr>
        <w:trPr>
          <w:trHeight w:val="243"/>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4"/>
                <w:szCs w:val="14"/>
                <w:color w:val="auto"/>
              </w:rPr>
              <w:t>(2)</w:t>
            </w: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716,698</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500,977</w:t>
            </w:r>
          </w:p>
        </w:tc>
      </w:tr>
      <w:tr>
        <w:trPr>
          <w:trHeight w:val="223"/>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2,014,898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2,522,530</w:t>
            </w: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14"/>
                <w:szCs w:val="14"/>
                <w:color w:val="auto"/>
              </w:rPr>
              <w:t>(3)</w:t>
            </w: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2,023,736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2,531,067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-5080</wp:posOffset>
            </wp:positionV>
            <wp:extent cx="20828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ind w:left="220" w:hanging="194"/>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consists of cash on hand and bank deposits.</w:t>
      </w:r>
    </w:p>
    <w:p>
      <w:pPr>
        <w:spacing w:after="0" w:line="3" w:lineRule="exact"/>
        <w:rPr>
          <w:rFonts w:ascii="Times New Roman" w:cs="Times New Roman" w:eastAsia="Times New Roman" w:hAnsi="Times New Roman"/>
          <w:sz w:val="14"/>
          <w:szCs w:val="14"/>
          <w:color w:val="auto"/>
        </w:rPr>
      </w:pPr>
    </w:p>
    <w:p>
      <w:pPr>
        <w:ind w:left="220" w:hanging="194"/>
        <w:spacing w:after="0" w:line="201" w:lineRule="auto"/>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equivalents consist of bank time deposits and money market funds.</w:t>
      </w:r>
    </w:p>
    <w:p>
      <w:pPr>
        <w:ind w:left="220" w:hanging="194"/>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cash consists of cash subject to certain contractual restrictions, cash collateral associated with obligations and cash held in a trust in accordance with WML's share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-277495</wp:posOffset>
            </wp:positionV>
            <wp:extent cx="20828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4 -</w:t>
        <w:tab/>
        <w:t>Receivables,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Receivables, net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Casino</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199,030</w:t>
            </w: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36,749</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75,003</w:t>
            </w:r>
          </w:p>
        </w:tc>
      </w:tr>
      <w:tr>
        <w:trPr>
          <w:trHeight w:val="223"/>
        </w:trPr>
        <w:tc>
          <w:tcPr>
            <w:tcW w:w="7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278,959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310,782</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(111,319)</w:t>
            </w:r>
          </w:p>
        </w:tc>
      </w:tr>
      <w:tr>
        <w:trPr>
          <w:trHeight w:val="223"/>
        </w:trPr>
        <w:tc>
          <w:tcPr>
            <w:tcW w:w="79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186,380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199,463</w:t>
            </w:r>
          </w:p>
        </w:tc>
      </w:tr>
      <w:tr>
        <w:trPr>
          <w:trHeight w:val="21"/>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approximately 63.9% and 70.3%, respectively, of the Company's markers were due from customers residing outside the United States, primarily in Asia. Business or economic conditions or other significant events in the countries in which the Company's customers reside could affect the collectability of such receivables.</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allowance for casino credit losses was 48.7% and 53.7% of gross casino receivables as of June 30, 2022 and December 31, 2021, respectively. Although the Company believes that its allowance is adequate, it is possible the estimated amounts of cash collections with respect to receivables could change. The Company’s allowance for credit losses from its hotel and other receivables is not material.</w:t>
      </w:r>
    </w:p>
    <w:p>
      <w:pPr>
        <w:spacing w:after="0" w:line="20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shows the movement in the Company's allowance for credit losses recognized for receivables that occurred during the periods presented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111,319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100,329</w:t>
            </w:r>
          </w:p>
        </w:tc>
        <w:tc>
          <w:tcPr>
            <w:tcW w:w="0" w:type="dxa"/>
            <w:vAlign w:val="bottom"/>
          </w:tcPr>
          <w:p>
            <w:pPr>
              <w:spacing w:after="0"/>
              <w:rPr>
                <w:sz w:val="1"/>
                <w:szCs w:val="1"/>
                <w:color w:val="auto"/>
              </w:rPr>
            </w:pPr>
          </w:p>
        </w:tc>
      </w:tr>
      <w:tr>
        <w:trPr>
          <w:trHeight w:val="230"/>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Write-offs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0" w:type="dxa"/>
            <w:vAlign w:val="bottom"/>
          </w:tcPr>
          <w:p>
            <w:pPr>
              <w:spacing w:after="0"/>
              <w:rPr>
                <w:sz w:val="1"/>
                <w:szCs w:val="1"/>
                <w:color w:val="auto"/>
              </w:rPr>
            </w:pPr>
          </w:p>
        </w:tc>
      </w:tr>
      <w:tr>
        <w:trPr>
          <w:trHeight w:val="229"/>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Recoveries of receivables previously written off</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exchange rate</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92,579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98,043</w:t>
            </w:r>
          </w:p>
        </w:tc>
        <w:tc>
          <w:tcPr>
            <w:tcW w:w="0" w:type="dxa"/>
            <w:vAlign w:val="bottom"/>
          </w:tcPr>
          <w:p>
            <w:pPr>
              <w:spacing w:after="0"/>
              <w:rPr>
                <w:sz w:val="1"/>
                <w:szCs w:val="1"/>
                <w:color w:val="auto"/>
              </w:rPr>
            </w:pPr>
          </w:p>
        </w:tc>
      </w:tr>
      <w:tr>
        <w:trPr>
          <w:trHeight w:val="21"/>
        </w:trPr>
        <w:tc>
          <w:tcPr>
            <w:tcW w:w="7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 net</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7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9,832,607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9,785,514</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1,296,556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1,278,010</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3,099,965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3,067,793</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Airplanes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110,623</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194,914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250,378</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14,534,665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14,492,318</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(5,938,012)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(5,727,010)</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8,596,653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8,765,308</w:t>
            </w: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June 30, 2022, construction in progress consisted primarily of costs capitalized for various capital enhancements at the Company's properties, including reconfiguring the former Le Reve theater space at Wynn Las Vegas. As of December 31,</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2021, construction in progress consisted primarily of costs capitalized for various capital enhancements at the Company's properties, including the Wynn Las Vegas room remodel, which was placed in service during the second quarter of 2022.</w:t>
      </w:r>
    </w:p>
    <w:p>
      <w:pPr>
        <w:spacing w:after="0" w:line="18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June 30, 2022 and 2021 was $154.1 million and $176.1 million, respectively, and depreciation expense for the six months ended June 30, 2022 and 2021 was $330.4 million and $353.9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Encore Boston Harbor Real Estate Sale and Leaseback</w:t>
      </w:r>
    </w:p>
    <w:p>
      <w:pPr>
        <w:spacing w:after="0" w:line="2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February 14, 2022, Wynn MA, LLC, the owner and operator of Encore Boston Harbor and an indirect, wholly owned subsidiary of WRL (“Wynn MA”), entered into a sale-leaseback arrangement with respect to certain real estate assets related to Encore Boston Harbor. Upon closing of the related transactions, which is currently expected to take place in the fourth quarter of 2022 subject to the receipt of required regulatory approvals and customary closing conditions, the Company expects to receive cash consideration of approximately $1.7 billion in exchange for the sale of such real estate assets to an unrelated third party, and to concurrently enter into a master lease agreement whereby Wynn MA and certain of its affiliates will lease such real estate assets for the purpose of continuing to operate the Encore Boston Harbor property. The master lease agreement provides for an initial annual rent of $100.0 million for a term of 30 years with one 30-year renewal option, subject to certain annual rent escalations. The Company expects to use the cash proceeds from the sale of the real estate assets for general corporate purposes, which may include the repayment of certain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6 -</w:t>
        <w:tab/>
        <w:t>Goodwill and Intangible Assets, net</w:t>
      </w:r>
    </w:p>
    <w:p>
      <w:pPr>
        <w:spacing w:after="0" w:line="256"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shows the movement in the Company's goodwill and intangible assets, net balances that occurred during the periods presented (in thousands):</w:t>
      </w: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Macau gaming concession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42,300</w:t>
            </w:r>
          </w:p>
        </w:tc>
      </w:tr>
      <w:tr>
        <w:trPr>
          <w:trHeight w:val="230"/>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(41,114)</w:t>
            </w:r>
          </w:p>
        </w:tc>
      </w:tr>
      <w:tr>
        <w:trPr>
          <w:trHeight w:val="223"/>
        </w:trPr>
        <w:tc>
          <w:tcPr>
            <w:tcW w:w="79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5,964</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1,186</w:t>
            </w:r>
          </w:p>
        </w:tc>
      </w:tr>
      <w:tr>
        <w:trPr>
          <w:trHeight w:val="270"/>
        </w:trPr>
        <w:tc>
          <w:tcPr>
            <w:tcW w:w="79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0"/>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Massachusetts gaming license</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117,700</w:t>
            </w:r>
          </w:p>
        </w:tc>
      </w:tr>
      <w:tr>
        <w:trPr>
          <w:trHeight w:val="229"/>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(19,791)</w:t>
            </w:r>
          </w:p>
        </w:tc>
      </w:tr>
      <w:tr>
        <w:trPr>
          <w:trHeight w:val="223"/>
        </w:trPr>
        <w:tc>
          <w:tcPr>
            <w:tcW w:w="7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93,986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97,909</w:t>
            </w:r>
          </w:p>
        </w:tc>
      </w:tr>
      <w:tr>
        <w:trPr>
          <w:trHeight w:val="270"/>
        </w:trPr>
        <w:tc>
          <w:tcPr>
            <w:tcW w:w="79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29"/>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finite-lived intangible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76,317</w:t>
            </w:r>
          </w:p>
        </w:tc>
      </w:tr>
      <w:tr>
        <w:trPr>
          <w:trHeight w:val="229"/>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w:t>
            </w:r>
          </w:p>
        </w:tc>
      </w:tr>
      <w:tr>
        <w:trPr>
          <w:trHeight w:val="223"/>
        </w:trPr>
        <w:tc>
          <w:tcPr>
            <w:tcW w:w="7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57,653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70,348</w:t>
            </w:r>
          </w:p>
        </w:tc>
      </w:tr>
      <w:tr>
        <w:trPr>
          <w:trHeight w:val="270"/>
        </w:trPr>
        <w:tc>
          <w:tcPr>
            <w:tcW w:w="79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spacing w:after="0"/>
              <w:rPr>
                <w:sz w:val="23"/>
                <w:szCs w:val="23"/>
                <w:color w:val="auto"/>
              </w:rPr>
            </w:pPr>
          </w:p>
        </w:tc>
      </w:tr>
      <w:tr>
        <w:trPr>
          <w:trHeight w:val="223"/>
        </w:trPr>
        <w:tc>
          <w:tcPr>
            <w:tcW w:w="7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157,603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169,443</w:t>
            </w:r>
          </w:p>
        </w:tc>
      </w:tr>
      <w:tr>
        <w:trPr>
          <w:trHeight w:val="250"/>
        </w:trPr>
        <w:tc>
          <w:tcPr>
            <w:tcW w:w="7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Water rights and other</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w:t>
            </w:r>
          </w:p>
        </w:tc>
      </w:tr>
      <w:tr>
        <w:trPr>
          <w:trHeight w:val="223"/>
        </w:trPr>
        <w:tc>
          <w:tcPr>
            <w:tcW w:w="7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8,397</w:t>
            </w:r>
          </w:p>
        </w:tc>
      </w:tr>
      <w:tr>
        <w:trPr>
          <w:trHeight w:val="250"/>
        </w:trPr>
        <w:tc>
          <w:tcPr>
            <w:tcW w:w="7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129,738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144,095</w:t>
            </w:r>
          </w:p>
        </w:tc>
      </w:tr>
      <w:tr>
        <w:trPr>
          <w:trHeight w:val="230"/>
        </w:trPr>
        <w:tc>
          <w:tcPr>
            <w:tcW w:w="7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w:t>
            </w:r>
          </w:p>
        </w:tc>
      </w:tr>
      <w:tr>
        <w:trPr>
          <w:trHeight w:val="230"/>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w:t>
            </w:r>
          </w:p>
        </w:tc>
      </w:tr>
      <w:tr>
        <w:trPr>
          <w:trHeight w:val="223"/>
        </w:trPr>
        <w:tc>
          <w:tcPr>
            <w:tcW w:w="7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90,519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129,738</w:t>
            </w:r>
          </w:p>
        </w:tc>
      </w:tr>
      <w:tr>
        <w:trPr>
          <w:trHeight w:val="250"/>
        </w:trPr>
        <w:tc>
          <w:tcPr>
            <w:tcW w:w="79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goodwill and intangible assets,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256,519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307,578</w:t>
            </w: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finite-lived intangible asset pertaining to the Company's original Macau gaming concession was acquired in 2004 and was amortized over the 20 year life of the original concession, which expired on June 26, 2022. On June 23, 2022, a Concession Extension Agreement was entered into between the Macau Government and WRM, pursuant to which the gaming concession of WRM has been extended from June 26, 2022 to December 31, 2022, in exchange for a payment to the Macau government equivalent to $6.0 million. The Company expects that amortization of the Macau gaming concession will be $6.0 million for the second half of 2022.</w:t>
      </w:r>
    </w:p>
    <w:p>
      <w:pPr>
        <w:spacing w:after="0" w:line="21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Massachusetts gaming license is a finite-lived intangible asset that is being amortized over the 15 year life of the license. The Company expects that amortization of the Massachusetts gaming license will be $3.9 million for the second half of 2022, $7.8 million each year from 2023 through 2033, and $3.8 million in 2034.</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2022, as a result of management's decision to cease the operations of Betbull Limited ("BetBull"), a subsidiary of Wynn Interactive, the Company impaired its trademark and customer list totaling $10.3 million and impaired the remaining balance of goodwill related to the BetBull reporting unit totaling $7.5 million.</w:t>
      </w:r>
    </w:p>
    <w:p>
      <w:pPr>
        <w:spacing w:after="0" w:line="2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as a result of changes in forecasts and other industry-specific factors, the Company identified interim indicators of impairment related to the goodwill assigned to the reporting units comprising Wynn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Interactive. After revisiting the estimated fair value of those reporting units based on a combination of the income and market approaches, the Company recognized impairment of $30.3 million. Impairment of goodwill and intangible assets is recorded in Property charges and other in the accompanying Condensed Consolidated Statements of Operations.</w:t>
      </w:r>
    </w:p>
    <w:p>
      <w:pPr>
        <w:spacing w:after="0" w:line="19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7 -</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Macau Related:</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WM Cayman II Revolver, due 2025 </w:t>
            </w:r>
            <w:r>
              <w:rPr>
                <w:rFonts w:ascii="Times New Roman" w:cs="Times New Roman" w:eastAsia="Times New Roman" w:hAnsi="Times New Roman"/>
                <w:sz w:val="14"/>
                <w:szCs w:val="14"/>
                <w:color w:val="auto"/>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1,281,271</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1,287,766</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4 7/8% Senior Notes, due 2024</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5 1/2% Senior Notes, due 2026</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5 1/2% Senior Notes, due 2027</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5 5/8% Senior Notes, due 2028</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5 1/8% Senior Notes, due 2029</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57"/>
        </w:trPr>
        <w:tc>
          <w:tcPr>
            <w:tcW w:w="7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U.S. and Corporate Related:</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WRF Credit Facilities </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4"/>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WRF Term Loan, due 2024</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887,500</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WLV 4 1/4% Senior Notes, due 2023</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WLV 5 1/2% Senior Notes, due 2025</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1,780,000</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WLV 5 1/4% Senior Notes, due 2027</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880,000</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7 3/4% Senior Notes, due 2025</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WRF 5 1/8% Senior Notes, due 2029</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Retail Term Loan, due 2025 </w:t>
            </w:r>
            <w:r>
              <w:rPr>
                <w:rFonts w:ascii="Times New Roman" w:cs="Times New Roman" w:eastAsia="Times New Roman" w:hAnsi="Times New Roman"/>
                <w:sz w:val="14"/>
                <w:szCs w:val="14"/>
                <w:color w:val="auto"/>
              </w:rPr>
              <w:t>(3)</w:t>
            </w: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615,000</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615,000</w:t>
            </w:r>
          </w:p>
        </w:tc>
      </w:tr>
      <w:tr>
        <w:trPr>
          <w:trHeight w:val="223"/>
        </w:trPr>
        <w:tc>
          <w:tcPr>
            <w:tcW w:w="7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11,968,771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12,000,266</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 and original issue discounts and premium, net</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(65,720)</w:t>
            </w:r>
          </w:p>
        </w:tc>
      </w:tr>
      <w:tr>
        <w:trPr>
          <w:trHeight w:val="223"/>
        </w:trPr>
        <w:tc>
          <w:tcPr>
            <w:tcW w:w="7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11,912,493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11,934,546</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(544,632)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11,367,861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11,884,546</w:t>
            </w: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260" w:hanging="252"/>
        <w:spacing w:after="0" w:line="261" w:lineRule="auto"/>
        <w:tabs>
          <w:tab w:leader="none" w:pos="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borrowings under the WM Cayman II Revolver bear interest at LIBOR or HIBOR plus a margin of 1.875% to 2.875% per annum based on WM Cayman II’s leverage ratio on a consolidated basis, subject to a floor on the interest rate margin of 2.625% per annum through June 30, 2023. Approximately $268.2 million and $1.01 billion of the WM Cayman II Revolver bears interest at a rate of LIBOR plus 2.625% per year and HIBOR plus 2.625% per year, respectively. As of June 30, 2022, the weighted average interest rate was approximately 3.66%. As of June 30, 2022, the available borrowing capacity under the WM Cayman II Revolver was $211.5 million. In July 2022, the Company drew $211.5 million on the WM Cayman II Revolver for general corporate purposes.</w:t>
      </w:r>
    </w:p>
    <w:p>
      <w:pPr>
        <w:spacing w:after="0" w:line="1" w:lineRule="exact"/>
        <w:rPr>
          <w:rFonts w:ascii="Times New Roman" w:cs="Times New Roman" w:eastAsia="Times New Roman" w:hAnsi="Times New Roman"/>
          <w:sz w:val="14"/>
          <w:szCs w:val="14"/>
          <w:color w:val="auto"/>
        </w:rPr>
      </w:pPr>
    </w:p>
    <w:p>
      <w:pPr>
        <w:ind w:left="260" w:hanging="252"/>
        <w:spacing w:after="0" w:line="261" w:lineRule="auto"/>
        <w:tabs>
          <w:tab w:leader="none" w:pos="22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WRF Credit Facilities bear interest at a rate of LIBOR plus 1.75% per year. As of June 30, 2022, the weighted average interest rate was approximately 3.42%. Additionally, as of June 30, 2022, the available borrowing capacity under the WRF Revolver was $835.6 million, net of $14.4 million in outstanding letters of credit.</w:t>
      </w:r>
    </w:p>
    <w:p>
      <w:pPr>
        <w:ind w:left="220" w:hanging="212"/>
        <w:spacing w:after="0"/>
        <w:tabs>
          <w:tab w:leader="none" w:pos="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Retail Term Loan bears interest at a rate of LIBOR plus 1.70% per year. As of June 30, 2022, the effective interest rate was 2.76%.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 Cayman II Revolver Amendment</w:t>
      </w:r>
    </w:p>
    <w:p>
      <w:pPr>
        <w:spacing w:after="0" w:line="2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On May 5, 2022, WM Cayman II and its lenders agreed to waive certain financial covenants in the facility agreement under the WM Cayman II Revolver in respect of the relevant periods ending on the following applicable test dates: (a) June 30, 2022; (b) September 30, 2022; (c) December 31, 2022; and (d) March 31, 2023; and to provide for a floor on the interest rate margin of 2.625% per annum through June 30, 2023. </w:t>
      </w:r>
      <w:r>
        <w:rPr>
          <w:rFonts w:ascii="Times New Roman" w:cs="Times New Roman" w:eastAsia="Times New Roman" w:hAnsi="Times New Roman"/>
          <w:sz w:val="18"/>
          <w:szCs w:val="18"/>
          <w:color w:val="242424"/>
        </w:rPr>
        <w:t>WML</w:t>
      </w:r>
      <w:r>
        <w:rPr>
          <w:rFonts w:ascii="Times New Roman" w:cs="Times New Roman" w:eastAsia="Times New Roman" w:hAnsi="Times New Roman"/>
          <w:sz w:val="18"/>
          <w:szCs w:val="18"/>
          <w:color w:val="auto"/>
        </w:rPr>
        <w:t>, as guarantor, may be subject to certain restrictions on payments of dividends or distributions to its shareholders, unless certain financial criteria have been satisfied through the facility agreement.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 Compliance</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2022, management believes the Company was in compliance with all debt covenants.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estimated fair value of the Company's long-term debt as of June 30, 2022 and December 31, 2021, was approximately $9.83 billion and $11.72 billion, respectively, compared to its carrying value, excluding debt issuance costs and original issue discount and premium, of $11.97 billion and $12.00 billion, respectively. The estimated fair value of the Company's long-term debt is based on recent trades, if available, and indicative pricing from market information (Level 2 inputs).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Deficit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Repurchase Program</w:t>
      </w:r>
    </w:p>
    <w:p>
      <w:pPr>
        <w:spacing w:after="0" w:line="2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April 2016, the Company's Board of Directors authorized an equity repurchase program of up to $1.0 billion, which may include repurchases by the Company of its common stock from time to time through open market purchases, privately negotiated transactions, and under plans complying with Rules 10b5-1 and 10b-18 under the Securities Exchange Act of 1934, as amended. During the three and six months ended June 30, 2022, the Company repurchased 2,381,928 shares of its common stock at an average price of $57.70 per share, for an aggregate cost of $137.4 million under the equity repurchase program. Any shares repurchased pursuant to the equity repurchase program are held as treasury shares. During the three and six months ended June 30, 2021, no repurchases were made under the equity repurchase program. As of June 30, 2022, the Company had $662.7 million in repurchase authority remaining under the program.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Offering</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February 11, 2021, the Company completed a registered public offering of 7,475,000 newly issued shares of its common stock, par value $0.01 per share, at a price of $115.00 per share for proceeds of $841.9 million, net of $17.7 million in underwriting discounts and commissions. The Company used the net proceeds from this equity offering for general corporate purposes, including the repayment of debt.</w:t>
      </w:r>
    </w:p>
    <w:p>
      <w:pPr>
        <w:spacing w:after="0" w:line="201" w:lineRule="exact"/>
        <w:rPr>
          <w:sz w:val="20"/>
          <w:szCs w:val="20"/>
          <w:color w:val="auto"/>
        </w:rPr>
      </w:pPr>
    </w:p>
    <w:p>
      <w:pPr>
        <w:jc w:val="center"/>
        <w:ind w:right="9480"/>
        <w:spacing w:after="0"/>
        <w:rPr>
          <w:sz w:val="20"/>
          <w:szCs w:val="20"/>
          <w:color w:val="auto"/>
        </w:rPr>
      </w:pPr>
      <w:r>
        <w:rPr>
          <w:rFonts w:ascii="Times New Roman" w:cs="Times New Roman" w:eastAsia="Times New Roman" w:hAnsi="Times New Roman"/>
          <w:sz w:val="17"/>
          <w:szCs w:val="17"/>
          <w:i w:val="1"/>
          <w:iCs w:val="1"/>
          <w:color w:val="auto"/>
        </w:rPr>
        <w:t>Noncontrolling Interests</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Retail Joint Venture</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and 2021, the Retail Joint Venture made aggregate distributions of approximately $16.5 million and $6.5 million, respectively, to its non-controlling interest holder. For more information on the Retail Joint Venture, see Note 17, "Retail Joint Venture".</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in exchange for cash consideration of $50.0 million, the Company sold to Crown Acquisitions Inc. ("Crown") a 49.9% interest in certain additional retail space contributed by the Company to the Retail Joint Venture. In connection with this transaction, the Company recorded $48.6 million of additional paid-in capital and $1.5 million of noncontrolling interest, within Contribution from noncontrolling interest in the accompanying Condensed Consolidated Statement of Stockholders' Deficit for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9 -</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assets and liabilities carried at fair value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gridSpan w:val="6"/>
          </w:tcPr>
          <w:p>
            <w:pPr>
              <w:jc w:val="center"/>
              <w:ind w:left="922"/>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240" w:type="dxa"/>
            <w:vAlign w:val="bottom"/>
          </w:tcPr>
          <w:p>
            <w:pPr>
              <w:spacing w:after="0"/>
              <w:rPr>
                <w:sz w:val="11"/>
                <w:szCs w:val="11"/>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Market</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4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118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1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4"/>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716,697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716,697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collar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7"/>
        </w:trPr>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6"/>
          </w:tcPr>
          <w:p>
            <w:pPr>
              <w:jc w:val="center"/>
              <w:ind w:left="922"/>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240" w:type="dxa"/>
            <w:vAlign w:val="bottom"/>
          </w:tcPr>
          <w:p>
            <w:pPr>
              <w:spacing w:after="0"/>
              <w:rPr>
                <w:sz w:val="11"/>
                <w:szCs w:val="11"/>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Market</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4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118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1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500,977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500,977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collar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Customer Contract Liabilities</w:t>
      </w:r>
    </w:p>
    <w:p>
      <w:pPr>
        <w:spacing w:after="0" w:line="25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primary liabilities associated with customer contracts are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 /</w:t>
            </w:r>
          </w:p>
        </w:tc>
        <w:tc>
          <w:tcPr>
            <w:tcW w:w="12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9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Increase /</w:t>
            </w: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60"/>
        </w:trPr>
        <w:tc>
          <w:tcPr>
            <w:tcW w:w="382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Casino outstanding chips and front money deposits</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325,187</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352,830</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431,536</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596,463</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(164,927)</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Advance room deposits and ticket sales </w:t>
            </w:r>
            <w:r>
              <w:rPr>
                <w:rFonts w:ascii="Times New Roman" w:cs="Times New Roman" w:eastAsia="Times New Roman" w:hAnsi="Times New Roman"/>
                <w:sz w:val="14"/>
                <w:szCs w:val="14"/>
                <w:color w:val="auto"/>
              </w:rPr>
              <w:t>(2)</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26,984</w:t>
            </w: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gaming-related liabilities </w:t>
            </w: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0" w:type="dxa"/>
            <w:vAlign w:val="bottom"/>
          </w:tcPr>
          <w:p>
            <w:pPr>
              <w:spacing w:after="0"/>
              <w:rPr>
                <w:sz w:val="1"/>
                <w:szCs w:val="1"/>
                <w:color w:val="auto"/>
              </w:rPr>
            </w:pPr>
          </w:p>
        </w:tc>
      </w:tr>
      <w:tr>
        <w:trPr>
          <w:trHeight w:val="243"/>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Loyalty program and related liabilities </w:t>
            </w:r>
            <w:r>
              <w:rPr>
                <w:rFonts w:ascii="Times New Roman" w:cs="Times New Roman" w:eastAsia="Times New Roman" w:hAnsi="Times New Roman"/>
                <w:sz w:val="14"/>
                <w:szCs w:val="14"/>
                <w:color w:val="auto"/>
              </w:rPr>
              <w:t>(4)</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34,695</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29,260</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449,596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469,478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527,337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(128,968)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both"/>
        <w:ind w:left="260" w:hanging="252"/>
        <w:spacing w:after="0" w:line="261" w:lineRule="auto"/>
        <w:tabs>
          <w:tab w:leader="none" w:pos="229"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Casino outstanding chips generally represent amounts owed to gaming promoters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 As of June 30, 2022 and December 31, 2021, the Company had no agreements in place with gaming promoters.</w:t>
      </w:r>
    </w:p>
    <w:p>
      <w:pPr>
        <w:jc w:val="both"/>
        <w:ind w:left="260" w:hanging="252"/>
        <w:spacing w:after="0" w:line="256" w:lineRule="auto"/>
        <w:tabs>
          <w:tab w:leader="none" w:pos="23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spacing w:after="0" w:line="1" w:lineRule="exact"/>
        <w:rPr>
          <w:rFonts w:ascii="Times New Roman" w:cs="Times New Roman" w:eastAsia="Times New Roman" w:hAnsi="Times New Roman"/>
          <w:sz w:val="14"/>
          <w:szCs w:val="14"/>
          <w:color w:val="auto"/>
        </w:rPr>
      </w:pPr>
    </w:p>
    <w:p>
      <w:pPr>
        <w:ind w:left="260" w:hanging="252"/>
        <w:spacing w:after="0" w:line="259" w:lineRule="auto"/>
        <w:tabs>
          <w:tab w:leader="none" w:pos="22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ind w:left="260" w:right="20" w:hanging="252"/>
        <w:spacing w:after="0" w:line="283" w:lineRule="auto"/>
        <w:tabs>
          <w:tab w:leader="none" w:pos="22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total compensation cost for stock-based compensation plans was recorded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Casino</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Rooms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beverage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Entertainment, retail and other </w:t>
            </w:r>
            <w:r>
              <w:rPr>
                <w:rFonts w:ascii="Times New Roman" w:cs="Times New Roman" w:eastAsia="Times New Roman" w:hAnsi="Times New Roman"/>
                <w:sz w:val="14"/>
                <w:szCs w:val="14"/>
                <w:color w:val="auto"/>
              </w:rPr>
              <w:t>(1)</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9,221</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15,275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29,774</w:t>
            </w:r>
          </w:p>
        </w:tc>
      </w:tr>
      <w:tr>
        <w:trPr>
          <w:trHeight w:val="22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14,595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25,107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28,495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49,453</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capitalized</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stock-based compensation costs</w:t>
            </w: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15,372</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26,231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29,952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51,482</w:t>
            </w:r>
          </w:p>
        </w:tc>
      </w:tr>
      <w:tr>
        <w:trPr>
          <w:trHeight w:val="21"/>
        </w:trPr>
        <w:tc>
          <w:tcPr>
            <w:tcW w:w="5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firstLine="8"/>
        <w:spacing w:after="0" w:line="282" w:lineRule="auto"/>
        <w:tabs>
          <w:tab w:leader="none" w:pos="21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months ended June 30, 2021, reflects compensation cost of $1.4 million and $2.7 million, respectively, recognized in connection with the vesting of restricted stock performance awards.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56" w:lineRule="exact"/>
        <w:rPr>
          <w:sz w:val="20"/>
          <w:szCs w:val="20"/>
          <w:color w:val="auto"/>
        </w:rPr>
      </w:pPr>
    </w:p>
    <w:p>
      <w:pPr>
        <w:jc w:val="both"/>
        <w:ind w:right="80" w:firstLine="405"/>
        <w:spacing w:after="0" w:line="289" w:lineRule="auto"/>
        <w:rPr>
          <w:sz w:val="20"/>
          <w:szCs w:val="20"/>
          <w:color w:val="auto"/>
        </w:rPr>
      </w:pPr>
      <w:r>
        <w:rPr>
          <w:rFonts w:ascii="Times New Roman" w:cs="Times New Roman" w:eastAsia="Times New Roman" w:hAnsi="Times New Roman"/>
          <w:sz w:val="17"/>
          <w:szCs w:val="17"/>
          <w:color w:val="auto"/>
        </w:rPr>
        <w:t>The Company recorded an income tax expense of $0.7 million and $0.7 million for the three months ended June 30, 2022 and 2021, respectively and an income tax expense of $1.9 million and $1.2 million for the six months ended June 30, 2022 and 2021, respectively. Income tax expense in both periods primarily related to the Macau dividend tax agreement that provides for an annual payment as complementary tax otherwise due by stockholders of WRM.</w:t>
      </w:r>
    </w:p>
    <w:p>
      <w:pPr>
        <w:spacing w:after="0" w:line="18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March 2021, the Company received an extension of its Macau dividend tax agreement, providing for a payment of MOP12.8 million (approximately $1.6 million) for 2021 and MOP6.3 million (approximately $0.8 million) for the period ended June 26, 2022.</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records valuation allowances on certain of its U.S. and foreign deferred tax assets. The Company continues to rely solely on the reversal of net taxable temporary differences in assessing a need for a valuation allowance.</w:t>
      </w:r>
    </w:p>
    <w:p>
      <w:pPr>
        <w:spacing w:after="0" w:line="18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April 2020, WRM received an extension of the exemption from Macau’s 12% Complementary Tax on casino gaming profits earned from January 1, 2021 to June 26, 2022. In June 2022, WRM requested an extension of the exemption from Complementary Tax on casino gaming profits.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2022 and 2021, the Company did not have any casino gaming profits exempt from the Macau Complementary Tax. The Company's non-gaming profits remain subject to the Macau Complementary Tax and its casino winnings remain subject to the Macau special gaming tax and other levies in accordance with its gaming concession agreement.</w:t>
      </w:r>
    </w:p>
    <w:p>
      <w:pPr>
        <w:spacing w:after="0" w:line="2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March 2021, the Financial Services Bureau concluded its review of the 2017 and 2018 Macau income tax returns of Palo Real Estate Company Limited, a subsidiary of WRM, with no changes.</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January 2022, the Financial Services Bureau issued final tax assessments for WRM for the year 2017 and 2018. While no additional tax was due, adjustments were made to WRM's tax loss carryforwards.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March 2022, the Financial Services Bureau commenced examination of Palo’s 2019 and 2020 Macau Complementary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Basic earnings per share ("EPS") is computed by dividing net loss attributable to Wynn Resorts by the weighted average number of common shares outstanding during the period. Diluted EPS is computed by dividing net loss attributable to Wynn Resorts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Potentially dilutive securities include outstanding stock options and unvested restricted stock.</w:t>
      </w:r>
    </w:p>
    <w:p>
      <w:pPr>
        <w:spacing w:after="0" w:line="21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weighted average number of common and common equivalent shares used in the calculation of basic and diluted EPS consisted of the following (in thousands, except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loss attributable to Wynn Resorts, Limited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(130,051)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(131,369)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(313,375)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(412,347)</w:t>
            </w:r>
          </w:p>
        </w:tc>
        <w:tc>
          <w:tcPr>
            <w:tcW w:w="0" w:type="dxa"/>
            <w:vAlign w:val="bottom"/>
          </w:tcPr>
          <w:p>
            <w:pPr>
              <w:spacing w:after="0"/>
              <w:rPr>
                <w:sz w:val="1"/>
                <w:szCs w:val="1"/>
                <w:color w:val="auto"/>
              </w:rPr>
            </w:pPr>
          </w:p>
        </w:tc>
      </w:tr>
      <w:tr>
        <w:trPr>
          <w:trHeight w:val="250"/>
        </w:trPr>
        <w:tc>
          <w:tcPr>
            <w:tcW w:w="5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112,792</w:t>
            </w:r>
          </w:p>
        </w:tc>
        <w:tc>
          <w:tcPr>
            <w:tcW w:w="0" w:type="dxa"/>
            <w:vAlign w:val="bottom"/>
          </w:tcPr>
          <w:p>
            <w:pPr>
              <w:spacing w:after="0"/>
              <w:rPr>
                <w:sz w:val="1"/>
                <w:szCs w:val="1"/>
                <w:color w:val="auto"/>
              </w:rPr>
            </w:pPr>
          </w:p>
        </w:tc>
      </w:tr>
      <w:tr>
        <w:trPr>
          <w:trHeight w:val="175"/>
        </w:trPr>
        <w:tc>
          <w:tcPr>
            <w:tcW w:w="52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Potential dilutive effect of stock options, nonvested, and</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performance nonvested shares</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5240" w:type="dxa"/>
            <w:vAlign w:val="bottom"/>
            <w:tcBorders>
              <w:top w:val="single" w:sz="8" w:color="CCEEFF"/>
            </w:tcBorders>
            <w:shd w:val="clear" w:color="auto" w:fill="CCEEFF"/>
          </w:tcPr>
          <w:p>
            <w:pPr>
              <w:ind w:left="220"/>
              <w:spacing w:after="0" w:line="156" w:lineRule="exact"/>
              <w:rPr>
                <w:sz w:val="20"/>
                <w:szCs w:val="20"/>
                <w:color w:val="auto"/>
              </w:rPr>
            </w:pPr>
            <w:r>
              <w:rPr>
                <w:rFonts w:ascii="Times New Roman" w:cs="Times New Roman" w:eastAsia="Times New Roman" w:hAnsi="Times New Roman"/>
                <w:sz w:val="18"/>
                <w:szCs w:val="18"/>
                <w:b w:val="1"/>
                <w:bCs w:val="1"/>
                <w:color w:val="auto"/>
              </w:rPr>
              <w:t>Weighted average common and common equivalent shares</w:t>
            </w:r>
          </w:p>
        </w:tc>
        <w:tc>
          <w:tcPr>
            <w:tcW w:w="3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114,471</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114,545</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114,749</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112,792</w:t>
            </w:r>
          </w:p>
        </w:tc>
        <w:tc>
          <w:tcPr>
            <w:tcW w:w="0" w:type="dxa"/>
            <w:vAlign w:val="bottom"/>
          </w:tcPr>
          <w:p>
            <w:pPr>
              <w:spacing w:after="0"/>
              <w:rPr>
                <w:sz w:val="1"/>
                <w:szCs w:val="1"/>
                <w:color w:val="auto"/>
              </w:rPr>
            </w:pPr>
          </w:p>
        </w:tc>
      </w:tr>
      <w:tr>
        <w:trPr>
          <w:trHeight w:val="236"/>
        </w:trPr>
        <w:tc>
          <w:tcPr>
            <w:tcW w:w="5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Net loss attributable to Wynn Resorts, Limited per common share,</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36"/>
        </w:trPr>
        <w:tc>
          <w:tcPr>
            <w:tcW w:w="5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20"/>
              <w:spacing w:after="0" w:line="163" w:lineRule="exact"/>
              <w:rPr>
                <w:sz w:val="20"/>
                <w:szCs w:val="20"/>
                <w:color w:val="auto"/>
              </w:rPr>
            </w:pPr>
            <w:r>
              <w:rPr>
                <w:rFonts w:ascii="Times New Roman" w:cs="Times New Roman" w:eastAsia="Times New Roman" w:hAnsi="Times New Roman"/>
                <w:sz w:val="18"/>
                <w:szCs w:val="18"/>
                <w:color w:val="auto"/>
              </w:rPr>
              <w:t>Net loss attributable to Wynn Resorts, Limited per common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40" w:type="dxa"/>
            <w:vAlign w:val="bottom"/>
            <w:vMerge w:val="continue"/>
          </w:tcPr>
          <w:p>
            <w:pPr>
              <w:spacing w:after="0"/>
              <w:rPr>
                <w:sz w:val="10"/>
                <w:szCs w:val="10"/>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0"/>
                <w:szCs w:val="10"/>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1"/>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Anti-dilutive stock options, nonvested, and performance nonvested</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excluded from the calculation of diluted net income per share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minimum and contingent operating lease income for the periods presented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rental income</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37,233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25,218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61,834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47,957</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rental income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14,092</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30,110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34,715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56,115</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rental income</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51,325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55,328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96,549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104,072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Related Party Transactions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Purchase</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2022, Linda Chen, President and Executive Director of WRM exercised an option to purchase a home provided by the Company for her use for no consideration, as provided by the terms of her employment agreement. Based on a third-party appraisal as of the date of option exercise, the estimated fair value of the home is $6.4 million. The home purchase is expected to close during the second half of 2022.</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Litigation Related to Dore</w:t>
      </w:r>
    </w:p>
    <w:p>
      <w:pPr>
        <w:spacing w:after="0" w:line="2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WRM has been named as a defendant in lawsuits filed in the Macau Court of First Instance by individuals who claim to be investors in or persons with credit in accounts maintained by Dore Entertainment Company Limited ("Dore"), an independent, Macau registered and licensed company that operated a gaming promoter business at Wynn Macau. In connection with the alleged theft, embezzlement, fraud and/or other crime(s) perpetrated by a former employee of Dore (the “Dore Incident”), the plaintiffs of the lawsuits allege that Dore failed to honor withdrawal of funds deposited with Dore as investments or gaming deposits that allegedly resulted in certain losses for these individuals. The principal allegations common to the lawsuits are that WRM, as a gaming concessionaire, should be held responsible for Dore’s conduct on the basis that WRM is responsible for the supervision of Dore’s activities at Wynn Macau that resulted in the purported losses.</w:t>
      </w:r>
    </w:p>
    <w:p>
      <w:pPr>
        <w:spacing w:after="0" w:line="21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believes most remaining cases are without merit and unfounded and intends to vigorously defend against the remaining claims pleaded against WRM in these lawsuits. The Company has made estimates for potential litigation costs based upon its assessment of the likely outcome and has recorded provisions for such amounts in the accompanying condensed consolidated financial statements. No assurances can be provided as to the outcome of the pending Dore cases, and actual results may differ from these estimates.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Action</w:t>
      </w:r>
    </w:p>
    <w:p>
      <w:pPr>
        <w:spacing w:after="0" w:line="2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On April 15, 2019, the Company filed a motion to dismiss, which the court granted on May 27, 2020, with leave to amend. On July 1, 2020, the plaintiffs filed an amended complaint. On August 14, 2020, the Company filed a motion to dismiss the amended complaint. On July 28, 2021, the court granted in part, and denied in part, the Company's motion to dismiss the amended complaint, dismissing certain of plaintiffs' claims, including all claims against Mr. Billings and the individual directors, and allowing other claims to proceed against the Company and several of the Company's former executive officers, including Mr. Maddox, Stephen A. Wynn, Kimmarie Sinatra, and Steven Cootey.</w:t>
      </w:r>
    </w:p>
    <w:p>
      <w:pPr>
        <w:spacing w:after="0" w:line="21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defendants in this action intend to vigorously defend against the claims pleaded against them. This action is in the preliminary stages and management has determined that based on proceedings to date, it is currently unable to determine the probability of the outcome of these actions or reasonably estimate the range of possible loss, if 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Investigation</w:t>
      </w:r>
    </w:p>
    <w:p>
      <w:pPr>
        <w:spacing w:after="0" w:line="25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From time to time, the Company receives regulatory inquiries about compliance with anti-money laundering laws. The Company received requests for information from the U.S. Attorney’s Office for the Southern District of California relating to its anti-money laundering policies and procedures, and beginning in 2020 received several grand jury subpoenas regarding various transactions at Wynn Las Vegas relating to certain patrons and agents who reside or operate in foreign jurisdictions. The Company continues to cooperate with the U.S. Attorney's Office in its investigation, which remains ongoing. Because no charges or claims have been brought, the Company is unable to predict the outcome of the investigation, the extent of the materiality of the outcome, or reasonably estimate the possible range of loss, if any, which could be associated with the resolution of any possible charges or claims that may be brought against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Retail Joint Venture</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June 30, 2022 and December 31, 2021, the Retail Joint Venture had total assets of $96.2 million and $98.0 million, respectively, and total liabilities of $618.8 million and $624.4 million, respectively. As of June 30, 2022 and December 31, 2021, the Retail Joint Venture's liabilities included long-term debt of $613.2 million and $612.9 million, respectively, net of debt issuance costs, related to the outstanding borrowings under the Retail Term Loan.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Information</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has identified its reportable segments based on factors such as geography, regulatory environment, the information reviewed by its chief operating decision maker, and the Company's organizational and management reporting structure.</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has identified the following reportable segments: (i) Wynn Macau, representing the aggregate of Wynn Macau and Encore, an expansion at Wynn Macau, which are managed as a single integrated resort; (ii) Wynn Palace; (iii) Las Vegas Operations, representing the aggregate of Wynn Las Vegas, Encore, an expansion at Wynn Las Vegas, and the Retail Joint Venture, which are managed as a single integrated resort; (iv) Encore Boston Harbor; and (v) Wynn Interactive. For geographical reporting purposes, Wynn Macau, Wynn Palace, and Other Macau (which represents the assets of the Company's Macau holding company and other ancillary entities) have been aggregated into Macau Operations.</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the Company's segment information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 Operations: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Palace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212,067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141,607</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397,976</w:t>
            </w: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37,895</w:t>
            </w: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25,477</w:t>
            </w:r>
          </w:p>
        </w:tc>
      </w:tr>
      <w:tr>
        <w:trPr>
          <w:trHeight w:val="24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Entertainment, retail and other </w:t>
            </w:r>
            <w:r>
              <w:rPr>
                <w:rFonts w:ascii="Times New Roman" w:cs="Times New Roman" w:eastAsia="Times New Roman" w:hAnsi="Times New Roman"/>
                <w:sz w:val="14"/>
                <w:szCs w:val="14"/>
                <w:color w:val="auto"/>
              </w:rPr>
              <w:t>(1)</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46,349</w:t>
            </w:r>
          </w:p>
        </w:tc>
      </w:tr>
      <w:tr>
        <w:trPr>
          <w:trHeight w:val="223"/>
        </w:trPr>
        <w:tc>
          <w:tcPr>
            <w:tcW w:w="5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58,651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270,371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221,976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507,697</w:t>
            </w: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Macau</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281,346</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28,129</w:t>
            </w: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15,992</w:t>
            </w:r>
          </w:p>
        </w:tc>
      </w:tr>
      <w:tr>
        <w:trPr>
          <w:trHeight w:val="24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Entertainment, retail and other </w:t>
            </w:r>
            <w:r>
              <w:rPr>
                <w:rFonts w:ascii="Times New Roman" w:cs="Times New Roman" w:eastAsia="Times New Roman" w:hAnsi="Times New Roman"/>
                <w:sz w:val="14"/>
                <w:szCs w:val="14"/>
                <w:color w:val="auto"/>
              </w:rPr>
              <w:t>(1)</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23,525</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38,212</w:t>
            </w:r>
          </w:p>
        </w:tc>
      </w:tr>
      <w:tr>
        <w:trPr>
          <w:trHeight w:val="223"/>
        </w:trPr>
        <w:tc>
          <w:tcPr>
            <w:tcW w:w="5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58,583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184,028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193,683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363,679</w:t>
            </w:r>
          </w:p>
        </w:tc>
      </w:tr>
      <w:tr>
        <w:trPr>
          <w:trHeight w:val="223"/>
        </w:trPr>
        <w:tc>
          <w:tcPr>
            <w:tcW w:w="5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117,234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454,399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415,659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871,376</w:t>
            </w:r>
          </w:p>
        </w:tc>
      </w:tr>
      <w:tr>
        <w:trPr>
          <w:trHeight w:val="250"/>
        </w:trPr>
        <w:tc>
          <w:tcPr>
            <w:tcW w:w="5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192,678</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133,546</w:t>
            </w: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152,935</w:t>
            </w:r>
          </w:p>
        </w:tc>
      </w:tr>
      <w:tr>
        <w:trPr>
          <w:trHeight w:val="24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Entertainment, retail and other </w:t>
            </w:r>
            <w:r>
              <w:rPr>
                <w:rFonts w:ascii="Times New Roman" w:cs="Times New Roman" w:eastAsia="Times New Roman" w:hAnsi="Times New Roman"/>
                <w:sz w:val="14"/>
                <w:szCs w:val="14"/>
                <w:color w:val="auto"/>
              </w:rPr>
              <w:t>(1)</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111,401</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54,623</w:t>
            </w:r>
          </w:p>
        </w:tc>
      </w:tr>
      <w:tr>
        <w:trPr>
          <w:trHeight w:val="223"/>
        </w:trPr>
        <w:tc>
          <w:tcPr>
            <w:tcW w:w="52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Total Las Vegas Operations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561,069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355,066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1,002,255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533,782</w:t>
            </w:r>
          </w:p>
        </w:tc>
      </w:tr>
      <w:tr>
        <w:trPr>
          <w:trHeight w:val="250"/>
        </w:trPr>
        <w:tc>
          <w:tcPr>
            <w:tcW w:w="5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246,964</w:t>
            </w: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14,385</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23,247</w:t>
            </w:r>
          </w:p>
        </w:tc>
      </w:tr>
      <w:tr>
        <w:trPr>
          <w:trHeight w:val="243"/>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 xml:space="preserve">Entertainment, retail and other </w:t>
            </w:r>
            <w:r>
              <w:rPr>
                <w:rFonts w:ascii="Times New Roman" w:cs="Times New Roman" w:eastAsia="Times New Roman" w:hAnsi="Times New Roman"/>
                <w:sz w:val="14"/>
                <w:szCs w:val="14"/>
                <w:color w:val="auto"/>
              </w:rPr>
              <w:t>(1)</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17,751</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10,735</w:t>
            </w:r>
          </w:p>
        </w:tc>
      </w:tr>
      <w:tr>
        <w:trPr>
          <w:trHeight w:val="223"/>
        </w:trPr>
        <w:tc>
          <w:tcPr>
            <w:tcW w:w="5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Encore Boston Harbor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210,154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165,241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400,950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295,331</w:t>
            </w:r>
          </w:p>
        </w:tc>
      </w:tr>
      <w:tr>
        <w:trPr>
          <w:trHeight w:val="250"/>
        </w:trPr>
        <w:tc>
          <w:tcPr>
            <w:tcW w:w="5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Interactive: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26,306</w:t>
            </w:r>
          </w:p>
        </w:tc>
      </w:tr>
      <w:tr>
        <w:trPr>
          <w:trHeight w:val="223"/>
        </w:trPr>
        <w:tc>
          <w:tcPr>
            <w:tcW w:w="5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Wynn Interactive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43,302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26,306</w:t>
            </w:r>
          </w:p>
        </w:tc>
      </w:tr>
      <w:tr>
        <w:trPr>
          <w:trHeight w:val="250"/>
        </w:trPr>
        <w:tc>
          <w:tcPr>
            <w:tcW w:w="5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908,832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990,113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1,862,166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1,726,795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8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Adjusted Property EBITDA </w:t>
            </w:r>
            <w:r>
              <w:rPr>
                <w:rFonts w:ascii="Times New Roman" w:cs="Times New Roman" w:eastAsia="Times New Roman" w:hAnsi="Times New Roman"/>
                <w:sz w:val="14"/>
                <w:szCs w:val="14"/>
                <w:b w:val="1"/>
                <w:bCs w:val="1"/>
                <w:color w:val="auto"/>
              </w:rPr>
              <w:t>(2)</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Macau Operations: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Wynn Palace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80,924</w:t>
            </w:r>
          </w:p>
        </w:tc>
      </w:tr>
      <w:tr>
        <w:trPr>
          <w:trHeight w:val="230"/>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Wynn Macau</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30,642</w:t>
            </w:r>
          </w:p>
        </w:tc>
      </w:tr>
      <w:tr>
        <w:trPr>
          <w:trHeight w:val="223"/>
        </w:trPr>
        <w:tc>
          <w:tcPr>
            <w:tcW w:w="5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(90,340)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(95,886)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111,566</w:t>
            </w:r>
          </w:p>
        </w:tc>
      </w:tr>
      <w:tr>
        <w:trPr>
          <w:trHeight w:val="230"/>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Las Vegas Operations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161,303</w:t>
            </w:r>
          </w:p>
        </w:tc>
      </w:tr>
      <w:tr>
        <w:trPr>
          <w:trHeight w:val="229"/>
        </w:trPr>
        <w:tc>
          <w:tcPr>
            <w:tcW w:w="5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Encore Boston Harbor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77,279</w:t>
            </w:r>
          </w:p>
        </w:tc>
      </w:tr>
      <w:tr>
        <w:trPr>
          <w:trHeight w:val="229"/>
        </w:trPr>
        <w:tc>
          <w:tcPr>
            <w:tcW w:w="5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Wynn Interactive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(84,368)</w:t>
            </w:r>
          </w:p>
        </w:tc>
      </w:tr>
      <w:tr>
        <w:trPr>
          <w:trHeight w:val="223"/>
        </w:trPr>
        <w:tc>
          <w:tcPr>
            <w:tcW w:w="5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179,159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206,880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356,740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265,780</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operating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r>
      <w:tr>
        <w:trPr>
          <w:trHeight w:val="229"/>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368,428</w:t>
            </w:r>
          </w:p>
        </w:tc>
      </w:tr>
      <w:tr>
        <w:trPr>
          <w:trHeight w:val="230"/>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w:t>
            </w:r>
          </w:p>
        </w:tc>
      </w:tr>
      <w:tr>
        <w:trPr>
          <w:trHeight w:val="229"/>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37,762</w:t>
            </w:r>
          </w:p>
        </w:tc>
      </w:tr>
      <w:tr>
        <w:trPr>
          <w:trHeight w:val="22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49,453</w:t>
            </w:r>
          </w:p>
        </w:tc>
      </w:tr>
      <w:tr>
        <w:trPr>
          <w:trHeight w:val="223"/>
        </w:trPr>
        <w:tc>
          <w:tcPr>
            <w:tcW w:w="5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other operating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231,187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236,401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503,633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471,033</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(52,028)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(146,893)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(205,253)</w:t>
            </w: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non-operating income and expenses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r>
      <w:tr>
        <w:trPr>
          <w:trHeight w:val="230"/>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(303,276)</w:t>
            </w:r>
          </w:p>
        </w:tc>
      </w:tr>
      <w:tr>
        <w:trPr>
          <w:trHeight w:val="22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w:t>
            </w:r>
          </w:p>
        </w:tc>
      </w:tr>
      <w:tr>
        <w:trPr>
          <w:trHeight w:val="230"/>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2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r>
      <w:tr>
        <w:trPr>
          <w:trHeight w:val="223"/>
        </w:trPr>
        <w:tc>
          <w:tcPr>
            <w:tcW w:w="5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other non-operating income and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(160,676)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(143,179)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(319,281)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(303,133)</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(212,704)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(172,700)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(466,174)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(508,386)</w:t>
            </w:r>
          </w:p>
        </w:tc>
      </w:tr>
      <w:tr>
        <w:trPr>
          <w:trHeight w:val="230"/>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(213,422)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(173,397)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(468,032)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(509,576)</w:t>
            </w:r>
          </w:p>
        </w:tc>
      </w:tr>
      <w:tr>
        <w:trPr>
          <w:trHeight w:val="229"/>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83,371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97,229</w:t>
            </w: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Wynn Resorts, Limited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(130,051)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(131,369)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(313,375)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(412,347)</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lease revenue accounted for under lease accounting guidance. For more information on leases, see Note 14, "Leases".</w:t>
      </w:r>
    </w:p>
    <w:p>
      <w:pPr>
        <w:spacing w:after="0" w:line="17" w:lineRule="exact"/>
        <w:rPr>
          <w:rFonts w:ascii="Times New Roman" w:cs="Times New Roman" w:eastAsia="Times New Roman" w:hAnsi="Times New Roman"/>
          <w:sz w:val="14"/>
          <w:szCs w:val="14"/>
          <w:color w:val="auto"/>
        </w:rPr>
      </w:pPr>
    </w:p>
    <w:p>
      <w:pPr>
        <w:jc w:val="both"/>
        <w:ind w:left="260" w:hanging="252"/>
        <w:spacing w:after="0" w:line="259" w:lineRule="auto"/>
        <w:tabs>
          <w:tab w:leader="none" w:pos="24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Property EBITDA" is net loss before interest, income taxes, depreciation and amortization, pre-opening expenses, property charges and other, management and license fees, corporate expenses and other (including intercompany golf course, meeting and convention, and water rights leases), stock-based compensation, change in derivatives fair value, loss on extinguishment of debt, and other non-operating income and expenses. The Company uses Adjusted Property EBITDA to manage the operating results of its segments.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loss,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the Company's calculation of Adjusted Property EBITDA may be different from the calculation methods used by other companies and, therefore, comparability may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 Operations: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Wynn Palace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2,981,546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3,122,424</w:t>
            </w:r>
          </w:p>
        </w:tc>
      </w:tr>
      <w:tr>
        <w:trPr>
          <w:trHeight w:val="229"/>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Wynn Macau</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765,591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1,032,521</w:t>
            </w:r>
          </w:p>
        </w:tc>
      </w:tr>
      <w:tr>
        <w:trPr>
          <w:trHeight w:val="230"/>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Macau</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1,173,913</w:t>
            </w:r>
          </w:p>
        </w:tc>
      </w:tr>
      <w:tr>
        <w:trPr>
          <w:trHeight w:val="223"/>
        </w:trPr>
        <w:tc>
          <w:tcPr>
            <w:tcW w:w="77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4,763,820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5,328,858</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3,134,626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3,063,897</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2,123,807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2,193,117</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Interactive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287,805</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1,497,937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1,657,149</w:t>
            </w:r>
          </w:p>
        </w:tc>
      </w:tr>
      <w:tr>
        <w:trPr>
          <w:trHeight w:val="248"/>
        </w:trPr>
        <w:tc>
          <w:tcPr>
            <w:tcW w:w="77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11,788,531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12,530,826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8" w:right="5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unaudited condensed consolidated financial statements and the notes thereto included elsewhere in this Form 10-Q and the audited consolidated financial statements appearing in our annual report on Form 10-K for the year ended December 31, 2021.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"Forward-Looking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21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2021 and other factors we describe from time to time in our periodic filings with the Securities and Exchange Commission ("SEC"), such as:</w:t>
      </w:r>
    </w:p>
    <w:p>
      <w:pPr>
        <w:spacing w:after="0" w:line="207"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business and the cost of compliance or failure to comply with applicable laws and regulations;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future claims and legal proceedings, regulatory or enforcement actions or probity investigations;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gaming licenses and concessions, including the renewal or extension of the concession in Macau that expires on December 31, 2022 and the amendments to the Macau gaming law;</w:t>
      </w: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key employees;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political and economic conditions, in the U.S. and China (including the Chinese government's ongoing anti-corruption campaign), which may impact levels of travel, leisure, and consumer spending;</w:t>
      </w: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conditions on visitation by citizens of PRC and other regions to Macau;</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the travel and leisure industry from factors such as an outbreak of an infectious disease, including the COVID-19 pandemic, public incidents of violence, riots, demonstrations, extreme weather patterns or natural disasters, military conflicts, civil unrest, and any future security alerts and/or terrorist attacks;</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in foreign locations such as Macau;</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customer relationships and collect and enforce gaming receivables;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resorts and locations for all of our cash flow and our subsidiaries' ability to pay us dividends and distributions;</w:t>
      </w:r>
    </w:p>
    <w:p>
      <w:pPr>
        <w:ind w:left="1300" w:right="20" w:hanging="644"/>
        <w:spacing w:after="0" w:line="250"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casino/hotel and resort industries and actions taken by our competitors, including new development and construction activities of competitors;</w:t>
      </w:r>
    </w:p>
    <w:p>
      <w:pPr>
        <w:jc w:val="both"/>
        <w:ind w:left="1300" w:hanging="644"/>
        <w:spacing w:after="0" w:line="250"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development and success of new gaming and resort properties (such as limited labor resources, government labor and gaming policies, transportation infrastructure, supply chain disruptions, cost increases, environmental regulation, and our ability to secure necessary permits and approvals);</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legalization and growth of gaming in other jurisdictions;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violations by us of the anti-money laundering laws or Foreign Corrupt Practices Act;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incidents or adverse publicity concerning our resorts or our corporate responsibilities;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gaming laws or regulations;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foreign, or state tax laws or the administration of such laws;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all provisions in our debt agreements;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precedent to funding under our credit facilities;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service (including sensitivity to fluctuations in interest rates);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hanging="644"/>
        <w:spacing w:after="0" w:line="261"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cyber and physical security breaches, system failure, computer viruses, and negligent or intentional misuse by customers, company employees, or employees of third-party vendors;</w:t>
      </w: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insurance coverage levels.</w:t>
      </w:r>
    </w:p>
    <w:p>
      <w:pPr>
        <w:spacing w:after="0" w:line="2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Wynn Macau, Limited ("WML"), we operate two integrated resorts in the Macau Special Administrative Region ("Macau") of the People's Republic of China ("PRC"), Wynn Palace and Wynn Macau (collectively, our "Macau Operations"). In Las Vegas, Nevada, we operate and, with the exception of certain retail space, own 100% of Wynn Las Vegas. Additionally, we are a 50.1% owner and managing member of a joint venture that owns and leases certain retail space at Wynn Las Vegas (the "Retail Joint Venture"). We refer to Wynn Las Vegas, Encore, an expansion at Wynn Las Vegas, and the Retail Joint Venture as our Las Vegas Operations. In Everett, Massachusetts, we own 100% of and operate Encore Boston Harbor, an integrated resort. We also hold an approximately 85% interest in, and consolidate, Wynn Interactive Ltd. ("Wynn Interactive"), through which we operate online sports betting, gaming, and social casino businesses.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 Related to COVID-19</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254"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Visitation to Macau has fallen significantly since the outbreak of COVID-19, driven by the strong deterrent effect of the COVID-19 pandemic on travel and social activities, quarantine measures put in place in Macau and elsewhere, travel and entry restrictions and conditions in Macau, the PRC, Hong Kong and Taiwan involving COVID-19 testing, and mandatory quarantine, among other things, and the suspension or reduced accessibility of transportation to and from Macau. Although there have been periods during which certain restrictions and conditions were eased by the Macau government to allow for greater visitation and quarantine-free travel to Macau, adverse conditions and evolving conditions created by and in response to the COVID-19 pandemic may cause these restrictions and conditions to be reintroduced. For example, in response to an outbreak in Macau which initially commenced in mid-June 2022, the Macau government extended its COVID-19 containment measures, including the closures of casino operations in full as well as all non-essential business as of July 11, 2022, and the closure and the limiting of the opening hours and/or operational capacity of various areas and facilities in Macau. On July 23, 2022, casino operations at Wynn Palace and Wynn Macau resumed on a limited basis, and remain limited at the present time due to severely reduced visitation to Macau as a result of enhanced border controls. On August 2, 2022, the Macau government lifted most of the remaining enhanced COVID-19 restrictions which went into effect in June and July and limited non-gaming operations at Wynn Palace and Wynn Macau began to resume. Certain enhanced COVID-19 protective measures remain in effect at the present time with respect to gaming and non-gaming operations. Given the uncertainty around the extent and timing of the potential future spread or mitigation of COVID-19 and around the imposition or relaxation of containment measures, management cannot predict whether future closures, in full or in part, will occur in our properties, and cannot reasonably estimate the impact to our future results of operations, cash flows, or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Gaming Concession</w:t>
      </w:r>
    </w:p>
    <w:p>
      <w:pPr>
        <w:spacing w:after="0" w:line="2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June 23, 2022, Wynn Resorts (Macau) S.A. ("WRM") and the Macau government entered into a concession extension agreement (the "Concession Extension Agreement"), pursuant to which the expiration date of WRM's gaming concession was extended from June 26, 2022 to Decem</w:t>
      </w:r>
      <w:r>
        <w:rPr>
          <w:rFonts w:ascii="Times New Roman" w:cs="Times New Roman" w:eastAsia="Times New Roman" w:hAnsi="Times New Roman"/>
          <w:sz w:val="18"/>
          <w:szCs w:val="18"/>
          <w:color w:val="231E1F"/>
        </w:rPr>
        <w:t>ber 31,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E1F"/>
        </w:rPr>
        <w:t>Under the Concession Extension Agreement, WRM paid the Macau government MOP47.0 million (approximately $6.0 million) as a contract premium for the extension, and by no later than September 23, 2022 will provide a first demand bank guarantee of not less than MOP1,210.0 million (approximately $150.0 million) in favor of the Macau government for securing the fulfillment of its labor liabilities upon the expiration of the Concession Extension Agreement.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E1F"/>
        </w:rPr>
        <w:t>In order to enable WRM to fulfill the relevant requirements to become eligible to obtain a concession extension, each of WRM and Palo Real Estate Company Limited ("Palo") (the land concessionaires of Wynn Macau and Wynn Palace, respectively) entered into a letter of undertaking, pursuant to which each of WRM and Palo has undertaken, pursuant to Article 40 of the Macau gaming law and Clause 43 of the concession agreement, to revert to the Macau government relevant gaming equipment and gaming areas at Wynn Macau and Wynn Palace, without compensation and free of encumbrance upon the expiration of the concession agreement term, as amended by the Concession Extension Agreement.</w:t>
      </w:r>
    </w:p>
    <w:p>
      <w:pPr>
        <w:spacing w:after="0" w:line="21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E1F"/>
        </w:rPr>
        <w:t>Under the indentures governing our $4.7 billion aggregate principal amount of WML Senior Notes and the facility agreement governing the WM Cayman II Revolver, upon the occurrence of any event after which we do not own or manage casino or gaming areas or operate casino games of fortune and chance in Macau in substantially the same manner and scope as of the issue date of the respective senior notes or the date of the facility agreement, for a period of 10 consecutive days or more in the case of the WML Senior Notes or a period of 30 consecutive days or more in the case of the WM Cayman II Revolver, and such event has a material adverse effect on the financial condition, business, properties or results of operations of WML and its subsidiaries, taken as a whole, holders of the WML Senior Notes can require us to repurchase all or any part of the WML Senior Notes at par, plus any accrued and unpaid interest (the "Special Put Option"), and any amounts owed under the WM Cayman II Revolver may become immediately due and payable (the "Property Mandatory Prepayment Event").</w:t>
      </w:r>
    </w:p>
    <w:p>
      <w:pPr>
        <w:spacing w:after="0" w:line="219"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7"/>
          <w:szCs w:val="17"/>
          <w:color w:val="231E1F"/>
        </w:rPr>
        <w:t>In June 2022, the Macau government published the amendments to the Macau gaming law approved by the Macau Legislative Assembly. These amendments include, for example, the awarding of up to six gaming concessions with a term up to ten years with a maximum three-year extension possible, and an increase in the minimum capital requirement applicable to concession holders to MOP5.0 billion (approximately $625.0 million), an increase in the percentage of the share capital of the concessionaire that must be held by the local managing director to 15% from 10% and a prohibition on revenue sharing arrangements between gaming promoters and concession holders. The Macau government also published the administrative regulations and related documents in relation to a public tender for the awarding of new gaming concessions in July 2022. Upon the publication and entry into force of the revised gaming law on June 23, 2022, we are monitoring developments with respect to the Macau government's public tender process, including the adoption of additional administrative regulations, instructions, dispatches, and further adaptations to the current legal and regulatory system, and at this time believe that our concession agreement will be further extended, renewed or replaced by a new gaming concession agreement beyond December 31, 2022. However, it is possible the Macau government could further change or interpret the associated gaming laws in a manner that could negatively impact the Company.</w:t>
      </w:r>
    </w:p>
    <w:p>
      <w:pPr>
        <w:spacing w:after="0" w:line="20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E1F"/>
        </w:rPr>
        <w:t>If we are unable to further extend or renew our concession agreement or obtain a new gaming concession agreement, an election by the WML Senior Notes holders to exercise the Special Put Option and the triggering of the Property Mandatory Prepayment Event would have a material adverse effect on our business, financial condition, results of operations, and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Measures</w:t>
      </w:r>
    </w:p>
    <w:p>
      <w:pPr>
        <w:spacing w:after="0" w:line="256"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Certain key operating measures specific to the gaming industry are included in our discussion of our operational performance for the periods for which the Condensed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spacing w:after="0" w:line="204" w:lineRule="exact"/>
        <w:rPr>
          <w:sz w:val="20"/>
          <w:szCs w:val="20"/>
          <w:color w:val="auto"/>
        </w:rPr>
      </w:pPr>
    </w:p>
    <w:p>
      <w:pPr>
        <w:ind w:left="1300" w:hanging="644"/>
        <w:spacing w:after="0" w:line="261"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in mass market for our Macau Operations is the amount of cash that is deposited in a gaming table's drop box plus cash chips purchased at the casino cage.</w:t>
      </w: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our Las Vegas Operations is the amount of cash and net markers issued that are deposited in a gaming table's drop box.</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Encore Boston Harbor is the amount of cash and gross markers issued that are deposited in a gaming table's drop box.</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Rolling chips are non-negotiable identifiable chips that are used to track turnover for purposes of calculating incentives within our Macau Operations' VIP program.</w:t>
      </w: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Turnover is the sum of all losing rolling chip wagers within our Macau Operations' VIP program.</w:t>
      </w:r>
    </w:p>
    <w:p>
      <w:pPr>
        <w:spacing w:after="0" w:line="9" w:lineRule="exact"/>
        <w:rPr>
          <w:rFonts w:ascii="Times New Roman" w:cs="Times New Roman" w:eastAsia="Times New Roman" w:hAnsi="Times New Roman"/>
          <w:sz w:val="18"/>
          <w:szCs w:val="18"/>
          <w:color w:val="auto"/>
        </w:rPr>
      </w:pPr>
    </w:p>
    <w:p>
      <w:pPr>
        <w:ind w:left="1300" w:hanging="644"/>
        <w:spacing w:after="0" w:line="260"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is the amount of table drop or turnover that is retained and recorded as casino revenues. Table games win is before discounts, commissions and the allocation of casino revenues to rooms, food and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spacing w:after="0" w:line="261" w:lineRule="auto"/>
        <w:rPr>
          <w:sz w:val="20"/>
          <w:szCs w:val="20"/>
          <w:color w:val="auto"/>
        </w:rPr>
      </w:pPr>
      <w:r>
        <w:rPr>
          <w:rFonts w:ascii="Times New Roman" w:cs="Times New Roman" w:eastAsia="Times New Roman" w:hAnsi="Times New Roman"/>
          <w:sz w:val="18"/>
          <w:szCs w:val="18"/>
          <w:color w:val="auto"/>
        </w:rPr>
        <w:t>beverage and other revenues for services provided to casino customers on a complimentary basis. Table games win does not include poker rake.</w:t>
      </w:r>
    </w:p>
    <w:p>
      <w:pPr>
        <w:jc w:val="both"/>
        <w:ind w:left="1300" w:hanging="644"/>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spacing w:after="0" w:line="1"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is calculated by dividing total room revenues, including complimentaries (less service charges, if any), by total rooms occupied.</w:t>
      </w:r>
    </w:p>
    <w:p>
      <w:pPr>
        <w:ind w:left="1300" w:hanging="644"/>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is calculated by dividing total room revenues, including complimentaries (less service charges, if any), by total rooms available.</w:t>
      </w: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is calculated by dividing total occupied rooms, including complimentary rooms, by the total rooms available.</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discussion of the methodologies used to calculate win percentages at our resorts.</w:t>
      </w:r>
    </w:p>
    <w:p>
      <w:pPr>
        <w:spacing w:after="0" w:line="25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typically expect our win as a percentage of turnover from these operations to be within the range of 3.1% to 3.4%; however, reduced gaming volumes as a result of COVID-19 containment measures implemented in Macau may cause volatility in our Macau Operations’ VIP win percentages.</w:t>
      </w:r>
    </w:p>
    <w:p>
      <w:pPr>
        <w:spacing w:after="0" w:line="21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21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second quarter 2022 results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financial results for the periods presented (dollars in thousands, except per share data):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6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1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908,832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990,113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(81,281)</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1,862,166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1,726,795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135,371</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76"/>
        </w:trPr>
        <w:tc>
          <w:tcPr>
            <w:tcW w:w="1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attributable to</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Wynn Resorts, Limited</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175"/>
        </w:trPr>
        <w:tc>
          <w:tcPr>
            <w:tcW w:w="1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net loss per</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175"/>
        </w:trPr>
        <w:tc>
          <w:tcPr>
            <w:tcW w:w="1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Property</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14"/>
                <w:szCs w:val="14"/>
                <w:color w:val="auto"/>
              </w:rPr>
              <w:t>(1)</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(27,721)</w:t>
            </w: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90,960</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See Item 1—"Financial Statements," Note 18, "Segment Information," for a reconciliation of Adjusted Property EBITDA to net loss attributable to Wynn Resorts, Limited.</w:t>
      </w:r>
    </w:p>
    <w:p>
      <w:pPr>
        <w:spacing w:after="0" w:line="24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decrease in operating revenues for the three months ended June 30, 2022 was primarily driven by decreases of $211.7 million and $125.4 million from Wynn Palace and and Wynn Macau, respectively, resulting from a decrease in gaming volumes due to certain travel-related restrictions and conditions, including COVID-19 testing and other procedures related to the COVID-19 pandemic. The decrease in operating revenues was partially offset by an increase in operating revenues of $206.0 million and $44.9 million at our Las Vegas Operations and Encore Boston Harbor, respectively, resulting from increased gaming volumes as well as increases in hotel occupancy and covers at restaurants. The results of our Las Vegas Operations and Encore Boston Harbor for the three months ended June 30, 2021 were impacted by certain COVID-19 pandemic related protective measures and operating schedule modifications, which were no longer in effect during the three months ended June 30, 2022.</w:t>
      </w:r>
    </w:p>
    <w:p>
      <w:pPr>
        <w:spacing w:after="0" w:line="21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decrease in net loss attributable to Wynn Resorts, Limited for the three months ended June 30, 2022 was primarily related to increased operating revenues at our Las Vegas Operations and Encore Boston Harbor, respectively, partially offset by increased operating expenses associated with higher business volumes at our Las Vegas Operations and Encore Boston Harbor.</w:t>
      </w:r>
    </w:p>
    <w:p>
      <w:pPr>
        <w:spacing w:after="0" w:line="20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decrease in Adjusted Property EBITDA for the three months ended June 30, 2022 was primarily driven by decreased gaming volumes at Wynn Palace and Wynn Macau, primarily due to certain travel-related restrictions and conditions, including COVID-19 testing and other procedures related to the COVID-19 pandemic, partially offset by increased operating revenues and operating expenses at our Las Vegas Operations and Encore Boston Harbor, respectively. Adjusted Property EBITDA decreased $103.5 million and $54.5 million at Wynn Palace and Wynn Macau, respectively, and increased $93.5 million, $16.8 million, and $19.9 million at our Las Vegas Operations, Encore Boston Harbor, and Wynn Interactive,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three months ended June 30, 2022 compared to the three months ended June 30, 2021.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operating revenues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Macau Operations: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Wynn Palace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(211,720)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Wynn Macau</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(125,445)</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117,234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454,399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(337,165)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30"/>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Las Vegas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206,003</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Encore Boston Harbor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44,913</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Wynn Interactive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30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908,832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990,113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(81,281)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casino and non-casino operating revenues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5"/>
              <w:spacing w:after="0" w:line="15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vMerge w:val="restart"/>
          </w:tcPr>
          <w:p>
            <w:pPr>
              <w:jc w:val="right"/>
              <w:ind w:right="288"/>
              <w:spacing w:after="0" w:line="15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15"/>
        </w:trPr>
        <w:tc>
          <w:tcPr>
            <w:tcW w:w="5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Casino revenues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359,585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602,746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(243,161)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Non-casino revenues: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Rooms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63,533</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Food and beverage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80,674</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17,673</w:t>
            </w:r>
          </w:p>
        </w:tc>
        <w:tc>
          <w:tcPr>
            <w:tcW w:w="130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non-casino revenues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549,247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387,367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161,880</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908,832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990,113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(81,281)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Casino revenues for the three months ended June 30, 2022 were 39.6% of operating revenues, compared to 60.9% for the same period of 2021. Non-casino revenues for the three months ended June 30, 2022 were 60.4% of operating revenues, compared to 39.1% for the same period of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Casino revenues decreased primarily due to decreased VIP turnover and table games win and mass market table drop and table games win at our Macau Operations, partially offset by increased table drop, table games win and slot machine win at our Las Vegas Operations and Encore Boston Harbor, respectively.</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(dollars in thousands, except for win per unit per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17"/>
        </w:trPr>
        <w:tc>
          <w:tcPr>
            <w:tcW w:w="5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4"/>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Wynn Palace: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27,194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212,067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(184,873)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VIP:</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turnover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344,462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1,811,381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(1,466,919)</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VIP table games (loss)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(6,671)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71,570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(loss) win as a % of turnover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(loss)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Mass market:</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210,549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707,494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(496,945)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41,581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163,547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130,404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421,269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(290,865)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4,922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18,772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30"/>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Wynn Macau:</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39,959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142,419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VIP:</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turnover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301,645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1,489,912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(1,188,267)</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VIP 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39,388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9"/>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Mass market:</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216,154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670,400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(454,246)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30,582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128,921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199,312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300,523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6,329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9,223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17"/>
        </w:trPr>
        <w:tc>
          <w:tcPr>
            <w:tcW w:w="5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Las Vegas Operations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135,345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112,775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564,982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427,014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137,968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138,879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99,021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1,712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1,326,178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1,115,149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211,029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89,844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78,890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5,021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Encore Boston Harbor </w:t>
            </w: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157,087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135,485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366,222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306,070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60,152</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80,263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64,874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9"/>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2,781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1,232,427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1,094,178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99,424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89,560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4"/>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1,241</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7" w:lineRule="exact"/>
        <w:rPr>
          <w:sz w:val="20"/>
          <w:szCs w:val="20"/>
          <w:color w:val="auto"/>
        </w:rPr>
      </w:pPr>
    </w:p>
    <w:p>
      <w:pPr>
        <w:ind w:right="20" w:firstLine="8"/>
        <w:spacing w:after="0" w:line="259" w:lineRule="auto"/>
        <w:tabs>
          <w:tab w:leader="none" w:pos="20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19, 2020, Encore at Wynn Las Vegas adjusted its operating schedule to five days/four nights each week due to reduced customer demand levels. On April 8, 2021, Encore at Wynn Las Vegas resumed full operations.</w:t>
      </w:r>
    </w:p>
    <w:p>
      <w:pPr>
        <w:ind w:firstLine="8"/>
        <w:spacing w:after="0" w:line="283" w:lineRule="auto"/>
        <w:tabs>
          <w:tab w:leader="none" w:pos="20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25, 2021, Encore Boston Harbor restored 24-hour casino operations and reopened its hotel tower on a Thursday through Sunday weekly schedule. The property reopened its hotel tower to seven days per week as of September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Palace</w:t>
            </w:r>
            <w:r>
              <w:rPr>
                <w:rFonts w:ascii="Times New Roman" w:cs="Times New Roman" w:eastAsia="Times New Roman" w:hAnsi="Times New Roman"/>
                <w:sz w:val="14"/>
                <w:szCs w:val="14"/>
                <w:color w:val="auto"/>
              </w:rPr>
              <w:t>:</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7,008</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20,883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Wynn Macau:</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4,762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13,427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167,115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93,785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Encore Boston Harbor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22,413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9,670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firstLine="8"/>
        <w:spacing w:after="0" w:line="282" w:lineRule="auto"/>
        <w:tabs>
          <w:tab w:leader="none" w:pos="20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Encore Boston Harbor room statistics have been computed based on 53 days of operation in three months ended June 30, 2021, representing the number of nights hotel rooms were offered for sale to the public.</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Room revenues increased $63.5 million, primarily due to higher occupancy and ADR at our Las Vegas Operations and Encore Boston Harbor, respectively. The hotel tower at Encore Boston Harbor was closed pursuant to a COVID-19 related state directive from November 6, 2020 through January 25, 2021, when it reopened its hotel tower on a Thursday through Sunday weekly schedule. Encore Boston Harbor reopened its hotel tower to seven days per week as of September 1, 2021.</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Food and beverage revenues increased $80.7 million, primarily due to increased restaurant covers and nightlife revenues at our Las Vegas Operations.</w:t>
      </w:r>
    </w:p>
    <w:p>
      <w:pPr>
        <w:spacing w:after="0" w:line="2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Entertainment, retail and other revenues increased $17.7 million, primarily due to an increase in visitation to our Las Vegas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operating expenses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244,064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381,615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(137,551)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21,258</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960,860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1,019,634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(58,774)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Total operating expenses decreased $58.8 million compared to the three months ended June 30, 2021, primarily due to decreased casino, entertainment, retail and other, provision for credit losses, and depreciation and amortization expenses, partially offset by increased room, food and beverage, and property charges and other expenses.</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Casino expenses decreased $99.0 million and $61.4 million at Wynn Palace and Wynn Macau, respectively. These decreases were primarily due to reductions in gaming tax expense driven by the declines in casino revenues at each of Wynn Palace and Wynn Macau, resulting from the effects of the COVID-19 pandemic, partially offset by increased casino expenses of $10.7 million and $12.2 million at our Las Vegas Operations and Encore Boston Harbor, respectively, primarily due to increased operating costs including gaming tax expense driven by the increase in casino revenues.</w:t>
      </w:r>
    </w:p>
    <w:p>
      <w:pPr>
        <w:spacing w:after="0" w:line="11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Room expenses increased $13.3 million and $4.2 million at our Las Vegas Operations and Encore Boston Harbor, respectively. These increases were primarily a result of higher operating costs related to the increase in occupancy.</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Food and beverage expenses increased $67.7 million and $6.7 million at our Las Vegas Operations and Encore Boston Harbor, respectively. These increases were primarily a result of higher operating costs related to the increase in food and beverage revenues as well as higher nightlife entertainment costs associated with increased business volumes at our Las Vegas Operations' nightlife venues.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Entertainment, retail and other expenses decreased $18.9 million at Wynn Interactive, primarily due to decreased marketing costs, partially offset by an increase of $11.2 million at our Las Vegas operations, primarily due to higher operating associated with increased levels of business.</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Provision for credit losses decreased $3.7 million and $3.0 million at our Las Vegas Operations and Wynn Macau, respectively and increased $2.1 million at Wynn Palace. These changes were primarily due to the impact of historical collection patterns and expectations of current and future collection trends, as well as the specific review of customer accounts, on our estimated credit loss for the respective periods.</w:t>
      </w:r>
    </w:p>
    <w:p>
      <w:pPr>
        <w:spacing w:after="0" w:line="9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$14.5 million at Wynn Palace, primarily due to certain furniture, fixture and equipment assets reaching the end of their useful lives in the first quarter of 2022.</w:t>
      </w:r>
    </w:p>
    <w:p>
      <w:pPr>
        <w:spacing w:after="0" w:line="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property charges and other expenses for the quarter ended June 30, 2022 consisted primarily of impairment of goodwill and other finite-lived intangible assets of $7.5 million and $10.3 million, respectively, and $7.6 million of other restructuring costs related to management's decision to cease the operations of BetBull, Limited ("BetBull"), a subsidiary of Wynn Interactive. Our property charges and other expenses for the quarter ended June 30, 2021 consisted primarily of asset disposals, abandonments and retirements of $1.4 million, $1.2 million, and $1.0 million at our Las Vegas Operations, Wynn Macau, and Wynn Palace,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 of capitalized interest</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information related to interest expense (dollars 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vMerge w:val="restart"/>
          </w:tcPr>
          <w:p>
            <w:pPr>
              <w:ind w:left="360"/>
              <w:spacing w:after="0" w:line="15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15"/>
        </w:trPr>
        <w:tc>
          <w:tcPr>
            <w:tcW w:w="5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cost, including amortization of debt issuance costs and original</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 discount and premium</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154,830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150,424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4,406</w:t>
            </w:r>
          </w:p>
        </w:tc>
        <w:tc>
          <w:tcPr>
            <w:tcW w:w="80" w:type="dxa"/>
            <w:vAlign w:val="bottom"/>
          </w:tcPr>
          <w:p>
            <w:pPr>
              <w:spacing w:after="0"/>
              <w:rPr>
                <w:sz w:val="21"/>
                <w:szCs w:val="21"/>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total debt balance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12,038,961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12,105,755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costs increased primarily due to an increase in the weighted average interest rate.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incurred a foreign currency remeasurement loss of $10.1 million and a gain of $5.6 million for the three months ended June 30, 2022 and 2021, respectively. The impact of the exchange rate fluctuation of the MOP, in relation to the U.S. dollar, on the remeasurements of U.S. dollar denominated debt and other obligations from our Macau-related entities primarily drove the variability between periods.</w:t>
      </w:r>
    </w:p>
    <w:p>
      <w:pPr>
        <w:spacing w:after="0" w:line="2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a gain of $1.6 million and $1.0 million for the three months ended June 30, 2022 and 2021, respectively, from change in derivatives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an income tax expense of $0.7 million in each of the three months ended June 30, 2022 and 2021. Income tax expense in both periods primarily related to the Macau dividend tax agreement that provides for an annual payment as complementary tax otherwise due by stockholders of WRM.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noncontrolling interests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loss attributable to noncontrolling interests was $83.4 million and $42.0 million for the three months ended June 30, 2022 and 2021,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amounts are primarily related to the noncontrolling interests' share of net loss attributable to WML.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six months ended June 30, 2022 compared to the six months ended June 30, 2021.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operating revenues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Macau Operations: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Wynn Palace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(285,721)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Wynn Macau</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(169,996)</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415,659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(455,717)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9"/>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Las Vegas Operations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468,473</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Encore Boston Harbor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105,619</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Wynn Interactive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16,996</w:t>
            </w:r>
          </w:p>
        </w:tc>
        <w:tc>
          <w:tcPr>
            <w:tcW w:w="130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1,862,166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1,726,795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135,371</w:t>
            </w:r>
          </w:p>
        </w:tc>
        <w:tc>
          <w:tcPr>
            <w:tcW w:w="1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casino and non-casino operating revenues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5"/>
              <w:spacing w:after="0" w:line="15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5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Casino revenues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849,447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1,118,964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(269,517)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Non-casino revenues: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Rooms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157,719</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Food and beverage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186,185</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60,984</w:t>
            </w:r>
          </w:p>
        </w:tc>
        <w:tc>
          <w:tcPr>
            <w:tcW w:w="130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Total non-casino revenues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1,012,719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607,831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404,888</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1,862,166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1,726,795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135,371</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Casino revenues for the six months ended June 30, 2022 were 45.6% of operating revenues, compared to 64.8% for the same period of 2021. Non-casino revenues for the six months ended June 30, 2022 were 54.4% of operating revenues, compared to 35.2% for the same period of 2021.</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Casino revenues decreased primarily due to decreased VIP turnover and table games win and mass market table drop and table games win at our Macau Operations, partially offset by increased table drop, table games win and slot machine win at our Las Vegas Operations and Encore Boston Harbor, respectively. The table below sets forth our casino revenues and associated key operating measures (dollars in thousands, except for win per unit per day):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17"/>
        </w:trPr>
        <w:tc>
          <w:tcPr>
            <w:tcW w:w="5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1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4"/>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Wynn Palace: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141,607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397,976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(256,369)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9"/>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VIP:</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30"/>
        </w:trPr>
        <w:tc>
          <w:tcPr>
            <w:tcW w:w="5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turnover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1,310,017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4,011,563</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(2,701,546)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VIP 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13,082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168,026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(154,944)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29"/>
        </w:trPr>
        <w:tc>
          <w:tcPr>
            <w:tcW w:w="5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9,402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29"/>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Mass market: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5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742,408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1,315,012</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(572,604)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152,755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295,196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(142,441)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30"/>
        </w:trPr>
        <w:tc>
          <w:tcPr>
            <w:tcW w:w="5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29"/>
        </w:trPr>
        <w:tc>
          <w:tcPr>
            <w:tcW w:w="5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381,333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780,041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(398,708)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29"/>
        </w:trPr>
        <w:tc>
          <w:tcPr>
            <w:tcW w:w="5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17,571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33,015</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Wynn Macau:</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142,389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281,346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(138,957)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9"/>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VIP:</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30"/>
        </w:trPr>
        <w:tc>
          <w:tcPr>
            <w:tcW w:w="5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turnover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1,188,695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3,294,294</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(2,105,599)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VIP 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48,475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98,022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29"/>
        </w:trPr>
        <w:tc>
          <w:tcPr>
            <w:tcW w:w="5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Mass market: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5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685,292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1,261,290</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(575,998)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112,842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234,104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(121,262)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30"/>
        </w:trPr>
        <w:tc>
          <w:tcPr>
            <w:tcW w:w="5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30"/>
        </w:trPr>
        <w:tc>
          <w:tcPr>
            <w:tcW w:w="5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482,851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601,794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(118,943)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0"/>
        </w:trPr>
        <w:tc>
          <w:tcPr>
            <w:tcW w:w="5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16,941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19,431</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1"/>
        </w:trPr>
        <w:tc>
          <w:tcPr>
            <w:tcW w:w="1020" w:type="dxa"/>
            <w:vAlign w:val="bottom"/>
            <w:tcBorders>
              <w:top w:val="single" w:sz="8" w:color="0000FF"/>
            </w:tcBorders>
          </w:tcPr>
          <w:p>
            <w:pPr>
              <w:spacing w:after="0"/>
              <w:rPr>
                <w:sz w:val="24"/>
                <w:szCs w:val="24"/>
                <w:color w:val="auto"/>
              </w:rPr>
            </w:pPr>
          </w:p>
        </w:tc>
        <w:tc>
          <w:tcPr>
            <w:tcW w:w="4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0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17"/>
        </w:trPr>
        <w:tc>
          <w:tcPr>
            <w:tcW w:w="10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1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5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Las Vegas Operations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259,616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192,678</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54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1,112,898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751,545</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361,353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268,043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175,674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92,369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9"/>
        </w:trPr>
        <w:tc>
          <w:tcPr>
            <w:tcW w:w="54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54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2,504,162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1,906,409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597,753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0"/>
        </w:trPr>
        <w:tc>
          <w:tcPr>
            <w:tcW w:w="54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170,675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129,379</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9"/>
        </w:trPr>
        <w:tc>
          <w:tcPr>
            <w:tcW w:w="54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8,882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43"/>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Encore Boston Harbor </w:t>
            </w: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305,835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246,964</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54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712,417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540,632</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171,785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157,054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114,251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30"/>
        </w:trPr>
        <w:tc>
          <w:tcPr>
            <w:tcW w:w="54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30"/>
        </w:trPr>
        <w:tc>
          <w:tcPr>
            <w:tcW w:w="54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2,415,740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2,007,973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407,767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9"/>
        </w:trPr>
        <w:tc>
          <w:tcPr>
            <w:tcW w:w="54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194,720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164,380</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4"/>
        </w:trPr>
        <w:tc>
          <w:tcPr>
            <w:tcW w:w="54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7" w:lineRule="exact"/>
        <w:rPr>
          <w:sz w:val="20"/>
          <w:szCs w:val="20"/>
          <w:color w:val="auto"/>
        </w:rPr>
      </w:pPr>
    </w:p>
    <w:p>
      <w:pPr>
        <w:ind w:right="2020" w:firstLine="8"/>
        <w:spacing w:after="0" w:line="259" w:lineRule="auto"/>
        <w:tabs>
          <w:tab w:leader="none" w:pos="20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19, 2020, Encore at Wynn Las Vegas adjusted its operating schedule to five days/four nights each week due to reduced customer demand levels. On April 8, 2021, Encore at Wynn Las Vegas resumed full operations.</w:t>
      </w:r>
    </w:p>
    <w:p>
      <w:pPr>
        <w:ind w:left="260" w:hanging="252"/>
        <w:spacing w:after="0" w:line="283" w:lineRule="auto"/>
        <w:tabs>
          <w:tab w:leader="none" w:pos="22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25, 2021, Encore Boston Harbor restored 24-hour casino operations and reopened its hotel tower on a Thursday through Sunday weekly schedule. The property reopened its hotel tower to seven days per week as of September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1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Wynn Palace: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20,839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37,895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Wynn Macau:</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14,152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28,129</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298,582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133,546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165,036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Encore Boston Harbor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38,101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14,385</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60" w:hanging="252"/>
        <w:spacing w:after="0" w:line="282" w:lineRule="auto"/>
        <w:tabs>
          <w:tab w:leader="none" w:pos="22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Encore Boston Harbor room statistics have been computed based on 89 days of operation in six months ended June 30, 2021, representing the number of nights hotel rooms were offered for sale to the public.</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Room revenues increased $157.7 million, primarily due to higher occupancy and ADR at our Las Vegas Operations and Encore Boston Harbor, respectively. The hotel tower at Encore Boston Harbor was closed pursuant to a COVID-19 related state directive from November 6, 2020 through January 25, 2021, when it reopened its hotel tower on a Thursday through Sunday weekly schedule. Encore Boston Harbor reopened its hotel tower to seven days per week as of September 1, 2021.</w:t>
      </w:r>
    </w:p>
    <w:p>
      <w:pPr>
        <w:spacing w:after="0" w:line="2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Food and beverage revenues increased $186.2 million, primarily due to increased restaurant covers and nightlife revenues at our Las Vegas Operations.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Entertainment, retail and other revenues increased $61.0 million, primarily due to an increase in visitation to our Las Vegas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presents operating expenses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568,143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733,581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(165,438)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61,361</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2,009,059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1,932,048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77,011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$77.0 million compared to the six months ended June 30, 2021, primarily due to increased room, food and beverage, entertainment, retail and other, general and administrative expenses, and property charges and other, partially offset by decreased casino, provision for credit losses, and depreciation and amortization expenses.</w:t>
      </w:r>
    </w:p>
    <w:p>
      <w:pPr>
        <w:spacing w:after="0" w:line="2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Casino expenses decreased $141.3 million and $84.3 million at Wynn Palace and Wynn Macau, respectively. These decreases were primarily due to reductions in gaming tax expense driven by the declines in casino revenues at each of Wynn Palace and Wynn Macau, resulting from the effects of the COVID-19 pandemic, partially offset by increased casino expenses of $30.5 million and $29.7 million at our Las Vegas Operations and Encore Boston Harbor, respectively primarily due to increased operating costs including gaming tax expense driven by the increase in casino revenues.</w:t>
      </w:r>
    </w:p>
    <w:p>
      <w:pPr>
        <w:spacing w:after="0" w:line="2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Room expenses increased $34.5 million and $8.7 million at our Las Vegas Operations and Encore Boston Harbor, respectively. These increases were primarily a result of higher operating costs related to the increase in occupancy.</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Food and beverage expenses increased $132.4 million and $13.2 million at our Las Vegas Operations and Encore Boston Harbor, respectively. These increases were primarily a result of higher operating costs related to the increase in food and beverage revenues as well as higher nightlife entertainment costs associated with increased business volumes at our Las Vegas Operations' nightlife venues.</w:t>
      </w:r>
    </w:p>
    <w:p>
      <w:pPr>
        <w:spacing w:after="0" w:line="20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Entertainment, retail and other expenses increased $25.6 million at our Las Vegas operations primarily due to higher operating costs associated with increased levels of business, partially offset by a decrease of $19.2 million at Wynn Interactive, primarily due to decreased marketing costs.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primarily due to increases of $24.8 million and $8.8 million at our Las Vegas Operations and Encore Boston Harbor, respectively. These increases were primarily attributable to increased payroll, operating costs, and general and administrative expenses required to support higher business volumes, partially offset by decreased general and administrative expenses of $8.4 million and $6.9 million, at Wynn Palace and Wynn Macau, respectively, primarily due to decreased payroll and operating costs attributable to lower business volumes.</w:t>
      </w:r>
    </w:p>
    <w:p>
      <w:pPr>
        <w:spacing w:after="0" w:line="20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provision for credit losses decreased $6.2 million and $4.5 million at our Las Vegas Operations and Wynn Macau, respectively. The decreases were primarily due to the impact of historical collection patterns and expectations of current and future collection trends, as well as the specific review of customer accounts, on our estimated credit loss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pre-opening expenses totaled $6.9 million, which primarily related to reconfiguring the former Le Reve theater space at Wynn Las Vegas. For the six months ended June 30, 2021, pre-opening expenses totaled $4.1 million, which primarily related to restaurant remodels at our Las Vegas Operations.</w:t>
      </w:r>
    </w:p>
    <w:p>
      <w:pPr>
        <w:spacing w:after="0" w:line="2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$31.0 million at Wynn Palace primarily due to certain furniture, fixture and equipment assets reaching the end of their useful lives in the first quarter of 2022.</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property charges and other expenses for the six months ended June 30, 2022 consisted primarily of impairment of goodwill and other finite-lived intangible assets of $37.8 million and $10.3 million, respectively, and $7.6 million of restructuring costs related to Wynn Interactive's BetBull operations, as well as other contract termination expenses of $10.6 million and asset abandonments of $2.1 million related to Wynn Interactive. Our property charges and other expenses for the six months ended June 30, 2021 consisted primarily of asset abandonments of $3.5 million and $3.2 million at our Las Vegas Operations and Wynn Palace,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 of capitalized interest</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information related to interest expense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Interest cost, including amortization of debt issuance costs and original</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 discount and premium</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306,988</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303,276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3,712</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total debt balance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12,048,299</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12,365,615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costs increased primarily due to an increase in the weighted average interest rate.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incurred a foreign currency remeasurement loss of $25.2 million and $5.5 million for the six months ended June 30, 2022 and 2021, respectively. The impact of the exchange rate fluctuation of the Macau pataca, in relation to the U.S. dollar, on the remeasurements of U.S. dollar denominated debt and other obligations from our Macau-related entities drove the variability between periods.</w:t>
      </w:r>
    </w:p>
    <w:p>
      <w:pPr>
        <w:spacing w:after="0" w:line="13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a gain of $9.0 million and $5.4 million for the six months ended June 30, 2022 and 2021, respectively, from change in derivatives fair value.</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a $1.3 million loss on extinguishment of debt for the six months ended June 30, 2021 related to the partial prepayment of the Wynn Macau Term Loan.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recorded an income tax expense of $1.9 million and $1.2 million for the six months ended June 30, 2022 and 2021, respectively. The income tax expense in both periods primarily related to the Macau dividend tax agreement that provides for an annual payment as complementary tax otherwise due by stockholders of WRM.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noncontrolling interests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loss attributable to noncontrolling interests was $154.7 million and $97.2 million for the six months ended June 30, 2022 and 2021,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amounts are primarily related to the noncontrolling interests' share of net loss from WML.</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Property EBITDA</w:t>
      </w:r>
    </w:p>
    <w:p>
      <w:pPr>
        <w:spacing w:after="0" w:line="256"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use Adjusted Property EBITDA to manage the operating results of our segments. Adjusted Property EBITDA is net loss before interest, income taxes, depreciation and amortization, pre-opening expenses, property charges and other, management and license fees, corporate expenses and other (including intercompany golf course, meeting and convention, and water rights leases), stock-based compensation, change in derivatives fair value, loss on extinguishment of debt, and other non-operating income and expenses. We use Adjusted Property EBITDA to manage the operating results of our segments.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loss,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 summarizes Adjusted Property EBITDA (dollars in thousands) for Wynn Palace, Wynn Macau, Las Vegas Operations, Encore Boston Harbor, and Wynn Interactive as reviewed by management and summarized in Item 1—"Notes to Condensed Consolidated Financial Statements," Note 18, "Segment Information." That footnote also presents a reconciliation of Adjusted Property EBITDA to net loss attributable to Wynn Resorts, Limited.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96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860" w:type="dxa"/>
            <w:vAlign w:val="bottom"/>
          </w:tcPr>
          <w:p>
            <w:pPr>
              <w:jc w:val="right"/>
              <w:ind w:right="122"/>
              <w:spacing w:after="0" w:line="12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Wynn Palace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(49,950)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53,555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(103,505)</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(50,814)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80,924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(131,738)</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Wynn Macau</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14,086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(54,476)</w:t>
            </w:r>
          </w:p>
        </w:tc>
        <w:tc>
          <w:tcPr>
            <w:tcW w:w="100" w:type="dxa"/>
            <w:vAlign w:val="bottom"/>
          </w:tcPr>
          <w:p>
            <w:pPr>
              <w:spacing w:after="0"/>
              <w:rPr>
                <w:sz w:val="18"/>
                <w:szCs w:val="18"/>
                <w:color w:val="auto"/>
              </w:rPr>
            </w:pPr>
          </w:p>
        </w:tc>
        <w:tc>
          <w:tcPr>
            <w:tcW w:w="120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NM</w:t>
            </w: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(45,072)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30,642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(75,714)</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Las Vegas Operations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226,706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133,222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93,484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386,084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161,303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224,781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Encore Boston Harbor</w:t>
            </w:r>
          </w:p>
        </w:tc>
        <w:tc>
          <w:tcPr>
            <w:tcW w:w="2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63,746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46,916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118,996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77,279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41,717</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Wynn Interactive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(52,454)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Adjusted Property EBITDA at Wynn Palace and Wynn Macau decreased $103.5 million and $54.5 million for the three months ended June 30, 2022 and $131.7 million and $75.7 million for the six months ended June 30, 2022, respectively, primarily due to a decrease in operating revenues, partially offset by a decrease in operating expenses. Our Macau Operations for the three and six months ended June 30, 2022 continued to be negatively impacted by certain travel-related restrictions and conditions, including COVID-19 testing and other procedures related to the COVID-19 pandemic.</w:t>
      </w:r>
    </w:p>
    <w:p>
      <w:pPr>
        <w:spacing w:after="0" w:line="11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Adjusted Property EBITDA at our Las Vegas Operations increased $93.5 million and $224.8 million for the three and six months ended June 30, 2022, primarily due to an increase in operating revenues, partially offset by an increase in operating expenses. Our Las Vegas Operations for the three and six months ended June 30, 2021 were negatively impacted by the limitation or suspension of certain offerings and certain capacity limitations related to the COVID-19 pandemic.</w:t>
      </w:r>
    </w:p>
    <w:p>
      <w:pPr>
        <w:spacing w:after="0" w:line="9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Adjusted Property EBITDA at Encore Boston Harbor increased $16.8 million and $41.7 million for the three and six months ended June 30, 2022, primarily due to an increase in operating revenues, partially offset by an increase in operating expenses. Operating revenue at Encore Boston Harbor for the three and six months ended June 30, 2021 was negatively impacted by the limitation or suspension of certain offerings and certain capacity limitations related to the COVID-19 pandemic.</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Adjusted Property EBITDA at Wynn Interactive increased $19.9 million and $31.9 million for the three and six months ended June 30, 2022, primarily due to increased operating revenues due to the continued expansion and ramp up of operations and decreased marketing and promotional expenses.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 to the discussions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cash flows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 Summary</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940" w:type="dxa"/>
            <w:vAlign w:val="bottom"/>
            <w:tcBorders>
              <w:bottom w:val="single" w:sz="8" w:color="CCEEFF"/>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(157,451)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(226,807)</w:t>
            </w: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net of construction payables and retention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(110,045)</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intangible and other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Proceeds from sale of assets and 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(195,384)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(122,284)</w:t>
            </w: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50,058</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(1,205,099)</w:t>
            </w: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Wynn Resorts, Limited common stock</w:t>
            </w:r>
          </w:p>
        </w:tc>
        <w:tc>
          <w:tcPr>
            <w:tcW w:w="3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841,896</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subsidiary common stock</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additional interest in joint venture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 payments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0" w:type="dxa"/>
            <w:vAlign w:val="bottom"/>
          </w:tcPr>
          <w:p>
            <w:pPr>
              <w:spacing w:after="0"/>
              <w:rPr>
                <w:sz w:val="1"/>
                <w:szCs w:val="1"/>
                <w:color w:val="auto"/>
              </w:rPr>
            </w:pPr>
          </w:p>
        </w:tc>
      </w:tr>
      <w:tr>
        <w:trPr>
          <w:trHeight w:val="223"/>
        </w:trPr>
        <w:tc>
          <w:tcPr>
            <w:tcW w:w="79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(150,906)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(329,849)</w:t>
            </w: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on cash, cash equivalents and restricted cash</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1,641</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 cash, cash equivalents and restricted cash</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(507,331)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(677,299)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21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2022, the decrease in net cash used in operating activities was primarily due to increased revenues from our Las Vegas Operations and Encore Boston Harbor, which was partially offset by decreases in revenues from Wynn Palace and Wynn Macau. During the six months ended June 30, 2021, the decrease in net cash used in operating activities was primarily due to increased operating revenues, partially offset by an increase in operating expenses and changes in working capital accounts.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investing activities primarily consist of project capital expenditures and maintenance capital expenditures associated with maintaining and continually refining our world-class integrated resort properties.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we incurred capital expenditures of $140.8 million at our Las Vegas Operations primarily related to the Wynn Las Vegas room remodel and the reconfiguration of the former Le Reve theater space, and $10.6 million at Encore Boston Harbor, $22.3 million at Wynn Palace, and $7.7 million at Wynn Macau primarily related to maintenance capital expenditures.</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2021, we incurred capital expenditures of $54.6 million at our Las Vegas Operations primarily related to the Wynn Las Vegas room remodel, and $17.9 million at Encore Boston Harbor, $13.6 million at Wynn Palace, and $9.8 million at Wynn Macau primarily related to maintenance capital expenditures.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2022, we repurchased 2,381,928 shares of our common stock for approximately $137.4 million. In addition, we received a $50.0 million contribution from a noncontrolling interest holder in exchange for a 49.9% interest in certain retail space contributed by the Company to the Retail Joint Venture, used cash of $16.5 million for distributions to noncontrolling interest holders of the Retail Joint Venture, and made quarterly amortization payments under the WRF Term Loan totaling $25.0 million.</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2021, we received proceeds of $841.9 million from our February 2021 equity offering and used $716.0 million of the proceeds from the equity offering to repay the outstanding borrowings under the WRF Revolver. In addition, we borrowed $50.1 million under the Wynn Macau Revolver, paid $464.7 million of outstanding principal owed under the Wynn Macau Term Loan, and made quarterly amortization payments under the WRF Term Loan totaling $25.0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COVID-19 pandemic has materially impacted and is likely to continue to materially impact, our business, financial condition and results of operations. While we believe our unrestricted cash, cash flows from operations and revolver borrowing capacity will enable us to fund our current obligations for the foreseeable future, COVID-19 has resulted in significant disruptions to our operations and to the U.S. and other global economies, which has had and will likely continue to have a negative impact on our operating income and could have a negative impact on our ability to access capital in the future.</w:t>
      </w:r>
    </w:p>
    <w:p>
      <w:pPr>
        <w:spacing w:after="0" w:line="210"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summarizes our unrestricted cash and cash equivalents and available revolver borrowing capacity, excluding capacity under intercompany loan agreements, as of June 30, 2022 (in thousands):</w:t>
      </w:r>
    </w:p>
    <w:tbl>
      <w:tblPr>
        <w:tblLayout w:type="fixed"/>
        <w:tblInd w:w="0" w:type="dxa"/>
        <w:tblCellMar>
          <w:top w:w="0" w:type="dxa"/>
          <w:left w:w="0" w:type="dxa"/>
          <w:bottom w:w="0" w:type="dxa"/>
          <w:right w:w="0" w:type="dxa"/>
        </w:tblCellMar>
      </w:tblPr>
      <w:tr>
        <w:trPr>
          <w:trHeight w:val="149"/>
        </w:trPr>
        <w:tc>
          <w:tcPr>
            <w:tcW w:w="7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Total Cash and Cash</w:t>
            </w:r>
          </w:p>
        </w:tc>
        <w:tc>
          <w:tcPr>
            <w:tcW w:w="140" w:type="dxa"/>
            <w:vAlign w:val="bottom"/>
          </w:tcPr>
          <w:p>
            <w:pPr>
              <w:spacing w:after="0"/>
              <w:rPr>
                <w:sz w:val="12"/>
                <w:szCs w:val="12"/>
                <w:color w:val="auto"/>
              </w:rPr>
            </w:pPr>
          </w:p>
        </w:tc>
        <w:tc>
          <w:tcPr>
            <w:tcW w:w="1460" w:type="dxa"/>
            <w:vAlign w:val="bottom"/>
          </w:tcPr>
          <w:p>
            <w:pPr>
              <w:jc w:val="right"/>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Revolver Borrowing</w:t>
            </w:r>
          </w:p>
        </w:tc>
      </w:tr>
      <w:tr>
        <w:trPr>
          <w:trHeight w:val="195"/>
        </w:trPr>
        <w:tc>
          <w:tcPr>
            <w:tcW w:w="7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40" w:type="dxa"/>
            <w:vAlign w:val="bottom"/>
          </w:tcPr>
          <w:p>
            <w:pPr>
              <w:spacing w:after="0"/>
              <w:rPr>
                <w:sz w:val="16"/>
                <w:szCs w:val="16"/>
                <w:color w:val="auto"/>
              </w:rPr>
            </w:pPr>
          </w:p>
        </w:tc>
        <w:tc>
          <w:tcPr>
            <w:tcW w:w="14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Capacity</w:t>
            </w:r>
          </w:p>
        </w:tc>
      </w:tr>
      <w:tr>
        <w:trPr>
          <w:trHeight w:val="228"/>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Macau, Limited and subsidiaries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211,466</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Wynn Resorts Finance, LLC </w:t>
            </w:r>
            <w:r>
              <w:rPr>
                <w:rFonts w:ascii="Times New Roman" w:cs="Times New Roman" w:eastAsia="Times New Roman" w:hAnsi="Times New Roman"/>
                <w:sz w:val="14"/>
                <w:szCs w:val="14"/>
                <w:color w:val="auto"/>
              </w:rPr>
              <w:t>(1)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835,600</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Resorts, Limited and other</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2,014,898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1,047,066</w:t>
            </w:r>
          </w:p>
        </w:tc>
      </w:tr>
      <w:tr>
        <w:trPr>
          <w:trHeight w:val="20"/>
        </w:trPr>
        <w:tc>
          <w:tcPr>
            <w:tcW w:w="7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Excluding Wynn Macau, Limited and subsidiaries.</w:t>
      </w:r>
    </w:p>
    <w:p>
      <w:pPr>
        <w:spacing w:after="0" w:line="246"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i w:val="1"/>
          <w:iCs w:val="1"/>
          <w:color w:val="auto"/>
        </w:rPr>
        <w:t>Wynn Macau, Limited and subsidiaries</w:t>
      </w:r>
      <w:r>
        <w:rPr>
          <w:rFonts w:ascii="Times New Roman" w:cs="Times New Roman" w:eastAsia="Times New Roman" w:hAnsi="Times New Roman"/>
          <w:sz w:val="18"/>
          <w:szCs w:val="18"/>
          <w:color w:val="auto"/>
        </w:rPr>
        <w:t>. WML generates cash from our Macau Operations and may utilize proceeds from the WM Cayman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Revolver and its intercompany revolving loan facility with Wynn Resorts, Limited to fund working capital requirements as needed. In July 2022, we drew $211.5 million on the WM Cayman II Revolver for general corporate purposes. We expect to use this cash to fund working capital and capital expenditure requirements at WML and our Macau Operations, and to service our WML Senior Notes and WM Cayman II Revolver. WML paid no dividends during 2021 or the first half of 2022.</w:t>
      </w:r>
    </w:p>
    <w:p>
      <w:pPr>
        <w:spacing w:after="0" w:line="20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borrowings under the WM Cayman II Revolver bear interest at LIBOR or HIBOR plus a margin of 2.625% per annum until June 30, 2022, the date from which the margin will be 1.875% to 2.875% per annum based on WM Cayman II’s leverage ratio on a consolidated basis, subject to a floor on the interest rate margin of 2.625% per annum through June 30, 2023. The final maturity of all outstanding loans under the Revolving Facility is September 16,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On May 5, 2022, WM Cayman II and its lenders agreed to waive certain financial covenants in the facility agreement under the WM Cayman II Revolver in respect of the relevant periods ending on the following applicable test dates: (a) June 30, 2022; (b) September 30, 2022; (c) December 31, 2022; and (d) March 31, 2023; and to provide for a floor on the interest rate margin of 2.625% per annum through June 30, 2023. </w:t>
      </w:r>
      <w:r>
        <w:rPr>
          <w:rFonts w:ascii="Times New Roman" w:cs="Times New Roman" w:eastAsia="Times New Roman" w:hAnsi="Times New Roman"/>
          <w:sz w:val="18"/>
          <w:szCs w:val="18"/>
          <w:color w:val="242424"/>
        </w:rPr>
        <w:t>WML</w:t>
      </w:r>
      <w:r>
        <w:rPr>
          <w:rFonts w:ascii="Times New Roman" w:cs="Times New Roman" w:eastAsia="Times New Roman" w:hAnsi="Times New Roman"/>
          <w:sz w:val="18"/>
          <w:szCs w:val="18"/>
          <w:color w:val="auto"/>
        </w:rPr>
        <w:t>, as guarantor, may be subject to certain restrictions on payments of dividends or distributions to its shareholders, unless certain financial criteria have been satisfied through the facility agreement.</w:t>
      </w:r>
    </w:p>
    <w:p>
      <w:pPr>
        <w:spacing w:after="0" w:line="21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If our portion of our cash and cash equivalents were repatriated to the U.S. on June 30, 2022, it would be subject to minimal U.S. taxes in the year of repatriation.</w:t>
      </w:r>
    </w:p>
    <w:p>
      <w:pPr>
        <w:spacing w:after="0" w:line="18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Wynn Resorts Finance, LLC and subsidiaries. </w:t>
      </w:r>
      <w:r>
        <w:rPr>
          <w:rFonts w:ascii="Times New Roman" w:cs="Times New Roman" w:eastAsia="Times New Roman" w:hAnsi="Times New Roman"/>
          <w:sz w:val="18"/>
          <w:szCs w:val="18"/>
          <w:color w:val="auto"/>
        </w:rPr>
        <w:t>Wynn Resorts Finance, LLC ("WRF" or "Wynn Resorts Finance") generates cash from distributions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its subsidiaries, which include our Macau Operations, Wynn Las Vegas, and Encore Boston Harbor, and capital contributions from Wynn Resorts, as required. In addition, WRF may utilize its available revolving borrowing capacity as needed. We expect to use this cash to service our WRF Credit Facilities, the WRF Senior Notes due 2025, the WRF Senior Notes due 2029, and the Wynn Las Vegas (WLV) Senior Notes, and to fund working capital and capital expenditure requirements as needed.</w:t>
      </w:r>
    </w:p>
    <w:p>
      <w:pPr>
        <w:spacing w:after="0" w:line="21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WRF is a holding company and, as a result, its ability to pay dividends to Wynn Resorts is dependent on WRF receiving distributions from its subsidiaries, which include WML, Wynn Las Vegas, LLC, and Wynn MA. The WRF Credit Agreement contains customary negative and financial covenants, including, but not limited to, covenants that restrict WRF's ability to pay dividends or distributions and incur additional indebtedness.</w:t>
      </w:r>
    </w:p>
    <w:p>
      <w:pPr>
        <w:spacing w:after="0" w:line="2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June 2022, Wynn Las Vegas completed its hotel room remodel for total project costs of $215.2 million, inclusive of approximately $16.0 million of remaining project costs. We are currently reconfiguring the former Le Reve theater space at Wynn Las Vegas. The specially redesigned theater will host an all-new, exclusive theatrical production. We expect to incur between $40 million and $50 million of remaining project costs related to the reconfigured theater and theatrical production, which we anticipate will open during the fourth quarter of 2022.</w:t>
      </w:r>
    </w:p>
    <w:p>
      <w:pPr>
        <w:spacing w:after="0" w:line="20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previously discussed, on February 15, 2022, we announced our entry into a sale-leaseback arrangement with respect to certain real estate assets related to Encore Boston Harbor. Upon closing of the related transactions, currently expected to take place in the fourth quarter of 2022, subject to regulatory approvals and customary closing conditions, we expect to receive cash consideration of approximately $1.7 billion in exchange for the sale of such real estate assets to an unrelated third party, and to concurrently enter into a lease agreement whereby the Company will lease such real estate assets for the purpose of continuing to operate the Encore Boston Harbor property. The lease agreement provides for an initial annual minimum rent of $100.0 million for an initial term of 30 years, subject to certain annual rent escalations and renewal provisions. We expect to use the cash proceeds from the sale of the real estate assets for general corporate purposes, which may include the repayment of certain debt obligations.</w:t>
      </w:r>
    </w:p>
    <w:p>
      <w:pPr>
        <w:spacing w:after="0" w:line="21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Wynn Resorts, Limited and other subsidiaries. </w:t>
      </w:r>
      <w:r>
        <w:rPr>
          <w:rFonts w:ascii="Times New Roman" w:cs="Times New Roman" w:eastAsia="Times New Roman" w:hAnsi="Times New Roman"/>
          <w:sz w:val="18"/>
          <w:szCs w:val="18"/>
          <w:color w:val="auto"/>
        </w:rPr>
        <w:t>Wynn Resorts, Limited is a holding company and, as a result, our ability to pay dividends is 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ability to obtain funds and our subsidiaries' ability to provide funds to us. Wynn Resorts, Limited and other primarily generates cash from royalty and management agreements with our resorts, dividends and distributions from our subsidiaries, and the operations of the Retail Joint Venture of which we own 50.1%. We expect to use this cash to service our Retail Term Loan, to fund working capital needs of our subsidiaries, and for general corporate purposes.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Factors Affecting Liquidity</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may refinance all or a portion of our indebtedness on or before maturity. We cannot assure you that we will be able to refinance any of the indebtedness on acceptable terms or at all.</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Note 16, "Commitments and Contingencies."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April 2016, our Board of Directors has authorized an equity repurchase program of up to $1.0 billion. Under the equity repurchase program, we may repurchase the Company's outstanding shares from time to time through open market purchases, in privately negotiated transactions, and under plans complying with Rules 10b5-1 and 10b-18 under the Securities Exchange Act of 1934, as amended (the "Exchange Act"). We repurchased 2,381,928 shares of our common stock at an average price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$57.70 per share, for an aggregate cost of $137.4 million under this equity repurchase program during the three months ended June 30, 2022. As of June 30, 2022, we had $662.7 million in repurchase authority remaining under the program.</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203" w:lineRule="exact"/>
        <w:rPr>
          <w:sz w:val="20"/>
          <w:szCs w:val="20"/>
          <w:color w:val="auto"/>
        </w:rPr>
      </w:pPr>
    </w:p>
    <w:p>
      <w:pPr>
        <w:jc w:val="both"/>
        <w:ind w:firstLine="405"/>
        <w:spacing w:after="0" w:line="281" w:lineRule="auto"/>
        <w:rPr>
          <w:sz w:val="20"/>
          <w:szCs w:val="20"/>
          <w:color w:val="auto"/>
        </w:rPr>
      </w:pPr>
      <w:r>
        <w:rPr>
          <w:rFonts w:ascii="Times New Roman" w:cs="Times New Roman" w:eastAsia="Times New Roman" w:hAnsi="Times New Roman"/>
          <w:sz w:val="17"/>
          <w:szCs w:val="17"/>
          <w:color w:val="auto"/>
        </w:rPr>
        <w:t>New business developments or other unforeseen events, including related to COVID-19,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description of our critical accounting policies is included in Item 7 of our Annual Report on Form 10-K for the year ended December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to these policies for the six months ended June 30,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 and Accounting Standards Issued But Not Yet Adopted</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related disclosure in Note 2, "Basis of Presentation and Significant Accounting Policies" of Part I in this Quarterly Report on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Risks</w:t>
      </w:r>
    </w:p>
    <w:p>
      <w:pPr>
        <w:spacing w:after="0" w:line="256"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June 30, 2022, approximately 77% of our long-term debt was based on fixed rates. Based on our borrowings as of June 30, 2022 and an interest rate collar on the Retail Term Loan, an assumed 100 basis point increase or decrease in the variable rates would cause our annual interest expense to change by $27.6 million or $21.8 million, respectively.</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order to mitigate exposure to interest rate fluctuations on the Retail Term Loan, the Company entered into an interest rate collar with a notional value of $615.0 million. The interest rate collar establishes a range whereby the Company will pay the counterparty if one-month LIBOR falls below the established floor rate of 1.00%, and the counterparty will pay the Company if one-month LIBOR exceeds the ceiling rate of 3.75%.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expect most of the revenues and expenses for any casino that we operate in Macau will be denominated in Hong Kong dollars or Macau patacas; however, a significant portion of the debt issued by WML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 as of June 30, 2022, an assumed 1% change in the U.S. dollar/Hong Kong dollar exchange rate would cause a foreign currency transaction gain/loss of $40.5 million.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report, the Company's disclosure controls and procedures were effective, at the reasonable assurance level, in recording, processing, summarizing and reporting, on a timely basis, information required to be disclosed by the Company in the reports that it files or furnishes under the Exchange Act and were effective in ensuring that information required to be disclosed by the Company in the reports that it files or furnishes under the Exchange Act is accumulated and communicated to the Company's management, including the Company's CEO and CFO, as appropriate to allow timely decisions regarding required disclosure.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16, "Commitments and Contingencies" of Part I in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 description of our risk factors can be found in Item 1A, Part I of our Annual Report on Form 10-K for the year ended December 31, 2021. There were no material changes to those risk factors during the six months ended June 30,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54"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share repurchases made by the Company under its publicly announced equity repurchase program during the three months ended June 30, 2022:</w:t>
      </w: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Price Paid Per</w:t>
            </w: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Repurchased as Part of a</w:t>
            </w:r>
          </w:p>
        </w:tc>
        <w:tc>
          <w:tcPr>
            <w:tcW w:w="160" w:type="dxa"/>
            <w:vAlign w:val="bottom"/>
          </w:tcPr>
          <w:p>
            <w:pPr>
              <w:spacing w:after="0"/>
              <w:rPr>
                <w:sz w:val="12"/>
                <w:szCs w:val="12"/>
                <w:color w:val="auto"/>
              </w:rPr>
            </w:pPr>
          </w:p>
        </w:tc>
        <w:tc>
          <w:tcPr>
            <w:tcW w:w="19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6"/>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Month Ended</w:t>
            </w:r>
          </w:p>
        </w:tc>
        <w:tc>
          <w:tcPr>
            <w:tcW w:w="2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 Shares Repurchased</w:t>
            </w:r>
          </w:p>
        </w:tc>
        <w:tc>
          <w:tcPr>
            <w:tcW w:w="2200" w:type="dxa"/>
            <w:vAlign w:val="bottom"/>
            <w:gridSpan w:val="3"/>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1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Under the Program</w:t>
            </w:r>
          </w:p>
        </w:tc>
        <w:tc>
          <w:tcPr>
            <w:tcW w:w="0" w:type="dxa"/>
            <w:vAlign w:val="bottom"/>
          </w:tcPr>
          <w:p>
            <w:pPr>
              <w:spacing w:after="0"/>
              <w:rPr>
                <w:sz w:val="1"/>
                <w:szCs w:val="1"/>
                <w:color w:val="auto"/>
              </w:rPr>
            </w:pPr>
          </w:p>
        </w:tc>
      </w:tr>
      <w:tr>
        <w:trPr>
          <w:trHeight w:val="198"/>
        </w:trPr>
        <w:tc>
          <w:tcPr>
            <w:tcW w:w="2540" w:type="dxa"/>
            <w:vAlign w:val="bottom"/>
            <w:gridSpan w:val="2"/>
            <w:vMerge w:val="continue"/>
          </w:tcPr>
          <w:p>
            <w:pPr>
              <w:spacing w:after="0"/>
              <w:rPr>
                <w:sz w:val="17"/>
                <w:szCs w:val="17"/>
                <w:color w:val="auto"/>
              </w:rPr>
            </w:pPr>
          </w:p>
        </w:tc>
        <w:tc>
          <w:tcPr>
            <w:tcW w:w="220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Publicly Announced Program</w:t>
            </w:r>
          </w:p>
        </w:tc>
        <w:tc>
          <w:tcPr>
            <w:tcW w:w="160" w:type="dxa"/>
            <w:vAlign w:val="bottom"/>
          </w:tcPr>
          <w:p>
            <w:pPr>
              <w:spacing w:after="0"/>
              <w:rPr>
                <w:sz w:val="17"/>
                <w:szCs w:val="17"/>
                <w:color w:val="auto"/>
              </w:rPr>
            </w:pPr>
          </w:p>
        </w:tc>
        <w:tc>
          <w:tcPr>
            <w:tcW w:w="1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(in thousands) (1)</w:t>
            </w:r>
          </w:p>
        </w:tc>
        <w:tc>
          <w:tcPr>
            <w:tcW w:w="0" w:type="dxa"/>
            <w:vAlign w:val="bottom"/>
          </w:tcPr>
          <w:p>
            <w:pPr>
              <w:spacing w:after="0"/>
              <w:rPr>
                <w:sz w:val="1"/>
                <w:szCs w:val="1"/>
                <w:color w:val="auto"/>
              </w:rPr>
            </w:pPr>
          </w:p>
        </w:tc>
      </w:tr>
      <w:tr>
        <w:trPr>
          <w:trHeight w:val="228"/>
        </w:trPr>
        <w:tc>
          <w:tcPr>
            <w:tcW w:w="24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April 30, 2022</w:t>
            </w:r>
          </w:p>
        </w:tc>
        <w:tc>
          <w:tcPr>
            <w:tcW w:w="8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800,149</w:t>
            </w:r>
          </w:p>
        </w:tc>
        <w:tc>
          <w:tcPr>
            <w:tcW w:w="0" w:type="dxa"/>
            <w:vAlign w:val="bottom"/>
          </w:tcPr>
          <w:p>
            <w:pPr>
              <w:spacing w:after="0"/>
              <w:rPr>
                <w:sz w:val="1"/>
                <w:szCs w:val="1"/>
                <w:color w:val="auto"/>
              </w:rPr>
            </w:pPr>
          </w:p>
        </w:tc>
      </w:tr>
      <w:tr>
        <w:trPr>
          <w:trHeight w:val="229"/>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May 31, 2022</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1,094,245</w:t>
            </w:r>
          </w:p>
        </w:tc>
        <w:tc>
          <w:tcPr>
            <w:tcW w:w="8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1,094,245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734,713</w:t>
            </w: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June 30, 2022</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1,287,683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1,287,683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662,713</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right="20" w:firstLine="8"/>
        <w:spacing w:after="0" w:line="271" w:lineRule="auto"/>
        <w:tabs>
          <w:tab w:leader="none" w:pos="218"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2016, the Company's Board of Directors authorized an equity repurchase program of up to $1.0 billion of our common stock. Repurchases may be made at the discretion of the Company from time to time on the open market or in privately negotiated transactions. The Company is not obligated to make any repurchases, and the repurchase program may be discontinued at any time. Any shares acquired are available for general corporate purposes. Any shares repurchased during the periods presented are held as treasury shares.</w:t>
      </w:r>
    </w:p>
    <w:p>
      <w:pPr>
        <w:spacing w:after="0" w:line="2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2022, we had $662.7 million in repurchase authority under the equity repurchase program.</w:t>
      </w:r>
    </w:p>
    <w:p>
      <w:pPr>
        <w:spacing w:after="0" w:line="252" w:lineRule="exact"/>
        <w:rPr>
          <w:sz w:val="20"/>
          <w:szCs w:val="20"/>
          <w:color w:val="auto"/>
        </w:rPr>
      </w:pPr>
    </w:p>
    <w:p>
      <w:pPr>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shares we repurchased in satisfaction of employee tax withholding obligations on vested restricted stock during the three months ended June 30, 2022, which were not part of the Company's publicly announced equity repurchase program:</w:t>
      </w: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Price Paid Per</w:t>
            </w:r>
          </w:p>
        </w:tc>
        <w:tc>
          <w:tcPr>
            <w:tcW w:w="120" w:type="dxa"/>
            <w:vAlign w:val="bottom"/>
          </w:tcPr>
          <w:p>
            <w:pPr>
              <w:spacing w:after="0"/>
              <w:rPr>
                <w:sz w:val="12"/>
                <w:szCs w:val="12"/>
                <w:color w:val="auto"/>
              </w:rPr>
            </w:pPr>
          </w:p>
        </w:tc>
        <w:tc>
          <w:tcPr>
            <w:tcW w:w="19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6"/>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Month Ended</w:t>
            </w:r>
          </w:p>
        </w:tc>
        <w:tc>
          <w:tcPr>
            <w:tcW w:w="2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 Shares Repurchased</w:t>
            </w:r>
          </w:p>
        </w:tc>
        <w:tc>
          <w:tcPr>
            <w:tcW w:w="2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jc w:val="center"/>
              <w:ind w:right="79"/>
              <w:spacing w:after="0" w:line="146" w:lineRule="exact"/>
              <w:rPr>
                <w:sz w:val="20"/>
                <w:szCs w:val="20"/>
                <w:color w:val="auto"/>
              </w:rPr>
            </w:pPr>
            <w:r>
              <w:rPr>
                <w:rFonts w:ascii="Times New Roman" w:cs="Times New Roman" w:eastAsia="Times New Roman" w:hAnsi="Times New Roman"/>
                <w:sz w:val="14"/>
                <w:szCs w:val="14"/>
                <w:b w:val="1"/>
                <w:bCs w:val="1"/>
                <w:color w:val="auto"/>
              </w:rPr>
              <w:t>Repurchased Shares</w:t>
            </w:r>
          </w:p>
        </w:tc>
        <w:tc>
          <w:tcPr>
            <w:tcW w:w="0" w:type="dxa"/>
            <w:vAlign w:val="bottom"/>
          </w:tcPr>
          <w:p>
            <w:pPr>
              <w:spacing w:after="0"/>
              <w:rPr>
                <w:sz w:val="1"/>
                <w:szCs w:val="1"/>
                <w:color w:val="auto"/>
              </w:rPr>
            </w:pPr>
          </w:p>
        </w:tc>
      </w:tr>
      <w:tr>
        <w:trPr>
          <w:trHeight w:val="198"/>
        </w:trPr>
        <w:tc>
          <w:tcPr>
            <w:tcW w:w="4740" w:type="dxa"/>
            <w:vAlign w:val="bottom"/>
            <w:gridSpan w:val="2"/>
            <w:vMerge w:val="continue"/>
          </w:tcPr>
          <w:p>
            <w:pPr>
              <w:spacing w:after="0"/>
              <w:rPr>
                <w:sz w:val="17"/>
                <w:szCs w:val="17"/>
                <w:color w:val="auto"/>
              </w:rPr>
            </w:pPr>
          </w:p>
        </w:tc>
        <w:tc>
          <w:tcPr>
            <w:tcW w:w="220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7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7"/>
                <w:szCs w:val="17"/>
                <w:color w:val="auto"/>
              </w:rPr>
            </w:pPr>
          </w:p>
        </w:tc>
        <w:tc>
          <w:tcPr>
            <w:tcW w:w="19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6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April 30, 2022</w:t>
            </w:r>
          </w:p>
        </w:tc>
        <w:tc>
          <w:tcPr>
            <w:tcW w:w="1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71,699</w:t>
            </w: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May 31, 2022</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26,391</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June 30, 2022</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104,668</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 Upon Senior Securities.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820" w:hanging="650"/>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4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8" w:lineRule="exact"/>
        <w:rPr>
          <w:sz w:val="20"/>
          <w:szCs w:val="20"/>
          <w:color w:val="auto"/>
        </w:rPr>
      </w:pPr>
    </w:p>
    <w:p>
      <w:pPr>
        <w:ind w:left="840"/>
        <w:spacing w:after="0"/>
        <w:tabs>
          <w:tab w:leader="none" w:pos="12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63">
        <w:r>
          <w:rPr>
            <w:rFonts w:ascii="Times New Roman" w:cs="Times New Roman" w:eastAsia="Times New Roman" w:hAnsi="Times New Roman"/>
            <w:sz w:val="17"/>
            <w:szCs w:val="17"/>
            <w:u w:val="single" w:color="auto"/>
            <w:color w:val="0000FF"/>
          </w:rPr>
          <w:t>Third Amended and Restated Articles of Incorporation of the Registrant. (Incorporated by reference from the Quarterly Report on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6858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1220"/>
        <w:spacing w:after="0"/>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10-Q filed by the Registrant on May 8, 2015.)</w:t>
        </w:r>
      </w:hyperlink>
    </w:p>
    <w:p>
      <w:pPr>
        <w:spacing w:after="0" w:line="7" w:lineRule="exact"/>
        <w:rPr>
          <w:sz w:val="20"/>
          <w:szCs w:val="20"/>
          <w:color w:val="auto"/>
        </w:rPr>
      </w:pPr>
    </w:p>
    <w:p>
      <w:pPr>
        <w:ind w:left="1220" w:right="360" w:hanging="368"/>
        <w:spacing w:after="0" w:line="242"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65">
        <w:r>
          <w:rPr>
            <w:rFonts w:ascii="Times New Roman" w:cs="Times New Roman" w:eastAsia="Times New Roman" w:hAnsi="Times New Roman"/>
            <w:sz w:val="18"/>
            <w:szCs w:val="18"/>
            <w:u w:val="single" w:color="auto"/>
            <w:color w:val="0000FF"/>
          </w:rPr>
          <w:t>Ninth Amended and Restated Bylaws of the Registrant. (Incorporated by reference from the Annual Report on Form 10-K filed by the</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Registrant on February 28, 2020.)</w:t>
        </w:r>
      </w:hyperlink>
    </w:p>
    <w:p>
      <w:pPr>
        <w:spacing w:after="0" w:line="1" w:lineRule="exact"/>
        <w:rPr>
          <w:sz w:val="20"/>
          <w:szCs w:val="20"/>
          <w:color w:val="auto"/>
        </w:rPr>
      </w:pPr>
    </w:p>
    <w:p>
      <w:pPr>
        <w:ind w:left="1220" w:right="280" w:hanging="548"/>
        <w:spacing w:after="0" w:line="242" w:lineRule="auto"/>
        <w:tabs>
          <w:tab w:leader="none" w:pos="12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FF"/>
        </w:rPr>
        <w:t>Concession Extension Contract for the Operation of Games of Chance or Other Games in Casinos in the Macau Special Administrative Region, dated June 23, 2022, between the Macau Special Administrative Region and Wynn Resorts (Macau), S.A.</w:t>
      </w:r>
    </w:p>
    <w:p>
      <w:pPr>
        <w:spacing w:after="0" w:line="1"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of Periodic Report Pursuant to Rule 13a – 14(a) and Rule 15d – 14(a).</w:t>
      </w:r>
    </w:p>
    <w:p>
      <w:pPr>
        <w:spacing w:after="0" w:line="23"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of Periodic Report Pursuant to Rule 13a – 14(a) and Rule 15d – 14(a).</w:t>
      </w:r>
    </w:p>
    <w:p>
      <w:pPr>
        <w:spacing w:after="0" w:line="23" w:lineRule="exact"/>
        <w:rPr>
          <w:sz w:val="20"/>
          <w:szCs w:val="20"/>
          <w:color w:val="auto"/>
        </w:rPr>
      </w:pPr>
    </w:p>
    <w:p>
      <w:pPr>
        <w:ind w:left="1220" w:hanging="330"/>
        <w:spacing w:after="0"/>
        <w:tabs>
          <w:tab w:leader="none" w:pos="1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CEO and CFO Pursuant to 18 U.S.C. Section 1350 (furnished herewith).</w:t>
      </w:r>
    </w:p>
    <w:p>
      <w:pPr>
        <w:spacing w:after="0" w:line="23" w:lineRule="exact"/>
        <w:rPr>
          <w:sz w:val="20"/>
          <w:szCs w:val="20"/>
          <w:color w:val="auto"/>
        </w:rPr>
      </w:pPr>
    </w:p>
    <w:p>
      <w:pPr>
        <w:jc w:val="both"/>
        <w:ind w:left="1220" w:right="120" w:hanging="420"/>
        <w:spacing w:after="0" w:line="217" w:lineRule="auto"/>
        <w:tabs>
          <w:tab w:leader="none" w:pos="12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 from Wynn Resorts, Limited's Quarterly Report on Form 10-Q, formatted in Inline XBRL (Inline Extensible Business Reporting Language): (i) the Condensed Consolidated Balance Sheets as of June 30, 2022 and December 31, 2021; (ii) the Condensed Consolidated Statements of Operations for the three and six months ended June 30, 2022 and 2021; (iii) the Condensed Consolidated Statements of Comprehensive Loss for the three and six months ended June 30, 2022 and 2021; (iv) the Condensed Consolidated Statements of Stockholders' Deficit for the three and six months ended June 30, 2022 and 2021; (v) the Condensed Consolidated Statements of Cash Flows for the six months ended June 30, 2022 and 2021; and (vi) Notes to Condensed Consolidated Financial Statements. The instance document does not appear in the Interactive Data File because its XBRL tags are embedded within the Inline XBRL document.</w:t>
      </w:r>
    </w:p>
    <w:p>
      <w:pPr>
        <w:spacing w:after="0" w:line="1" w:lineRule="exact"/>
        <w:rPr>
          <w:sz w:val="20"/>
          <w:szCs w:val="20"/>
          <w:color w:val="auto"/>
        </w:rPr>
      </w:pPr>
    </w:p>
    <w:p>
      <w:pPr>
        <w:ind w:left="800"/>
        <w:spacing w:after="0"/>
        <w:tabs>
          <w:tab w:leader="none" w:pos="12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 The cover page XBRL tags are embedded within the Inline XBRL document.</w:t>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135"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ectPr>
          <w:pgSz w:w="11900" w:h="16838" w:orient="portrait"/>
          <w:cols w:equalWidth="0" w:num="1">
            <w:col w:w="10740"/>
          </w:cols>
          <w:pgMar w:left="320" w:top="118" w:right="839" w:bottom="1440" w:gutter="0" w:footer="0" w:header="0"/>
        </w:sectPr>
      </w:pP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9, 2022</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24765</wp:posOffset>
            </wp:positionV>
            <wp:extent cx="26320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632075" cy="8255"/>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5740" w:space="720"/>
            <w:col w:w="4280"/>
          </w:cols>
          <w:pgMar w:left="320" w:top="118" w:right="839" w:bottom="1440" w:gutter="0" w:footer="0" w:header="0"/>
          <w:type w:val="continuous"/>
        </w:sectPr>
      </w:pPr>
    </w:p>
    <w:p>
      <w:pPr>
        <w:ind w:left="6460"/>
        <w:spacing w:after="0"/>
        <w:rPr>
          <w:sz w:val="20"/>
          <w:szCs w:val="20"/>
          <w:color w:val="auto"/>
        </w:rPr>
      </w:pPr>
      <w:r>
        <w:rPr>
          <w:rFonts w:ascii="Times New Roman" w:cs="Times New Roman" w:eastAsia="Times New Roman" w:hAnsi="Times New Roman"/>
          <w:sz w:val="18"/>
          <w:szCs w:val="18"/>
          <w:color w:val="auto"/>
        </w:rPr>
        <w:t>Julie Cameron-Doe</w:t>
      </w:r>
    </w:p>
    <w:p>
      <w:pPr>
        <w:spacing w:after="0" w:line="2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40"/>
          </w:cols>
          <w:pgMar w:left="320" w:top="118" w:right="839" w:bottom="1440" w:gutter="0" w:footer="0" w:header="0"/>
          <w:type w:val="continuous"/>
        </w:sectPr>
      </w:pPr>
    </w:p>
    <w:bookmarkStart w:id="51" w:name="page52"/>
    <w:bookmarkEnd w:id="51"/>
    <w:p>
      <w:pPr>
        <w:ind w:left="10240"/>
        <w:spacing w:after="0"/>
        <w:rPr>
          <w:sz w:val="20"/>
          <w:szCs w:val="20"/>
          <w:color w:val="auto"/>
        </w:rPr>
      </w:pPr>
      <w:r>
        <w:rPr>
          <w:rFonts w:ascii="Arial" w:cs="Arial" w:eastAsia="Arial" w:hAnsi="Arial"/>
          <w:sz w:val="17"/>
          <w:szCs w:val="17"/>
          <w:b w:val="1"/>
          <w:bCs w:val="1"/>
          <w:color w:val="auto"/>
        </w:rPr>
        <w:t>Exhibit 10.1</w:t>
      </w:r>
    </w:p>
    <w:p>
      <w:pPr>
        <w:spacing w:after="0" w:line="176" w:lineRule="exact"/>
        <w:rPr>
          <w:sz w:val="20"/>
          <w:szCs w:val="20"/>
          <w:color w:val="auto"/>
        </w:rPr>
      </w:pPr>
    </w:p>
    <w:p>
      <w:pPr>
        <w:jc w:val="center"/>
        <w:ind w:left="340" w:right="280"/>
        <w:spacing w:after="0" w:line="321" w:lineRule="auto"/>
        <w:rPr>
          <w:sz w:val="20"/>
          <w:szCs w:val="20"/>
          <w:color w:val="auto"/>
        </w:rPr>
      </w:pPr>
      <w:r>
        <w:rPr>
          <w:rFonts w:ascii="Arial" w:cs="Arial" w:eastAsia="Arial" w:hAnsi="Arial"/>
          <w:sz w:val="20"/>
          <w:szCs w:val="20"/>
          <w:b w:val="1"/>
          <w:bCs w:val="1"/>
          <w:color w:val="auto"/>
        </w:rPr>
        <w:t>THE MACAU SAR GAMING CONCESSION AMENDMENT AGREEMENT, ENTERED INTO BY THE MACAU SAR AND WYNN RESORTS (MACAU) S.A. FOR THE OPERATION OF GAMES OF CHANCE OR OTHER GAMES</w:t>
      </w:r>
    </w:p>
    <w:p>
      <w:pPr>
        <w:spacing w:after="0" w:line="200" w:lineRule="exact"/>
        <w:rPr>
          <w:sz w:val="20"/>
          <w:szCs w:val="20"/>
          <w:color w:val="auto"/>
        </w:rPr>
      </w:pPr>
    </w:p>
    <w:p>
      <w:pPr>
        <w:spacing w:after="0" w:line="213"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color w:val="auto"/>
        </w:rPr>
        <w:t xml:space="preserve">By the Chief Executive dispatch no. </w:t>
      </w:r>
      <w:r>
        <w:rPr>
          <w:rFonts w:ascii="Times New Roman" w:cs="Times New Roman" w:eastAsia="Times New Roman" w:hAnsi="Times New Roman"/>
          <w:sz w:val="20"/>
          <w:szCs w:val="20"/>
          <w:color w:val="auto"/>
        </w:rPr>
        <w:t>103</w:t>
      </w:r>
      <w:r>
        <w:rPr>
          <w:rFonts w:ascii="Arial" w:cs="Arial" w:eastAsia="Arial" w:hAnsi="Arial"/>
          <w:sz w:val="20"/>
          <w:szCs w:val="20"/>
          <w:color w:val="auto"/>
        </w:rPr>
        <w:t>/2022, it was authorized the term extension of the Macau SAR Gaming Concession Agreement, entered into between the Macau SAR and Wynn Resorts (Macau) S.A. until December 31, 2022.</w:t>
      </w:r>
    </w:p>
    <w:p>
      <w:pPr>
        <w:spacing w:after="0" w:line="59"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Hence, pursuant to article 13, paragraph 4, of Law no. 16/2001 (Legal Framework for the Operation of Games of Chance), both parties agree to execute this agreement.</w:t>
      </w:r>
    </w:p>
    <w:p>
      <w:pPr>
        <w:spacing w:after="0" w:line="200" w:lineRule="exact"/>
        <w:rPr>
          <w:sz w:val="20"/>
          <w:szCs w:val="20"/>
          <w:color w:val="auto"/>
        </w:rPr>
      </w:pPr>
    </w:p>
    <w:p>
      <w:pPr>
        <w:spacing w:after="0" w:line="247"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First Clause</w:t>
      </w:r>
    </w:p>
    <w:p>
      <w:pPr>
        <w:spacing w:after="0" w:line="148"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Amendment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Clauses 8 and 43 of the Gaming Concession Agreement entered into between the Macau SAR and Wynn Resorts (Macau)</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S.A., on June 24, 2002, as amended on September 8, 2006, are amended as follows:</w:t>
      </w:r>
    </w:p>
    <w:p>
      <w:pPr>
        <w:spacing w:after="0" w:line="134"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Clause 8 – Term of the Concession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One. The term of the present concession is extended until December 31, 2022.</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Two. (No changes).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Clause 43 – Reversion of the casinos and gaming equipment and tools</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One. On December 31, 2022, unless the concession ends before this date, the casinos, as well as the gaming equipment and tool, even if located outside the casinos, are freely and automatically reverted to the Macau SAR, and the concessionaire undertakes to deliver them in a good conservation and functioning order, without prejudice of the normal usage wear as per the terms of the present concession agreement, and free of any encumbrances.</w:t>
      </w:r>
    </w:p>
    <w:p>
      <w:pPr>
        <w:spacing w:after="0" w:line="95"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Two. The concessionaire undertakes to deliver the assets referred to in the previous paragraph and to sign the legal documentation indicated by the government.</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Three. (No changes).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Four. (No changes).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Five. (No changes).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Six. (No changes).”</w:t>
      </w:r>
    </w:p>
    <w:p>
      <w:pPr>
        <w:sectPr>
          <w:pgSz w:w="11900" w:h="16838" w:orient="portrait"/>
          <w:cols w:equalWidth="0" w:num="1">
            <w:col w:w="11240"/>
          </w:cols>
          <w:pgMar w:left="320" w:top="1411" w:right="339" w:bottom="1440" w:gutter="0" w:footer="0" w:header="0"/>
        </w:sectPr>
      </w:pPr>
    </w:p>
    <w:bookmarkStart w:id="52" w:name="page53"/>
    <w:bookmarkEnd w:id="52"/>
    <w:p>
      <w:pPr>
        <w:ind w:left="4920"/>
        <w:spacing w:after="0"/>
        <w:rPr>
          <w:sz w:val="20"/>
          <w:szCs w:val="20"/>
          <w:color w:val="auto"/>
        </w:rPr>
      </w:pPr>
      <w:r>
        <w:rPr>
          <w:rFonts w:ascii="Arial" w:cs="Arial" w:eastAsia="Arial" w:hAnsi="Arial"/>
          <w:sz w:val="20"/>
          <w:szCs w:val="20"/>
          <w:b w:val="1"/>
          <w:bCs w:val="1"/>
          <w:color w:val="auto"/>
        </w:rPr>
        <w:t>Second Clause</w:t>
      </w:r>
    </w:p>
    <w:p>
      <w:pPr>
        <w:spacing w:after="0" w:line="162"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Addition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Clauses 9-A, 43-A and 63-A are added with the following wording:</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Clause9-A – Authorized locations for the operation of games of chance</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concessionaire is authorized to operate games of chance or other games in the following locations:</w:t>
      </w:r>
    </w:p>
    <w:p>
      <w:pPr>
        <w:spacing w:after="0" w:line="162" w:lineRule="exact"/>
        <w:rPr>
          <w:sz w:val="20"/>
          <w:szCs w:val="20"/>
          <w:color w:val="auto"/>
        </w:rPr>
      </w:pPr>
    </w:p>
    <w:p>
      <w:pPr>
        <w:ind w:left="680" w:hanging="348"/>
        <w:spacing w:after="0"/>
        <w:tabs>
          <w:tab w:leader="none" w:pos="6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“Wynn Macau Casino”, located at Rua Cidade de Sintra, NAPE, Macau;</w:t>
      </w:r>
    </w:p>
    <w:p>
      <w:pPr>
        <w:spacing w:after="0" w:line="39" w:lineRule="exact"/>
        <w:rPr>
          <w:rFonts w:ascii="Arial" w:cs="Arial" w:eastAsia="Arial" w:hAnsi="Arial"/>
          <w:sz w:val="20"/>
          <w:szCs w:val="20"/>
          <w:color w:val="auto"/>
        </w:rPr>
      </w:pPr>
    </w:p>
    <w:p>
      <w:pPr>
        <w:ind w:left="680" w:hanging="348"/>
        <w:spacing w:after="0"/>
        <w:tabs>
          <w:tab w:leader="none" w:pos="6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“Wynn Palace Casino”, located at Avenida da Nave Desportiva, Cotai, Macau.</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Clause 43-A – Casinos</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20"/>
          <w:szCs w:val="20"/>
          <w:color w:val="auto"/>
        </w:rPr>
        <w:t>One. Pursuant to article 40 of Law no. 16/2001 and clause 43 of this agreement, the following casinos of the concessionaire shall be reverted to the Macau SAR at the end of the concession, without compensation and free of any encumbrances:</w:t>
      </w:r>
    </w:p>
    <w:p>
      <w:pPr>
        <w:spacing w:after="0" w:line="71" w:lineRule="exact"/>
        <w:rPr>
          <w:sz w:val="20"/>
          <w:szCs w:val="20"/>
          <w:color w:val="auto"/>
        </w:rPr>
      </w:pPr>
    </w:p>
    <w:p>
      <w:pPr>
        <w:ind w:left="680" w:hanging="348"/>
        <w:spacing w:after="0"/>
        <w:tabs>
          <w:tab w:leader="none" w:pos="6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 “Wynn Macau Casino”;</w:t>
      </w:r>
    </w:p>
    <w:p>
      <w:pPr>
        <w:spacing w:after="0" w:line="39" w:lineRule="exact"/>
        <w:rPr>
          <w:rFonts w:ascii="Arial" w:cs="Arial" w:eastAsia="Arial" w:hAnsi="Arial"/>
          <w:sz w:val="20"/>
          <w:szCs w:val="20"/>
          <w:color w:val="auto"/>
        </w:rPr>
      </w:pPr>
    </w:p>
    <w:p>
      <w:pPr>
        <w:ind w:left="680" w:hanging="348"/>
        <w:spacing w:after="0"/>
        <w:tabs>
          <w:tab w:leader="none" w:pos="6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 “Wynn Palace Casino”.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Clause 63-A – Bank guarantee to secure the labor liabilities compliance</w:t>
      </w:r>
    </w:p>
    <w:p>
      <w:pPr>
        <w:spacing w:after="0" w:line="272"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One. The concessionaire undertakes to provide a first demand bank guarantee, in the amount of no less than MOP$1,210,000,000.00, in favor of the Macau SAR, to secure the fulfillment of its labor liabilities upon the expiration of this agreement.</w:t>
      </w:r>
    </w:p>
    <w:p>
      <w:pPr>
        <w:spacing w:after="0" w:line="83"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Two. The Macau SAR can, depending on the concessionaire’s actual number of total employees, demand the increase of the said bank guarantee.</w:t>
      </w:r>
    </w:p>
    <w:p>
      <w:pPr>
        <w:spacing w:after="0" w:line="71"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Three. The concessionaire undertakes to conduct all due diligences and to fulfill all the obligations necessary to keep in force the first demand bank guarantee indicated in paragraph One.</w:t>
      </w:r>
    </w:p>
    <w:p>
      <w:pPr>
        <w:spacing w:after="0" w:line="71" w:lineRule="exact"/>
        <w:rPr>
          <w:sz w:val="20"/>
          <w:szCs w:val="20"/>
          <w:color w:val="auto"/>
        </w:rPr>
      </w:pPr>
    </w:p>
    <w:p>
      <w:pPr>
        <w:jc w:val="both"/>
        <w:spacing w:after="0" w:line="308" w:lineRule="auto"/>
        <w:rPr>
          <w:sz w:val="20"/>
          <w:szCs w:val="20"/>
          <w:color w:val="auto"/>
        </w:rPr>
      </w:pPr>
      <w:r>
        <w:rPr>
          <w:rFonts w:ascii="Arial" w:cs="Arial" w:eastAsia="Arial" w:hAnsi="Arial"/>
          <w:sz w:val="20"/>
          <w:szCs w:val="20"/>
          <w:color w:val="auto"/>
        </w:rPr>
        <w:t>Four. By the end of this agreement, should the concessionaire fail to satisfy the labor liabilities according to the timeline indicated by the Macau SAR, the latter can enforce the first demand bank guarantee indicated in paragraph One.</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Five. The first demand bank guarantee referred to in paragraph One can only be cancelled if authorized by the Macau SAR.</w:t>
      </w:r>
    </w:p>
    <w:p>
      <w:pPr>
        <w:spacing w:after="0" w:line="162"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color w:val="auto"/>
        </w:rPr>
        <w:t>Six. The costs connected to the issuance, maintenance and cancellation of the first demand bank guarantee referred to in paragraph One are fully borne by the concessionaire.”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Third Clause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Consideration for the extension</w:t>
      </w:r>
    </w:p>
    <w:p>
      <w:pPr>
        <w:spacing w:after="0" w:line="272"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One. The consideration for the term extension of the gaming concession until December 31, 2022, is MOP$47,000,000.00, to be paid at the execution of this agreement.</w:t>
      </w:r>
    </w:p>
    <w:p>
      <w:pPr>
        <w:sectPr>
          <w:pgSz w:w="11900" w:h="16838" w:orient="portrait"/>
          <w:cols w:equalWidth="0" w:num="1">
            <w:col w:w="11240"/>
          </w:cols>
          <w:pgMar w:left="320" w:top="1417" w:right="339" w:bottom="1440" w:gutter="0" w:footer="0" w:header="0"/>
        </w:sectPr>
      </w:pPr>
    </w:p>
    <w:bookmarkStart w:id="53" w:name="page54"/>
    <w:bookmarkEnd w:id="53"/>
    <w:p>
      <w:pPr>
        <w:jc w:val="both"/>
        <w:spacing w:after="0" w:line="294" w:lineRule="auto"/>
        <w:rPr>
          <w:sz w:val="20"/>
          <w:szCs w:val="20"/>
          <w:color w:val="auto"/>
        </w:rPr>
      </w:pPr>
      <w:r>
        <w:rPr>
          <w:rFonts w:ascii="Arial" w:cs="Arial" w:eastAsia="Arial" w:hAnsi="Arial"/>
          <w:sz w:val="20"/>
          <w:szCs w:val="20"/>
          <w:color w:val="auto"/>
        </w:rPr>
        <w:t>Two. The concessionaire undertakes to comply, in the following three months after the execution of this agreement, the obligations indicated in clause 63-A, added pursuant to the second clause of this agreement.</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Fourth Clause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Undertaking</w:t>
      </w:r>
    </w:p>
    <w:p>
      <w:pPr>
        <w:spacing w:after="0" w:line="164" w:lineRule="exact"/>
        <w:rPr>
          <w:sz w:val="20"/>
          <w:szCs w:val="20"/>
          <w:color w:val="auto"/>
        </w:rPr>
      </w:pPr>
    </w:p>
    <w:p>
      <w:pPr>
        <w:jc w:val="both"/>
        <w:ind w:right="20"/>
        <w:spacing w:after="0" w:line="290" w:lineRule="auto"/>
        <w:rPr>
          <w:sz w:val="20"/>
          <w:szCs w:val="20"/>
          <w:color w:val="auto"/>
        </w:rPr>
      </w:pPr>
      <w:r>
        <w:rPr>
          <w:rFonts w:ascii="Arial" w:cs="Arial" w:eastAsia="Arial" w:hAnsi="Arial"/>
          <w:sz w:val="19"/>
          <w:szCs w:val="19"/>
          <w:color w:val="auto"/>
        </w:rPr>
        <w:t>For the purposes of executing this agreement, the concessionaire and the concessionaire of the land where the casinos referred to in clause 43-A of the Gaming Concession Agreement, as amended by this agreement, are located, executed documents, undertaking the reversion of the casinos to the Macau SAR, pursuant to Law no. 16/2001, as amended, and pursuant to the Gaming Concession Agreement, as amended by this agreement. The scope of the casinos is set out in such documents.</w:t>
      </w:r>
    </w:p>
    <w:p>
      <w:pPr>
        <w:spacing w:after="0" w:line="76"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Fifth Clause</w:t>
      </w:r>
    </w:p>
    <w:p>
      <w:pPr>
        <w:spacing w:after="0" w:line="162"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Other contractual clauses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The remaining clauses of the Gaming Concession Agreement are kept unchanged.</w:t>
      </w:r>
    </w:p>
    <w:p>
      <w:pPr>
        <w:spacing w:after="0" w:line="160"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Sixth Clause</w:t>
      </w:r>
    </w:p>
    <w:p>
      <w:pPr>
        <w:spacing w:after="0" w:line="162"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Implementation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This agreement is implemented on the execution day.</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HO Iat Seng</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CHEN Chih Ling Linda</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Ian Michael COUGHLAN</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June 23, 2022</w:t>
      </w:r>
    </w:p>
    <w:p>
      <w:pPr>
        <w:sectPr>
          <w:pgSz w:w="11900" w:h="16838" w:orient="portrait"/>
          <w:cols w:equalWidth="0" w:num="1">
            <w:col w:w="11240"/>
          </w:cols>
          <w:pgMar w:left="320" w:top="1419"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S. Billings, certify that:</w:t>
      </w:r>
    </w:p>
    <w:p>
      <w:pPr>
        <w:spacing w:after="0" w:line="90" w:lineRule="exact"/>
        <w:rPr>
          <w:sz w:val="20"/>
          <w:szCs w:val="20"/>
          <w:color w:val="auto"/>
        </w:rPr>
      </w:pPr>
    </w:p>
    <w:p>
      <w:pPr>
        <w:ind w:left="820" w:hanging="812"/>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103"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820" w:right="140" w:hanging="812"/>
        <w:spacing w:after="0" w:line="276" w:lineRule="auto"/>
        <w:tabs>
          <w:tab w:leader="none" w:pos="8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85"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1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620" w:right="80" w:hanging="802"/>
        <w:spacing w:after="0" w:line="266" w:lineRule="auto"/>
        <w:tabs>
          <w:tab w:leader="none" w:pos="16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620" w:right="180" w:hanging="802"/>
        <w:spacing w:after="0" w:line="266" w:lineRule="auto"/>
        <w:tabs>
          <w:tab w:leader="none" w:pos="161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620" w:right="280" w:hanging="802"/>
        <w:spacing w:after="0" w:line="266" w:lineRule="auto"/>
        <w:tabs>
          <w:tab w:leader="none" w:pos="16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820" w:right="100" w:hanging="812"/>
        <w:spacing w:after="0" w:line="282"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620" w:right="140" w:hanging="802"/>
        <w:spacing w:after="0" w:line="282" w:lineRule="auto"/>
        <w:tabs>
          <w:tab w:leader="none" w:pos="161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620" w:right="420" w:hanging="802"/>
        <w:spacing w:after="0" w:line="282" w:lineRule="auto"/>
        <w:tabs>
          <w:tab w:leader="none" w:pos="16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S. Billings</w:t>
            </w:r>
          </w:p>
        </w:tc>
      </w:tr>
      <w:tr>
        <w:trPr>
          <w:trHeight w:val="218"/>
        </w:trPr>
        <w:tc>
          <w:tcPr>
            <w:tcW w:w="68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S. Billings</w:t>
            </w:r>
          </w:p>
        </w:tc>
      </w:tr>
      <w:tr>
        <w:trPr>
          <w:trHeight w:val="230"/>
        </w:trPr>
        <w:tc>
          <w:tcPr>
            <w:tcW w:w="68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Chief Executive Officer</w:t>
            </w:r>
          </w:p>
        </w:tc>
      </w:tr>
      <w:tr>
        <w:trPr>
          <w:trHeight w:val="234"/>
        </w:trPr>
        <w:tc>
          <w:tcPr>
            <w:tcW w:w="68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98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Julie Cameron-Doe, certify that:</w:t>
      </w:r>
    </w:p>
    <w:p>
      <w:pPr>
        <w:spacing w:after="0" w:line="90" w:lineRule="exact"/>
        <w:rPr>
          <w:sz w:val="20"/>
          <w:szCs w:val="20"/>
          <w:color w:val="auto"/>
        </w:rPr>
      </w:pPr>
    </w:p>
    <w:p>
      <w:pPr>
        <w:ind w:left="820" w:hanging="812"/>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103"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820" w:right="140" w:hanging="812"/>
        <w:spacing w:after="0" w:line="276" w:lineRule="auto"/>
        <w:tabs>
          <w:tab w:leader="none" w:pos="8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85"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1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620" w:right="80" w:hanging="802"/>
        <w:spacing w:after="0" w:line="266" w:lineRule="auto"/>
        <w:tabs>
          <w:tab w:leader="none" w:pos="1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620" w:right="180" w:hanging="802"/>
        <w:spacing w:after="0" w:line="266" w:lineRule="auto"/>
        <w:tabs>
          <w:tab w:leader="none" w:pos="161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620" w:right="280" w:hanging="802"/>
        <w:spacing w:after="0" w:line="266" w:lineRule="auto"/>
        <w:tabs>
          <w:tab w:leader="none" w:pos="1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820" w:right="100" w:hanging="812"/>
        <w:spacing w:after="0" w:line="282"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620" w:right="140" w:hanging="802"/>
        <w:spacing w:after="0" w:line="282" w:lineRule="auto"/>
        <w:tabs>
          <w:tab w:leader="none" w:pos="161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620" w:right="420" w:hanging="802"/>
        <w:spacing w:after="0" w:line="282" w:lineRule="auto"/>
        <w:tabs>
          <w:tab w:leader="none" w:pos="1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Julie Cameron-Doe</w:t>
            </w:r>
          </w:p>
        </w:tc>
      </w:tr>
      <w:tr>
        <w:trPr>
          <w:trHeight w:val="218"/>
        </w:trPr>
        <w:tc>
          <w:tcPr>
            <w:tcW w:w="68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Julie Cameron-Doe</w:t>
            </w:r>
          </w:p>
        </w:tc>
      </w:tr>
      <w:tr>
        <w:trPr>
          <w:trHeight w:val="230"/>
        </w:trPr>
        <w:tc>
          <w:tcPr>
            <w:tcW w:w="68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8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981"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60" w:firstLine="97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Wynn Resorts, Limited (the “Company”) for the quarter ended June 30, 2022 as filed with the Securities and Exchange Commission on the date hereof (the “Report”), Craig S. Billings, as Chief Executive Officer of the Company, and Julie Cameron-Doe, as Chief Financial Officer of the Company, each hereby certifies, pursuant to 18 U.S.C. Section 1350, as adopted pursuant to Section 906 of the Sarbanes-Oxley Act of 2002, that, to the best of their knowledge:</w:t>
      </w:r>
    </w:p>
    <w:p>
      <w:pPr>
        <w:spacing w:after="0" w:line="126" w:lineRule="exact"/>
        <w:rPr>
          <w:sz w:val="20"/>
          <w:szCs w:val="20"/>
          <w:color w:val="auto"/>
        </w:rPr>
      </w:pPr>
    </w:p>
    <w:p>
      <w:pPr>
        <w:ind w:left="980" w:hanging="972"/>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980" w:right="600" w:hanging="972"/>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S. Billings</w:t>
            </w:r>
          </w:p>
        </w:tc>
        <w:tc>
          <w:tcPr>
            <w:tcW w:w="0" w:type="dxa"/>
            <w:vAlign w:val="bottom"/>
          </w:tcPr>
          <w:p>
            <w:pPr>
              <w:spacing w:after="0"/>
              <w:rPr>
                <w:sz w:val="1"/>
                <w:szCs w:val="1"/>
                <w:color w:val="auto"/>
              </w:rPr>
            </w:pPr>
          </w:p>
        </w:tc>
      </w:tr>
      <w:tr>
        <w:trPr>
          <w:trHeight w:val="218"/>
        </w:trPr>
        <w:tc>
          <w:tcPr>
            <w:tcW w:w="760" w:type="dxa"/>
            <w:vAlign w:val="bottom"/>
            <w:vMerge w:val="continue"/>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S. Billings</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Chief Executive Officer</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9,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Julie Cameron-Doe</w:t>
            </w:r>
          </w:p>
        </w:tc>
        <w:tc>
          <w:tcPr>
            <w:tcW w:w="0" w:type="dxa"/>
            <w:vAlign w:val="bottom"/>
          </w:tcPr>
          <w:p>
            <w:pPr>
              <w:spacing w:after="0"/>
              <w:rPr>
                <w:sz w:val="1"/>
                <w:szCs w:val="1"/>
                <w:color w:val="auto"/>
              </w:rPr>
            </w:pPr>
          </w:p>
        </w:tc>
      </w:tr>
      <w:tr>
        <w:trPr>
          <w:trHeight w:val="218"/>
        </w:trPr>
        <w:tc>
          <w:tcPr>
            <w:tcW w:w="760" w:type="dxa"/>
            <w:vAlign w:val="bottom"/>
            <w:vMerge w:val="continue"/>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Julie Cameron-Doe</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9,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32"/>
    </w:lvl>
  </w:abstractNum>
  <w:abstractNum w:abstractNumId="18">
    <w:nsid w:val="721DA317"/>
    <w:multiLevelType w:val="hybridMultilevel"/>
    <w:lvl w:ilvl="0">
      <w:lvlJc w:val="left"/>
      <w:lvlText w:val="%1"/>
      <w:numFmt w:val="decimal"/>
      <w:start w:val="10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3" Type="http://schemas.openxmlformats.org/officeDocument/2006/relationships/hyperlink" Target="http://www.sec.gov/Archives/edgar/data/1174922/000117492215000044/ex-31.htm" TargetMode="External"/><Relationship Id="rId65" Type="http://schemas.openxmlformats.org/officeDocument/2006/relationships/hyperlink" Target="http://www.sec.gov/Archives/edgar/data/1174922/000117492220000024/ex32-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2022-08-09T19:44:19Z</dcterms:created>
  <dcterms:modified xsi:type="dcterms:W3CDTF">2022-08-09T19:44:19Z</dcterms:modified>
</cp:coreProperties>
</file>