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tabs>
          <w:tab w:leader="none" w:pos="7580" w:val="left"/>
        </w:tabs>
        <w:rPr>
          <w:sz w:val="20"/>
          <w:szCs w:val="20"/>
          <w:color w:val="auto"/>
        </w:rPr>
      </w:pPr>
      <w:r>
        <w:rPr>
          <w:rFonts w:ascii="Arial" w:cs="Arial" w:eastAsia="Arial" w:hAnsi="Arial"/>
          <w:sz w:val="14"/>
          <w:szCs w:val="14"/>
          <w:b w:val="1"/>
          <w:bCs w:val="1"/>
          <w:color w:val="auto"/>
        </w:rPr>
        <w:t>As filed with the Securities and Exchange Commission on November 8, 2016</w:t>
      </w:r>
      <w:r>
        <w:rPr>
          <w:sz w:val="20"/>
          <w:szCs w:val="20"/>
          <w:color w:val="auto"/>
        </w:rPr>
        <w:tab/>
      </w: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168910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WYNN RESORTS, LIMITED</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880" w:type="dxa"/>
        <w:tblCellMar>
          <w:top w:w="0" w:type="dxa"/>
          <w:left w:w="0" w:type="dxa"/>
          <w:bottom w:w="0" w:type="dxa"/>
          <w:right w:w="0" w:type="dxa"/>
        </w:tblCellMar>
      </w:tblPr>
      <w:tr>
        <w:trPr>
          <w:trHeight w:val="186"/>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Nevada</w:t>
            </w:r>
          </w:p>
        </w:tc>
        <w:tc>
          <w:tcPr>
            <w:tcW w:w="3540" w:type="dxa"/>
            <w:vAlign w:val="bottom"/>
          </w:tcPr>
          <w:p>
            <w:pPr>
              <w:jc w:val="center"/>
              <w:ind w:left="2048"/>
              <w:spacing w:after="0"/>
              <w:rPr>
                <w:sz w:val="20"/>
                <w:szCs w:val="20"/>
                <w:color w:val="auto"/>
              </w:rPr>
            </w:pPr>
            <w:r>
              <w:rPr>
                <w:rFonts w:ascii="Arial" w:cs="Arial" w:eastAsia="Arial" w:hAnsi="Arial"/>
                <w:sz w:val="14"/>
                <w:szCs w:val="14"/>
                <w:b w:val="1"/>
                <w:bCs w:val="1"/>
                <w:color w:val="auto"/>
                <w:w w:val="93"/>
              </w:rPr>
              <w:t>46-0484987</w:t>
            </w:r>
          </w:p>
        </w:tc>
      </w:tr>
      <w:tr>
        <w:trPr>
          <w:trHeight w:val="165"/>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(State or other jurisdiction of</w:t>
            </w:r>
          </w:p>
        </w:tc>
        <w:tc>
          <w:tcPr>
            <w:tcW w:w="3540" w:type="dxa"/>
            <w:vAlign w:val="bottom"/>
          </w:tcPr>
          <w:p>
            <w:pPr>
              <w:jc w:val="center"/>
              <w:ind w:left="20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3"/>
              </w:rPr>
              <w:t>incorporation or organization)</w:t>
            </w:r>
          </w:p>
        </w:tc>
        <w:tc>
          <w:tcPr>
            <w:tcW w:w="3540" w:type="dxa"/>
            <w:vAlign w:val="bottom"/>
          </w:tcPr>
          <w:p>
            <w:pPr>
              <w:jc w:val="center"/>
              <w:ind w:left="204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3131 Las Vegas Boulevard South</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Las Vegas, Nevada 89109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(702) 770-7000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Kim Sinatra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Executive Vice President, General Counsel and Secretary</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Wynn Resorts, Limited</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3131 Las Vegas Boulevard South</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Las Vegas, Nevada 89109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(702) 770-7000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With a copy to:</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Andrew L. Fabens, Esq.</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Ronald O. Mueller, Esq.</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Gibson, Dunn &amp; Crutcher LLP</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200 Park Avenue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New York, NY 10166</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(212) 351-4000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From time to time after this registration statement becomes effective.</w:t>
      </w:r>
    </w:p>
    <w:p>
      <w:pPr>
        <w:spacing w:after="0" w:line="17"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5"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324"/>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324"/>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24"/>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24"/>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360" w:type="dxa"/>
            <w:vAlign w:val="bottom"/>
          </w:tcPr>
          <w:p>
            <w:pPr>
              <w:ind w:left="40"/>
              <w:spacing w:after="0"/>
              <w:rPr>
                <w:sz w:val="20"/>
                <w:szCs w:val="20"/>
                <w:color w:val="auto"/>
              </w:rPr>
            </w:pPr>
            <w:r>
              <w:rPr>
                <w:rFonts w:ascii="Arial" w:cs="Arial" w:eastAsia="Arial" w:hAnsi="Arial"/>
                <w:sz w:val="14"/>
                <w:szCs w:val="14"/>
                <w:color w:val="auto"/>
                <w:w w:val="93"/>
              </w:rPr>
              <w:t>Large accelerated filer</w:t>
            </w:r>
          </w:p>
        </w:tc>
        <w:tc>
          <w:tcPr>
            <w:tcW w:w="2880" w:type="dxa"/>
            <w:vAlign w:val="bottom"/>
            <w:gridSpan w:val="2"/>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2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1620" w:type="dxa"/>
            <w:vAlign w:val="bottom"/>
          </w:tcPr>
          <w:p>
            <w:pPr>
              <w:ind w:left="13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554"/>
        </w:trPr>
        <w:tc>
          <w:tcPr>
            <w:tcW w:w="13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4960" w:type="dxa"/>
            <w:vAlign w:val="bottom"/>
            <w:gridSpan w:val="3"/>
          </w:tcPr>
          <w:p>
            <w:pPr>
              <w:ind w:left="6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1620" w:type="dxa"/>
            <w:vAlign w:val="bottom"/>
          </w:tcPr>
          <w:p>
            <w:pPr>
              <w:ind w:left="13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2"/>
          </w:tcPr>
          <w:p>
            <w:pPr>
              <w:spacing w:after="0"/>
              <w:rPr>
                <w:sz w:val="23"/>
                <w:szCs w:val="23"/>
                <w:color w:val="auto"/>
              </w:rPr>
            </w:pPr>
          </w:p>
        </w:tc>
        <w:tc>
          <w:tcPr>
            <w:tcW w:w="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1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3"/>
          </w:tcPr>
          <w:p>
            <w:pPr>
              <w:ind w:left="100"/>
              <w:spacing w:after="0"/>
              <w:rPr>
                <w:sz w:val="20"/>
                <w:szCs w:val="20"/>
                <w:color w:val="auto"/>
              </w:rPr>
            </w:pPr>
            <w:r>
              <w:rPr>
                <w:rFonts w:ascii="Arial" w:cs="Arial" w:eastAsia="Arial" w:hAnsi="Arial"/>
                <w:sz w:val="14"/>
                <w:szCs w:val="14"/>
                <w:b w:val="1"/>
                <w:bCs w:val="1"/>
                <w:color w:val="auto"/>
              </w:rPr>
              <w:t>CALCULATION OF REGISTRATION FEE</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3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gridSpan w:val="2"/>
          </w:tcPr>
          <w:p>
            <w:pPr>
              <w:jc w:val="center"/>
              <w:ind w:left="128"/>
              <w:spacing w:after="0" w:line="147" w:lineRule="exact"/>
              <w:rPr>
                <w:sz w:val="20"/>
                <w:szCs w:val="20"/>
                <w:color w:val="auto"/>
              </w:rPr>
            </w:pPr>
            <w:r>
              <w:rPr>
                <w:rFonts w:ascii="Arial" w:cs="Arial" w:eastAsia="Arial" w:hAnsi="Arial"/>
                <w:sz w:val="14"/>
                <w:szCs w:val="14"/>
                <w:b w:val="1"/>
                <w:bCs w:val="1"/>
                <w:color w:val="auto"/>
                <w:w w:val="89"/>
              </w:rPr>
              <w:t>Proposed</w:t>
            </w:r>
          </w:p>
        </w:tc>
        <w:tc>
          <w:tcPr>
            <w:tcW w:w="1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Proposed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88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90"/>
              </w:rPr>
              <w:t>Title of each class of</w:t>
            </w:r>
          </w:p>
        </w:tc>
        <w:tc>
          <w:tcPr>
            <w:tcW w:w="2080" w:type="dxa"/>
            <w:vAlign w:val="bottom"/>
            <w:vMerge w:val="continue"/>
          </w:tcPr>
          <w:p>
            <w:pPr>
              <w:spacing w:after="0"/>
              <w:rPr>
                <w:sz w:val="12"/>
                <w:szCs w:val="12"/>
                <w:color w:val="auto"/>
              </w:rPr>
            </w:pPr>
          </w:p>
        </w:tc>
        <w:tc>
          <w:tcPr>
            <w:tcW w:w="150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maximum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208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to be</w:t>
            </w:r>
          </w:p>
        </w:tc>
        <w:tc>
          <w:tcPr>
            <w:tcW w:w="150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4"/>
                <w:szCs w:val="14"/>
                <w:b w:val="1"/>
                <w:bCs w:val="1"/>
                <w:color w:val="auto"/>
                <w:w w:val="89"/>
              </w:rPr>
              <w:t>securities to be registered(1)</w:t>
            </w:r>
          </w:p>
        </w:tc>
        <w:tc>
          <w:tcPr>
            <w:tcW w:w="20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1"/>
              </w:rPr>
              <w:t>registered(2)</w:t>
            </w:r>
          </w:p>
        </w:tc>
        <w:tc>
          <w:tcPr>
            <w:tcW w:w="15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92"/>
              </w:rPr>
              <w:t>per share(2)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Common stock, par value $0.01 per share</w:t>
            </w:r>
          </w:p>
        </w:tc>
        <w:tc>
          <w:tcPr>
            <w:tcW w:w="20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Preferred stock, par value $0.01 per share</w:t>
            </w:r>
          </w:p>
        </w:tc>
        <w:tc>
          <w:tcPr>
            <w:tcW w:w="20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Depositary shares representing preferred stock(4)</w:t>
            </w:r>
          </w:p>
        </w:tc>
        <w:tc>
          <w:tcPr>
            <w:tcW w:w="20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6"/>
        </w:trPr>
        <w:tc>
          <w:tcPr>
            <w:tcW w:w="424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3"/>
              </w:rPr>
              <w:t>Senior debt securities, senior subordinated debt securities, subordinated</w:t>
            </w:r>
          </w:p>
        </w:tc>
        <w:tc>
          <w:tcPr>
            <w:tcW w:w="2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ind w:left="40"/>
              <w:spacing w:after="0"/>
              <w:rPr>
                <w:sz w:val="20"/>
                <w:szCs w:val="20"/>
                <w:color w:val="auto"/>
              </w:rPr>
            </w:pPr>
            <w:r>
              <w:rPr>
                <w:rFonts w:ascii="Arial" w:cs="Arial" w:eastAsia="Arial" w:hAnsi="Arial"/>
                <w:sz w:val="14"/>
                <w:szCs w:val="14"/>
                <w:color w:val="auto"/>
              </w:rPr>
              <w:t>debt securities and junior subordinated debt securities</w:t>
            </w:r>
          </w:p>
        </w:tc>
        <w:tc>
          <w:tcPr>
            <w:tcW w:w="208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left="128"/>
              <w:spacing w:after="0"/>
              <w:rPr>
                <w:sz w:val="20"/>
                <w:szCs w:val="20"/>
                <w:color w:val="auto"/>
              </w:rPr>
            </w:pPr>
            <w:r>
              <w:rPr>
                <w:rFonts w:ascii="Arial" w:cs="Arial" w:eastAsia="Arial" w:hAnsi="Arial"/>
                <w:sz w:val="14"/>
                <w:szCs w:val="14"/>
                <w:color w:val="auto"/>
                <w:w w:val="99"/>
              </w:rPr>
              <w:t>—</w:t>
            </w:r>
          </w:p>
        </w:tc>
        <w:tc>
          <w:tcPr>
            <w:tcW w:w="1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071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spacing w:after="0" w:line="13" w:lineRule="exact"/>
        <w:rPr>
          <w:rFonts w:ascii="Arial" w:cs="Arial" w:eastAsia="Arial" w:hAnsi="Arial"/>
          <w:sz w:val="14"/>
          <w:szCs w:val="14"/>
          <w:color w:val="auto"/>
        </w:rPr>
      </w:pPr>
    </w:p>
    <w:p>
      <w:pPr>
        <w:ind w:left="460" w:right="640" w:hanging="330"/>
        <w:spacing w:after="0" w:line="24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offering price or number of securities of each identified class to be offered at indeterminate prices from time to time is being registered pursuant to this registration statement.</w:t>
      </w: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Wynn Resorts, Limited is deferring payment of the registration fee.</w:t>
      </w:r>
    </w:p>
    <w:p>
      <w:pPr>
        <w:spacing w:after="0" w:line="1" w:lineRule="exact"/>
        <w:rPr>
          <w:rFonts w:ascii="Arial" w:cs="Arial" w:eastAsia="Arial" w:hAnsi="Arial"/>
          <w:sz w:val="14"/>
          <w:szCs w:val="14"/>
          <w:color w:val="auto"/>
        </w:rPr>
      </w:pPr>
    </w:p>
    <w:p>
      <w:pPr>
        <w:ind w:left="460" w:right="480" w:hanging="330"/>
        <w:spacing w:after="0" w:line="293"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154940</wp:posOffset>
            </wp:positionV>
            <wp:extent cx="2950210" cy="127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5021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770-7000.</w:t>
      </w:r>
    </w:p>
    <w:p>
      <w:pPr>
        <w:spacing w:after="0" w:line="25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32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8, 2016.</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60" w:type="dxa"/>
            <w:vAlign w:val="bottom"/>
          </w:tcPr>
          <w:p>
            <w:pPr>
              <w:ind w:left="920"/>
              <w:spacing w:after="0"/>
              <w:rPr>
                <w:sz w:val="20"/>
                <w:szCs w:val="20"/>
                <w:color w:val="auto"/>
              </w:rPr>
            </w:pPr>
            <w:r>
              <w:rPr>
                <w:rFonts w:ascii="Arial" w:cs="Arial" w:eastAsia="Arial" w:hAnsi="Arial"/>
                <w:sz w:val="18"/>
                <w:szCs w:val="18"/>
                <w:b w:val="1"/>
                <w:bCs w:val="1"/>
                <w:color w:val="auto"/>
              </w:rPr>
              <w:t>TABLE OF CONTENTS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18"/>
        </w:trPr>
        <w:tc>
          <w:tcPr>
            <w:tcW w:w="766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7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50"/>
        </w:trPr>
        <w:tc>
          <w:tcPr>
            <w:tcW w:w="2220" w:type="dxa"/>
            <w:vAlign w:val="bottom"/>
            <w:tcBorders>
              <w:top w:val="single" w:sz="8" w:color="0000EE"/>
            </w:tcBorders>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5440" w:type="dxa"/>
            <w:vAlign w:val="bottom"/>
            <w:gridSpan w:val="6"/>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37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50"/>
        </w:trPr>
        <w:tc>
          <w:tcPr>
            <w:tcW w:w="2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3"/>
          </w:tcPr>
          <w:p>
            <w:pPr>
              <w:spacing w:after="0"/>
              <w:rPr>
                <w:sz w:val="21"/>
                <w:szCs w:val="21"/>
                <w:color w:val="auto"/>
              </w:rPr>
            </w:pPr>
          </w:p>
        </w:tc>
        <w:tc>
          <w:tcPr>
            <w:tcW w:w="3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50"/>
        </w:trPr>
        <w:tc>
          <w:tcPr>
            <w:tcW w:w="76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370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50"/>
        </w:trPr>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THE COMPANY</w:t>
              </w:r>
            </w:hyperlink>
          </w:p>
        </w:tc>
        <w:tc>
          <w:tcPr>
            <w:tcW w:w="1640" w:type="dxa"/>
            <w:vAlign w:val="bottom"/>
            <w:tcBorders>
              <w:top w:val="single" w:sz="8" w:color="0000EE"/>
            </w:tcBorders>
            <w:gridSpan w:val="6"/>
          </w:tcPr>
          <w:p>
            <w:pPr>
              <w:spacing w:after="0"/>
              <w:rPr>
                <w:sz w:val="21"/>
                <w:szCs w:val="21"/>
                <w:color w:val="auto"/>
              </w:rPr>
            </w:pPr>
          </w:p>
        </w:tc>
        <w:tc>
          <w:tcPr>
            <w:tcW w:w="4740" w:type="dxa"/>
            <w:vAlign w:val="bottom"/>
            <w:gridSpan w:val="2"/>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50"/>
        </w:trPr>
        <w:tc>
          <w:tcPr>
            <w:tcW w:w="766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RATIO OF EARNINGS TO COMBINED FIXED CHARGES AND PREFERRED STOCK DIVIDENDS</w:t>
              </w:r>
            </w:hyperlink>
          </w:p>
        </w:tc>
        <w:tc>
          <w:tcPr>
            <w:tcW w:w="360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50"/>
        </w:trPr>
        <w:tc>
          <w:tcPr>
            <w:tcW w:w="15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USE OF PROCEEDS</w:t>
              </w:r>
            </w:hyperlink>
          </w:p>
        </w:tc>
        <w:tc>
          <w:tcPr>
            <w:tcW w:w="6080" w:type="dxa"/>
            <w:vAlign w:val="bottom"/>
            <w:gridSpan w:val="7"/>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50"/>
        </w:trPr>
        <w:tc>
          <w:tcPr>
            <w:tcW w:w="766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DESCRIPTION OF THE SECURITIES</w:t>
              </w:r>
            </w:hyperlink>
          </w:p>
        </w:tc>
        <w:tc>
          <w:tcPr>
            <w:tcW w:w="370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50"/>
        </w:trPr>
        <w:tc>
          <w:tcPr>
            <w:tcW w:w="290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VALIDITY OF THE SECURITIES</w:t>
              </w:r>
            </w:hyperlink>
          </w:p>
        </w:tc>
        <w:tc>
          <w:tcPr>
            <w:tcW w:w="4760" w:type="dxa"/>
            <w:vAlign w:val="bottom"/>
            <w:gridSpan w:val="3"/>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50"/>
        </w:trPr>
        <w:tc>
          <w:tcPr>
            <w:tcW w:w="2560" w:type="dxa"/>
            <w:vAlign w:val="bottom"/>
            <w:tcBorders>
              <w:top w:val="single" w:sz="8" w:color="0000EE"/>
            </w:tcBorders>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5100" w:type="dxa"/>
            <w:vAlign w:val="bottom"/>
            <w:gridSpan w:val="5"/>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58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2015,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640" w:right="120" w:hanging="321"/>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9" w:lineRule="exact"/>
        <w:rPr>
          <w:rFonts w:ascii="Arial" w:cs="Arial" w:eastAsia="Arial" w:hAnsi="Arial"/>
          <w:sz w:val="18"/>
          <w:szCs w:val="18"/>
          <w:color w:val="auto"/>
        </w:rPr>
      </w:pPr>
    </w:p>
    <w:p>
      <w:pPr>
        <w:ind w:left="640" w:right="680" w:hanging="321"/>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2016, June 30, 2016 and September 30, 2016;</w:t>
      </w:r>
    </w:p>
    <w:p>
      <w:pPr>
        <w:spacing w:after="0" w:line="9" w:lineRule="exact"/>
        <w:rPr>
          <w:rFonts w:ascii="Arial" w:cs="Arial" w:eastAsia="Arial" w:hAnsi="Arial"/>
          <w:sz w:val="18"/>
          <w:szCs w:val="18"/>
          <w:color w:val="auto"/>
        </w:rPr>
      </w:pPr>
    </w:p>
    <w:p>
      <w:pPr>
        <w:ind w:left="640" w:right="100" w:hanging="321"/>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11, 2016 (with respect to Item 8.01 only), April 20, 2016, May 5, 2016 (with respect to Item 8.01 only), July 6, 2016, July 28, 2016 (with respect to Item 8.01 only), August 23, 2016, and November 2, 2016 (with respect to Item 8.01 only);</w:t>
      </w:r>
    </w:p>
    <w:p>
      <w:pPr>
        <w:spacing w:after="0" w:line="1" w:lineRule="exact"/>
        <w:rPr>
          <w:rFonts w:ascii="Arial" w:cs="Arial" w:eastAsia="Arial" w:hAnsi="Arial"/>
          <w:sz w:val="16"/>
          <w:szCs w:val="16"/>
          <w:color w:val="auto"/>
        </w:rPr>
      </w:pPr>
    </w:p>
    <w:p>
      <w:pPr>
        <w:ind w:left="640" w:right="120" w:hanging="321"/>
        <w:spacing w:after="0" w:line="29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5" w:name="page6"/>
    <w:bookmarkEnd w:id="5"/>
    <w:p>
      <w:pPr>
        <w:ind w:left="640" w:right="100" w:hanging="321"/>
        <w:spacing w:after="0" w:line="30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80" w:hanging="428"/>
        <w:spacing w:after="0"/>
        <w:tabs>
          <w:tab w:leader="none" w:pos="5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including the documents incorporated by reference into this prospectus, contains forward-looking statements, including, but not limited to, statements relating to our business strategy, development activities, competition and possible or assumed future results of operations. Any statements contained in this prospectus, including the documents incorporated by reference into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19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global political and economic conditions, particularly in China, which may impact levels of travel, leisure and consumer spending;</w:t>
      </w:r>
    </w:p>
    <w:p>
      <w:pPr>
        <w:spacing w:after="0" w:line="32" w:lineRule="exact"/>
        <w:rPr>
          <w:rFonts w:ascii="Arial" w:cs="Arial" w:eastAsia="Arial" w:hAnsi="Arial"/>
          <w:sz w:val="16"/>
          <w:szCs w:val="16"/>
          <w:color w:val="auto"/>
        </w:rPr>
      </w:pPr>
    </w:p>
    <w:p>
      <w:pPr>
        <w:ind w:left="1300" w:right="240" w:hanging="644"/>
        <w:spacing w:after="0" w:line="265"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right="60" w:hanging="644"/>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and gaming policies, unexpected cost increases, transportation infrastructure, environmental regulation and our ability to secure federal, state and local permits and approvals necessary for our construction projects);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6" w:name="page7"/>
    <w:bookmarkEnd w:id="6"/>
    <w:p>
      <w:pPr>
        <w:ind w:left="1300" w:right="30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right="14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 information on potential factors that could affect our financial condition, results of operations and business are included in the sections entitled “Risk Factors” in our Annual Report on Form 10-K for the year ended December 31, 2015,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 developer, owner and operator of destination casino resorts (integrated resorts). In the Macau Special Administrative Region of the People's Republic of China, the Company owns approximately 72% of Wynn Macau, Limited and the Company operates the integrated Wynn Macau and Encore at Wynn Macau resort and the integrated Wynn Palace. In Las Vegas, Nevada, the Company owns 100% of and operates the integrated Wynn Las Vegas and Encore at Wynn Las Vegas resort. We are also currently constructing Wynn Boston Harbor, an integrated resort in Everett, Massachusetts, adjacent to Boston.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770-7000.</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our historical ratios of earnings to fixed charges and our historical ratios of earnings to fixed charges and dividends on preferred stock for the periods indicated. This information should be read in conjunction with the consolidated financial statements and the accompanying notes incorporated by reference in this prospectus.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Nine months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5"/>
            <w:vMerge w:val="restart"/>
          </w:tcPr>
          <w:p>
            <w:pPr>
              <w:jc w:val="center"/>
              <w:ind w:left="762"/>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3660" w:type="dxa"/>
            <w:vAlign w:val="bottom"/>
          </w:tcPr>
          <w:p>
            <w:pPr>
              <w:spacing w:after="0"/>
              <w:rPr>
                <w:sz w:val="7"/>
                <w:szCs w:val="7"/>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ended</w:t>
            </w:r>
          </w:p>
        </w:tc>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gridSpan w:val="5"/>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2016</w:t>
            </w: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0"/>
                <w:szCs w:val="20"/>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5"/>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combined fixed charges</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preferred stock dividends</w:t>
            </w: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1.33x</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1.69x</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3.63x</w:t>
            </w:r>
          </w:p>
        </w:tc>
        <w:tc>
          <w:tcPr>
            <w:tcW w:w="1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4.14x</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3.52x</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4.50x</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issued and outstanding for any of the periods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General corporate purposes may include repayment of debt, acquisitions, additions to working capital, capital expenditures and investments in our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Gibson, Dunn &amp; Crutcher LLP, New York, New York, and, with respect to matters of Nevada law, by Brownstein Hyatt Farber Schreck, LLP, Las Vegas, Nevada. Any underwriters will be represented by their own legal counsel.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consolidated financial statements of Wynn Resorts, Limited appearing in Wynn Resorts, Limited’s Annual Report (Form 10-K) for the year ended December 31, 2015 including schedules appearing therein, and the effectiveness of Wynn Resorts, Limited’s internal control over financial reporting as of December 31, 2015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 registration fee</w:t>
            </w:r>
          </w:p>
        </w:tc>
        <w:tc>
          <w:tcPr>
            <w:tcW w:w="9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Accounting fees and expenses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fees and expenses</w:t>
            </w: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Printing fees and expenses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listing fee</w:t>
            </w: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accordance with Rules 456(b) and 457(r), the registrant is deferring payment of the registration fee for the securities offered by this prospectus.</w:t>
      </w:r>
    </w:p>
    <w:p>
      <w:pPr>
        <w:spacing w:after="0" w:line="221" w:lineRule="exact"/>
        <w:rPr>
          <w:sz w:val="20"/>
          <w:szCs w:val="20"/>
          <w:color w:val="auto"/>
        </w:rPr>
      </w:pPr>
    </w:p>
    <w:p>
      <w:pPr>
        <w:ind w:left="720" w:right="300" w:hanging="685"/>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366"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4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Wynn Resorts’ bylaws provide that it will indemnify its directors and officers to the fullest extent permitted by Nevada law, including in circumstances in which indemnification otherwise would be discretionary under Nevada law as described above. In addition, Wynn Resorts has entered into separate indemnification agreements with certain of its directors and officers that require Wynn Resorts, among other things, to indemnify such directors and officers against certain liabilities that may arise by reason of their status or service. Wynn Resorts also intends to maintain director and officer liability insurance, if available on reasonable terms.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420"/>
          </w:cols>
          <w:pgMar w:left="240" w:top="796" w:right="239" w:bottom="1440" w:gutter="0" w:footer="0" w:header="0"/>
        </w:sectPr>
      </w:pPr>
    </w:p>
    <w:bookmarkStart w:id="9" w:name="page10"/>
    <w:bookmarkEnd w:id="9"/>
    <w:tbl>
      <w:tblPr>
        <w:tblLayout w:type="fixed"/>
        <w:tblInd w:w="5"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10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72"/>
        </w:trPr>
        <w:tc>
          <w:tcPr>
            <w:tcW w:w="1180" w:type="dxa"/>
            <w:vAlign w:val="bottom"/>
          </w:tcPr>
          <w:p>
            <w:pPr>
              <w:ind w:left="660"/>
              <w:spacing w:after="0"/>
              <w:rPr>
                <w:sz w:val="20"/>
                <w:szCs w:val="20"/>
                <w:color w:val="auto"/>
              </w:rPr>
            </w:pPr>
            <w:r>
              <w:rPr>
                <w:rFonts w:ascii="Arial" w:cs="Arial" w:eastAsia="Arial" w:hAnsi="Arial"/>
                <w:sz w:val="14"/>
                <w:szCs w:val="14"/>
                <w:b w:val="1"/>
                <w:bCs w:val="1"/>
                <w:color w:val="auto"/>
              </w:rPr>
              <w:t>Exhibit</w:t>
            </w:r>
          </w:p>
        </w:tc>
        <w:tc>
          <w:tcPr>
            <w:tcW w:w="10100" w:type="dxa"/>
            <w:vAlign w:val="bottom"/>
            <w:vMerge w:val="restart"/>
          </w:tcPr>
          <w:p>
            <w:pPr>
              <w:ind w:left="5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80" w:type="dxa"/>
            <w:vAlign w:val="bottom"/>
          </w:tcPr>
          <w:p>
            <w:pPr>
              <w:ind w:left="780"/>
              <w:spacing w:after="0"/>
              <w:rPr>
                <w:sz w:val="20"/>
                <w:szCs w:val="20"/>
                <w:color w:val="auto"/>
              </w:rPr>
            </w:pPr>
            <w:r>
              <w:rPr>
                <w:rFonts w:ascii="Arial" w:cs="Arial" w:eastAsia="Arial" w:hAnsi="Arial"/>
                <w:sz w:val="14"/>
                <w:szCs w:val="14"/>
                <w:b w:val="1"/>
                <w:bCs w:val="1"/>
                <w:color w:val="auto"/>
              </w:rPr>
              <w:t>No.</w:t>
            </w:r>
          </w:p>
        </w:tc>
        <w:tc>
          <w:tcPr>
            <w:tcW w:w="10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5"/>
        </w:trPr>
        <w:tc>
          <w:tcPr>
            <w:tcW w:w="1180" w:type="dxa"/>
            <w:vAlign w:val="bottom"/>
          </w:tcPr>
          <w:p>
            <w:pPr>
              <w:ind w:left="240"/>
              <w:spacing w:after="0"/>
              <w:rPr>
                <w:sz w:val="20"/>
                <w:szCs w:val="20"/>
                <w:color w:val="auto"/>
              </w:rPr>
            </w:pPr>
            <w:r>
              <w:rPr>
                <w:rFonts w:ascii="Arial" w:cs="Arial" w:eastAsia="Arial" w:hAnsi="Arial"/>
                <w:sz w:val="18"/>
                <w:szCs w:val="18"/>
                <w:color w:val="auto"/>
              </w:rPr>
              <w:t>4.1</w:t>
            </w:r>
          </w:p>
        </w:tc>
        <w:tc>
          <w:tcPr>
            <w:tcW w:w="10100" w:type="dxa"/>
            <w:vAlign w:val="bottom"/>
          </w:tcPr>
          <w:p>
            <w:pPr>
              <w:ind w:left="1320"/>
              <w:spacing w:after="0"/>
              <w:rPr>
                <w:sz w:val="20"/>
                <w:szCs w:val="20"/>
                <w:color w:val="auto"/>
              </w:rPr>
            </w:pPr>
            <w:r>
              <w:rPr>
                <w:rFonts w:ascii="Arial" w:cs="Arial" w:eastAsia="Arial" w:hAnsi="Arial"/>
                <w:sz w:val="18"/>
                <w:szCs w:val="18"/>
                <w:color w:val="auto"/>
                <w:w w:val="93"/>
              </w:rPr>
              <w:t>Third Amended and Restated Articles of Incorporation of the Registrant. (Incorporated by reference from the Quarterly</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Report on Form 10-Q filed by the Registrant on May 8, 2015.)</w:t>
            </w:r>
          </w:p>
        </w:tc>
        <w:tc>
          <w:tcPr>
            <w:tcW w:w="0" w:type="dxa"/>
            <w:vAlign w:val="bottom"/>
          </w:tcPr>
          <w:p>
            <w:pPr>
              <w:spacing w:after="0"/>
              <w:rPr>
                <w:sz w:val="1"/>
                <w:szCs w:val="1"/>
                <w:color w:val="auto"/>
              </w:rPr>
            </w:pPr>
          </w:p>
        </w:tc>
      </w:tr>
      <w:tr>
        <w:trPr>
          <w:trHeight w:val="580"/>
        </w:trPr>
        <w:tc>
          <w:tcPr>
            <w:tcW w:w="1180" w:type="dxa"/>
            <w:vAlign w:val="bottom"/>
          </w:tcPr>
          <w:p>
            <w:pPr>
              <w:ind w:left="240"/>
              <w:spacing w:after="0"/>
              <w:rPr>
                <w:sz w:val="20"/>
                <w:szCs w:val="20"/>
                <w:color w:val="auto"/>
              </w:rPr>
            </w:pPr>
            <w:r>
              <w:rPr>
                <w:rFonts w:ascii="Arial" w:cs="Arial" w:eastAsia="Arial" w:hAnsi="Arial"/>
                <w:sz w:val="18"/>
                <w:szCs w:val="18"/>
                <w:color w:val="auto"/>
              </w:rPr>
              <w:t>4.2</w:t>
            </w:r>
          </w:p>
        </w:tc>
        <w:tc>
          <w:tcPr>
            <w:tcW w:w="10100" w:type="dxa"/>
            <w:vAlign w:val="bottom"/>
          </w:tcPr>
          <w:p>
            <w:pPr>
              <w:ind w:left="1320"/>
              <w:spacing w:after="0"/>
              <w:rPr>
                <w:sz w:val="20"/>
                <w:szCs w:val="20"/>
                <w:color w:val="auto"/>
              </w:rPr>
            </w:pPr>
            <w:r>
              <w:rPr>
                <w:rFonts w:ascii="Arial" w:cs="Arial" w:eastAsia="Arial" w:hAnsi="Arial"/>
                <w:sz w:val="18"/>
                <w:szCs w:val="18"/>
                <w:color w:val="auto"/>
                <w:w w:val="92"/>
              </w:rPr>
              <w:t>Eighth Amended and Restated Bylaws of the Registrant. (Incorporated by reference from the Quarterly Report on Form</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10-Q filed by the Registrant on November 6, 2015.)</w:t>
            </w:r>
          </w:p>
        </w:tc>
        <w:tc>
          <w:tcPr>
            <w:tcW w:w="0" w:type="dxa"/>
            <w:vAlign w:val="bottom"/>
          </w:tcPr>
          <w:p>
            <w:pPr>
              <w:spacing w:after="0"/>
              <w:rPr>
                <w:sz w:val="1"/>
                <w:szCs w:val="1"/>
                <w:color w:val="auto"/>
              </w:rPr>
            </w:pPr>
          </w:p>
        </w:tc>
      </w:tr>
      <w:tr>
        <w:trPr>
          <w:trHeight w:val="580"/>
        </w:trPr>
        <w:tc>
          <w:tcPr>
            <w:tcW w:w="1180" w:type="dxa"/>
            <w:vAlign w:val="bottom"/>
          </w:tcPr>
          <w:p>
            <w:pPr>
              <w:ind w:left="240"/>
              <w:spacing w:after="0"/>
              <w:rPr>
                <w:sz w:val="20"/>
                <w:szCs w:val="20"/>
                <w:color w:val="auto"/>
              </w:rPr>
            </w:pPr>
            <w:r>
              <w:rPr>
                <w:rFonts w:ascii="Arial" w:cs="Arial" w:eastAsia="Arial" w:hAnsi="Arial"/>
                <w:sz w:val="18"/>
                <w:szCs w:val="18"/>
                <w:color w:val="auto"/>
              </w:rPr>
              <w:t>4.3</w:t>
            </w:r>
          </w:p>
        </w:tc>
        <w:tc>
          <w:tcPr>
            <w:tcW w:w="10100" w:type="dxa"/>
            <w:vAlign w:val="bottom"/>
          </w:tcPr>
          <w:p>
            <w:pPr>
              <w:ind w:left="1320"/>
              <w:spacing w:after="0"/>
              <w:rPr>
                <w:sz w:val="20"/>
                <w:szCs w:val="20"/>
                <w:color w:val="auto"/>
              </w:rPr>
            </w:pPr>
            <w:r>
              <w:rPr>
                <w:rFonts w:ascii="Arial" w:cs="Arial" w:eastAsia="Arial" w:hAnsi="Arial"/>
                <w:sz w:val="18"/>
                <w:szCs w:val="18"/>
                <w:color w:val="auto"/>
                <w:w w:val="90"/>
              </w:rPr>
              <w:t>Specimen certificate for shares of common stock, $0.01 par value per share, of the Registrant. (Incorporated by reference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w w:val="95"/>
              </w:rPr>
              <w:t>to Exhibit 4.1 to Amendment No. 4 to the Form S-1 filed by the registrant on October 7, 2002 (File No. 333-90600).)</w:t>
            </w:r>
          </w:p>
        </w:tc>
        <w:tc>
          <w:tcPr>
            <w:tcW w:w="0" w:type="dxa"/>
            <w:vAlign w:val="bottom"/>
          </w:tcPr>
          <w:p>
            <w:pPr>
              <w:spacing w:after="0"/>
              <w:rPr>
                <w:sz w:val="1"/>
                <w:szCs w:val="1"/>
                <w:color w:val="auto"/>
              </w:rPr>
            </w:pPr>
          </w:p>
        </w:tc>
      </w:tr>
      <w:tr>
        <w:trPr>
          <w:trHeight w:val="580"/>
        </w:trPr>
        <w:tc>
          <w:tcPr>
            <w:tcW w:w="1180" w:type="dxa"/>
            <w:vAlign w:val="bottom"/>
          </w:tcPr>
          <w:p>
            <w:pPr>
              <w:ind w:left="240"/>
              <w:spacing w:after="0"/>
              <w:rPr>
                <w:sz w:val="20"/>
                <w:szCs w:val="20"/>
                <w:color w:val="auto"/>
              </w:rPr>
            </w:pPr>
            <w:r>
              <w:rPr>
                <w:rFonts w:ascii="Arial" w:cs="Arial" w:eastAsia="Arial" w:hAnsi="Arial"/>
                <w:sz w:val="18"/>
                <w:szCs w:val="18"/>
                <w:color w:val="auto"/>
              </w:rPr>
              <w:t>4.4</w:t>
            </w:r>
          </w:p>
        </w:tc>
        <w:tc>
          <w:tcPr>
            <w:tcW w:w="10100" w:type="dxa"/>
            <w:vAlign w:val="bottom"/>
          </w:tcPr>
          <w:p>
            <w:pPr>
              <w:ind w:left="1320"/>
              <w:spacing w:after="0"/>
              <w:rPr>
                <w:sz w:val="20"/>
                <w:szCs w:val="20"/>
                <w:color w:val="auto"/>
              </w:rPr>
            </w:pPr>
            <w:r>
              <w:rPr>
                <w:rFonts w:ascii="Arial" w:cs="Arial" w:eastAsia="Arial" w:hAnsi="Arial"/>
                <w:sz w:val="18"/>
                <w:szCs w:val="18"/>
                <w:color w:val="auto"/>
                <w:w w:val="91"/>
              </w:rPr>
              <w:t>Indenture, dated as of March 29, 2004, between the registrant and U.S. Bank National Association, as indenture trustee.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w w:val="91"/>
              </w:rPr>
              <w:t>(Incorporated by reference to the Registration Statement on Form S-3 filed by the Registrant on March 30, 2004 (File No.</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333-114022).)</w:t>
            </w:r>
          </w:p>
        </w:tc>
        <w:tc>
          <w:tcPr>
            <w:tcW w:w="0" w:type="dxa"/>
            <w:vAlign w:val="bottom"/>
          </w:tcPr>
          <w:p>
            <w:pPr>
              <w:spacing w:after="0"/>
              <w:rPr>
                <w:sz w:val="1"/>
                <w:szCs w:val="1"/>
                <w:color w:val="auto"/>
              </w:rPr>
            </w:pPr>
          </w:p>
        </w:tc>
      </w:tr>
      <w:tr>
        <w:trPr>
          <w:trHeight w:val="580"/>
        </w:trPr>
        <w:tc>
          <w:tcPr>
            <w:tcW w:w="1180" w:type="dxa"/>
            <w:vAlign w:val="bottom"/>
          </w:tcPr>
          <w:p>
            <w:pPr>
              <w:ind w:left="240"/>
              <w:spacing w:after="0"/>
              <w:rPr>
                <w:sz w:val="20"/>
                <w:szCs w:val="20"/>
                <w:color w:val="auto"/>
              </w:rPr>
            </w:pPr>
            <w:r>
              <w:rPr>
                <w:rFonts w:ascii="Arial" w:cs="Arial" w:eastAsia="Arial" w:hAnsi="Arial"/>
                <w:sz w:val="18"/>
                <w:szCs w:val="18"/>
                <w:color w:val="auto"/>
              </w:rPr>
              <w:t>4.5</w:t>
            </w:r>
          </w:p>
        </w:tc>
        <w:tc>
          <w:tcPr>
            <w:tcW w:w="10100" w:type="dxa"/>
            <w:vAlign w:val="bottom"/>
          </w:tcPr>
          <w:p>
            <w:pPr>
              <w:ind w:left="1320"/>
              <w:spacing w:after="0"/>
              <w:rPr>
                <w:sz w:val="20"/>
                <w:szCs w:val="20"/>
                <w:color w:val="auto"/>
              </w:rPr>
            </w:pPr>
            <w:r>
              <w:rPr>
                <w:rFonts w:ascii="Arial" w:cs="Arial" w:eastAsia="Arial" w:hAnsi="Arial"/>
                <w:sz w:val="18"/>
                <w:szCs w:val="18"/>
                <w:color w:val="auto"/>
                <w:w w:val="91"/>
              </w:rPr>
              <w:t>Form of Deposit Agreement. (Incorporated by reference to Exhibit 4.5 to the Registration Statement on Form S-3 filed by</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the Registrant on March 30, 2004 (File No. 333-114022).)</w:t>
            </w:r>
          </w:p>
        </w:tc>
        <w:tc>
          <w:tcPr>
            <w:tcW w:w="0" w:type="dxa"/>
            <w:vAlign w:val="bottom"/>
          </w:tcPr>
          <w:p>
            <w:pPr>
              <w:spacing w:after="0"/>
              <w:rPr>
                <w:sz w:val="1"/>
                <w:szCs w:val="1"/>
                <w:color w:val="auto"/>
              </w:rPr>
            </w:pPr>
          </w:p>
        </w:tc>
      </w:tr>
      <w:tr>
        <w:trPr>
          <w:trHeight w:val="594"/>
        </w:trPr>
        <w:tc>
          <w:tcPr>
            <w:tcW w:w="1180" w:type="dxa"/>
            <w:vAlign w:val="bottom"/>
          </w:tcPr>
          <w:p>
            <w:pPr>
              <w:ind w:left="240"/>
              <w:spacing w:after="0"/>
              <w:rPr>
                <w:sz w:val="20"/>
                <w:szCs w:val="20"/>
                <w:color w:val="auto"/>
              </w:rPr>
            </w:pPr>
            <w:r>
              <w:rPr>
                <w:rFonts w:ascii="Arial" w:cs="Arial" w:eastAsia="Arial" w:hAnsi="Arial"/>
                <w:sz w:val="18"/>
                <w:szCs w:val="18"/>
                <w:color w:val="auto"/>
              </w:rPr>
              <w:t>4.6</w:t>
            </w:r>
          </w:p>
        </w:tc>
        <w:tc>
          <w:tcPr>
            <w:tcW w:w="10100" w:type="dxa"/>
            <w:vAlign w:val="bottom"/>
          </w:tcPr>
          <w:p>
            <w:pPr>
              <w:ind w:left="1320"/>
              <w:spacing w:after="0"/>
              <w:rPr>
                <w:sz w:val="20"/>
                <w:szCs w:val="20"/>
                <w:color w:val="auto"/>
              </w:rPr>
            </w:pPr>
            <w:r>
              <w:rPr>
                <w:rFonts w:ascii="Arial" w:cs="Arial" w:eastAsia="Arial" w:hAnsi="Arial"/>
                <w:sz w:val="18"/>
                <w:szCs w:val="18"/>
                <w:color w:val="auto"/>
              </w:rPr>
              <w:t>Form of Depositary Share (included in Exhibit 4.5)</w:t>
            </w:r>
          </w:p>
        </w:tc>
        <w:tc>
          <w:tcPr>
            <w:tcW w:w="0" w:type="dxa"/>
            <w:vAlign w:val="bottom"/>
          </w:tcPr>
          <w:p>
            <w:pPr>
              <w:spacing w:after="0"/>
              <w:rPr>
                <w:sz w:val="1"/>
                <w:szCs w:val="1"/>
                <w:color w:val="auto"/>
              </w:rPr>
            </w:pPr>
          </w:p>
        </w:tc>
      </w:tr>
      <w:tr>
        <w:trPr>
          <w:trHeight w:val="594"/>
        </w:trPr>
        <w:tc>
          <w:tcPr>
            <w:tcW w:w="1180" w:type="dxa"/>
            <w:vAlign w:val="bottom"/>
          </w:tcPr>
          <w:p>
            <w:pPr>
              <w:ind w:left="140"/>
              <w:spacing w:after="0"/>
              <w:rPr>
                <w:sz w:val="20"/>
                <w:szCs w:val="20"/>
                <w:color w:val="auto"/>
              </w:rPr>
            </w:pPr>
            <w:r>
              <w:rPr>
                <w:rFonts w:ascii="Arial" w:cs="Arial" w:eastAsia="Arial" w:hAnsi="Arial"/>
                <w:sz w:val="18"/>
                <w:szCs w:val="18"/>
                <w:color w:val="auto"/>
              </w:rPr>
              <w:t>*5.1</w:t>
            </w:r>
          </w:p>
        </w:tc>
        <w:tc>
          <w:tcPr>
            <w:tcW w:w="10100" w:type="dxa"/>
            <w:vAlign w:val="bottom"/>
          </w:tcPr>
          <w:p>
            <w:pPr>
              <w:ind w:left="1320"/>
              <w:spacing w:after="0"/>
              <w:rPr>
                <w:sz w:val="20"/>
                <w:szCs w:val="20"/>
                <w:color w:val="auto"/>
              </w:rPr>
            </w:pPr>
            <w:r>
              <w:rPr>
                <w:rFonts w:ascii="Arial" w:cs="Arial" w:eastAsia="Arial" w:hAnsi="Arial"/>
                <w:sz w:val="18"/>
                <w:szCs w:val="18"/>
                <w:color w:val="auto"/>
              </w:rPr>
              <w:t>Opinion of Gibson, Dunn &amp; Crutcher LLP</w:t>
            </w:r>
          </w:p>
        </w:tc>
        <w:tc>
          <w:tcPr>
            <w:tcW w:w="0" w:type="dxa"/>
            <w:vAlign w:val="bottom"/>
          </w:tcPr>
          <w:p>
            <w:pPr>
              <w:spacing w:after="0"/>
              <w:rPr>
                <w:sz w:val="1"/>
                <w:szCs w:val="1"/>
                <w:color w:val="auto"/>
              </w:rPr>
            </w:pPr>
          </w:p>
        </w:tc>
      </w:tr>
      <w:tr>
        <w:trPr>
          <w:trHeight w:val="594"/>
        </w:trPr>
        <w:tc>
          <w:tcPr>
            <w:tcW w:w="1180" w:type="dxa"/>
            <w:vAlign w:val="bottom"/>
          </w:tcPr>
          <w:p>
            <w:pPr>
              <w:ind w:left="140"/>
              <w:spacing w:after="0"/>
              <w:rPr>
                <w:sz w:val="20"/>
                <w:szCs w:val="20"/>
                <w:color w:val="auto"/>
              </w:rPr>
            </w:pPr>
            <w:r>
              <w:rPr>
                <w:rFonts w:ascii="Arial" w:cs="Arial" w:eastAsia="Arial" w:hAnsi="Arial"/>
                <w:sz w:val="18"/>
                <w:szCs w:val="18"/>
                <w:color w:val="auto"/>
              </w:rPr>
              <w:t>*5.2</w:t>
            </w:r>
          </w:p>
        </w:tc>
        <w:tc>
          <w:tcPr>
            <w:tcW w:w="10100" w:type="dxa"/>
            <w:vAlign w:val="bottom"/>
          </w:tcPr>
          <w:p>
            <w:pPr>
              <w:ind w:left="1320"/>
              <w:spacing w:after="0"/>
              <w:rPr>
                <w:sz w:val="20"/>
                <w:szCs w:val="20"/>
                <w:color w:val="auto"/>
              </w:rPr>
            </w:pPr>
            <w:r>
              <w:rPr>
                <w:rFonts w:ascii="Arial" w:cs="Arial" w:eastAsia="Arial" w:hAnsi="Arial"/>
                <w:sz w:val="18"/>
                <w:szCs w:val="18"/>
                <w:color w:val="auto"/>
              </w:rPr>
              <w:t>Opinion of Brownstein Hyatt Farber Schreck, LLP</w:t>
            </w:r>
          </w:p>
        </w:tc>
        <w:tc>
          <w:tcPr>
            <w:tcW w:w="0" w:type="dxa"/>
            <w:vAlign w:val="bottom"/>
          </w:tcPr>
          <w:p>
            <w:pPr>
              <w:spacing w:after="0"/>
              <w:rPr>
                <w:sz w:val="1"/>
                <w:szCs w:val="1"/>
                <w:color w:val="auto"/>
              </w:rPr>
            </w:pPr>
          </w:p>
        </w:tc>
      </w:tr>
      <w:tr>
        <w:trPr>
          <w:trHeight w:val="594"/>
        </w:trPr>
        <w:tc>
          <w:tcPr>
            <w:tcW w:w="1180" w:type="dxa"/>
            <w:vAlign w:val="bottom"/>
          </w:tcPr>
          <w:p>
            <w:pPr>
              <w:ind w:left="80"/>
              <w:spacing w:after="0"/>
              <w:rPr>
                <w:sz w:val="20"/>
                <w:szCs w:val="20"/>
                <w:color w:val="auto"/>
              </w:rPr>
            </w:pPr>
            <w:r>
              <w:rPr>
                <w:rFonts w:ascii="Arial" w:cs="Arial" w:eastAsia="Arial" w:hAnsi="Arial"/>
                <w:sz w:val="18"/>
                <w:szCs w:val="18"/>
                <w:color w:val="auto"/>
              </w:rPr>
              <w:t>*12</w:t>
            </w:r>
          </w:p>
        </w:tc>
        <w:tc>
          <w:tcPr>
            <w:tcW w:w="10100" w:type="dxa"/>
            <w:vAlign w:val="bottom"/>
          </w:tcPr>
          <w:p>
            <w:pPr>
              <w:ind w:left="132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c>
          <w:tcPr>
            <w:tcW w:w="0" w:type="dxa"/>
            <w:vAlign w:val="bottom"/>
          </w:tcPr>
          <w:p>
            <w:pPr>
              <w:spacing w:after="0"/>
              <w:rPr>
                <w:sz w:val="1"/>
                <w:szCs w:val="1"/>
                <w:color w:val="auto"/>
              </w:rPr>
            </w:pPr>
          </w:p>
        </w:tc>
      </w:tr>
      <w:tr>
        <w:trPr>
          <w:trHeight w:val="594"/>
        </w:trPr>
        <w:tc>
          <w:tcPr>
            <w:tcW w:w="1180" w:type="dxa"/>
            <w:vAlign w:val="bottom"/>
          </w:tcPr>
          <w:p>
            <w:pPr>
              <w:ind w:left="80"/>
              <w:spacing w:after="0"/>
              <w:rPr>
                <w:sz w:val="20"/>
                <w:szCs w:val="20"/>
                <w:color w:val="auto"/>
              </w:rPr>
            </w:pPr>
            <w:r>
              <w:rPr>
                <w:rFonts w:ascii="Arial" w:cs="Arial" w:eastAsia="Arial" w:hAnsi="Arial"/>
                <w:sz w:val="18"/>
                <w:szCs w:val="18"/>
                <w:color w:val="auto"/>
              </w:rPr>
              <w:t>*23.1</w:t>
            </w:r>
          </w:p>
        </w:tc>
        <w:tc>
          <w:tcPr>
            <w:tcW w:w="10100" w:type="dxa"/>
            <w:vAlign w:val="bottom"/>
          </w:tcPr>
          <w:p>
            <w:pPr>
              <w:ind w:left="132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594"/>
        </w:trPr>
        <w:tc>
          <w:tcPr>
            <w:tcW w:w="1180" w:type="dxa"/>
            <w:vAlign w:val="bottom"/>
          </w:tcPr>
          <w:p>
            <w:pPr>
              <w:ind w:left="80"/>
              <w:spacing w:after="0"/>
              <w:rPr>
                <w:sz w:val="20"/>
                <w:szCs w:val="20"/>
                <w:color w:val="auto"/>
              </w:rPr>
            </w:pPr>
            <w:r>
              <w:rPr>
                <w:rFonts w:ascii="Arial" w:cs="Arial" w:eastAsia="Arial" w:hAnsi="Arial"/>
                <w:sz w:val="18"/>
                <w:szCs w:val="18"/>
                <w:color w:val="auto"/>
              </w:rPr>
              <w:t>*23.2</w:t>
            </w:r>
          </w:p>
        </w:tc>
        <w:tc>
          <w:tcPr>
            <w:tcW w:w="10100" w:type="dxa"/>
            <w:vAlign w:val="bottom"/>
          </w:tcPr>
          <w:p>
            <w:pPr>
              <w:ind w:left="1320"/>
              <w:spacing w:after="0"/>
              <w:rPr>
                <w:sz w:val="20"/>
                <w:szCs w:val="20"/>
                <w:color w:val="auto"/>
              </w:rPr>
            </w:pPr>
            <w:r>
              <w:rPr>
                <w:rFonts w:ascii="Arial" w:cs="Arial" w:eastAsia="Arial" w:hAnsi="Arial"/>
                <w:sz w:val="18"/>
                <w:szCs w:val="18"/>
                <w:color w:val="auto"/>
              </w:rPr>
              <w:t>Consent of Gibson, Dunn &amp; Crutcher LLP (included in Exhibit 5.1)</w:t>
            </w:r>
          </w:p>
        </w:tc>
        <w:tc>
          <w:tcPr>
            <w:tcW w:w="0" w:type="dxa"/>
            <w:vAlign w:val="bottom"/>
          </w:tcPr>
          <w:p>
            <w:pPr>
              <w:spacing w:after="0"/>
              <w:rPr>
                <w:sz w:val="1"/>
                <w:szCs w:val="1"/>
                <w:color w:val="auto"/>
              </w:rPr>
            </w:pPr>
          </w:p>
        </w:tc>
      </w:tr>
      <w:tr>
        <w:trPr>
          <w:trHeight w:val="594"/>
        </w:trPr>
        <w:tc>
          <w:tcPr>
            <w:tcW w:w="1180" w:type="dxa"/>
            <w:vAlign w:val="bottom"/>
          </w:tcPr>
          <w:p>
            <w:pPr>
              <w:ind w:left="80"/>
              <w:spacing w:after="0"/>
              <w:rPr>
                <w:sz w:val="20"/>
                <w:szCs w:val="20"/>
                <w:color w:val="auto"/>
              </w:rPr>
            </w:pPr>
            <w:r>
              <w:rPr>
                <w:rFonts w:ascii="Arial" w:cs="Arial" w:eastAsia="Arial" w:hAnsi="Arial"/>
                <w:sz w:val="18"/>
                <w:szCs w:val="18"/>
                <w:color w:val="auto"/>
              </w:rPr>
              <w:t>*23.3</w:t>
            </w:r>
          </w:p>
        </w:tc>
        <w:tc>
          <w:tcPr>
            <w:tcW w:w="10100" w:type="dxa"/>
            <w:vAlign w:val="bottom"/>
          </w:tcPr>
          <w:p>
            <w:pPr>
              <w:ind w:left="1320"/>
              <w:spacing w:after="0"/>
              <w:rPr>
                <w:sz w:val="20"/>
                <w:szCs w:val="20"/>
                <w:color w:val="auto"/>
              </w:rPr>
            </w:pPr>
            <w:r>
              <w:rPr>
                <w:rFonts w:ascii="Arial" w:cs="Arial" w:eastAsia="Arial" w:hAnsi="Arial"/>
                <w:sz w:val="18"/>
                <w:szCs w:val="18"/>
                <w:color w:val="auto"/>
              </w:rPr>
              <w:t>Consent of Brownstein Hyatt Farber Schreck, LLP (included in Exhibit 5.2)</w:t>
            </w:r>
          </w:p>
        </w:tc>
        <w:tc>
          <w:tcPr>
            <w:tcW w:w="0" w:type="dxa"/>
            <w:vAlign w:val="bottom"/>
          </w:tcPr>
          <w:p>
            <w:pPr>
              <w:spacing w:after="0"/>
              <w:rPr>
                <w:sz w:val="1"/>
                <w:szCs w:val="1"/>
                <w:color w:val="auto"/>
              </w:rPr>
            </w:pPr>
          </w:p>
        </w:tc>
      </w:tr>
      <w:tr>
        <w:trPr>
          <w:trHeight w:val="580"/>
        </w:trPr>
        <w:tc>
          <w:tcPr>
            <w:tcW w:w="1180" w:type="dxa"/>
            <w:vAlign w:val="bottom"/>
          </w:tcPr>
          <w:p>
            <w:pPr>
              <w:ind w:left="80"/>
              <w:spacing w:after="0"/>
              <w:rPr>
                <w:sz w:val="20"/>
                <w:szCs w:val="20"/>
                <w:color w:val="auto"/>
              </w:rPr>
            </w:pPr>
            <w:r>
              <w:rPr>
                <w:rFonts w:ascii="Arial" w:cs="Arial" w:eastAsia="Arial" w:hAnsi="Arial"/>
                <w:sz w:val="18"/>
                <w:szCs w:val="18"/>
                <w:color w:val="auto"/>
              </w:rPr>
              <w:t>*24</w:t>
            </w:r>
          </w:p>
        </w:tc>
        <w:tc>
          <w:tcPr>
            <w:tcW w:w="10100" w:type="dxa"/>
            <w:vAlign w:val="bottom"/>
          </w:tcPr>
          <w:p>
            <w:pPr>
              <w:ind w:left="1320"/>
              <w:spacing w:after="0"/>
              <w:rPr>
                <w:sz w:val="20"/>
                <w:szCs w:val="20"/>
                <w:color w:val="auto"/>
              </w:rPr>
            </w:pPr>
            <w:r>
              <w:rPr>
                <w:rFonts w:ascii="Arial" w:cs="Arial" w:eastAsia="Arial" w:hAnsi="Arial"/>
                <w:sz w:val="18"/>
                <w:szCs w:val="18"/>
                <w:color w:val="auto"/>
                <w:w w:val="94"/>
              </w:rPr>
              <w:t>Powers of Attorney of officers and directors of Wynn Resorts, Limited (included on signature page of this registration</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580"/>
        </w:trPr>
        <w:tc>
          <w:tcPr>
            <w:tcW w:w="1180" w:type="dxa"/>
            <w:vAlign w:val="bottom"/>
          </w:tcPr>
          <w:p>
            <w:pPr>
              <w:ind w:left="80"/>
              <w:spacing w:after="0"/>
              <w:rPr>
                <w:sz w:val="20"/>
                <w:szCs w:val="20"/>
                <w:color w:val="auto"/>
              </w:rPr>
            </w:pPr>
            <w:r>
              <w:rPr>
                <w:rFonts w:ascii="Arial" w:cs="Arial" w:eastAsia="Arial" w:hAnsi="Arial"/>
                <w:sz w:val="18"/>
                <w:szCs w:val="18"/>
                <w:color w:val="auto"/>
              </w:rPr>
              <w:t>*25</w:t>
            </w:r>
          </w:p>
        </w:tc>
        <w:tc>
          <w:tcPr>
            <w:tcW w:w="10100" w:type="dxa"/>
            <w:vAlign w:val="bottom"/>
          </w:tcPr>
          <w:p>
            <w:pPr>
              <w:ind w:left="1320"/>
              <w:spacing w:after="0"/>
              <w:rPr>
                <w:sz w:val="20"/>
                <w:szCs w:val="20"/>
                <w:color w:val="auto"/>
              </w:rPr>
            </w:pPr>
            <w:r>
              <w:rPr>
                <w:rFonts w:ascii="Arial" w:cs="Arial" w:eastAsia="Arial" w:hAnsi="Arial"/>
                <w:sz w:val="18"/>
                <w:szCs w:val="18"/>
                <w:color w:val="auto"/>
                <w:w w:val="99"/>
              </w:rPr>
              <w:t>Statement of Eligibility on Form T-1 under the Trust Indenture Act of 1939, as amended, of U.S. Bank National</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100" w:type="dxa"/>
            <w:vAlign w:val="bottom"/>
          </w:tcPr>
          <w:p>
            <w:pPr>
              <w:ind w:left="1320"/>
              <w:spacing w:after="0"/>
              <w:rPr>
                <w:sz w:val="20"/>
                <w:szCs w:val="20"/>
                <w:color w:val="auto"/>
              </w:rPr>
            </w:pPr>
            <w:r>
              <w:rPr>
                <w:rFonts w:ascii="Arial" w:cs="Arial" w:eastAsia="Arial" w:hAnsi="Arial"/>
                <w:sz w:val="18"/>
                <w:szCs w:val="18"/>
                <w:color w:val="auto"/>
              </w:rPr>
              <w:t>Association, trustee under the Indenture, with respect to the Debt Securities</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65" w:hanging="465"/>
        <w:spacing w:after="0"/>
        <w:tabs>
          <w:tab w:leader="none" w:pos="4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10" w:lineRule="exact"/>
        <w:rPr>
          <w:sz w:val="20"/>
          <w:szCs w:val="20"/>
          <w:color w:val="auto"/>
        </w:rPr>
      </w:pPr>
    </w:p>
    <w:p>
      <w:pPr>
        <w:ind w:left="5"/>
        <w:spacing w:after="0"/>
        <w:tabs>
          <w:tab w:leader="none" w:pos="1245"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05"/>
        <w:spacing w:after="0"/>
        <w:rPr>
          <w:sz w:val="20"/>
          <w:szCs w:val="20"/>
          <w:color w:val="auto"/>
        </w:rPr>
      </w:pPr>
      <w:r>
        <w:rPr>
          <w:rFonts w:ascii="Arial" w:cs="Arial" w:eastAsia="Arial" w:hAnsi="Arial"/>
          <w:sz w:val="18"/>
          <w:szCs w:val="18"/>
          <w:color w:val="auto"/>
        </w:rPr>
        <w:t>(a) The undersigned registrant hereby undertakes:</w:t>
      </w:r>
    </w:p>
    <w:p>
      <w:pPr>
        <w:spacing w:after="0" w:line="252"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II - 2</w:t>
      </w:r>
    </w:p>
    <w:p>
      <w:pPr>
        <w:sectPr>
          <w:pgSz w:w="11900" w:h="16838" w:orient="portrait"/>
          <w:cols w:equalWidth="0" w:num="1">
            <w:col w:w="11285"/>
          </w:cols>
          <w:pgMar w:left="275" w:top="742" w:right="339" w:bottom="1440" w:gutter="0" w:footer="0" w:header="0"/>
        </w:sectPr>
      </w:pPr>
    </w:p>
    <w:bookmarkStart w:id="10" w:name="page11"/>
    <w:bookmarkEnd w:id="10"/>
    <w:p>
      <w:pPr>
        <w:ind w:left="700" w:hanging="26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00" w:hanging="214"/>
        <w:spacing w:after="0"/>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120" w:firstLine="886"/>
        <w:spacing w:after="0" w:line="293" w:lineRule="auto"/>
        <w:tabs>
          <w:tab w:leader="none" w:pos="11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right="440" w:firstLine="886"/>
        <w:spacing w:after="0" w:line="277" w:lineRule="auto"/>
        <w:tabs>
          <w:tab w:leader="none" w:pos="119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firstLine="440"/>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20" w:firstLine="440"/>
        <w:spacing w:after="0" w:line="27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220" w:firstLine="886"/>
        <w:spacing w:after="0" w:line="277" w:lineRule="auto"/>
        <w:tabs>
          <w:tab w:leader="none" w:pos="11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firstLine="886"/>
        <w:spacing w:after="0" w:line="288" w:lineRule="auto"/>
        <w:tabs>
          <w:tab w:leader="none" w:pos="1163"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69" w:lineRule="exact"/>
        <w:rPr>
          <w:rFonts w:ascii="Arial" w:cs="Arial" w:eastAsia="Arial" w:hAnsi="Arial"/>
          <w:sz w:val="16"/>
          <w:szCs w:val="16"/>
          <w:color w:val="auto"/>
        </w:rPr>
      </w:pPr>
    </w:p>
    <w:p>
      <w:pPr>
        <w:ind w:right="420" w:firstLine="440"/>
        <w:spacing w:after="0" w:line="27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100" w:hanging="214"/>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right="580" w:firstLine="886"/>
        <w:spacing w:after="0" w:line="277" w:lineRule="auto"/>
        <w:tabs>
          <w:tab w:leader="none" w:pos="11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59" w:lineRule="exact"/>
        <w:rPr>
          <w:rFonts w:ascii="Arial" w:cs="Arial" w:eastAsia="Arial" w:hAnsi="Arial"/>
          <w:sz w:val="18"/>
          <w:szCs w:val="18"/>
          <w:color w:val="auto"/>
        </w:rPr>
      </w:pPr>
    </w:p>
    <w:p>
      <w:pPr>
        <w:ind w:left="5700" w:hanging="166"/>
        <w:spacing w:after="0"/>
        <w:tabs>
          <w:tab w:leader="none" w:pos="5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- 3</w:t>
      </w:r>
    </w:p>
    <w:p>
      <w:pPr>
        <w:sectPr>
          <w:pgSz w:w="11900" w:h="16838" w:orient="portrait"/>
          <w:cols w:equalWidth="0" w:num="1">
            <w:col w:w="11380"/>
          </w:cols>
          <w:pgMar w:left="240" w:top="692" w:right="279" w:bottom="1440" w:gutter="0" w:footer="0" w:header="0"/>
        </w:sectPr>
      </w:pPr>
    </w:p>
    <w:bookmarkStart w:id="11" w:name="page12"/>
    <w:bookmarkEnd w:id="11"/>
    <w:p>
      <w:pPr>
        <w:ind w:right="160" w:firstLine="886"/>
        <w:spacing w:after="0" w:line="277" w:lineRule="auto"/>
        <w:tabs>
          <w:tab w:leader="none" w:pos="11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314"/>
        <w:spacing w:after="0"/>
        <w:tabs>
          <w:tab w:leader="none" w:pos="1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60" w:firstLine="440"/>
        <w:spacing w:after="0" w:line="257"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8th day of November, 2016.</w:t>
      </w:r>
    </w:p>
    <w:p>
      <w:pPr>
        <w:spacing w:after="0" w:line="200" w:lineRule="exact"/>
        <w:rPr>
          <w:sz w:val="20"/>
          <w:szCs w:val="20"/>
          <w:color w:val="auto"/>
        </w:rPr>
      </w:pPr>
    </w:p>
    <w:p>
      <w:pPr>
        <w:spacing w:after="0" w:line="25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WYNN RESORTS, LIMITED</w:t>
      </w:r>
    </w:p>
    <w:p>
      <w:pPr>
        <w:spacing w:after="0" w:line="387" w:lineRule="exact"/>
        <w:rPr>
          <w:sz w:val="20"/>
          <w:szCs w:val="20"/>
          <w:color w:val="auto"/>
        </w:rPr>
      </w:pPr>
    </w:p>
    <w:p>
      <w:pPr>
        <w:ind w:left="604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31750</wp:posOffset>
            </wp:positionV>
            <wp:extent cx="2915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Wynn, Kim Sinatra and Matt Maddox,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- 4</w:t>
      </w:r>
    </w:p>
    <w:p>
      <w:pPr>
        <w:sectPr>
          <w:pgSz w:w="11900" w:h="16838" w:orient="portrait"/>
          <w:cols w:equalWidth="0" w:num="1">
            <w:col w:w="11380"/>
          </w:cols>
          <w:pgMar w:left="240" w:top="584"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240" w:type="dxa"/>
            <w:vAlign w:val="bottom"/>
            <w:gridSpan w:val="3"/>
          </w:tcPr>
          <w:p>
            <w:pPr>
              <w:ind w:left="2040"/>
              <w:spacing w:after="0"/>
              <w:rPr>
                <w:sz w:val="20"/>
                <w:szCs w:val="20"/>
                <w:color w:val="auto"/>
              </w:rPr>
            </w:pPr>
            <w:r>
              <w:rPr>
                <w:rFonts w:ascii="Arial" w:cs="Arial" w:eastAsia="Arial" w:hAnsi="Arial"/>
                <w:sz w:val="14"/>
                <w:szCs w:val="14"/>
                <w:b w:val="1"/>
                <w:bCs w:val="1"/>
                <w:color w:val="auto"/>
              </w:rPr>
              <w:t>Title</w:t>
            </w:r>
          </w:p>
        </w:tc>
        <w:tc>
          <w:tcPr>
            <w:tcW w:w="1980" w:type="dxa"/>
            <w:vAlign w:val="bottom"/>
            <w:gridSpan w:val="3"/>
          </w:tcPr>
          <w:p>
            <w:pPr>
              <w:jc w:val="center"/>
              <w:ind w:left="531"/>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1"/>
        </w:trPr>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Chief Executive</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Stephen A. Wynn</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Officer (Principal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Stephen A. Wynn</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7"/>
        </w:trPr>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Treasurer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Stephen Cootey</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Stephen Cootey</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John J. Hagenbuch</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John J. Hagenbuch</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Dr. Ray R. Irani</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Jay L. Johnson</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Jay L. Johnson</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31"/>
              <w:spacing w:after="0"/>
              <w:rPr>
                <w:sz w:val="20"/>
                <w:szCs w:val="20"/>
                <w:color w:val="auto"/>
              </w:rPr>
            </w:pPr>
            <w:r>
              <w:rPr>
                <w:rFonts w:ascii="Arial" w:cs="Arial" w:eastAsia="Arial" w:hAnsi="Arial"/>
                <w:sz w:val="18"/>
                <w:szCs w:val="18"/>
                <w:color w:val="auto"/>
                <w:w w:val="91"/>
              </w:rPr>
              <w:t>November 8, 2016</w:t>
            </w:r>
          </w:p>
        </w:tc>
      </w:tr>
      <w:tr>
        <w:trPr>
          <w:trHeight w:val="27"/>
        </w:trPr>
        <w:tc>
          <w:tcPr>
            <w:tcW w:w="2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ectPr>
          <w:pgSz w:w="11900" w:h="16838" w:orient="portrait"/>
          <w:cols w:equalWidth="0" w:num="1">
            <w:col w:w="11020"/>
          </w:cols>
          <w:pgMar w:left="240" w:top="964" w:right="639" w:bottom="1440" w:gutter="0" w:footer="0" w:header="0"/>
        </w:sectPr>
      </w:pPr>
    </w:p>
    <w:bookmarkStart w:id="13" w:name="page14"/>
    <w:bookmarkEnd w:id="13"/>
    <w:p>
      <w:pPr>
        <w:spacing w:after="0" w:line="1" w:lineRule="exact"/>
        <w:rPr>
          <w:sz w:val="20"/>
          <w:szCs w:val="20"/>
          <w:color w:val="auto"/>
        </w:rPr>
      </w:pPr>
    </w:p>
    <w:tbl>
      <w:tblPr>
        <w:tblLayout w:type="fixed"/>
        <w:tblInd w:w="85"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94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1740" w:type="dxa"/>
            <w:vAlign w:val="bottom"/>
          </w:tcPr>
          <w:p>
            <w:pPr>
              <w:ind w:left="58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740" w:type="dxa"/>
            <w:vAlign w:val="bottom"/>
          </w:tcPr>
          <w:p>
            <w:pPr>
              <w:ind w:left="700"/>
              <w:spacing w:after="0"/>
              <w:rPr>
                <w:sz w:val="20"/>
                <w:szCs w:val="20"/>
                <w:color w:val="auto"/>
              </w:rPr>
            </w:pPr>
            <w:r>
              <w:rPr>
                <w:rFonts w:ascii="Arial" w:cs="Arial" w:eastAsia="Arial" w:hAnsi="Arial"/>
                <w:sz w:val="14"/>
                <w:szCs w:val="14"/>
                <w:b w:val="1"/>
                <w:bCs w:val="1"/>
                <w:color w:val="auto"/>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5"/>
        </w:trPr>
        <w:tc>
          <w:tcPr>
            <w:tcW w:w="1740" w:type="dxa"/>
            <w:vAlign w:val="bottom"/>
          </w:tcPr>
          <w:p>
            <w:pPr>
              <w:ind w:left="160"/>
              <w:spacing w:after="0"/>
              <w:rPr>
                <w:sz w:val="20"/>
                <w:szCs w:val="20"/>
                <w:color w:val="auto"/>
              </w:rPr>
            </w:pPr>
            <w:r>
              <w:rPr>
                <w:rFonts w:ascii="Arial" w:cs="Arial" w:eastAsia="Arial" w:hAnsi="Arial"/>
                <w:sz w:val="18"/>
                <w:szCs w:val="18"/>
                <w:color w:val="auto"/>
              </w:rPr>
              <w:t>4.1</w:t>
            </w:r>
          </w:p>
        </w:tc>
        <w:tc>
          <w:tcPr>
            <w:tcW w:w="9460" w:type="dxa"/>
            <w:vAlign w:val="bottom"/>
          </w:tcPr>
          <w:p>
            <w:pPr>
              <w:ind w:left="680"/>
              <w:spacing w:after="0"/>
              <w:rPr>
                <w:sz w:val="20"/>
                <w:szCs w:val="20"/>
                <w:color w:val="auto"/>
              </w:rPr>
            </w:pPr>
            <w:r>
              <w:rPr>
                <w:rFonts w:ascii="Arial" w:cs="Arial" w:eastAsia="Arial" w:hAnsi="Arial"/>
                <w:sz w:val="18"/>
                <w:szCs w:val="18"/>
                <w:color w:val="auto"/>
                <w:w w:val="93"/>
              </w:rPr>
              <w:t>Third Amended and Restated Articles of Incorporation of the Registrant. (Incorporated by reference from the Quarterly</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Report on Form 10-Q filed by the Registrant on May 8, 2015.)</w:t>
            </w:r>
          </w:p>
        </w:tc>
        <w:tc>
          <w:tcPr>
            <w:tcW w:w="0" w:type="dxa"/>
            <w:vAlign w:val="bottom"/>
          </w:tcPr>
          <w:p>
            <w:pPr>
              <w:spacing w:after="0"/>
              <w:rPr>
                <w:sz w:val="1"/>
                <w:szCs w:val="1"/>
                <w:color w:val="auto"/>
              </w:rPr>
            </w:pPr>
          </w:p>
        </w:tc>
      </w:tr>
      <w:tr>
        <w:trPr>
          <w:trHeight w:val="580"/>
        </w:trPr>
        <w:tc>
          <w:tcPr>
            <w:tcW w:w="1740" w:type="dxa"/>
            <w:vAlign w:val="bottom"/>
          </w:tcPr>
          <w:p>
            <w:pPr>
              <w:ind w:left="160"/>
              <w:spacing w:after="0"/>
              <w:rPr>
                <w:sz w:val="20"/>
                <w:szCs w:val="20"/>
                <w:color w:val="auto"/>
              </w:rPr>
            </w:pPr>
            <w:r>
              <w:rPr>
                <w:rFonts w:ascii="Arial" w:cs="Arial" w:eastAsia="Arial" w:hAnsi="Arial"/>
                <w:sz w:val="18"/>
                <w:szCs w:val="18"/>
                <w:color w:val="auto"/>
              </w:rPr>
              <w:t>4.2</w:t>
            </w:r>
          </w:p>
        </w:tc>
        <w:tc>
          <w:tcPr>
            <w:tcW w:w="9460" w:type="dxa"/>
            <w:vAlign w:val="bottom"/>
          </w:tcPr>
          <w:p>
            <w:pPr>
              <w:ind w:left="680"/>
              <w:spacing w:after="0"/>
              <w:rPr>
                <w:sz w:val="20"/>
                <w:szCs w:val="20"/>
                <w:color w:val="auto"/>
              </w:rPr>
            </w:pPr>
            <w:r>
              <w:rPr>
                <w:rFonts w:ascii="Arial" w:cs="Arial" w:eastAsia="Arial" w:hAnsi="Arial"/>
                <w:sz w:val="18"/>
                <w:szCs w:val="18"/>
                <w:color w:val="auto"/>
                <w:w w:val="92"/>
              </w:rPr>
              <w:t>Eighth Amended and Restated Bylaws of the Registrant. (Incorporated by reference from the Quarterly Report on Form</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10-Q filed by the Registrant on November 6, 2015.)</w:t>
            </w:r>
          </w:p>
        </w:tc>
        <w:tc>
          <w:tcPr>
            <w:tcW w:w="0" w:type="dxa"/>
            <w:vAlign w:val="bottom"/>
          </w:tcPr>
          <w:p>
            <w:pPr>
              <w:spacing w:after="0"/>
              <w:rPr>
                <w:sz w:val="1"/>
                <w:szCs w:val="1"/>
                <w:color w:val="auto"/>
              </w:rPr>
            </w:pPr>
          </w:p>
        </w:tc>
      </w:tr>
      <w:tr>
        <w:trPr>
          <w:trHeight w:val="580"/>
        </w:trPr>
        <w:tc>
          <w:tcPr>
            <w:tcW w:w="1740" w:type="dxa"/>
            <w:vAlign w:val="bottom"/>
          </w:tcPr>
          <w:p>
            <w:pPr>
              <w:ind w:left="160"/>
              <w:spacing w:after="0"/>
              <w:rPr>
                <w:sz w:val="20"/>
                <w:szCs w:val="20"/>
                <w:color w:val="auto"/>
              </w:rPr>
            </w:pPr>
            <w:r>
              <w:rPr>
                <w:rFonts w:ascii="Arial" w:cs="Arial" w:eastAsia="Arial" w:hAnsi="Arial"/>
                <w:sz w:val="18"/>
                <w:szCs w:val="18"/>
                <w:color w:val="auto"/>
              </w:rPr>
              <w:t>4.3</w:t>
            </w:r>
          </w:p>
        </w:tc>
        <w:tc>
          <w:tcPr>
            <w:tcW w:w="9460" w:type="dxa"/>
            <w:vAlign w:val="bottom"/>
          </w:tcPr>
          <w:p>
            <w:pPr>
              <w:ind w:left="680"/>
              <w:spacing w:after="0"/>
              <w:rPr>
                <w:sz w:val="20"/>
                <w:szCs w:val="20"/>
                <w:color w:val="auto"/>
              </w:rPr>
            </w:pPr>
            <w:r>
              <w:rPr>
                <w:rFonts w:ascii="Arial" w:cs="Arial" w:eastAsia="Arial" w:hAnsi="Arial"/>
                <w:sz w:val="18"/>
                <w:szCs w:val="18"/>
                <w:color w:val="auto"/>
                <w:w w:val="90"/>
              </w:rPr>
              <w:t>Specimen certificate for shares of common stock, $0.01 par value per share, of the Registrant. (Incorporated by reference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w w:val="95"/>
              </w:rPr>
              <w:t>to Exhibit 4.1 to Amendment No. 4 to the Form S-1 filed by the registrant on October 7, 2002 (File No. 333-90600).)</w:t>
            </w:r>
          </w:p>
        </w:tc>
        <w:tc>
          <w:tcPr>
            <w:tcW w:w="0" w:type="dxa"/>
            <w:vAlign w:val="bottom"/>
          </w:tcPr>
          <w:p>
            <w:pPr>
              <w:spacing w:after="0"/>
              <w:rPr>
                <w:sz w:val="1"/>
                <w:szCs w:val="1"/>
                <w:color w:val="auto"/>
              </w:rPr>
            </w:pPr>
          </w:p>
        </w:tc>
      </w:tr>
      <w:tr>
        <w:trPr>
          <w:trHeight w:val="580"/>
        </w:trPr>
        <w:tc>
          <w:tcPr>
            <w:tcW w:w="1740" w:type="dxa"/>
            <w:vAlign w:val="bottom"/>
          </w:tcPr>
          <w:p>
            <w:pPr>
              <w:ind w:left="160"/>
              <w:spacing w:after="0"/>
              <w:rPr>
                <w:sz w:val="20"/>
                <w:szCs w:val="20"/>
                <w:color w:val="auto"/>
              </w:rPr>
            </w:pPr>
            <w:r>
              <w:rPr>
                <w:rFonts w:ascii="Arial" w:cs="Arial" w:eastAsia="Arial" w:hAnsi="Arial"/>
                <w:sz w:val="18"/>
                <w:szCs w:val="18"/>
                <w:color w:val="auto"/>
              </w:rPr>
              <w:t>4.4</w:t>
            </w:r>
          </w:p>
        </w:tc>
        <w:tc>
          <w:tcPr>
            <w:tcW w:w="9460" w:type="dxa"/>
            <w:vAlign w:val="bottom"/>
          </w:tcPr>
          <w:p>
            <w:pPr>
              <w:ind w:left="680"/>
              <w:spacing w:after="0"/>
              <w:rPr>
                <w:sz w:val="20"/>
                <w:szCs w:val="20"/>
                <w:color w:val="auto"/>
              </w:rPr>
            </w:pPr>
            <w:r>
              <w:rPr>
                <w:rFonts w:ascii="Arial" w:cs="Arial" w:eastAsia="Arial" w:hAnsi="Arial"/>
                <w:sz w:val="18"/>
                <w:szCs w:val="18"/>
                <w:color w:val="auto"/>
                <w:w w:val="91"/>
              </w:rPr>
              <w:t>Indenture, dated as of March 29, 2004, between the registrant and U.S. Bank National Association, as indenture trustee.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w w:val="94"/>
              </w:rPr>
              <w:t>(Incorporated by reference to the Registration Statement on Form S-3 filed by the Registrant on March 30, 2004 (File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No. 333-114022).)</w:t>
            </w:r>
          </w:p>
        </w:tc>
        <w:tc>
          <w:tcPr>
            <w:tcW w:w="0" w:type="dxa"/>
            <w:vAlign w:val="bottom"/>
          </w:tcPr>
          <w:p>
            <w:pPr>
              <w:spacing w:after="0"/>
              <w:rPr>
                <w:sz w:val="1"/>
                <w:szCs w:val="1"/>
                <w:color w:val="auto"/>
              </w:rPr>
            </w:pPr>
          </w:p>
        </w:tc>
      </w:tr>
      <w:tr>
        <w:trPr>
          <w:trHeight w:val="580"/>
        </w:trPr>
        <w:tc>
          <w:tcPr>
            <w:tcW w:w="1740" w:type="dxa"/>
            <w:vAlign w:val="bottom"/>
          </w:tcPr>
          <w:p>
            <w:pPr>
              <w:ind w:left="160"/>
              <w:spacing w:after="0"/>
              <w:rPr>
                <w:sz w:val="20"/>
                <w:szCs w:val="20"/>
                <w:color w:val="auto"/>
              </w:rPr>
            </w:pPr>
            <w:r>
              <w:rPr>
                <w:rFonts w:ascii="Arial" w:cs="Arial" w:eastAsia="Arial" w:hAnsi="Arial"/>
                <w:sz w:val="18"/>
                <w:szCs w:val="18"/>
                <w:color w:val="auto"/>
              </w:rPr>
              <w:t>4.5</w:t>
            </w:r>
          </w:p>
        </w:tc>
        <w:tc>
          <w:tcPr>
            <w:tcW w:w="9460" w:type="dxa"/>
            <w:vAlign w:val="bottom"/>
          </w:tcPr>
          <w:p>
            <w:pPr>
              <w:ind w:left="680"/>
              <w:spacing w:after="0"/>
              <w:rPr>
                <w:sz w:val="20"/>
                <w:szCs w:val="20"/>
                <w:color w:val="auto"/>
              </w:rPr>
            </w:pPr>
            <w:r>
              <w:rPr>
                <w:rFonts w:ascii="Arial" w:cs="Arial" w:eastAsia="Arial" w:hAnsi="Arial"/>
                <w:sz w:val="18"/>
                <w:szCs w:val="18"/>
                <w:color w:val="auto"/>
                <w:w w:val="91"/>
              </w:rPr>
              <w:t>Form of Deposit Agreement. (Incorporated by reference to Exhibit 4.5 to the Registration Statement on Form S-3 filed by</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the Registrant on March 30, 2004 (File No. 333-114022).)</w:t>
            </w:r>
          </w:p>
        </w:tc>
        <w:tc>
          <w:tcPr>
            <w:tcW w:w="0" w:type="dxa"/>
            <w:vAlign w:val="bottom"/>
          </w:tcPr>
          <w:p>
            <w:pPr>
              <w:spacing w:after="0"/>
              <w:rPr>
                <w:sz w:val="1"/>
                <w:szCs w:val="1"/>
                <w:color w:val="auto"/>
              </w:rPr>
            </w:pPr>
          </w:p>
        </w:tc>
      </w:tr>
      <w:tr>
        <w:trPr>
          <w:trHeight w:val="594"/>
        </w:trPr>
        <w:tc>
          <w:tcPr>
            <w:tcW w:w="1740" w:type="dxa"/>
            <w:vAlign w:val="bottom"/>
          </w:tcPr>
          <w:p>
            <w:pPr>
              <w:ind w:left="160"/>
              <w:spacing w:after="0"/>
              <w:rPr>
                <w:sz w:val="20"/>
                <w:szCs w:val="20"/>
                <w:color w:val="auto"/>
              </w:rPr>
            </w:pPr>
            <w:r>
              <w:rPr>
                <w:rFonts w:ascii="Arial" w:cs="Arial" w:eastAsia="Arial" w:hAnsi="Arial"/>
                <w:sz w:val="18"/>
                <w:szCs w:val="18"/>
                <w:color w:val="auto"/>
              </w:rPr>
              <w:t>4.6</w:t>
            </w:r>
          </w:p>
        </w:tc>
        <w:tc>
          <w:tcPr>
            <w:tcW w:w="9460" w:type="dxa"/>
            <w:vAlign w:val="bottom"/>
          </w:tcPr>
          <w:p>
            <w:pPr>
              <w:ind w:left="680"/>
              <w:spacing w:after="0"/>
              <w:rPr>
                <w:sz w:val="20"/>
                <w:szCs w:val="20"/>
                <w:color w:val="auto"/>
              </w:rPr>
            </w:pPr>
            <w:r>
              <w:rPr>
                <w:rFonts w:ascii="Arial" w:cs="Arial" w:eastAsia="Arial" w:hAnsi="Arial"/>
                <w:sz w:val="18"/>
                <w:szCs w:val="18"/>
                <w:color w:val="auto"/>
              </w:rPr>
              <w:t>Form of Depositary Share (included in Exhibit 4.5)</w:t>
            </w:r>
          </w:p>
        </w:tc>
        <w:tc>
          <w:tcPr>
            <w:tcW w:w="0" w:type="dxa"/>
            <w:vAlign w:val="bottom"/>
          </w:tcPr>
          <w:p>
            <w:pPr>
              <w:spacing w:after="0"/>
              <w:rPr>
                <w:sz w:val="1"/>
                <w:szCs w:val="1"/>
                <w:color w:val="auto"/>
              </w:rPr>
            </w:pPr>
          </w:p>
        </w:tc>
      </w:tr>
      <w:tr>
        <w:trPr>
          <w:trHeight w:val="594"/>
        </w:trPr>
        <w:tc>
          <w:tcPr>
            <w:tcW w:w="1740" w:type="dxa"/>
            <w:vAlign w:val="bottom"/>
          </w:tcPr>
          <w:p>
            <w:pPr>
              <w:ind w:left="60"/>
              <w:spacing w:after="0"/>
              <w:rPr>
                <w:sz w:val="20"/>
                <w:szCs w:val="20"/>
                <w:color w:val="auto"/>
              </w:rPr>
            </w:pPr>
            <w:r>
              <w:rPr>
                <w:rFonts w:ascii="Arial" w:cs="Arial" w:eastAsia="Arial" w:hAnsi="Arial"/>
                <w:sz w:val="18"/>
                <w:szCs w:val="18"/>
                <w:color w:val="auto"/>
              </w:rPr>
              <w:t>*5.1</w:t>
            </w:r>
          </w:p>
        </w:tc>
        <w:tc>
          <w:tcPr>
            <w:tcW w:w="9460" w:type="dxa"/>
            <w:vAlign w:val="bottom"/>
          </w:tcPr>
          <w:p>
            <w:pPr>
              <w:ind w:left="680"/>
              <w:spacing w:after="0"/>
              <w:rPr>
                <w:sz w:val="20"/>
                <w:szCs w:val="20"/>
                <w:color w:val="auto"/>
              </w:rPr>
            </w:pPr>
            <w:r>
              <w:rPr>
                <w:rFonts w:ascii="Arial" w:cs="Arial" w:eastAsia="Arial" w:hAnsi="Arial"/>
                <w:sz w:val="18"/>
                <w:szCs w:val="18"/>
                <w:color w:val="auto"/>
              </w:rPr>
              <w:t>Opinion of Gibson, Dunn &amp; Crutcher LLP</w:t>
            </w:r>
          </w:p>
        </w:tc>
        <w:tc>
          <w:tcPr>
            <w:tcW w:w="0" w:type="dxa"/>
            <w:vAlign w:val="bottom"/>
          </w:tcPr>
          <w:p>
            <w:pPr>
              <w:spacing w:after="0"/>
              <w:rPr>
                <w:sz w:val="1"/>
                <w:szCs w:val="1"/>
                <w:color w:val="auto"/>
              </w:rPr>
            </w:pPr>
          </w:p>
        </w:tc>
      </w:tr>
      <w:tr>
        <w:trPr>
          <w:trHeight w:val="594"/>
        </w:trPr>
        <w:tc>
          <w:tcPr>
            <w:tcW w:w="1740" w:type="dxa"/>
            <w:vAlign w:val="bottom"/>
          </w:tcPr>
          <w:p>
            <w:pPr>
              <w:ind w:left="60"/>
              <w:spacing w:after="0"/>
              <w:rPr>
                <w:sz w:val="20"/>
                <w:szCs w:val="20"/>
                <w:color w:val="auto"/>
              </w:rPr>
            </w:pPr>
            <w:r>
              <w:rPr>
                <w:rFonts w:ascii="Arial" w:cs="Arial" w:eastAsia="Arial" w:hAnsi="Arial"/>
                <w:sz w:val="18"/>
                <w:szCs w:val="18"/>
                <w:color w:val="auto"/>
              </w:rPr>
              <w:t>*5.2</w:t>
            </w:r>
          </w:p>
        </w:tc>
        <w:tc>
          <w:tcPr>
            <w:tcW w:w="9460" w:type="dxa"/>
            <w:vAlign w:val="bottom"/>
          </w:tcPr>
          <w:p>
            <w:pPr>
              <w:ind w:left="680"/>
              <w:spacing w:after="0"/>
              <w:rPr>
                <w:sz w:val="20"/>
                <w:szCs w:val="20"/>
                <w:color w:val="auto"/>
              </w:rPr>
            </w:pPr>
            <w:r>
              <w:rPr>
                <w:rFonts w:ascii="Arial" w:cs="Arial" w:eastAsia="Arial" w:hAnsi="Arial"/>
                <w:sz w:val="18"/>
                <w:szCs w:val="18"/>
                <w:color w:val="auto"/>
              </w:rPr>
              <w:t>Opinion of Brownstein Hyatt Farber Schreck, LLP</w:t>
            </w:r>
          </w:p>
        </w:tc>
        <w:tc>
          <w:tcPr>
            <w:tcW w:w="0" w:type="dxa"/>
            <w:vAlign w:val="bottom"/>
          </w:tcPr>
          <w:p>
            <w:pPr>
              <w:spacing w:after="0"/>
              <w:rPr>
                <w:sz w:val="1"/>
                <w:szCs w:val="1"/>
                <w:color w:val="auto"/>
              </w:rPr>
            </w:pPr>
          </w:p>
        </w:tc>
      </w:tr>
      <w:tr>
        <w:trPr>
          <w:trHeight w:val="594"/>
        </w:trPr>
        <w:tc>
          <w:tcPr>
            <w:tcW w:w="1740" w:type="dxa"/>
            <w:vAlign w:val="bottom"/>
          </w:tcPr>
          <w:p>
            <w:pPr>
              <w:spacing w:after="0"/>
              <w:rPr>
                <w:sz w:val="20"/>
                <w:szCs w:val="20"/>
                <w:color w:val="auto"/>
              </w:rPr>
            </w:pPr>
            <w:r>
              <w:rPr>
                <w:rFonts w:ascii="Arial" w:cs="Arial" w:eastAsia="Arial" w:hAnsi="Arial"/>
                <w:sz w:val="18"/>
                <w:szCs w:val="18"/>
                <w:color w:val="auto"/>
              </w:rPr>
              <w:t>*12</w:t>
            </w:r>
          </w:p>
        </w:tc>
        <w:tc>
          <w:tcPr>
            <w:tcW w:w="9460" w:type="dxa"/>
            <w:vAlign w:val="bottom"/>
          </w:tcPr>
          <w:p>
            <w:pPr>
              <w:ind w:left="68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c>
          <w:tcPr>
            <w:tcW w:w="0" w:type="dxa"/>
            <w:vAlign w:val="bottom"/>
          </w:tcPr>
          <w:p>
            <w:pPr>
              <w:spacing w:after="0"/>
              <w:rPr>
                <w:sz w:val="1"/>
                <w:szCs w:val="1"/>
                <w:color w:val="auto"/>
              </w:rPr>
            </w:pPr>
          </w:p>
        </w:tc>
      </w:tr>
      <w:tr>
        <w:trPr>
          <w:trHeight w:val="594"/>
        </w:trPr>
        <w:tc>
          <w:tcPr>
            <w:tcW w:w="1740" w:type="dxa"/>
            <w:vAlign w:val="bottom"/>
          </w:tcPr>
          <w:p>
            <w:pPr>
              <w:spacing w:after="0"/>
              <w:rPr>
                <w:sz w:val="20"/>
                <w:szCs w:val="20"/>
                <w:color w:val="auto"/>
              </w:rPr>
            </w:pPr>
            <w:r>
              <w:rPr>
                <w:rFonts w:ascii="Arial" w:cs="Arial" w:eastAsia="Arial" w:hAnsi="Arial"/>
                <w:sz w:val="18"/>
                <w:szCs w:val="18"/>
                <w:color w:val="auto"/>
              </w:rPr>
              <w:t>*23.1</w:t>
            </w:r>
          </w:p>
        </w:tc>
        <w:tc>
          <w:tcPr>
            <w:tcW w:w="9460" w:type="dxa"/>
            <w:vAlign w:val="bottom"/>
          </w:tcPr>
          <w:p>
            <w:pPr>
              <w:ind w:left="68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594"/>
        </w:trPr>
        <w:tc>
          <w:tcPr>
            <w:tcW w:w="1740" w:type="dxa"/>
            <w:vAlign w:val="bottom"/>
          </w:tcPr>
          <w:p>
            <w:pPr>
              <w:spacing w:after="0"/>
              <w:rPr>
                <w:sz w:val="20"/>
                <w:szCs w:val="20"/>
                <w:color w:val="auto"/>
              </w:rPr>
            </w:pPr>
            <w:r>
              <w:rPr>
                <w:rFonts w:ascii="Arial" w:cs="Arial" w:eastAsia="Arial" w:hAnsi="Arial"/>
                <w:sz w:val="18"/>
                <w:szCs w:val="18"/>
                <w:color w:val="auto"/>
              </w:rPr>
              <w:t>*23.2</w:t>
            </w:r>
          </w:p>
        </w:tc>
        <w:tc>
          <w:tcPr>
            <w:tcW w:w="9460" w:type="dxa"/>
            <w:vAlign w:val="bottom"/>
          </w:tcPr>
          <w:p>
            <w:pPr>
              <w:ind w:left="680"/>
              <w:spacing w:after="0"/>
              <w:rPr>
                <w:sz w:val="20"/>
                <w:szCs w:val="20"/>
                <w:color w:val="auto"/>
              </w:rPr>
            </w:pPr>
            <w:r>
              <w:rPr>
                <w:rFonts w:ascii="Arial" w:cs="Arial" w:eastAsia="Arial" w:hAnsi="Arial"/>
                <w:sz w:val="18"/>
                <w:szCs w:val="18"/>
                <w:color w:val="auto"/>
              </w:rPr>
              <w:t>Consent of Gibson, Dunn &amp; Crutcher LLP (included in Exhibit 5.1)</w:t>
            </w:r>
          </w:p>
        </w:tc>
        <w:tc>
          <w:tcPr>
            <w:tcW w:w="0" w:type="dxa"/>
            <w:vAlign w:val="bottom"/>
          </w:tcPr>
          <w:p>
            <w:pPr>
              <w:spacing w:after="0"/>
              <w:rPr>
                <w:sz w:val="1"/>
                <w:szCs w:val="1"/>
                <w:color w:val="auto"/>
              </w:rPr>
            </w:pPr>
          </w:p>
        </w:tc>
      </w:tr>
      <w:tr>
        <w:trPr>
          <w:trHeight w:val="594"/>
        </w:trPr>
        <w:tc>
          <w:tcPr>
            <w:tcW w:w="1740" w:type="dxa"/>
            <w:vAlign w:val="bottom"/>
          </w:tcPr>
          <w:p>
            <w:pPr>
              <w:spacing w:after="0"/>
              <w:rPr>
                <w:sz w:val="20"/>
                <w:szCs w:val="20"/>
                <w:color w:val="auto"/>
              </w:rPr>
            </w:pPr>
            <w:r>
              <w:rPr>
                <w:rFonts w:ascii="Arial" w:cs="Arial" w:eastAsia="Arial" w:hAnsi="Arial"/>
                <w:sz w:val="18"/>
                <w:szCs w:val="18"/>
                <w:color w:val="auto"/>
              </w:rPr>
              <w:t>*23.3</w:t>
            </w:r>
          </w:p>
        </w:tc>
        <w:tc>
          <w:tcPr>
            <w:tcW w:w="9460" w:type="dxa"/>
            <w:vAlign w:val="bottom"/>
          </w:tcPr>
          <w:p>
            <w:pPr>
              <w:ind w:left="680"/>
              <w:spacing w:after="0"/>
              <w:rPr>
                <w:sz w:val="20"/>
                <w:szCs w:val="20"/>
                <w:color w:val="auto"/>
              </w:rPr>
            </w:pPr>
            <w:r>
              <w:rPr>
                <w:rFonts w:ascii="Arial" w:cs="Arial" w:eastAsia="Arial" w:hAnsi="Arial"/>
                <w:sz w:val="18"/>
                <w:szCs w:val="18"/>
                <w:color w:val="auto"/>
              </w:rPr>
              <w:t>Consent of Brownstein Hyatt Farber Schreck, LLP (included in Exhibit 5.2)</w:t>
            </w:r>
          </w:p>
        </w:tc>
        <w:tc>
          <w:tcPr>
            <w:tcW w:w="0" w:type="dxa"/>
            <w:vAlign w:val="bottom"/>
          </w:tcPr>
          <w:p>
            <w:pPr>
              <w:spacing w:after="0"/>
              <w:rPr>
                <w:sz w:val="1"/>
                <w:szCs w:val="1"/>
                <w:color w:val="auto"/>
              </w:rPr>
            </w:pPr>
          </w:p>
        </w:tc>
      </w:tr>
      <w:tr>
        <w:trPr>
          <w:trHeight w:val="580"/>
        </w:trPr>
        <w:tc>
          <w:tcPr>
            <w:tcW w:w="1740" w:type="dxa"/>
            <w:vAlign w:val="bottom"/>
          </w:tcPr>
          <w:p>
            <w:pPr>
              <w:spacing w:after="0"/>
              <w:rPr>
                <w:sz w:val="20"/>
                <w:szCs w:val="20"/>
                <w:color w:val="auto"/>
              </w:rPr>
            </w:pPr>
            <w:r>
              <w:rPr>
                <w:rFonts w:ascii="Arial" w:cs="Arial" w:eastAsia="Arial" w:hAnsi="Arial"/>
                <w:sz w:val="18"/>
                <w:szCs w:val="18"/>
                <w:color w:val="auto"/>
              </w:rPr>
              <w:t>*24</w:t>
            </w:r>
          </w:p>
        </w:tc>
        <w:tc>
          <w:tcPr>
            <w:tcW w:w="9460" w:type="dxa"/>
            <w:vAlign w:val="bottom"/>
          </w:tcPr>
          <w:p>
            <w:pPr>
              <w:ind w:left="680"/>
              <w:spacing w:after="0"/>
              <w:rPr>
                <w:sz w:val="20"/>
                <w:szCs w:val="20"/>
                <w:color w:val="auto"/>
              </w:rPr>
            </w:pPr>
            <w:r>
              <w:rPr>
                <w:rFonts w:ascii="Arial" w:cs="Arial" w:eastAsia="Arial" w:hAnsi="Arial"/>
                <w:sz w:val="18"/>
                <w:szCs w:val="18"/>
                <w:color w:val="auto"/>
                <w:w w:val="94"/>
              </w:rPr>
              <w:t>Powers of Attorney of officers and directors of Wynn Resorts, Limited (included on signature page of this registration</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580"/>
        </w:trPr>
        <w:tc>
          <w:tcPr>
            <w:tcW w:w="1740" w:type="dxa"/>
            <w:vAlign w:val="bottom"/>
          </w:tcPr>
          <w:p>
            <w:pPr>
              <w:spacing w:after="0"/>
              <w:rPr>
                <w:sz w:val="20"/>
                <w:szCs w:val="20"/>
                <w:color w:val="auto"/>
              </w:rPr>
            </w:pPr>
            <w:r>
              <w:rPr>
                <w:rFonts w:ascii="Arial" w:cs="Arial" w:eastAsia="Arial" w:hAnsi="Arial"/>
                <w:sz w:val="18"/>
                <w:szCs w:val="18"/>
                <w:color w:val="auto"/>
              </w:rPr>
              <w:t>*25</w:t>
            </w:r>
          </w:p>
        </w:tc>
        <w:tc>
          <w:tcPr>
            <w:tcW w:w="9460" w:type="dxa"/>
            <w:vAlign w:val="bottom"/>
          </w:tcPr>
          <w:p>
            <w:pPr>
              <w:ind w:left="680"/>
              <w:spacing w:after="0"/>
              <w:rPr>
                <w:sz w:val="20"/>
                <w:szCs w:val="20"/>
                <w:color w:val="auto"/>
              </w:rPr>
            </w:pPr>
            <w:r>
              <w:rPr>
                <w:rFonts w:ascii="Arial" w:cs="Arial" w:eastAsia="Arial" w:hAnsi="Arial"/>
                <w:sz w:val="18"/>
                <w:szCs w:val="18"/>
                <w:color w:val="auto"/>
                <w:w w:val="99"/>
              </w:rPr>
              <w:t>Statement of Eligibility on Form T-1 under the Trust Indenture Act of 1939, as amended, of U.S. Bank National</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9460" w:type="dxa"/>
            <w:vAlign w:val="bottom"/>
          </w:tcPr>
          <w:p>
            <w:pPr>
              <w:ind w:left="680"/>
              <w:spacing w:after="0"/>
              <w:rPr>
                <w:sz w:val="20"/>
                <w:szCs w:val="20"/>
                <w:color w:val="auto"/>
              </w:rPr>
            </w:pPr>
            <w:r>
              <w:rPr>
                <w:rFonts w:ascii="Arial" w:cs="Arial" w:eastAsia="Arial" w:hAnsi="Arial"/>
                <w:sz w:val="18"/>
                <w:szCs w:val="18"/>
                <w:color w:val="auto"/>
              </w:rPr>
              <w:t>Association, trustee under the Indenture, with respect to the Debt Securities</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65" w:hanging="465"/>
        <w:spacing w:after="0"/>
        <w:tabs>
          <w:tab w:leader="none" w:pos="4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85"/>
          </w:cols>
          <w:pgMar w:left="275" w:top="796"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84898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November 8, 2016</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Wynn Resorts, Limited</w:t>
      </w:r>
    </w:p>
    <w:p>
      <w:pPr>
        <w:ind w:left="40"/>
        <w:spacing w:after="0" w:line="238" w:lineRule="auto"/>
        <w:rPr>
          <w:sz w:val="20"/>
          <w:szCs w:val="20"/>
          <w:color w:val="auto"/>
        </w:rPr>
      </w:pPr>
      <w:r>
        <w:rPr>
          <w:rFonts w:ascii="Arial" w:cs="Arial" w:eastAsia="Arial" w:hAnsi="Arial"/>
          <w:sz w:val="22"/>
          <w:szCs w:val="22"/>
          <w:color w:val="auto"/>
        </w:rPr>
        <w:t>3131 Las Vegas Boulevard South</w:t>
      </w:r>
    </w:p>
    <w:p>
      <w:pPr>
        <w:ind w:left="40"/>
        <w:spacing w:after="0"/>
        <w:rPr>
          <w:sz w:val="20"/>
          <w:szCs w:val="20"/>
          <w:color w:val="auto"/>
        </w:rPr>
      </w:pPr>
      <w:r>
        <w:rPr>
          <w:rFonts w:ascii="Arial" w:cs="Arial" w:eastAsia="Arial" w:hAnsi="Arial"/>
          <w:sz w:val="22"/>
          <w:szCs w:val="22"/>
          <w:color w:val="auto"/>
        </w:rPr>
        <w:t>Las Vegas, Nevada 89109</w:t>
      </w:r>
    </w:p>
    <w:p>
      <w:pPr>
        <w:spacing w:after="0" w:line="2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Wynn Resorts, Limited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Registration Statement on Form S-3</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We have acted as counsel to Wynn Resorts, Limited, a Nevada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preparation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and filing with the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of a Registration Statement on Form S-3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relating to the registration under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Act and the proposed issuance and sale from time to time pursuant to Rule 415 under the Securities Act, together 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separately and in one or more series (if applicable) of:</w:t>
      </w:r>
    </w:p>
    <w:p>
      <w:pPr>
        <w:spacing w:after="0" w:line="242" w:lineRule="exact"/>
        <w:rPr>
          <w:sz w:val="20"/>
          <w:szCs w:val="20"/>
          <w:color w:val="auto"/>
        </w:rPr>
      </w:pPr>
    </w:p>
    <w:p>
      <w:pPr>
        <w:ind w:left="1480" w:hanging="8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shares of the Company’s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1520" w:hanging="864"/>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22"/>
          <w:szCs w:val="22"/>
          <w:color w:val="auto"/>
        </w:rPr>
        <w:t>shares of the Company’s preferred stock, par value $0.01 per share (the “</w:t>
      </w:r>
      <w:r>
        <w:rPr>
          <w:rFonts w:ascii="Arial" w:cs="Arial" w:eastAsia="Arial" w:hAnsi="Arial"/>
          <w:sz w:val="22"/>
          <w:szCs w:val="22"/>
          <w:u w:val="single" w:color="auto"/>
          <w:color w:val="auto"/>
        </w:rPr>
        <w:t>Preferred Stock</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1580" w:hanging="924"/>
        <w:spacing w:after="0"/>
        <w:tabs>
          <w:tab w:leader="none" w:pos="1580" w:val="left"/>
        </w:tabs>
        <w:numPr>
          <w:ilvl w:val="0"/>
          <w:numId w:val="18"/>
        </w:numPr>
        <w:rPr>
          <w:rFonts w:ascii="Arial" w:cs="Arial" w:eastAsia="Arial" w:hAnsi="Arial"/>
          <w:sz w:val="16"/>
          <w:szCs w:val="16"/>
          <w:color w:val="auto"/>
        </w:rPr>
      </w:pPr>
      <w:r>
        <w:rPr>
          <w:rFonts w:ascii="Arial" w:cs="Arial" w:eastAsia="Arial" w:hAnsi="Arial"/>
          <w:sz w:val="19"/>
          <w:szCs w:val="19"/>
          <w:color w:val="auto"/>
        </w:rPr>
        <w:t>depositary shares each representing a fraction of a share of a particular series of Preferred Stock (the “</w:t>
      </w:r>
      <w:r>
        <w:rPr>
          <w:rFonts w:ascii="Arial" w:cs="Arial" w:eastAsia="Arial" w:hAnsi="Arial"/>
          <w:sz w:val="19"/>
          <w:szCs w:val="19"/>
          <w:u w:val="single" w:color="auto"/>
          <w:color w:val="auto"/>
        </w:rPr>
        <w:t>Depositary</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u w:val="single" w:color="auto"/>
          <w:color w:val="auto"/>
        </w:rPr>
        <w:t>Shares</w:t>
      </w:r>
      <w:r>
        <w:rPr>
          <w:rFonts w:ascii="Arial" w:cs="Arial" w:eastAsia="Arial" w:hAnsi="Arial"/>
          <w:sz w:val="22"/>
          <w:szCs w:val="22"/>
          <w:color w:val="auto"/>
        </w:rPr>
        <w:t>”); and</w:t>
      </w:r>
    </w:p>
    <w:p>
      <w:pPr>
        <w:spacing w:after="0" w:line="255" w:lineRule="exact"/>
        <w:rPr>
          <w:rFonts w:ascii="Arial" w:cs="Arial" w:eastAsia="Arial" w:hAnsi="Arial"/>
          <w:sz w:val="16"/>
          <w:szCs w:val="16"/>
          <w:color w:val="auto"/>
        </w:rPr>
      </w:pPr>
    </w:p>
    <w:p>
      <w:pPr>
        <w:ind w:left="1560" w:hanging="904"/>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Company’s unsecured debt securities (the “</w:t>
      </w:r>
      <w:r>
        <w:rPr>
          <w:rFonts w:ascii="Arial" w:cs="Arial" w:eastAsia="Arial" w:hAnsi="Arial"/>
          <w:sz w:val="22"/>
          <w:szCs w:val="22"/>
          <w:u w:val="single" w:color="auto"/>
          <w:color w:val="auto"/>
        </w:rPr>
        <w:t>Debt Securities</w:t>
      </w:r>
      <w:r>
        <w:rPr>
          <w:rFonts w:ascii="Arial" w:cs="Arial" w:eastAsia="Arial" w:hAnsi="Arial"/>
          <w:sz w:val="22"/>
          <w:szCs w:val="22"/>
          <w:color w:val="auto"/>
        </w:rPr>
        <w:t>”).</w:t>
      </w:r>
    </w:p>
    <w:p>
      <w:pPr>
        <w:spacing w:after="0" w:line="274"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The Common Stock, Preferred Stock, Depositary Shares and Debt Securities are collectively referred to herein as the “</w:t>
      </w:r>
      <w:r>
        <w:rPr>
          <w:rFonts w:ascii="Arial" w:cs="Arial" w:eastAsia="Arial" w:hAnsi="Arial"/>
          <w:sz w:val="22"/>
          <w:szCs w:val="22"/>
          <w:u w:val="single" w:color="auto"/>
          <w:color w:val="auto"/>
        </w:rPr>
        <w:t>Securities</w:t>
      </w:r>
      <w:r>
        <w:rPr>
          <w:rFonts w:ascii="Arial" w:cs="Arial" w:eastAsia="Arial" w:hAnsi="Arial"/>
          <w:sz w:val="22"/>
          <w:szCs w:val="22"/>
          <w:color w:val="auto"/>
        </w:rPr>
        <w:t>.” The Debt Securities are to be issued under an indenture dated as of March 29, 2004, between the Company and U.S. Bank National Association (the “</w:t>
      </w:r>
      <w:r>
        <w:rPr>
          <w:rFonts w:ascii="Arial" w:cs="Arial" w:eastAsia="Arial" w:hAnsi="Arial"/>
          <w:sz w:val="22"/>
          <w:szCs w:val="22"/>
          <w:u w:val="single" w:color="auto"/>
          <w:color w:val="auto"/>
        </w:rPr>
        <w:t>Trust Company</w:t>
      </w:r>
      <w:r>
        <w:rPr>
          <w:rFonts w:ascii="Arial" w:cs="Arial" w:eastAsia="Arial" w:hAnsi="Arial"/>
          <w:sz w:val="22"/>
          <w:szCs w:val="22"/>
          <w:color w:val="auto"/>
        </w:rPr>
        <w:t>”), as indenture trustee (the “</w:t>
      </w:r>
      <w:r>
        <w:rPr>
          <w:rFonts w:ascii="Arial" w:cs="Arial" w:eastAsia="Arial" w:hAnsi="Arial"/>
          <w:sz w:val="22"/>
          <w:szCs w:val="22"/>
          <w:u w:val="single" w:color="auto"/>
          <w:color w:val="auto"/>
        </w:rPr>
        <w:t>Base Indenture</w:t>
      </w:r>
      <w:r>
        <w:rPr>
          <w:rFonts w:ascii="Arial" w:cs="Arial" w:eastAsia="Arial" w:hAnsi="Arial"/>
          <w:sz w:val="22"/>
          <w:szCs w:val="22"/>
          <w:color w:val="auto"/>
        </w:rPr>
        <w:t>”).</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In arriving at the opinions expressed below, we have examined originals, or copies certified or otherwise identified to our satisfaction as being true and complete copies of the originals, of the Base Indenture, specimen Common Stock certificate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ectPr>
          <w:pgSz w:w="11900" w:h="16838" w:orient="portrait"/>
          <w:cols w:equalWidth="0" w:num="1">
            <w:col w:w="11420"/>
          </w:cols>
          <w:pgMar w:left="240" w:top="580" w:right="239" w:bottom="1440" w:gutter="0" w:footer="0" w:header="0"/>
        </w:sectPr>
      </w:pPr>
    </w:p>
    <w:bookmarkStart w:id="15" w:name="page16"/>
    <w:bookmarkEnd w:id="15"/>
    <w:p>
      <w:pPr>
        <w:ind w:right="160"/>
        <w:spacing w:after="0" w:line="263" w:lineRule="auto"/>
        <w:rPr>
          <w:sz w:val="20"/>
          <w:szCs w:val="20"/>
          <w:color w:val="auto"/>
        </w:rPr>
      </w:pPr>
      <w:r>
        <w:rPr>
          <w:rFonts w:ascii="Arial" w:cs="Arial" w:eastAsia="Arial" w:hAnsi="Arial"/>
          <w:sz w:val="22"/>
          <w:szCs w:val="22"/>
          <w:color w:val="auto"/>
        </w:rPr>
        <w:t>We are not admitted or qualified to practice law in the State of Nevada. Therefore, we have relied upon the opinion of Brownstein Hyatt Farber Schreck, LLP with respect to matters governed by the laws of the State of Nevada.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have assumed without independent investigation that:</w:t>
      </w:r>
    </w:p>
    <w:p>
      <w:pPr>
        <w:spacing w:after="0" w:line="260" w:lineRule="exact"/>
        <w:rPr>
          <w:sz w:val="20"/>
          <w:szCs w:val="20"/>
          <w:color w:val="auto"/>
        </w:rPr>
      </w:pPr>
    </w:p>
    <w:p>
      <w:pPr>
        <w:ind w:right="180" w:firstLine="656"/>
        <w:spacing w:after="0" w:line="253" w:lineRule="auto"/>
        <w:tabs>
          <w:tab w:leader="none" w:pos="1068" w:val="left"/>
        </w:tabs>
        <w:numPr>
          <w:ilvl w:val="0"/>
          <w:numId w:val="19"/>
        </w:numPr>
        <w:rPr>
          <w:rFonts w:ascii="Arial" w:cs="Arial" w:eastAsia="Arial" w:hAnsi="Arial"/>
          <w:sz w:val="22"/>
          <w:szCs w:val="22"/>
          <w:color w:val="auto"/>
        </w:rPr>
      </w:pPr>
      <w:r>
        <w:rPr>
          <w:rFonts w:ascii="Arial" w:cs="Arial" w:eastAsia="Arial" w:hAnsi="Arial"/>
          <w:sz w:val="22"/>
          <w:szCs w:val="22"/>
          <w:color w:val="auto"/>
        </w:rPr>
        <w:t>at the time any Securities are sold pursuant to the Registration Statement (the “</w:t>
      </w:r>
      <w:r>
        <w:rPr>
          <w:rFonts w:ascii="Arial" w:cs="Arial" w:eastAsia="Arial" w:hAnsi="Arial"/>
          <w:sz w:val="22"/>
          <w:szCs w:val="22"/>
          <w:u w:val="single" w:color="auto"/>
          <w:color w:val="auto"/>
        </w:rPr>
        <w:t>Relevant Time</w:t>
      </w:r>
      <w:r>
        <w:rPr>
          <w:rFonts w:ascii="Arial" w:cs="Arial" w:eastAsia="Arial" w:hAnsi="Arial"/>
          <w:sz w:val="22"/>
          <w:szCs w:val="22"/>
          <w:color w:val="auto"/>
        </w:rPr>
        <w:t>”), the Registration Statement and any supplements and amendments thereto (including post-effective amendments) will be effective and will comply with all applicable laws;</w:t>
      </w:r>
    </w:p>
    <w:p>
      <w:pPr>
        <w:spacing w:after="0" w:line="226" w:lineRule="exact"/>
        <w:rPr>
          <w:rFonts w:ascii="Arial" w:cs="Arial" w:eastAsia="Arial" w:hAnsi="Arial"/>
          <w:sz w:val="22"/>
          <w:szCs w:val="22"/>
          <w:color w:val="auto"/>
        </w:rPr>
      </w:pPr>
    </w:p>
    <w:p>
      <w:pPr>
        <w:ind w:right="120" w:firstLine="656"/>
        <w:spacing w:after="0" w:line="263" w:lineRule="auto"/>
        <w:tabs>
          <w:tab w:leader="none" w:pos="11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at the Relevant Time, a prospectus supplement will have been prepared and filed with the Commission describing the Securities offered thereby and all related documentation and will comply with all applicable laws;</w:t>
      </w:r>
    </w:p>
    <w:p>
      <w:pPr>
        <w:spacing w:after="0" w:line="215" w:lineRule="exact"/>
        <w:rPr>
          <w:rFonts w:ascii="Arial" w:cs="Arial" w:eastAsia="Arial" w:hAnsi="Arial"/>
          <w:sz w:val="22"/>
          <w:szCs w:val="22"/>
          <w:color w:val="auto"/>
        </w:rPr>
      </w:pPr>
    </w:p>
    <w:p>
      <w:pPr>
        <w:ind w:left="1260" w:hanging="604"/>
        <w:spacing w:after="0"/>
        <w:tabs>
          <w:tab w:leader="none" w:pos="12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Securities will be issued and sold in the manner stated in the Registration Statement and the applicable prospectus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supplement;</w:t>
      </w:r>
    </w:p>
    <w:p>
      <w:pPr>
        <w:spacing w:after="0" w:line="242" w:lineRule="exact"/>
        <w:rPr>
          <w:rFonts w:ascii="Arial" w:cs="Arial" w:eastAsia="Arial" w:hAnsi="Arial"/>
          <w:sz w:val="19"/>
          <w:szCs w:val="19"/>
          <w:color w:val="auto"/>
        </w:rPr>
      </w:pPr>
    </w:p>
    <w:p>
      <w:pPr>
        <w:ind w:firstLine="656"/>
        <w:spacing w:after="0" w:line="247" w:lineRule="auto"/>
        <w:tabs>
          <w:tab w:leader="none" w:pos="1176" w:val="left"/>
        </w:tabs>
        <w:numPr>
          <w:ilvl w:val="0"/>
          <w:numId w:val="19"/>
        </w:numPr>
        <w:rPr>
          <w:rFonts w:ascii="Arial" w:cs="Arial" w:eastAsia="Arial" w:hAnsi="Arial"/>
          <w:sz w:val="22"/>
          <w:szCs w:val="22"/>
          <w:color w:val="auto"/>
        </w:rPr>
      </w:pPr>
      <w:r>
        <w:rPr>
          <w:rFonts w:ascii="Arial" w:cs="Arial" w:eastAsia="Arial" w:hAnsi="Arial"/>
          <w:sz w:val="22"/>
          <w:szCs w:val="22"/>
          <w:color w:val="auto"/>
        </w:rPr>
        <w:t>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w:t>
      </w:r>
      <w:r>
        <w:rPr>
          <w:rFonts w:ascii="Arial" w:cs="Arial" w:eastAsia="Arial" w:hAnsi="Arial"/>
          <w:sz w:val="22"/>
          <w:szCs w:val="22"/>
          <w:u w:val="single" w:color="auto"/>
          <w:color w:val="auto"/>
        </w:rPr>
        <w:t>Convertible Security</w:t>
      </w:r>
      <w:r>
        <w:rPr>
          <w:rFonts w:ascii="Arial" w:cs="Arial" w:eastAsia="Arial" w:hAnsi="Arial"/>
          <w:sz w:val="22"/>
          <w:szCs w:val="22"/>
          <w:color w:val="auto"/>
        </w:rPr>
        <w:t>”), and (ii) the execution (in the case of certificated Securities), delivery and performance of the Securities and any related documentation referred to in paragraphs 1 and 2 below) shall have been duly completed and shall remain in full force and effect;</w:t>
      </w:r>
    </w:p>
    <w:p>
      <w:pPr>
        <w:spacing w:after="0" w:line="234" w:lineRule="exact"/>
        <w:rPr>
          <w:rFonts w:ascii="Arial" w:cs="Arial" w:eastAsia="Arial" w:hAnsi="Arial"/>
          <w:sz w:val="22"/>
          <w:szCs w:val="22"/>
          <w:color w:val="auto"/>
        </w:rPr>
      </w:pPr>
    </w:p>
    <w:p>
      <w:pPr>
        <w:ind w:right="220" w:firstLine="656"/>
        <w:spacing w:after="0" w:line="250" w:lineRule="auto"/>
        <w:tabs>
          <w:tab w:leader="none" w:pos="1116" w:val="left"/>
        </w:tabs>
        <w:numPr>
          <w:ilvl w:val="0"/>
          <w:numId w:val="19"/>
        </w:numPr>
        <w:rPr>
          <w:rFonts w:ascii="Arial" w:cs="Arial" w:eastAsia="Arial" w:hAnsi="Arial"/>
          <w:sz w:val="22"/>
          <w:szCs w:val="22"/>
          <w:color w:val="auto"/>
        </w:rPr>
      </w:pPr>
      <w:r>
        <w:rPr>
          <w:rFonts w:ascii="Arial" w:cs="Arial" w:eastAsia="Arial" w:hAnsi="Arial"/>
          <w:sz w:val="22"/>
          <w:szCs w:val="22"/>
          <w:color w:val="auto"/>
        </w:rPr>
        <w:t>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articles of incorporation and other relevant documents; and</w:t>
      </w:r>
    </w:p>
    <w:p>
      <w:pPr>
        <w:spacing w:after="0" w:line="228" w:lineRule="exact"/>
        <w:rPr>
          <w:rFonts w:ascii="Arial" w:cs="Arial" w:eastAsia="Arial" w:hAnsi="Arial"/>
          <w:sz w:val="22"/>
          <w:szCs w:val="22"/>
          <w:color w:val="auto"/>
        </w:rPr>
      </w:pPr>
    </w:p>
    <w:p>
      <w:pPr>
        <w:ind w:right="360" w:firstLine="656"/>
        <w:spacing w:after="0" w:line="260" w:lineRule="auto"/>
        <w:tabs>
          <w:tab w:leader="none" w:pos="1176" w:val="left"/>
        </w:tabs>
        <w:numPr>
          <w:ilvl w:val="0"/>
          <w:numId w:val="19"/>
        </w:numPr>
        <w:rPr>
          <w:rFonts w:ascii="Arial" w:cs="Arial" w:eastAsia="Arial" w:hAnsi="Arial"/>
          <w:sz w:val="21"/>
          <w:szCs w:val="21"/>
          <w:color w:val="auto"/>
        </w:rPr>
      </w:pPr>
      <w:r>
        <w:rPr>
          <w:rFonts w:ascii="Arial" w:cs="Arial" w:eastAsia="Arial" w:hAnsi="Arial"/>
          <w:sz w:val="21"/>
          <w:szCs w:val="21"/>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2" w:lineRule="exact"/>
        <w:rPr>
          <w:rFonts w:ascii="Arial" w:cs="Arial" w:eastAsia="Arial" w:hAnsi="Arial"/>
          <w:sz w:val="21"/>
          <w:szCs w:val="21"/>
          <w:color w:val="auto"/>
        </w:rPr>
      </w:pPr>
    </w:p>
    <w:p>
      <w:pPr>
        <w:ind w:right="180"/>
        <w:spacing w:after="0" w:line="246" w:lineRule="auto"/>
        <w:rPr>
          <w:rFonts w:ascii="Arial" w:cs="Arial" w:eastAsia="Arial" w:hAnsi="Arial"/>
          <w:sz w:val="21"/>
          <w:szCs w:val="21"/>
          <w:color w:val="auto"/>
        </w:rPr>
      </w:pPr>
      <w:r>
        <w:rPr>
          <w:rFonts w:ascii="Arial" w:cs="Arial" w:eastAsia="Arial" w:hAnsi="Arial"/>
          <w:sz w:val="22"/>
          <w:szCs w:val="22"/>
          <w:color w:val="auto"/>
        </w:rPr>
        <w:t>Based on the foregoing and in reliance thereon, and subject to the assumptions, exceptions, qualifications and limitations set forth herein, we are of the opinion that:</w:t>
      </w:r>
    </w:p>
    <w:p>
      <w:pPr>
        <w:spacing w:after="0" w:line="233"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Depositary Shares, when:</w:t>
      </w:r>
    </w:p>
    <w:p>
      <w:pPr>
        <w:spacing w:after="0" w:line="260" w:lineRule="exact"/>
        <w:rPr>
          <w:rFonts w:ascii="Arial" w:cs="Arial" w:eastAsia="Arial" w:hAnsi="Arial"/>
          <w:sz w:val="22"/>
          <w:szCs w:val="22"/>
          <w:color w:val="auto"/>
        </w:rPr>
      </w:pPr>
    </w:p>
    <w:p>
      <w:pPr>
        <w:ind w:left="1960" w:right="240" w:hanging="655"/>
        <w:spacing w:after="0" w:line="263" w:lineRule="auto"/>
        <w:tabs>
          <w:tab w:leader="none" w:pos="19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a deposit agreement relating to such Depositary Shares (the “</w:t>
      </w:r>
      <w:r>
        <w:rPr>
          <w:rFonts w:ascii="Arial" w:cs="Arial" w:eastAsia="Arial" w:hAnsi="Arial"/>
          <w:sz w:val="22"/>
          <w:szCs w:val="22"/>
          <w:u w:val="single" w:color="auto"/>
          <w:color w:val="auto"/>
        </w:rPr>
        <w:t>Deposit Agreement</w:t>
      </w:r>
      <w:r>
        <w:rPr>
          <w:rFonts w:ascii="Arial" w:cs="Arial" w:eastAsia="Arial" w:hAnsi="Arial"/>
          <w:sz w:val="22"/>
          <w:szCs w:val="22"/>
          <w:color w:val="auto"/>
        </w:rPr>
        <w:t>”) has been duly executed and delivered by the Company and the depositary appointed by the Company,</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terms of the Depositary Shares have been established in accordance with the Deposit Agreement, and</w:t>
      </w:r>
    </w:p>
    <w:p>
      <w:pPr>
        <w:spacing w:after="0" w:line="294" w:lineRule="exact"/>
        <w:rPr>
          <w:rFonts w:ascii="Arial" w:cs="Arial" w:eastAsia="Arial" w:hAnsi="Arial"/>
          <w:sz w:val="19"/>
          <w:szCs w:val="19"/>
          <w:color w:val="auto"/>
        </w:rPr>
      </w:pPr>
    </w:p>
    <w:p>
      <w:pPr>
        <w:ind w:left="1960" w:hanging="655"/>
        <w:spacing w:after="0" w:line="263" w:lineRule="auto"/>
        <w:tabs>
          <w:tab w:leader="none" w:pos="19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depositary receipts representing the Depositary Shares have been duly executed and countersigned (in the case of certificated Depositary Shares), registered and</w:t>
      </w:r>
    </w:p>
    <w:p>
      <w:pPr>
        <w:sectPr>
          <w:pgSz w:w="11900" w:h="16838" w:orient="portrait"/>
          <w:cols w:equalWidth="0" w:num="1">
            <w:col w:w="11400"/>
          </w:cols>
          <w:pgMar w:left="240" w:top="591" w:right="259" w:bottom="1440" w:gutter="0" w:footer="0" w:header="0"/>
        </w:sectPr>
      </w:pPr>
    </w:p>
    <w:bookmarkStart w:id="16" w:name="page17"/>
    <w:bookmarkEnd w:id="16"/>
    <w:p>
      <w:pPr>
        <w:ind w:left="1960" w:right="820"/>
        <w:spacing w:after="0" w:line="263" w:lineRule="auto"/>
        <w:rPr>
          <w:sz w:val="20"/>
          <w:szCs w:val="20"/>
          <w:color w:val="auto"/>
        </w:rPr>
      </w:pPr>
      <w:r>
        <w:rPr>
          <w:rFonts w:ascii="Arial" w:cs="Arial" w:eastAsia="Arial" w:hAnsi="Arial"/>
          <w:sz w:val="21"/>
          <w:szCs w:val="21"/>
          <w:color w:val="auto"/>
        </w:rPr>
        <w:t>delivered in accordance with the related Deposit Agreement and the applicable definitive purchase, underwriting or similar agreement for the consideration provided therein,</w:t>
      </w:r>
    </w:p>
    <w:p>
      <w:pPr>
        <w:spacing w:after="0" w:line="2" w:lineRule="exact"/>
        <w:rPr>
          <w:sz w:val="20"/>
          <w:szCs w:val="20"/>
          <w:color w:val="auto"/>
        </w:rPr>
      </w:pPr>
    </w:p>
    <w:p>
      <w:pPr>
        <w:ind w:left="1300" w:right="820"/>
        <w:spacing w:after="0" w:line="246" w:lineRule="auto"/>
        <w:rPr>
          <w:sz w:val="20"/>
          <w:szCs w:val="20"/>
          <w:color w:val="auto"/>
        </w:rPr>
      </w:pPr>
      <w:r>
        <w:rPr>
          <w:rFonts w:ascii="Arial" w:cs="Arial" w:eastAsia="Arial" w:hAnsi="Arial"/>
          <w:sz w:val="22"/>
          <w:szCs w:val="22"/>
          <w:color w:val="auto"/>
        </w:rPr>
        <w:t>the depositary receipts evidencing the Depositary Shares will be legal, valid and binding obligations of the Company, enforceable against the Company in accordance with their terms.</w:t>
      </w:r>
    </w:p>
    <w:p>
      <w:pPr>
        <w:spacing w:after="0" w:line="233"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 respect to any Debt Securities, when:</w:t>
      </w:r>
    </w:p>
    <w:p>
      <w:pPr>
        <w:spacing w:after="0" w:line="260" w:lineRule="exact"/>
        <w:rPr>
          <w:rFonts w:ascii="Arial" w:cs="Arial" w:eastAsia="Arial" w:hAnsi="Arial"/>
          <w:sz w:val="22"/>
          <w:szCs w:val="22"/>
          <w:color w:val="auto"/>
        </w:rPr>
      </w:pPr>
    </w:p>
    <w:p>
      <w:pPr>
        <w:ind w:left="1960" w:right="240" w:hanging="655"/>
        <w:spacing w:after="0" w:line="287" w:lineRule="auto"/>
        <w:tabs>
          <w:tab w:leader="none" w:pos="1960"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terms and conditions of such Debt Securities have been duly established by supplemental indenture or officers’ certificate in accordance with the terms and conditions of the Base Indenture,</w:t>
      </w:r>
    </w:p>
    <w:p>
      <w:pPr>
        <w:spacing w:after="0" w:line="192" w:lineRule="exact"/>
        <w:rPr>
          <w:rFonts w:ascii="Arial" w:cs="Arial" w:eastAsia="Arial" w:hAnsi="Arial"/>
          <w:sz w:val="21"/>
          <w:szCs w:val="21"/>
          <w:color w:val="auto"/>
        </w:rPr>
      </w:pPr>
    </w:p>
    <w:p>
      <w:pPr>
        <w:ind w:left="1960" w:right="600" w:hanging="655"/>
        <w:spacing w:after="0" w:line="263" w:lineRule="auto"/>
        <w:tabs>
          <w:tab w:leader="none" w:pos="19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any such supplemental indenture has been duly executed and delivered by the Company and the Trust Company (together with the Base Indenture, the “</w:t>
      </w:r>
      <w:r>
        <w:rPr>
          <w:rFonts w:ascii="Arial" w:cs="Arial" w:eastAsia="Arial" w:hAnsi="Arial"/>
          <w:sz w:val="22"/>
          <w:szCs w:val="22"/>
          <w:u w:val="single" w:color="auto"/>
          <w:color w:val="auto"/>
        </w:rPr>
        <w:t>Indenture</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ind w:left="1960" w:right="840" w:hanging="655"/>
        <w:spacing w:after="0" w:line="312" w:lineRule="auto"/>
        <w:tabs>
          <w:tab w:leader="none" w:pos="19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34" w:lineRule="exact"/>
        <w:rPr>
          <w:sz w:val="20"/>
          <w:szCs w:val="20"/>
          <w:color w:val="auto"/>
        </w:rPr>
      </w:pPr>
    </w:p>
    <w:p>
      <w:pPr>
        <w:ind w:left="1300" w:right="80"/>
        <w:spacing w:after="0" w:line="263" w:lineRule="auto"/>
        <w:rPr>
          <w:sz w:val="20"/>
          <w:szCs w:val="20"/>
          <w:color w:val="auto"/>
        </w:rPr>
      </w:pPr>
      <w:r>
        <w:rPr>
          <w:rFonts w:ascii="Arial" w:cs="Arial" w:eastAsia="Arial" w:hAnsi="Arial"/>
          <w:sz w:val="22"/>
          <w:szCs w:val="22"/>
          <w:color w:val="auto"/>
        </w:rPr>
        <w:t>such Debt Securities will be legal, valid and binding obligations of the Company, enforceable against the Company in accordance with their respective terms.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opinions expressed above are subject to the following exceptions, qualifications, limitations and assumptions:</w:t>
      </w:r>
    </w:p>
    <w:p>
      <w:pPr>
        <w:spacing w:after="0" w:line="260" w:lineRule="exact"/>
        <w:rPr>
          <w:sz w:val="20"/>
          <w:szCs w:val="20"/>
          <w:color w:val="auto"/>
        </w:rPr>
      </w:pPr>
    </w:p>
    <w:p>
      <w:pPr>
        <w:ind w:right="240" w:firstLine="656"/>
        <w:spacing w:after="0" w:line="250" w:lineRule="auto"/>
        <w:tabs>
          <w:tab w:leader="none" w:pos="1125" w:val="left"/>
        </w:tabs>
        <w:numPr>
          <w:ilvl w:val="0"/>
          <w:numId w:val="22"/>
        </w:numPr>
        <w:rPr>
          <w:rFonts w:ascii="Arial" w:cs="Arial" w:eastAsia="Arial" w:hAnsi="Arial"/>
          <w:sz w:val="22"/>
          <w:szCs w:val="22"/>
          <w:color w:val="auto"/>
        </w:rPr>
      </w:pPr>
      <w:r>
        <w:rPr>
          <w:rFonts w:ascii="Arial" w:cs="Arial" w:eastAsia="Arial" w:hAnsi="Arial"/>
          <w:sz w:val="22"/>
          <w:szCs w:val="22"/>
          <w:color w:val="auto"/>
        </w:rPr>
        <w:t>We render no opinion herein as to matters involving the laws of any jurisdiction other than the State of New York. This opinion is limited to the effect of the current state of the laws of the State of New York and the facts as they currently exist. We assume no obligation to revise or supplement this opinion in the event of future changes in such laws or the interpretations thereof or such facts.</w:t>
      </w:r>
    </w:p>
    <w:p>
      <w:pPr>
        <w:spacing w:after="0" w:line="228" w:lineRule="exact"/>
        <w:rPr>
          <w:rFonts w:ascii="Arial" w:cs="Arial" w:eastAsia="Arial" w:hAnsi="Arial"/>
          <w:sz w:val="22"/>
          <w:szCs w:val="22"/>
          <w:color w:val="auto"/>
        </w:rPr>
      </w:pPr>
    </w:p>
    <w:p>
      <w:pPr>
        <w:ind w:right="140" w:firstLine="656"/>
        <w:spacing w:after="0" w:line="297" w:lineRule="auto"/>
        <w:tabs>
          <w:tab w:leader="none" w:pos="1059"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7" w:lineRule="exact"/>
        <w:rPr>
          <w:rFonts w:ascii="Arial" w:cs="Arial" w:eastAsia="Arial" w:hAnsi="Arial"/>
          <w:sz w:val="19"/>
          <w:szCs w:val="19"/>
          <w:color w:val="auto"/>
        </w:rPr>
      </w:pPr>
    </w:p>
    <w:p>
      <w:pPr>
        <w:ind w:firstLine="656"/>
        <w:spacing w:after="0" w:line="248" w:lineRule="auto"/>
        <w:tabs>
          <w:tab w:leader="none" w:pos="1059" w:val="left"/>
        </w:tabs>
        <w:numPr>
          <w:ilvl w:val="0"/>
          <w:numId w:val="22"/>
        </w:numPr>
        <w:rPr>
          <w:rFonts w:ascii="Arial" w:cs="Arial" w:eastAsia="Arial" w:hAnsi="Arial"/>
          <w:sz w:val="22"/>
          <w:szCs w:val="22"/>
          <w:color w:val="auto"/>
        </w:rPr>
      </w:pPr>
      <w:r>
        <w:rPr>
          <w:rFonts w:ascii="Arial" w:cs="Arial" w:eastAsia="Arial" w:hAnsi="Arial"/>
          <w:sz w:val="22"/>
          <w:szCs w:val="22"/>
          <w:color w:val="auto"/>
        </w:rPr>
        <w:t>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(iii) any provision to the effect that every right or remedy is cumulative and may be exercised in addition to any other right or remedy or that the election of some particular remedy does not preclude recourse to one or more others.</w:t>
      </w:r>
    </w:p>
    <w:p>
      <w:pPr>
        <w:sectPr>
          <w:pgSz w:w="11900" w:h="16838" w:orient="portrait"/>
          <w:cols w:equalWidth="0" w:num="1">
            <w:col w:w="11340"/>
          </w:cols>
          <w:pgMar w:left="240" w:top="591" w:right="319" w:bottom="1440" w:gutter="0" w:footer="0" w:header="0"/>
        </w:sectPr>
      </w:pPr>
    </w:p>
    <w:bookmarkStart w:id="17" w:name="page18"/>
    <w:bookmarkEnd w:id="17"/>
    <w:p>
      <w:pPr>
        <w:jc w:val="both"/>
        <w:ind w:right="220" w:firstLine="656"/>
        <w:spacing w:after="0" w:line="250" w:lineRule="auto"/>
        <w:tabs>
          <w:tab w:leader="none" w:pos="1071"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extent relevant to our opinion in paragraph 1, we have assumed that any securities, currencies or commodities underlying, comprising or issuable upon exercise, conversion or exchange of any Depositary Shares are validly issued, fully paid and non-assessable (in the case of an equity security) or a legal, valid and binding obligation of the issuer thereof, enforceable against such issuer in accordance with its terms.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w:t>
      </w:r>
    </w:p>
    <w:p>
      <w:pPr>
        <w:spacing w:after="0" w:line="1" w:lineRule="exact"/>
        <w:rPr>
          <w:sz w:val="20"/>
          <w:szCs w:val="20"/>
          <w:color w:val="auto"/>
        </w:rPr>
      </w:pPr>
    </w:p>
    <w:p>
      <w:pPr>
        <w:ind w:right="180" w:firstLine="8"/>
        <w:spacing w:after="0" w:line="245" w:lineRule="auto"/>
        <w:tabs>
          <w:tab w:leader="none" w:pos="318" w:val="left"/>
        </w:tabs>
        <w:numPr>
          <w:ilvl w:val="0"/>
          <w:numId w:val="24"/>
        </w:numPr>
        <w:rPr>
          <w:rFonts w:ascii="Arial" w:cs="Arial" w:eastAsia="Arial" w:hAnsi="Arial"/>
          <w:sz w:val="22"/>
          <w:szCs w:val="22"/>
          <w:color w:val="auto"/>
        </w:rPr>
      </w:pPr>
      <w:r>
        <w:rPr>
          <w:rFonts w:ascii="Arial" w:cs="Arial" w:eastAsia="Arial" w:hAnsi="Arial"/>
          <w:sz w:val="22"/>
          <w:szCs w:val="22"/>
          <w:color w:val="auto"/>
        </w:rPr>
        <w:t>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23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 Gibson, Dunn &amp; Crutcher LLP</w:t>
      </w:r>
    </w:p>
    <w:p>
      <w:pPr>
        <w:sectPr>
          <w:pgSz w:w="11900" w:h="16838" w:orient="portrait"/>
          <w:cols w:equalWidth="0" w:num="1">
            <w:col w:w="11380"/>
          </w:cols>
          <w:pgMar w:left="240" w:top="591"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8658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November 8,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We have acted as special Nevada counsel to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filing by the Company of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relating to the registration for offering and sale from time to time by the Company of an indeterminate number of the following securities of the Company: (i) shares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(ii)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and together with the Common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in one or more series, (iii) depositary shares (the “</w:t>
      </w:r>
      <w:r>
        <w:rPr>
          <w:rFonts w:ascii="Arial" w:cs="Arial" w:eastAsia="Arial" w:hAnsi="Arial"/>
          <w:sz w:val="18"/>
          <w:szCs w:val="18"/>
          <w:u w:val="single" w:color="auto"/>
          <w:color w:val="auto"/>
        </w:rPr>
        <w:t>Depositary Shares</w:t>
      </w:r>
      <w:r>
        <w:rPr>
          <w:rFonts w:ascii="Arial" w:cs="Arial" w:eastAsia="Arial" w:hAnsi="Arial"/>
          <w:sz w:val="18"/>
          <w:szCs w:val="18"/>
          <w:color w:val="auto"/>
        </w:rPr>
        <w:t>”) representing fractional interests in shares of Preferred Stock to be issued pursuant to a deposit agreement (each, a “</w:t>
      </w:r>
      <w:r>
        <w:rPr>
          <w:rFonts w:ascii="Arial" w:cs="Arial" w:eastAsia="Arial" w:hAnsi="Arial"/>
          <w:sz w:val="18"/>
          <w:szCs w:val="18"/>
          <w:u w:val="single" w:color="auto"/>
          <w:color w:val="auto"/>
        </w:rPr>
        <w:t>Deposit Agreement</w:t>
      </w:r>
      <w:r>
        <w:rPr>
          <w:rFonts w:ascii="Arial" w:cs="Arial" w:eastAsia="Arial" w:hAnsi="Arial"/>
          <w:sz w:val="18"/>
          <w:szCs w:val="18"/>
          <w:color w:val="auto"/>
        </w:rPr>
        <w:t>”) and (iv) senior debt securities, senior subordinated debt securities, subordinated debt securities and junior subordinated debt securities (collectively,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 together with the Shares, the “</w:t>
      </w:r>
      <w:r>
        <w:rPr>
          <w:rFonts w:ascii="Arial" w:cs="Arial" w:eastAsia="Arial" w:hAnsi="Arial"/>
          <w:sz w:val="18"/>
          <w:szCs w:val="18"/>
          <w:u w:val="single" w:color="auto"/>
          <w:color w:val="auto"/>
        </w:rPr>
        <w:t>Securities</w:t>
      </w:r>
      <w:r>
        <w:rPr>
          <w:rFonts w:ascii="Arial" w:cs="Arial" w:eastAsia="Arial" w:hAnsi="Arial"/>
          <w:sz w:val="18"/>
          <w:szCs w:val="18"/>
          <w:color w:val="auto"/>
        </w:rPr>
        <w:t>”) to be issued pursuant to the Indenture, dated as of March 29, 2004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between the Company and U.S. Bank National Association, as trustee. This opinion letter is being furnished at your request in accordance with the requirements of Item 601(b)(5) of Regulation S-K under the Act.</w:t>
      </w:r>
    </w:p>
    <w:p>
      <w:pPr>
        <w:spacing w:after="0" w:line="212" w:lineRule="exact"/>
        <w:rPr>
          <w:sz w:val="20"/>
          <w:szCs w:val="20"/>
          <w:color w:val="auto"/>
        </w:rPr>
      </w:pPr>
    </w:p>
    <w:p>
      <w:pPr>
        <w:jc w:val="both"/>
        <w:ind w:right="200" w:firstLine="648"/>
        <w:spacing w:after="0" w:line="254"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registration of the Securities, as described in the Registration Statement. For purposes of this opinion letter, and except to the extent set forth in the opinions below, we have assumed all such proceedings have been timely completed or will be timely completed in the manner presently proposed in the Registration Statement.</w:t>
      </w:r>
    </w:p>
    <w:p>
      <w:pPr>
        <w:spacing w:after="0" w:line="20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For purposes of rendering this opinion letter, we have made such legal and factual examinations and inquiries, including an examination of originals or copies certified or otherwise identified to our satisfaction as being true copies of (i) the Registration Statement, including the form of Deposit Agreement and the form of Receipt (as defined therein) filed as exhibits thereto, (ii) the Indenture, (iii) the articles of incorporation and bylaws of the Company (collectively, the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and (iv) such other agreements, instruments, corporate records and other documents as we have deemed necessary or appropriate for the purpose of issuing this opinion letter, and we have obtained from officers and other representatives and agents of the Company and from public officials, and have relied upon, such certificates, representations and assurances as we have deemed necessary or appropriate.</w:t>
      </w:r>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Without limiting the generality of the foregoing, in our examination and in rendering this opinion letter, we have, with your permission, assumed without independent verification, that (i) each document we have reviewed or which is referenced herein has been or will be duly executed and delivered by the parties thereto to the extent due execution and delivery are prerequisites to the effectiveness thereof; (ii) the 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all documents submitted to us as certified, conformed, photostatic, electronic or facsimile copies conform to the original documents; (v) all corporate records made available to us by the Company, and all public records we have reviewed, are accurate and complete; (vi) the Deposit Agreement and any and all Receipts will be executed in substantially the form filed as an exhibit to the Registration Statement or incorporated</w:t>
      </w:r>
    </w:p>
    <w:p>
      <w:pPr>
        <w:sectPr>
          <w:pgSz w:w="11900" w:h="16838" w:orient="portrait"/>
          <w:cols w:equalWidth="0" w:num="1">
            <w:col w:w="11420"/>
          </w:cols>
          <w:pgMar w:left="240" w:top="580" w:right="239" w:bottom="1440" w:gutter="0" w:footer="0" w:header="0"/>
        </w:sectPr>
      </w:pPr>
    </w:p>
    <w:bookmarkStart w:id="19" w:name="page20"/>
    <w:bookmarkEnd w:id="19"/>
    <w:p>
      <w:pPr>
        <w:spacing w:after="0" w:line="251" w:lineRule="auto"/>
        <w:rPr>
          <w:sz w:val="20"/>
          <w:szCs w:val="20"/>
          <w:color w:val="auto"/>
        </w:rPr>
      </w:pPr>
      <w:r>
        <w:rPr>
          <w:rFonts w:ascii="Arial" w:cs="Arial" w:eastAsia="Arial" w:hAnsi="Arial"/>
          <w:sz w:val="18"/>
          <w:szCs w:val="18"/>
          <w:color w:val="auto"/>
        </w:rPr>
        <w:t>by reference therein; (vii) any and all agreements, instruments or other documents relating to the offering, issuance or sale of any Securities, including, without limitation, the Indenture, the Deposit Agreement and any Receipts (collectively, the “</w:t>
      </w:r>
      <w:r>
        <w:rPr>
          <w:rFonts w:ascii="Arial" w:cs="Arial" w:eastAsia="Arial" w:hAnsi="Arial"/>
          <w:sz w:val="18"/>
          <w:szCs w:val="18"/>
          <w:u w:val="single" w:color="auto"/>
          <w:color w:val="auto"/>
        </w:rPr>
        <w:t>Securities Documents</w:t>
      </w:r>
      <w:r>
        <w:rPr>
          <w:rFonts w:ascii="Arial" w:cs="Arial" w:eastAsia="Arial" w:hAnsi="Arial"/>
          <w:sz w:val="18"/>
          <w:szCs w:val="18"/>
          <w:color w:val="auto"/>
        </w:rPr>
        <w:t>”), have been or will be duly authorized, executed and delivered by the Company; (viii) the obligations of each party set forth in the Securities Documents are or will be its valid and binding obligations, enforceable in accordance with their respective terms; (ix) no Securities will be offered, issued or sold in violation or breach of, nor will any such offering, issuance or sale result in a default under, any agreement or instrument that is binding upon the Company or any requirement or restriction imposed by any governmental or regulatory agency, authority or body; (x) the Company has taken or will take all corporate action required in connection with the authorization, offering, issuance and sale of Securities (including, without limitation, any Shares or other securities of the Company underlying any Debt Securities or any Depositary Shares or Receipts), and all Securities will be offered, issued and sold, in compliance with all applicable laws, the Governing Documents and the relevant Securities Documents in effect at all relevant times, and any and all certificates evidencing Shares will be properly signed, registered and delivered, as necessary, in accordance with all applicable laws, the Governing Documents and the relevant Securities Documents (collectively,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(xi) after any issuance of Common Shares, the total number of issued and outstanding shares of Common Stock, together with the total number of shares of Common Stock then reserved for issuance or obligated to be issued by the Company pursuant to any agreement or arrangement or otherwise, will not exceed the total number of shares of Common Stock then authorized under the Governing Documents; (xii) the voting rights, designations, preferences, limitations, restrictions, privileges and relative rights of each series of Preferred Shares will be fixed in a certificate of designation relating to such series, prepared in the form prescribed by applicable laws, duly signed by an officer of the Company and properly filed with the Nevada Secretary of State (each, a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 and at no time will the total number of shares of Preferred Stock designated pursuant to all then-effective Certificates of Designation exceed the total number of shares of Preferred Stock then authorized under the Governing Documents; and (xiii) after any issuance of Preferred Shares, the total number of issued and outstanding shares of each series thereof, together with the total number of shares of such series then reserved for issuance or obligated to be issued by the Company pursuant to any agreement or arrangement or otherwise, will not exceed the total number of shares of such series then designated under the Certificate of Designation for such series..</w:t>
      </w:r>
    </w:p>
    <w:p>
      <w:pPr>
        <w:spacing w:after="0" w:line="20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or effect of, the laws of any other jurisdiction. We express no opinion concerning, and we assume no responsibility as to laws or judicial decisions related to any federal laws, rules or regulations, including any federal securities laws, rules or regulations, or any state securities or “Blue Sky” laws, rules or regulations.</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Based upon the foregoing and in reliance thereon, and having regard to legal considerations and other information that we deem relevant, we are of the opinion that when all Corporate Proceedings have been taken and completed in respect of any offering, issuance or sale of Shares, and to the extent such Shares have been issued in accordance with all applicable terms and conditions set forth in the relevant Securities Documents, including payment in full of all consideration required therefor as authorized by such Corporate Proceedings and prescribed by such Securities Documents, such Shares will be duly authorized, validly issued, fully paid and non-assessable.</w:t>
      </w:r>
    </w:p>
    <w:p>
      <w:pPr>
        <w:spacing w:after="0" w:line="20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opinion expressed herein is based upon the applicable laws of the State of Nevada and the facts in existence on the date hereof. In delivering this opinion letter to you, we disclaim any obligation to update or supplement the opinion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20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therein under the heading “Validity of the Securities”. In giving such consent, we do not admit that we are in the category of persons whose consent is required under Section 7 of the Act or the rules and regulations of the Commission promulgated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598" w:right="239" w:bottom="1440" w:gutter="0" w:footer="0" w:header="0"/>
        </w:sectPr>
      </w:pPr>
    </w:p>
    <w:bookmarkStart w:id="20" w:name="page21"/>
    <w:bookmarkEnd w:id="20"/>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360" w:type="dxa"/>
            <w:vAlign w:val="bottom"/>
            <w:gridSpan w:val="7"/>
          </w:tcPr>
          <w:p>
            <w:pPr>
              <w:ind w:left="120"/>
              <w:spacing w:after="0"/>
              <w:rPr>
                <w:sz w:val="20"/>
                <w:szCs w:val="20"/>
                <w:color w:val="auto"/>
              </w:rPr>
            </w:pPr>
            <w:r>
              <w:rPr>
                <w:rFonts w:ascii="Arial" w:cs="Arial" w:eastAsia="Arial" w:hAnsi="Arial"/>
                <w:sz w:val="14"/>
                <w:szCs w:val="14"/>
                <w:b w:val="1"/>
                <w:bCs w:val="1"/>
                <w:color w:val="auto"/>
              </w:rPr>
              <w:t>(in thousands, except ratios)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 noncontrolling interest and income from</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investees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177,032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287,424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957,513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985,438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731,912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804,095</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Add: Fixed charges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293,719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363,774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357,214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316,797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297,874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236,498</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Amortization of capitalized interest</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21,382</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Add: Distributed income from equity investees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Interest capitalized</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92,428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53,327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33,458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10,485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360" w:type="dxa"/>
            <w:vAlign w:val="bottom"/>
          </w:tcPr>
          <w:p>
            <w:pPr>
              <w:ind w:left="260"/>
              <w:spacing w:after="0"/>
              <w:rPr>
                <w:sz w:val="20"/>
                <w:szCs w:val="20"/>
                <w:color w:val="auto"/>
              </w:rPr>
            </w:pPr>
            <w:r>
              <w:rPr>
                <w:rFonts w:ascii="Arial" w:cs="Arial" w:eastAsia="Arial" w:hAnsi="Arial"/>
                <w:sz w:val="14"/>
                <w:szCs w:val="14"/>
                <w:b w:val="1"/>
                <w:bCs w:val="1"/>
                <w:color w:val="auto"/>
              </w:rPr>
              <w:t>Earnings as adjusted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389,540</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613,618</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1,297,887</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1,311,811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1,049,263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1,063,303</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expensed (1)</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193,698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300,906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315,062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299,022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229,918</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Interest capitalized</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92,428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53,327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33,458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10,485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factor of rental expense (2)</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9,541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6,580</w:t>
            </w:r>
          </w:p>
        </w:tc>
        <w:tc>
          <w:tcPr>
            <w:tcW w:w="0" w:type="dxa"/>
            <w:vAlign w:val="bottom"/>
          </w:tcPr>
          <w:p>
            <w:pPr>
              <w:spacing w:after="0"/>
              <w:rPr>
                <w:sz w:val="1"/>
                <w:szCs w:val="1"/>
                <w:color w:val="auto"/>
              </w:rPr>
            </w:pPr>
          </w:p>
        </w:tc>
      </w:tr>
      <w:tr>
        <w:trPr>
          <w:trHeight w:val="283"/>
        </w:trPr>
        <w:tc>
          <w:tcPr>
            <w:tcW w:w="4360" w:type="dxa"/>
            <w:vAlign w:val="bottom"/>
          </w:tcPr>
          <w:p>
            <w:pPr>
              <w:ind w:left="260"/>
              <w:spacing w:after="0"/>
              <w:rPr>
                <w:sz w:val="20"/>
                <w:szCs w:val="20"/>
                <w:color w:val="auto"/>
              </w:rPr>
            </w:pPr>
            <w:r>
              <w:rPr>
                <w:rFonts w:ascii="Arial" w:cs="Arial" w:eastAsia="Arial" w:hAnsi="Arial"/>
                <w:sz w:val="14"/>
                <w:szCs w:val="14"/>
                <w:b w:val="1"/>
                <w:bCs w:val="1"/>
                <w:color w:val="auto"/>
              </w:rPr>
              <w:t>Total fixed charges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293,719</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363,774</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357,214</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316,797</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297,874</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236,498</w:t>
            </w:r>
          </w:p>
        </w:tc>
        <w:tc>
          <w:tcPr>
            <w:tcW w:w="0" w:type="dxa"/>
            <w:vAlign w:val="bottom"/>
          </w:tcPr>
          <w:p>
            <w:pPr>
              <w:spacing w:after="0"/>
              <w:rPr>
                <w:sz w:val="1"/>
                <w:szCs w:val="1"/>
                <w:color w:val="auto"/>
              </w:rPr>
            </w:pPr>
          </w:p>
        </w:tc>
      </w:tr>
      <w:tr>
        <w:trPr>
          <w:trHeight w:val="218"/>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Ratio of earnings to fixed charges </w:t>
            </w:r>
            <w:r>
              <w:rPr>
                <w:rFonts w:ascii="Arial" w:cs="Arial" w:eastAsia="Arial" w:hAnsi="Arial"/>
                <w:sz w:val="14"/>
                <w:szCs w:val="14"/>
                <w:color w:val="auto"/>
              </w:rPr>
              <w:t>(3)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We had no preferred stock issued and outstanding for any of the periods presented.</w:t>
      </w:r>
    </w:p>
    <w:p>
      <w:pPr>
        <w:spacing w:after="0" w:line="163"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 expensed includes amortization of deferred financing costs and original issue discount and premium on debt.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Interest factor of rental expense is based on an estimate which the Company considers to be a reasonable approximation.</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ratio of earnings to fixed charges was computed by dividing earnings by fixed charges.</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Wynn Resorts, Limited for the registration of common stock, preferred stock, depositary shares representing preferred stock and senior debt securities, senior subordinated debt securities, subordinated debt securities and junior subordinated debt securities and to the incorporation by reference therein of our reports dated February 29, 2016, with respect to the consolidated financial statements and schedules of Wynn Resorts, Limited, and the effectiveness of internal control over financial reporting of Wynn Resorts, Limited, included in its Annual Report (Form 10-K) for the year ended December 31, 2015, filed with the Securities and Exchange Commission.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2016</w:t>
      </w:r>
    </w:p>
    <w:p>
      <w:pPr>
        <w:sectPr>
          <w:pgSz w:w="11900" w:h="16838" w:orient="portrait"/>
          <w:cols w:equalWidth="0" w:num="1">
            <w:col w:w="11420"/>
          </w:cols>
          <w:pgMar w:left="240" w:top="580" w:right="239" w:bottom="1440" w:gutter="0" w:footer="0" w:header="0"/>
        </w:sectPr>
      </w:pPr>
    </w:p>
    <w:bookmarkStart w:id="22" w:name="page23"/>
    <w:bookmarkEnd w:id="22"/>
    <w:p>
      <w:pPr>
        <w:ind w:left="10620"/>
        <w:spacing w:after="0"/>
        <w:rPr>
          <w:sz w:val="20"/>
          <w:szCs w:val="20"/>
          <w:color w:val="auto"/>
        </w:rPr>
      </w:pPr>
      <w:r>
        <w:rPr>
          <w:rFonts w:ascii="Arial" w:cs="Arial" w:eastAsia="Arial" w:hAnsi="Arial"/>
          <w:sz w:val="17"/>
          <w:szCs w:val="17"/>
          <w:b w:val="1"/>
          <w:bCs w:val="1"/>
          <w:color w:val="auto"/>
        </w:rPr>
        <w:t>Exhibit 25</w:t>
      </w:r>
    </w:p>
    <w:p>
      <w:pPr>
        <w:spacing w:after="0" w:line="39" w:lineRule="exact"/>
        <w:rPr>
          <w:sz w:val="20"/>
          <w:szCs w:val="20"/>
          <w:color w:val="auto"/>
        </w:rPr>
      </w:pPr>
    </w:p>
    <w:p>
      <w:pPr>
        <w:ind w:left="1560"/>
        <w:spacing w:after="0"/>
        <w:rPr>
          <w:sz w:val="20"/>
          <w:szCs w:val="20"/>
          <w:color w:val="auto"/>
        </w:rPr>
      </w:pPr>
      <w:r>
        <w:rPr>
          <w:rFonts w:ascii="Arial" w:cs="Arial" w:eastAsia="Arial" w:hAnsi="Arial"/>
          <w:sz w:val="22"/>
          <w:szCs w:val="22"/>
          <w:u w:val="single" w:color="auto"/>
          <w:color w:val="auto"/>
        </w:rPr>
        <w:t>_____________________________________________________________________________</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20"/>
          <w:szCs w:val="20"/>
          <w:color w:val="auto"/>
        </w:rPr>
        <w:t>__________________________</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FORM T-1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STATEMENT OF ELIGIBILITY UNDER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THE TRUST INDENTURE ACT OF 1939 OF A</w:t>
      </w:r>
    </w:p>
    <w:p>
      <w:pPr>
        <w:jc w:val="center"/>
        <w:ind w:right="20"/>
        <w:spacing w:after="0"/>
        <w:rPr>
          <w:sz w:val="20"/>
          <w:szCs w:val="20"/>
          <w:color w:val="auto"/>
        </w:rPr>
      </w:pPr>
      <w:r>
        <w:rPr>
          <w:rFonts w:ascii="Arial" w:cs="Arial" w:eastAsia="Arial" w:hAnsi="Arial"/>
          <w:sz w:val="20"/>
          <w:szCs w:val="20"/>
          <w:b w:val="1"/>
          <w:bCs w:val="1"/>
          <w:color w:val="auto"/>
        </w:rPr>
        <w:t>CORPORATION DESIGNATED TO ACT AS TRUSTEE</w:t>
      </w:r>
    </w:p>
    <w:p>
      <w:pPr>
        <w:jc w:val="center"/>
        <w:ind w:right="20"/>
        <w:spacing w:after="0"/>
        <w:rPr>
          <w:sz w:val="20"/>
          <w:szCs w:val="20"/>
          <w:color w:val="auto"/>
        </w:rPr>
      </w:pPr>
      <w:r>
        <w:rPr>
          <w:rFonts w:ascii="Arial" w:cs="Arial" w:eastAsia="Arial" w:hAnsi="Arial"/>
          <w:sz w:val="20"/>
          <w:szCs w:val="20"/>
          <w:color w:val="auto"/>
        </w:rPr>
        <w:t>Check if an Application to Determine Eligibility of</w:t>
      </w:r>
    </w:p>
    <w:p>
      <w:pPr>
        <w:jc w:val="center"/>
        <w:ind w:right="20"/>
        <w:spacing w:after="0"/>
        <w:rPr>
          <w:sz w:val="20"/>
          <w:szCs w:val="20"/>
          <w:color w:val="auto"/>
        </w:rPr>
      </w:pPr>
      <w:r>
        <w:rPr>
          <w:rFonts w:ascii="Arial" w:cs="Arial" w:eastAsia="Arial" w:hAnsi="Arial"/>
          <w:sz w:val="20"/>
          <w:szCs w:val="20"/>
          <w:color w:val="auto"/>
        </w:rPr>
        <w:t>a Trustee Pursuant to Section 305(b)(2)</w:t>
      </w:r>
    </w:p>
    <w:p>
      <w:pPr>
        <w:ind w:left="3000"/>
        <w:spacing w:after="0"/>
        <w:rPr>
          <w:sz w:val="20"/>
          <w:szCs w:val="20"/>
          <w:color w:val="auto"/>
        </w:rPr>
      </w:pPr>
      <w:r>
        <w:rPr>
          <w:rFonts w:ascii="Arial" w:cs="Arial" w:eastAsia="Arial" w:hAnsi="Arial"/>
          <w:sz w:val="20"/>
          <w:szCs w:val="20"/>
          <w:color w:val="auto"/>
        </w:rPr>
        <w:t>_______________________________________________________</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U.S. BANK NATIONAL ASSOCIATION</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Trustee as specified in its charter)</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31-0841368</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I.R.S. Employer Identification No.</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Borders>
              <w:top w:val="single" w:sz="8" w:color="00000A"/>
            </w:tcBorders>
            <w:shd w:val="clear" w:color="auto" w:fill="00000A"/>
          </w:tcPr>
          <w:p>
            <w:pPr>
              <w:spacing w:after="0"/>
              <w:rPr>
                <w:sz w:val="22"/>
                <w:szCs w:val="22"/>
                <w:color w:val="auto"/>
              </w:rPr>
            </w:pPr>
          </w:p>
        </w:tc>
        <w:tc>
          <w:tcPr>
            <w:tcW w:w="5720" w:type="dxa"/>
            <w:vAlign w:val="bottom"/>
            <w:tcBorders>
              <w:top w:val="single" w:sz="8" w:color="00000A"/>
              <w:right w:val="single" w:sz="8" w:color="00000A"/>
            </w:tcBorders>
            <w:gridSpan w:val="2"/>
          </w:tcPr>
          <w:p>
            <w:pPr>
              <w:jc w:val="center"/>
              <w:ind w:right="20"/>
              <w:spacing w:after="0"/>
              <w:rPr>
                <w:sz w:val="20"/>
                <w:szCs w:val="20"/>
                <w:color w:val="auto"/>
              </w:rPr>
            </w:pPr>
            <w:r>
              <w:rPr>
                <w:rFonts w:ascii="Arial" w:cs="Arial" w:eastAsia="Arial" w:hAnsi="Arial"/>
                <w:sz w:val="20"/>
                <w:szCs w:val="20"/>
                <w:color w:val="auto"/>
                <w:w w:val="96"/>
              </w:rPr>
              <w:t>800 Nicollet Mall</w:t>
            </w:r>
          </w:p>
        </w:tc>
        <w:tc>
          <w:tcPr>
            <w:tcW w:w="1420" w:type="dxa"/>
            <w:vAlign w:val="bottom"/>
            <w:tcBorders>
              <w:top w:val="single" w:sz="8" w:color="00000A"/>
            </w:tcBorders>
          </w:tcPr>
          <w:p>
            <w:pPr>
              <w:spacing w:after="0"/>
              <w:rPr>
                <w:sz w:val="22"/>
                <w:szCs w:val="22"/>
                <w:color w:val="auto"/>
              </w:rPr>
            </w:pPr>
          </w:p>
        </w:tc>
        <w:tc>
          <w:tcPr>
            <w:tcW w:w="4280" w:type="dxa"/>
            <w:vAlign w:val="bottom"/>
            <w:tcBorders>
              <w:top w:val="single" w:sz="8" w:color="00000A"/>
              <w:right w:val="single" w:sz="8" w:color="00000A"/>
            </w:tcBorders>
          </w:tcPr>
          <w:p>
            <w:pPr>
              <w:spacing w:after="0"/>
              <w:rPr>
                <w:sz w:val="22"/>
                <w:szCs w:val="22"/>
                <w:color w:val="auto"/>
              </w:rPr>
            </w:pPr>
          </w:p>
        </w:tc>
      </w:tr>
      <w:tr>
        <w:trPr>
          <w:trHeight w:val="250"/>
        </w:trPr>
        <w:tc>
          <w:tcPr>
            <w:tcW w:w="20" w:type="dxa"/>
            <w:vAlign w:val="bottom"/>
            <w:shd w:val="clear" w:color="auto" w:fill="00000A"/>
          </w:tcPr>
          <w:p>
            <w:pPr>
              <w:spacing w:after="0"/>
              <w:rPr>
                <w:sz w:val="21"/>
                <w:szCs w:val="21"/>
                <w:color w:val="auto"/>
              </w:rPr>
            </w:pPr>
          </w:p>
        </w:tc>
        <w:tc>
          <w:tcPr>
            <w:tcW w:w="5720" w:type="dxa"/>
            <w:vAlign w:val="bottom"/>
            <w:tcBorders>
              <w:right w:val="single" w:sz="8" w:color="00000A"/>
            </w:tcBorders>
            <w:gridSpan w:val="2"/>
          </w:tcPr>
          <w:p>
            <w:pPr>
              <w:jc w:val="center"/>
              <w:ind w:right="20"/>
              <w:spacing w:after="0"/>
              <w:rPr>
                <w:sz w:val="20"/>
                <w:szCs w:val="20"/>
                <w:color w:val="auto"/>
              </w:rPr>
            </w:pPr>
            <w:r>
              <w:rPr>
                <w:rFonts w:ascii="Arial" w:cs="Arial" w:eastAsia="Arial" w:hAnsi="Arial"/>
                <w:sz w:val="20"/>
                <w:szCs w:val="20"/>
                <w:color w:val="auto"/>
                <w:w w:val="92"/>
              </w:rPr>
              <w:t>Minneapolis, Minnesota</w:t>
            </w:r>
          </w:p>
        </w:tc>
        <w:tc>
          <w:tcPr>
            <w:tcW w:w="1420" w:type="dxa"/>
            <w:vAlign w:val="bottom"/>
          </w:tcPr>
          <w:p>
            <w:pPr>
              <w:spacing w:after="0"/>
              <w:rPr>
                <w:sz w:val="21"/>
                <w:szCs w:val="21"/>
                <w:color w:val="auto"/>
              </w:rPr>
            </w:pPr>
          </w:p>
        </w:tc>
        <w:tc>
          <w:tcPr>
            <w:tcW w:w="4280" w:type="dxa"/>
            <w:vAlign w:val="bottom"/>
            <w:tcBorders>
              <w:right w:val="single" w:sz="8" w:color="00000A"/>
            </w:tcBorders>
          </w:tcPr>
          <w:p>
            <w:pPr>
              <w:jc w:val="right"/>
              <w:ind w:right="2528"/>
              <w:spacing w:after="0"/>
              <w:rPr>
                <w:sz w:val="20"/>
                <w:szCs w:val="20"/>
                <w:color w:val="auto"/>
              </w:rPr>
            </w:pPr>
            <w:r>
              <w:rPr>
                <w:rFonts w:ascii="Arial" w:cs="Arial" w:eastAsia="Arial" w:hAnsi="Arial"/>
                <w:sz w:val="20"/>
                <w:szCs w:val="20"/>
                <w:color w:val="auto"/>
              </w:rPr>
              <w:t>55402</w:t>
            </w:r>
          </w:p>
        </w:tc>
      </w:tr>
      <w:tr>
        <w:trPr>
          <w:trHeight w:val="23"/>
        </w:trPr>
        <w:tc>
          <w:tcPr>
            <w:tcW w:w="20" w:type="dxa"/>
            <w:vAlign w:val="bottom"/>
            <w:tcBorders>
              <w:bottom w:val="single" w:sz="8" w:color="00000A"/>
            </w:tcBorders>
            <w:shd w:val="clear" w:color="auto" w:fill="00000A"/>
          </w:tcPr>
          <w:p>
            <w:pPr>
              <w:spacing w:after="0"/>
              <w:rPr>
                <w:sz w:val="2"/>
                <w:szCs w:val="2"/>
                <w:color w:val="auto"/>
              </w:rPr>
            </w:pPr>
          </w:p>
        </w:tc>
        <w:tc>
          <w:tcPr>
            <w:tcW w:w="56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217"/>
        </w:trPr>
        <w:tc>
          <w:tcPr>
            <w:tcW w:w="20" w:type="dxa"/>
            <w:vAlign w:val="bottom"/>
            <w:shd w:val="clear" w:color="auto" w:fill="00000A"/>
          </w:tcPr>
          <w:p>
            <w:pPr>
              <w:spacing w:after="0"/>
              <w:rPr>
                <w:sz w:val="18"/>
                <w:szCs w:val="18"/>
                <w:color w:val="auto"/>
              </w:rPr>
            </w:pPr>
          </w:p>
        </w:tc>
        <w:tc>
          <w:tcPr>
            <w:tcW w:w="5720" w:type="dxa"/>
            <w:vAlign w:val="bottom"/>
            <w:tcBorders>
              <w:right w:val="single" w:sz="8" w:color="00000A"/>
            </w:tcBorders>
            <w:gridSpan w:val="2"/>
          </w:tcPr>
          <w:p>
            <w:pPr>
              <w:jc w:val="center"/>
              <w:ind w:right="20"/>
              <w:spacing w:after="0"/>
              <w:rPr>
                <w:sz w:val="20"/>
                <w:szCs w:val="20"/>
                <w:color w:val="auto"/>
              </w:rPr>
            </w:pPr>
            <w:r>
              <w:rPr>
                <w:rFonts w:ascii="Arial" w:cs="Arial" w:eastAsia="Arial" w:hAnsi="Arial"/>
                <w:sz w:val="16"/>
                <w:szCs w:val="16"/>
                <w:color w:val="auto"/>
                <w:w w:val="94"/>
              </w:rPr>
              <w:t>(Address of principal executive offices)</w:t>
            </w:r>
          </w:p>
        </w:tc>
        <w:tc>
          <w:tcPr>
            <w:tcW w:w="1420" w:type="dxa"/>
            <w:vAlign w:val="bottom"/>
          </w:tcPr>
          <w:p>
            <w:pPr>
              <w:spacing w:after="0"/>
              <w:rPr>
                <w:sz w:val="18"/>
                <w:szCs w:val="18"/>
                <w:color w:val="auto"/>
              </w:rPr>
            </w:pPr>
          </w:p>
        </w:tc>
        <w:tc>
          <w:tcPr>
            <w:tcW w:w="4280" w:type="dxa"/>
            <w:vAlign w:val="bottom"/>
            <w:tcBorders>
              <w:right w:val="single" w:sz="8" w:color="00000A"/>
            </w:tcBorders>
          </w:tcPr>
          <w:p>
            <w:pPr>
              <w:jc w:val="center"/>
              <w:ind w:right="1348"/>
              <w:spacing w:after="0"/>
              <w:rPr>
                <w:sz w:val="20"/>
                <w:szCs w:val="20"/>
                <w:color w:val="auto"/>
              </w:rPr>
            </w:pPr>
            <w:r>
              <w:rPr>
                <w:rFonts w:ascii="Arial" w:cs="Arial" w:eastAsia="Arial" w:hAnsi="Arial"/>
                <w:sz w:val="16"/>
                <w:szCs w:val="16"/>
                <w:color w:val="auto"/>
                <w:w w:val="95"/>
              </w:rPr>
              <w:t>(Zip Code)</w:t>
            </w:r>
          </w:p>
        </w:tc>
      </w:tr>
      <w:tr>
        <w:trPr>
          <w:trHeight w:val="33"/>
        </w:trPr>
        <w:tc>
          <w:tcPr>
            <w:tcW w:w="20" w:type="dxa"/>
            <w:vAlign w:val="bottom"/>
            <w:tcBorders>
              <w:bottom w:val="single" w:sz="8" w:color="00000A"/>
            </w:tcBorders>
            <w:shd w:val="clear" w:color="auto" w:fill="00000A"/>
          </w:tcPr>
          <w:p>
            <w:pPr>
              <w:spacing w:after="0"/>
              <w:rPr>
                <w:sz w:val="2"/>
                <w:szCs w:val="2"/>
                <w:color w:val="auto"/>
              </w:rPr>
            </w:pPr>
          </w:p>
        </w:tc>
        <w:tc>
          <w:tcPr>
            <w:tcW w:w="56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436"/>
        </w:trPr>
        <w:tc>
          <w:tcPr>
            <w:tcW w:w="20" w:type="dxa"/>
            <w:vAlign w:val="bottom"/>
          </w:tcPr>
          <w:p>
            <w:pPr>
              <w:spacing w:after="0"/>
              <w:rPr>
                <w:sz w:val="24"/>
                <w:szCs w:val="24"/>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89"/>
              </w:rPr>
              <w:t>Raymond S. Haverstock</w:t>
            </w:r>
          </w:p>
        </w:tc>
        <w:tc>
          <w:tcPr>
            <w:tcW w:w="42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91"/>
              </w:rPr>
              <w:t>U.S. Bank National Association</w:t>
            </w:r>
          </w:p>
        </w:tc>
        <w:tc>
          <w:tcPr>
            <w:tcW w:w="4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63"/>
              <w:spacing w:after="0"/>
              <w:rPr>
                <w:sz w:val="20"/>
                <w:szCs w:val="20"/>
                <w:color w:val="auto"/>
              </w:rPr>
            </w:pPr>
            <w:r>
              <w:rPr>
                <w:rFonts w:ascii="Arial" w:cs="Arial" w:eastAsia="Arial" w:hAnsi="Arial"/>
                <w:sz w:val="20"/>
                <w:szCs w:val="20"/>
                <w:color w:val="auto"/>
                <w:w w:val="92"/>
              </w:rPr>
              <w:t>60 Livingston Avenue</w:t>
            </w:r>
          </w:p>
        </w:tc>
        <w:tc>
          <w:tcPr>
            <w:tcW w:w="4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91"/>
              </w:rPr>
              <w:t>St. Paul, MN 55107</w:t>
            </w:r>
          </w:p>
        </w:tc>
        <w:tc>
          <w:tcPr>
            <w:tcW w:w="4280" w:type="dxa"/>
            <w:vAlign w:val="bottom"/>
          </w:tcPr>
          <w:p>
            <w:pPr>
              <w:spacing w:after="0"/>
              <w:rPr>
                <w:sz w:val="19"/>
                <w:szCs w:val="19"/>
                <w:color w:val="auto"/>
              </w:rPr>
            </w:pPr>
          </w:p>
        </w:tc>
      </w:tr>
      <w:tr>
        <w:trPr>
          <w:trHeight w:val="237"/>
        </w:trPr>
        <w:tc>
          <w:tcPr>
            <w:tcW w:w="7160" w:type="dxa"/>
            <w:vAlign w:val="bottom"/>
            <w:gridSpan w:val="4"/>
          </w:tcPr>
          <w:p>
            <w:pPr>
              <w:jc w:val="center"/>
              <w:ind w:left="4190"/>
              <w:spacing w:after="0"/>
              <w:rPr>
                <w:sz w:val="20"/>
                <w:szCs w:val="20"/>
                <w:color w:val="auto"/>
              </w:rPr>
            </w:pPr>
            <w:r>
              <w:rPr>
                <w:rFonts w:ascii="Arial" w:cs="Arial" w:eastAsia="Arial" w:hAnsi="Arial"/>
                <w:sz w:val="20"/>
                <w:szCs w:val="20"/>
                <w:color w:val="auto"/>
                <w:w w:val="90"/>
              </w:rPr>
              <w:t>(651) 466-6299</w:t>
            </w:r>
          </w:p>
        </w:tc>
        <w:tc>
          <w:tcPr>
            <w:tcW w:w="42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0"/>
              </w:rPr>
              <w:t>(Name, address and telephone number of agent for service)</w:t>
            </w:r>
          </w:p>
        </w:tc>
      </w:tr>
      <w:tr>
        <w:trPr>
          <w:trHeight w:val="555"/>
        </w:trPr>
        <w:tc>
          <w:tcPr>
            <w:tcW w:w="20" w:type="dxa"/>
            <w:vAlign w:val="bottom"/>
          </w:tcPr>
          <w:p>
            <w:pPr>
              <w:spacing w:after="0"/>
              <w:rPr>
                <w:sz w:val="24"/>
                <w:szCs w:val="24"/>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5"/>
                <w:szCs w:val="25"/>
                <w:b w:val="1"/>
                <w:bCs w:val="1"/>
                <w:color w:val="auto"/>
                <w:w w:val="92"/>
              </w:rPr>
              <w:t>Wynn Resorts, Limited</w:t>
            </w:r>
          </w:p>
        </w:tc>
        <w:tc>
          <w:tcPr>
            <w:tcW w:w="4280" w:type="dxa"/>
            <w:vAlign w:val="bottom"/>
          </w:tcPr>
          <w:p>
            <w:pPr>
              <w:spacing w:after="0"/>
              <w:rPr>
                <w:sz w:val="24"/>
                <w:szCs w:val="24"/>
                <w:color w:val="auto"/>
              </w:rPr>
            </w:pPr>
          </w:p>
        </w:tc>
      </w:tr>
      <w:tr>
        <w:trPr>
          <w:trHeight w:val="215"/>
        </w:trPr>
        <w:tc>
          <w:tcPr>
            <w:tcW w:w="7160" w:type="dxa"/>
            <w:vAlign w:val="bottom"/>
            <w:gridSpan w:val="4"/>
          </w:tcPr>
          <w:p>
            <w:pPr>
              <w:spacing w:after="0"/>
              <w:rPr>
                <w:sz w:val="20"/>
                <w:szCs w:val="20"/>
                <w:color w:val="auto"/>
              </w:rPr>
            </w:pPr>
            <w:r>
              <w:rPr>
                <w:rFonts w:ascii="Arial" w:cs="Arial" w:eastAsia="Arial" w:hAnsi="Arial"/>
                <w:sz w:val="16"/>
                <w:szCs w:val="16"/>
                <w:color w:val="auto"/>
              </w:rPr>
              <w:t>(Issuer with respect to the Securities)</w:t>
            </w:r>
          </w:p>
        </w:tc>
        <w:tc>
          <w:tcPr>
            <w:tcW w:w="42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5620" w:type="dxa"/>
            <w:vAlign w:val="bottom"/>
            <w:tcBorders>
              <w:bottom w:val="single" w:sz="8" w:color="00000A"/>
            </w:tcBorders>
          </w:tcPr>
          <w:p>
            <w:pPr>
              <w:spacing w:after="0"/>
              <w:rPr>
                <w:sz w:val="14"/>
                <w:szCs w:val="14"/>
                <w:color w:val="auto"/>
              </w:rPr>
            </w:pPr>
          </w:p>
        </w:tc>
        <w:tc>
          <w:tcPr>
            <w:tcW w:w="1520" w:type="dxa"/>
            <w:vAlign w:val="bottom"/>
            <w:tcBorders>
              <w:bottom w:val="single" w:sz="8" w:color="00000A"/>
            </w:tcBorders>
            <w:gridSpan w:val="2"/>
          </w:tcPr>
          <w:p>
            <w:pPr>
              <w:spacing w:after="0"/>
              <w:rPr>
                <w:sz w:val="14"/>
                <w:szCs w:val="14"/>
                <w:color w:val="auto"/>
              </w:rPr>
            </w:pPr>
          </w:p>
        </w:tc>
        <w:tc>
          <w:tcPr>
            <w:tcW w:w="4280" w:type="dxa"/>
            <w:vAlign w:val="bottom"/>
            <w:tcBorders>
              <w:bottom w:val="single" w:sz="8" w:color="00000A"/>
            </w:tcBorders>
          </w:tcPr>
          <w:p>
            <w:pPr>
              <w:spacing w:after="0"/>
              <w:rPr>
                <w:sz w:val="14"/>
                <w:szCs w:val="14"/>
                <w:color w:val="auto"/>
              </w:rPr>
            </w:pPr>
          </w:p>
        </w:tc>
      </w:tr>
      <w:tr>
        <w:trPr>
          <w:trHeight w:val="284"/>
        </w:trPr>
        <w:tc>
          <w:tcPr>
            <w:tcW w:w="20" w:type="dxa"/>
            <w:vAlign w:val="bottom"/>
          </w:tcPr>
          <w:p>
            <w:pPr>
              <w:spacing w:after="0"/>
              <w:rPr>
                <w:sz w:val="24"/>
                <w:szCs w:val="24"/>
                <w:color w:val="auto"/>
              </w:rPr>
            </w:pPr>
          </w:p>
        </w:tc>
        <w:tc>
          <w:tcPr>
            <w:tcW w:w="56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Nevada</w:t>
            </w:r>
          </w:p>
        </w:tc>
        <w:tc>
          <w:tcPr>
            <w:tcW w:w="10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4280" w:type="dxa"/>
            <w:vAlign w:val="bottom"/>
            <w:tcBorders>
              <w:bottom w:val="single" w:sz="8" w:color="00000A"/>
              <w:right w:val="single" w:sz="8" w:color="00000A"/>
            </w:tcBorders>
          </w:tcPr>
          <w:p>
            <w:pPr>
              <w:jc w:val="right"/>
              <w:ind w:right="2308"/>
              <w:spacing w:after="0"/>
              <w:rPr>
                <w:sz w:val="20"/>
                <w:szCs w:val="20"/>
                <w:color w:val="auto"/>
              </w:rPr>
            </w:pPr>
            <w:r>
              <w:rPr>
                <w:rFonts w:ascii="Arial" w:cs="Arial" w:eastAsia="Arial" w:hAnsi="Arial"/>
                <w:sz w:val="22"/>
                <w:szCs w:val="22"/>
                <w:color w:val="auto"/>
              </w:rPr>
              <w:t>46-0484987</w:t>
            </w:r>
          </w:p>
        </w:tc>
      </w:tr>
      <w:tr>
        <w:trPr>
          <w:trHeight w:val="224"/>
        </w:trPr>
        <w:tc>
          <w:tcPr>
            <w:tcW w:w="20" w:type="dxa"/>
            <w:vAlign w:val="bottom"/>
          </w:tcPr>
          <w:p>
            <w:pPr>
              <w:spacing w:after="0"/>
              <w:rPr>
                <w:sz w:val="19"/>
                <w:szCs w:val="19"/>
                <w:color w:val="auto"/>
              </w:rPr>
            </w:pPr>
          </w:p>
        </w:tc>
        <w:tc>
          <w:tcPr>
            <w:tcW w:w="56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520" w:type="dxa"/>
            <w:vAlign w:val="bottom"/>
            <w:gridSpan w:val="2"/>
          </w:tcPr>
          <w:p>
            <w:pPr>
              <w:spacing w:after="0"/>
              <w:rPr>
                <w:sz w:val="19"/>
                <w:szCs w:val="19"/>
                <w:color w:val="auto"/>
              </w:rPr>
            </w:pPr>
          </w:p>
        </w:tc>
        <w:tc>
          <w:tcPr>
            <w:tcW w:w="4280" w:type="dxa"/>
            <w:vAlign w:val="bottom"/>
            <w:tcBorders>
              <w:right w:val="single" w:sz="8" w:color="00000A"/>
            </w:tcBorders>
          </w:tcPr>
          <w:p>
            <w:pPr>
              <w:jc w:val="center"/>
              <w:ind w:right="1468"/>
              <w:spacing w:after="0"/>
              <w:rPr>
                <w:sz w:val="20"/>
                <w:szCs w:val="20"/>
                <w:color w:val="auto"/>
              </w:rPr>
            </w:pPr>
            <w:r>
              <w:rPr>
                <w:rFonts w:ascii="Arial" w:cs="Arial" w:eastAsia="Arial" w:hAnsi="Arial"/>
                <w:sz w:val="16"/>
                <w:szCs w:val="16"/>
                <w:color w:val="auto"/>
                <w:w w:val="95"/>
              </w:rPr>
              <w:t>(I.R.S. Employer Identification No.)</w:t>
            </w:r>
          </w:p>
        </w:tc>
      </w:tr>
      <w:tr>
        <w:trPr>
          <w:trHeight w:val="33"/>
        </w:trPr>
        <w:tc>
          <w:tcPr>
            <w:tcW w:w="20" w:type="dxa"/>
            <w:vAlign w:val="bottom"/>
          </w:tcPr>
          <w:p>
            <w:pPr>
              <w:spacing w:after="0"/>
              <w:rPr>
                <w:sz w:val="2"/>
                <w:szCs w:val="2"/>
                <w:color w:val="auto"/>
              </w:rPr>
            </w:pPr>
          </w:p>
        </w:tc>
        <w:tc>
          <w:tcPr>
            <w:tcW w:w="5620" w:type="dxa"/>
            <w:vAlign w:val="bottom"/>
            <w:tcBorders>
              <w:left w:val="single" w:sz="8" w:color="00000A"/>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5620" w:type="dxa"/>
            <w:vAlign w:val="bottom"/>
            <w:tcBorders>
              <w:left w:val="single" w:sz="8" w:color="00000A"/>
              <w:bottom w:val="single" w:sz="8" w:color="00000A"/>
              <w:right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4280" w:type="dxa"/>
            <w:vAlign w:val="bottom"/>
            <w:tcBorders>
              <w:bottom w:val="single" w:sz="8" w:color="00000A"/>
              <w:right w:val="single" w:sz="8" w:color="00000A"/>
            </w:tcBorders>
          </w:tcPr>
          <w:p>
            <w:pPr>
              <w:spacing w:after="0"/>
              <w:rPr>
                <w:sz w:val="24"/>
                <w:szCs w:val="24"/>
                <w:color w:val="auto"/>
              </w:rPr>
            </w:pP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56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3131 Las Vegas Boulevard South</w:t>
            </w:r>
          </w:p>
        </w:tc>
        <w:tc>
          <w:tcPr>
            <w:tcW w:w="5800" w:type="dxa"/>
            <w:vAlign w:val="bottom"/>
            <w:tcBorders>
              <w:top w:val="single" w:sz="8" w:color="00000A"/>
              <w:right w:val="single" w:sz="8" w:color="00000A"/>
            </w:tcBorders>
          </w:tcPr>
          <w:p>
            <w:pPr>
              <w:spacing w:after="0"/>
              <w:rPr>
                <w:sz w:val="22"/>
                <w:szCs w:val="22"/>
                <w:color w:val="auto"/>
              </w:rPr>
            </w:pPr>
          </w:p>
        </w:tc>
      </w:tr>
      <w:tr>
        <w:trPr>
          <w:trHeight w:val="285"/>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5"/>
              </w:rPr>
              <w:t>Las Vegas, Nevada</w:t>
            </w:r>
          </w:p>
        </w:tc>
        <w:tc>
          <w:tcPr>
            <w:tcW w:w="5800" w:type="dxa"/>
            <w:vAlign w:val="bottom"/>
            <w:tcBorders>
              <w:bottom w:val="single" w:sz="8" w:color="00000A"/>
              <w:right w:val="single" w:sz="8" w:color="00000A"/>
            </w:tcBorders>
          </w:tcPr>
          <w:p>
            <w:pPr>
              <w:jc w:val="right"/>
              <w:ind w:right="2545"/>
              <w:spacing w:after="0"/>
              <w:rPr>
                <w:sz w:val="20"/>
                <w:szCs w:val="20"/>
                <w:color w:val="auto"/>
              </w:rPr>
            </w:pPr>
            <w:r>
              <w:rPr>
                <w:rFonts w:ascii="Arial" w:cs="Arial" w:eastAsia="Arial" w:hAnsi="Arial"/>
                <w:sz w:val="22"/>
                <w:szCs w:val="22"/>
                <w:color w:val="auto"/>
              </w:rPr>
              <w:t>89109</w:t>
            </w:r>
          </w:p>
        </w:tc>
      </w:tr>
      <w:tr>
        <w:trPr>
          <w:trHeight w:val="224"/>
        </w:trPr>
        <w:tc>
          <w:tcPr>
            <w:tcW w:w="56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58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5"/>
              </w:rPr>
              <w:t>(Zip Code)</w:t>
            </w:r>
          </w:p>
        </w:tc>
      </w:tr>
      <w:tr>
        <w:trPr>
          <w:trHeight w:val="3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800" w:type="dxa"/>
            <w:vAlign w:val="bottom"/>
            <w:tcBorders>
              <w:bottom w:val="single" w:sz="8" w:color="00000A"/>
              <w:right w:val="single" w:sz="8" w:color="00000A"/>
            </w:tcBorders>
          </w:tcPr>
          <w:p>
            <w:pPr>
              <w:spacing w:after="0"/>
              <w:rPr>
                <w:sz w:val="2"/>
                <w:szCs w:val="2"/>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Debt Securities</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(Title of the Indenture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40"/>
          </w:cols>
          <w:pgMar w:left="240" w:top="364" w:right="2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2"/>
          <w:szCs w:val="22"/>
          <w:b w:val="1"/>
          <w:bCs w:val="1"/>
          <w:u w:val="single" w:color="auto"/>
          <w:color w:val="auto"/>
        </w:rPr>
        <w:t>FORM T-1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GENERAL INFORMATION</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Furnish the following information as to the Trustee.</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i w:val="1"/>
          <w:iCs w:val="1"/>
          <w:color w:val="auto"/>
        </w:rPr>
        <w:t>Name and address of each examining or supervising authority to which it is subject.</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Comptroller of the Currency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Washington, D.C.</w:t>
      </w:r>
    </w:p>
    <w:p>
      <w:pPr>
        <w:spacing w:after="0" w:line="242" w:lineRule="exact"/>
        <w:rPr>
          <w:sz w:val="20"/>
          <w:szCs w:val="20"/>
          <w:color w:val="auto"/>
        </w:rPr>
      </w:pPr>
    </w:p>
    <w:p>
      <w:pPr>
        <w:ind w:left="2140" w:hanging="390"/>
        <w:spacing w:after="0"/>
        <w:tabs>
          <w:tab w:leader="none" w:pos="214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Whether it is authorized to exercise corporate trust powers.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Yes</w:t>
      </w:r>
    </w:p>
    <w:p>
      <w:pPr>
        <w:spacing w:after="0" w:line="236" w:lineRule="exact"/>
        <w:rPr>
          <w:sz w:val="20"/>
          <w:szCs w:val="20"/>
          <w:color w:val="auto"/>
        </w:rPr>
      </w:pPr>
    </w:p>
    <w:p>
      <w:pPr>
        <w:ind w:left="1960" w:right="1000" w:hanging="1944"/>
        <w:spacing w:after="0" w:line="269" w:lineRule="auto"/>
        <w:rPr>
          <w:sz w:val="20"/>
          <w:szCs w:val="20"/>
          <w:color w:val="auto"/>
        </w:rPr>
      </w:pPr>
      <w:r>
        <w:rPr>
          <w:rFonts w:ascii="Arial" w:cs="Arial" w:eastAsia="Arial" w:hAnsi="Arial"/>
          <w:sz w:val="22"/>
          <w:szCs w:val="22"/>
          <w:b w:val="1"/>
          <w:bCs w:val="1"/>
          <w:color w:val="auto"/>
        </w:rPr>
        <w:t xml:space="preserve">Item 2. AFFILIATIONS WITH OBLIGOR. </w:t>
      </w:r>
      <w:r>
        <w:rPr>
          <w:rFonts w:ascii="Arial" w:cs="Arial" w:eastAsia="Arial" w:hAnsi="Arial"/>
          <w:sz w:val="22"/>
          <w:szCs w:val="22"/>
          <w:i w:val="1"/>
          <w:iCs w:val="1"/>
          <w:color w:val="auto"/>
        </w:rPr>
        <w:t>If the obligor is an affiliate of the Trustee, describe each such affiliation.</w:t>
      </w:r>
      <w:r>
        <w:rPr>
          <w:rFonts w:ascii="Arial" w:cs="Arial" w:eastAsia="Arial" w:hAnsi="Arial"/>
          <w:sz w:val="22"/>
          <w:szCs w:val="22"/>
          <w:b w:val="1"/>
          <w:bCs w:val="1"/>
          <w:color w:val="auto"/>
        </w:rPr>
        <w:t xml:space="preserve"> </w:t>
      </w:r>
      <w:r>
        <w:rPr>
          <w:rFonts w:ascii="Arial" w:cs="Arial" w:eastAsia="Arial" w:hAnsi="Arial"/>
          <w:sz w:val="22"/>
          <w:szCs w:val="22"/>
          <w:color w:val="auto"/>
        </w:rPr>
        <w:t>None</w:t>
      </w:r>
    </w:p>
    <w:p>
      <w:pPr>
        <w:spacing w:after="0" w:line="203" w:lineRule="exact"/>
        <w:rPr>
          <w:sz w:val="20"/>
          <w:szCs w:val="20"/>
          <w:color w:val="auto"/>
        </w:rPr>
      </w:pPr>
    </w:p>
    <w:p>
      <w:pPr>
        <w:ind w:left="1300" w:right="120" w:hanging="1296"/>
        <w:spacing w:after="0" w:line="263" w:lineRule="auto"/>
        <w:tabs>
          <w:tab w:leader="none" w:pos="1280" w:val="left"/>
        </w:tabs>
        <w:rPr>
          <w:sz w:val="20"/>
          <w:szCs w:val="20"/>
          <w:color w:val="auto"/>
        </w:rPr>
      </w:pPr>
      <w:r>
        <w:rPr>
          <w:rFonts w:ascii="Arial" w:cs="Arial" w:eastAsia="Arial" w:hAnsi="Arial"/>
          <w:sz w:val="22"/>
          <w:szCs w:val="22"/>
          <w:b w:val="1"/>
          <w:bCs w:val="1"/>
          <w:color w:val="auto"/>
        </w:rPr>
        <w:t>Items 3-15</w:t>
      </w:r>
      <w:r>
        <w:rPr>
          <w:sz w:val="20"/>
          <w:szCs w:val="20"/>
          <w:color w:val="auto"/>
        </w:rPr>
        <w:tab/>
      </w:r>
      <w:r>
        <w:rPr>
          <w:rFonts w:ascii="Arial" w:cs="Arial" w:eastAsia="Arial" w:hAnsi="Arial"/>
          <w:sz w:val="22"/>
          <w:szCs w:val="22"/>
          <w:i w:val="1"/>
          <w:iCs w:val="1"/>
          <w:color w:val="auto"/>
        </w:rPr>
        <w:t>Items 3-15 are not applicable because to the best of the Trustee's knowledge, the obligor is not in default under any Indenture for which the Trustee acts as Trustee.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16. LIST OF EXHIBITS: </w:t>
      </w:r>
      <w:r>
        <w:rPr>
          <w:rFonts w:ascii="Arial" w:cs="Arial" w:eastAsia="Arial" w:hAnsi="Arial"/>
          <w:sz w:val="22"/>
          <w:szCs w:val="22"/>
          <w:i w:val="1"/>
          <w:iCs w:val="1"/>
          <w:color w:val="auto"/>
        </w:rPr>
        <w:t>List below all exhibits filed as a part of this statement of eligibility and qualification.</w:t>
      </w:r>
    </w:p>
    <w:p>
      <w:pPr>
        <w:spacing w:after="0" w:line="266" w:lineRule="exact"/>
        <w:rPr>
          <w:sz w:val="20"/>
          <w:szCs w:val="20"/>
          <w:color w:val="auto"/>
        </w:rPr>
      </w:pPr>
    </w:p>
    <w:p>
      <w:pPr>
        <w:ind w:left="2500" w:hanging="223"/>
        <w:spacing w:after="0"/>
        <w:tabs>
          <w:tab w:leader="none" w:pos="2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copy of the Articles of Association of the Trustee.*</w:t>
      </w:r>
    </w:p>
    <w:p>
      <w:pPr>
        <w:spacing w:after="0" w:line="260" w:lineRule="exact"/>
        <w:rPr>
          <w:rFonts w:ascii="Arial" w:cs="Arial" w:eastAsia="Arial" w:hAnsi="Arial"/>
          <w:sz w:val="22"/>
          <w:szCs w:val="22"/>
          <w:color w:val="auto"/>
        </w:rPr>
      </w:pPr>
    </w:p>
    <w:p>
      <w:pPr>
        <w:ind w:left="2500" w:hanging="223"/>
        <w:spacing w:after="0"/>
        <w:tabs>
          <w:tab w:leader="none" w:pos="2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copy of the certificate of authority of the Trustee to commence business, attached as Exhibit 2.</w:t>
      </w:r>
    </w:p>
    <w:p>
      <w:pPr>
        <w:spacing w:after="0" w:line="294" w:lineRule="exact"/>
        <w:rPr>
          <w:rFonts w:ascii="Arial" w:cs="Arial" w:eastAsia="Arial" w:hAnsi="Arial"/>
          <w:sz w:val="19"/>
          <w:szCs w:val="19"/>
          <w:color w:val="auto"/>
        </w:rPr>
      </w:pPr>
    </w:p>
    <w:p>
      <w:pPr>
        <w:ind w:left="2640" w:hanging="363"/>
        <w:spacing w:after="0"/>
        <w:tabs>
          <w:tab w:leader="none" w:pos="26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copy of the certificate of authority of the Trustee to exercise corporate trust powers, attached as</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3.</w:t>
      </w:r>
    </w:p>
    <w:p>
      <w:pPr>
        <w:spacing w:after="0" w:line="242" w:lineRule="exact"/>
        <w:rPr>
          <w:sz w:val="20"/>
          <w:szCs w:val="20"/>
          <w:color w:val="auto"/>
        </w:rPr>
      </w:pPr>
    </w:p>
    <w:p>
      <w:pPr>
        <w:ind w:left="2640" w:hanging="363"/>
        <w:spacing w:after="0"/>
        <w:tabs>
          <w:tab w:leader="none" w:pos="26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existing bylaws of the Trustee.**</w:t>
      </w:r>
    </w:p>
    <w:p>
      <w:pPr>
        <w:spacing w:after="0" w:line="260" w:lineRule="exact"/>
        <w:rPr>
          <w:rFonts w:ascii="Arial" w:cs="Arial" w:eastAsia="Arial" w:hAnsi="Arial"/>
          <w:sz w:val="22"/>
          <w:szCs w:val="22"/>
          <w:color w:val="auto"/>
        </w:rPr>
      </w:pPr>
    </w:p>
    <w:p>
      <w:pPr>
        <w:ind w:left="2640" w:hanging="363"/>
        <w:spacing w:after="0"/>
        <w:tabs>
          <w:tab w:leader="none" w:pos="26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each Indenture referred to in Item 4. Not applicable.</w:t>
      </w:r>
    </w:p>
    <w:p>
      <w:pPr>
        <w:spacing w:after="0" w:line="260" w:lineRule="exact"/>
        <w:rPr>
          <w:rFonts w:ascii="Arial" w:cs="Arial" w:eastAsia="Arial" w:hAnsi="Arial"/>
          <w:sz w:val="22"/>
          <w:szCs w:val="22"/>
          <w:color w:val="auto"/>
        </w:rPr>
      </w:pPr>
    </w:p>
    <w:p>
      <w:pPr>
        <w:ind w:left="2660" w:hanging="383"/>
        <w:spacing w:after="0"/>
        <w:tabs>
          <w:tab w:leader="none" w:pos="2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consent of the Trustee required by Section 321(b) of the Trust Indenture Act of 1939, attached as</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6.</w:t>
      </w:r>
    </w:p>
    <w:p>
      <w:pPr>
        <w:spacing w:after="0" w:line="242" w:lineRule="exact"/>
        <w:rPr>
          <w:sz w:val="20"/>
          <w:szCs w:val="20"/>
          <w:color w:val="auto"/>
        </w:rPr>
      </w:pPr>
    </w:p>
    <w:p>
      <w:pPr>
        <w:ind w:left="1300" w:right="20" w:firstLine="977"/>
        <w:spacing w:after="0" w:line="263" w:lineRule="auto"/>
        <w:tabs>
          <w:tab w:leader="none" w:pos="2650" w:val="left"/>
        </w:tabs>
        <w:numPr>
          <w:ilvl w:val="1"/>
          <w:numId w:val="29"/>
        </w:numPr>
        <w:rPr>
          <w:rFonts w:ascii="Arial" w:cs="Arial" w:eastAsia="Arial" w:hAnsi="Arial"/>
          <w:sz w:val="22"/>
          <w:szCs w:val="22"/>
          <w:color w:val="auto"/>
        </w:rPr>
      </w:pPr>
      <w:r>
        <w:rPr>
          <w:rFonts w:ascii="Arial" w:cs="Arial" w:eastAsia="Arial" w:hAnsi="Arial"/>
          <w:sz w:val="22"/>
          <w:szCs w:val="22"/>
          <w:color w:val="auto"/>
        </w:rPr>
        <w:t>Report of Condition of the Trustee as of June 30, 2016 published pursuant to law or the requirements of its supervising or examining authority, attached as Exhibit 7.</w:t>
      </w:r>
    </w:p>
    <w:p>
      <w:pPr>
        <w:spacing w:after="0" w:line="215" w:lineRule="exact"/>
        <w:rPr>
          <w:rFonts w:ascii="Arial" w:cs="Arial" w:eastAsia="Arial" w:hAnsi="Arial"/>
          <w:sz w:val="22"/>
          <w:szCs w:val="22"/>
          <w:color w:val="auto"/>
        </w:rPr>
      </w:pPr>
    </w:p>
    <w:p>
      <w:pPr>
        <w:ind w:left="660" w:right="220" w:firstLine="972"/>
        <w:spacing w:after="0" w:line="263" w:lineRule="auto"/>
        <w:rPr>
          <w:rFonts w:ascii="Arial" w:cs="Arial" w:eastAsia="Arial" w:hAnsi="Arial"/>
          <w:sz w:val="22"/>
          <w:szCs w:val="22"/>
          <w:color w:val="auto"/>
        </w:rPr>
      </w:pPr>
      <w:r>
        <w:rPr>
          <w:rFonts w:ascii="Arial" w:cs="Arial" w:eastAsia="Arial" w:hAnsi="Arial"/>
          <w:sz w:val="22"/>
          <w:szCs w:val="22"/>
          <w:color w:val="auto"/>
        </w:rPr>
        <w:t>* Incorporated by reference to Exhibit 25.1 to Amendment No. 2 to registration statement on S-4, Registration Number 333-128217 filed on November 15, 2005.</w:t>
      </w:r>
    </w:p>
    <w:p>
      <w:pPr>
        <w:spacing w:after="0" w:line="215" w:lineRule="exact"/>
        <w:rPr>
          <w:rFonts w:ascii="Arial" w:cs="Arial" w:eastAsia="Arial" w:hAnsi="Arial"/>
          <w:sz w:val="22"/>
          <w:szCs w:val="22"/>
          <w:color w:val="auto"/>
        </w:rPr>
      </w:pPr>
    </w:p>
    <w:p>
      <w:pPr>
        <w:ind w:left="660" w:right="340" w:firstLine="969"/>
        <w:spacing w:after="0" w:line="263" w:lineRule="auto"/>
        <w:tabs>
          <w:tab w:leader="none" w:pos="19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Incorporated by reference to Exhibit 25.1 to registration statement on form S-3ASR, Registration Number 333-199863 filed on November 5, 2014.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85" w:right="259" w:bottom="1440" w:gutter="0" w:footer="0" w:header="0"/>
        </w:sectPr>
      </w:pPr>
    </w:p>
    <w:bookmarkStart w:id="24" w:name="page25"/>
    <w:bookmarkEnd w:id="24"/>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66" w:lineRule="exact"/>
        <w:rPr>
          <w:sz w:val="20"/>
          <w:szCs w:val="20"/>
          <w:color w:val="auto"/>
        </w:rPr>
      </w:pPr>
    </w:p>
    <w:p>
      <w:pPr>
        <w:ind w:firstLine="648"/>
        <w:spacing w:after="0" w:line="273" w:lineRule="auto"/>
        <w:rPr>
          <w:sz w:val="20"/>
          <w:szCs w:val="20"/>
          <w:color w:val="auto"/>
        </w:rPr>
      </w:pPr>
      <w:r>
        <w:rPr>
          <w:rFonts w:ascii="Arial" w:cs="Arial" w:eastAsia="Arial" w:hAnsi="Arial"/>
          <w:sz w:val="21"/>
          <w:szCs w:val="21"/>
          <w:color w:val="auto"/>
        </w:rPr>
        <w:t>Pursuant to the requirements of the Trust Indenture Act of 1939, as amended, the Trustee, U.S. BANK NATIONAL ASSOCIATION</w:t>
      </w:r>
      <w:r>
        <w:rPr>
          <w:rFonts w:ascii="Arial" w:cs="Arial" w:eastAsia="Arial" w:hAnsi="Arial"/>
          <w:sz w:val="17"/>
          <w:szCs w:val="17"/>
          <w:color w:val="auto"/>
        </w:rPr>
        <w:t>,</w:t>
      </w:r>
      <w:r>
        <w:rPr>
          <w:rFonts w:ascii="Arial" w:cs="Arial" w:eastAsia="Arial" w:hAnsi="Arial"/>
          <w:sz w:val="21"/>
          <w:szCs w:val="21"/>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September, 2016.</w:t>
      </w:r>
    </w:p>
    <w:p>
      <w:pPr>
        <w:spacing w:after="0" w:line="119"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Raymond S. Haverstock________</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Raymond S. Haverstock</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80"/>
          </w:cols>
          <w:pgMar w:left="240" w:top="1138" w:right="37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9"/>
          <w:szCs w:val="19"/>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196215</wp:posOffset>
            </wp:positionV>
            <wp:extent cx="5351145" cy="675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1145" cy="675767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9" w:right="1440" w:bottom="1440" w:gutter="0" w:footer="0" w:header="0"/>
          <w:type w:val="continuous"/>
        </w:sectPr>
      </w:pPr>
    </w:p>
    <w:bookmarkStart w:id="26" w:name="page27"/>
    <w:bookmarkEnd w:id="26"/>
    <w:p>
      <w:pPr>
        <w:jc w:val="center"/>
        <w:ind w:right="-20"/>
        <w:spacing w:after="0"/>
        <w:rPr>
          <w:sz w:val="20"/>
          <w:szCs w:val="20"/>
          <w:color w:val="auto"/>
        </w:rPr>
      </w:pPr>
      <w:r>
        <w:rPr>
          <w:rFonts w:ascii="Arial" w:cs="Arial" w:eastAsia="Arial" w:hAnsi="Arial"/>
          <w:sz w:val="19"/>
          <w:szCs w:val="19"/>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196215</wp:posOffset>
            </wp:positionV>
            <wp:extent cx="5351145" cy="615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1145" cy="615759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69" w:right="1440" w:bottom="1440" w:gutter="0" w:footer="0" w:header="0"/>
          <w:type w:val="continuous"/>
        </w:sectPr>
      </w:pPr>
    </w:p>
    <w:bookmarkStart w:id="27" w:name="page28"/>
    <w:bookmarkEnd w:id="27"/>
    <w:p>
      <w:pPr>
        <w:jc w:val="center"/>
        <w:ind w:right="-119"/>
        <w:spacing w:after="0"/>
        <w:rPr>
          <w:sz w:val="20"/>
          <w:szCs w:val="20"/>
          <w:color w:val="auto"/>
        </w:rPr>
      </w:pPr>
      <w:r>
        <w:rPr>
          <w:rFonts w:ascii="Arial" w:cs="Arial" w:eastAsia="Arial" w:hAnsi="Arial"/>
          <w:sz w:val="22"/>
          <w:szCs w:val="22"/>
          <w:b w:val="1"/>
          <w:bCs w:val="1"/>
          <w:u w:val="single" w:color="auto"/>
          <w:color w:val="auto"/>
        </w:rPr>
        <w:t>Exhibit 6</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CONSENT</w:t>
      </w:r>
    </w:p>
    <w:p>
      <w:pPr>
        <w:spacing w:after="0" w:line="200" w:lineRule="exact"/>
        <w:rPr>
          <w:sz w:val="20"/>
          <w:szCs w:val="20"/>
          <w:color w:val="auto"/>
        </w:rPr>
      </w:pPr>
    </w:p>
    <w:p>
      <w:pPr>
        <w:spacing w:after="0" w:line="323"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23, 2016</w:t>
      </w: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Raymond S. Haverstock</w:t>
      </w:r>
      <w:r>
        <w:rPr>
          <w:rFonts w:ascii="Arial" w:cs="Arial" w:eastAsia="Arial" w:hAnsi="Arial"/>
          <w:sz w:val="19"/>
          <w:szCs w:val="19"/>
          <w:color w:val="auto"/>
        </w:rPr>
        <w:t>_________</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Raymond S. Haverstock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20"/>
          </w:cols>
          <w:pgMar w:left="240" w:top="36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6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3"/>
              </w:rPr>
              <w:t>Exhibit 7</w:t>
            </w:r>
          </w:p>
        </w:tc>
        <w:tc>
          <w:tcPr>
            <w:tcW w:w="150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4340" w:type="dxa"/>
            <w:vAlign w:val="bottom"/>
          </w:tcPr>
          <w:p>
            <w:pPr>
              <w:spacing w:after="0"/>
              <w:rPr>
                <w:sz w:val="18"/>
                <w:szCs w:val="18"/>
                <w:color w:val="auto"/>
              </w:rPr>
            </w:pPr>
          </w:p>
        </w:tc>
        <w:tc>
          <w:tcPr>
            <w:tcW w:w="558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89"/>
              </w:rPr>
              <w:t>U.S. Bank National Association</w:t>
            </w:r>
          </w:p>
        </w:tc>
        <w:tc>
          <w:tcPr>
            <w:tcW w:w="15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58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1"/>
              </w:rPr>
              <w:t>Statement of Financial Condition</w:t>
            </w:r>
          </w:p>
        </w:tc>
        <w:tc>
          <w:tcPr>
            <w:tcW w:w="15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5580" w:type="dxa"/>
            <w:vAlign w:val="bottom"/>
            <w:gridSpan w:val="4"/>
          </w:tcPr>
          <w:p>
            <w:pPr>
              <w:jc w:val="center"/>
              <w:ind w:right="2840"/>
              <w:spacing w:after="0"/>
              <w:rPr>
                <w:sz w:val="20"/>
                <w:szCs w:val="20"/>
                <w:color w:val="auto"/>
              </w:rPr>
            </w:pPr>
            <w:r>
              <w:rPr>
                <w:rFonts w:ascii="Arial" w:cs="Arial" w:eastAsia="Arial" w:hAnsi="Arial"/>
                <w:sz w:val="18"/>
                <w:szCs w:val="18"/>
                <w:b w:val="1"/>
                <w:bCs w:val="1"/>
                <w:color w:val="auto"/>
                <w:w w:val="90"/>
              </w:rPr>
              <w:t>As of 6/30/2016</w:t>
            </w:r>
          </w:p>
        </w:tc>
        <w:tc>
          <w:tcPr>
            <w:tcW w:w="1500" w:type="dxa"/>
            <w:vAlign w:val="bottom"/>
          </w:tcPr>
          <w:p>
            <w:pPr>
              <w:spacing w:after="0"/>
              <w:rPr>
                <w:sz w:val="20"/>
                <w:szCs w:val="20"/>
                <w:color w:val="auto"/>
              </w:rPr>
            </w:pPr>
          </w:p>
        </w:tc>
      </w:tr>
      <w:tr>
        <w:trPr>
          <w:trHeight w:val="432"/>
        </w:trPr>
        <w:tc>
          <w:tcPr>
            <w:tcW w:w="4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0"/>
              </w:rPr>
              <w:t>($000's)</w:t>
            </w:r>
          </w:p>
        </w:tc>
        <w:tc>
          <w:tcPr>
            <w:tcW w:w="1500" w:type="dxa"/>
            <w:vAlign w:val="bottom"/>
          </w:tcPr>
          <w:p>
            <w:pPr>
              <w:spacing w:after="0"/>
              <w:rPr>
                <w:sz w:val="24"/>
                <w:szCs w:val="24"/>
                <w:color w:val="auto"/>
              </w:rPr>
            </w:pPr>
          </w:p>
        </w:tc>
      </w:tr>
      <w:tr>
        <w:trPr>
          <w:trHeight w:val="297"/>
        </w:trPr>
        <w:tc>
          <w:tcPr>
            <w:tcW w:w="4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w w:val="93"/>
              </w:rPr>
              <w:t>Cash and Balances Due From Depository Institutions</w:t>
            </w:r>
          </w:p>
        </w:tc>
        <w:tc>
          <w:tcPr>
            <w:tcW w:w="55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14,010,590</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108,246,267</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Federal Funds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68,244</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&amp; Lease Financing Receivables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268,104,901</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Fixed 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5,866,910</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12,591,165</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24,574,630</w:t>
            </w:r>
          </w:p>
        </w:tc>
      </w:tr>
      <w:tr>
        <w:trPr>
          <w:trHeight w:val="27"/>
        </w:trPr>
        <w:tc>
          <w:tcPr>
            <w:tcW w:w="4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55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433,462,707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w:t>
            </w:r>
          </w:p>
        </w:tc>
        <w:tc>
          <w:tcPr>
            <w:tcW w:w="55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327,848,275</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Fed Funds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1,179,456</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Demand Notes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Trading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2,172,890</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Borrowed Money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40,280,996</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Acceptances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3,800,000</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13,036,463</w:t>
            </w:r>
          </w:p>
        </w:tc>
      </w:tr>
      <w:tr>
        <w:trPr>
          <w:trHeight w:val="27"/>
        </w:trPr>
        <w:tc>
          <w:tcPr>
            <w:tcW w:w="4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55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388,318,080</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and Preferred Stock</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Surplus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14,266,915</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Undivided Profits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30,049,363</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Minority Interest in Subsidiaries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810,149</w:t>
            </w:r>
          </w:p>
        </w:tc>
      </w:tr>
      <w:tr>
        <w:trPr>
          <w:trHeight w:val="27"/>
        </w:trPr>
        <w:tc>
          <w:tcPr>
            <w:tcW w:w="4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55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45,144,627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 Capital</w:t>
            </w:r>
          </w:p>
        </w:tc>
        <w:tc>
          <w:tcPr>
            <w:tcW w:w="55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433,462,707</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sectPr>
      <w:pgSz w:w="11900" w:h="16838" w:orient="portrait"/>
      <w:cols w:equalWidth="0" w:num="1">
        <w:col w:w="11420"/>
      </w:cols>
      <w:pgMar w:left="240" w:top="5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702"/>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lvl w:ilvl="1">
      <w:lvlJc w:val="left"/>
      <w:lvlText w:val="(%2)"/>
      <w:numFmt w:val="lowerRoman"/>
      <w:start w:val="1"/>
    </w:lvl>
  </w:abstractNum>
  <w:abstractNum w:abstractNumId="12">
    <w:nsid w:val="333AB105"/>
    <w:multiLevelType w:val="hybridMultilevel"/>
    <w:lvl w:ilvl="0">
      <w:lvlJc w:val="left"/>
      <w:lvlText w:val="(%1)"/>
      <w:numFmt w:val="decimal"/>
      <w:start w:val="2"/>
    </w:lvl>
    <w:lvl w:ilvl="1">
      <w:lvlJc w:val="left"/>
      <w:lvlText w:val="(%2)"/>
      <w:numFmt w:val="upperLetter"/>
      <w:start w:val="1"/>
    </w:lvl>
  </w:abstractNum>
  <w:abstractNum w:abstractNumId="13">
    <w:nsid w:val="721DA317"/>
    <w:multiLevelType w:val="hybridMultilevel"/>
    <w:lvl w:ilvl="0">
      <w:lvlJc w:val="left"/>
      <w:lvlText w:val="(%1)"/>
      <w:numFmt w:val="lowerRoman"/>
      <w:start w:val="1"/>
    </w:lvl>
    <w:lvl w:ilvl="1">
      <w:lvlJc w:val="left"/>
      <w:lvlText w:val="%2"/>
      <w:numFmt w:val="upperLetter"/>
      <w:start w:val="35"/>
    </w:lvl>
  </w:abstractNum>
  <w:abstractNum w:abstractNumId="14">
    <w:nsid w:val="2443A858"/>
    <w:multiLevelType w:val="hybridMultilevel"/>
    <w:lvl w:ilvl="0">
      <w:lvlJc w:val="left"/>
      <w:lvlText w:val="%1"/>
      <w:numFmt w:val="lowerLetter"/>
      <w:start w:val="1"/>
    </w:lvl>
    <w:lvl w:ilvl="1">
      <w:lvlJc w:val="left"/>
      <w:lvlText w:val="(%2)"/>
      <w:numFmt w:val="lowerRoman"/>
      <w:start w:val="3"/>
    </w:lvl>
  </w:abstractNum>
  <w:abstractNum w:abstractNumId="15">
    <w:nsid w:val="2D1D5AE9"/>
    <w:multiLevelType w:val="hybridMultilevel"/>
    <w:lvl w:ilvl="0">
      <w:lvlJc w:val="left"/>
      <w:lvlText w:val="(%1)"/>
      <w:numFmt w:val="lowerLetter"/>
      <w:start w:val="2"/>
    </w:lvl>
    <w:lvl w:ilvl="1">
      <w:lvlJc w:val="left"/>
      <w:lvlText w:val="%2"/>
      <w:numFmt w:val="lowerRoman"/>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Roman"/>
      <w:start w:val="1"/>
    </w:lvl>
  </w:abstractNum>
  <w:abstractNum w:abstractNumId="18">
    <w:nsid w:val="8EDBDAB"/>
    <w:multiLevelType w:val="hybridMultilevel"/>
    <w:lvl w:ilvl="0">
      <w:lvlJc w:val="left"/>
      <w:lvlText w:val="(%1)"/>
      <w:numFmt w:val="lowerRoman"/>
      <w:start w:val="1"/>
    </w:lvl>
  </w:abstractNum>
  <w:abstractNum w:abstractNumId="19">
    <w:nsid w:val="79838CB2"/>
    <w:multiLevelType w:val="hybridMultilevel"/>
    <w:lvl w:ilvl="0">
      <w:lvlJc w:val="left"/>
      <w:lvlText w:val="%1."/>
      <w:numFmt w:val="decimal"/>
      <w:start w:val="1"/>
    </w:lvl>
    <w:lvl w:ilvl="1">
      <w:lvlJc w:val="left"/>
      <w:lvlText w:val="%2."/>
      <w:numFmt w:val="lowerLetter"/>
      <w:start w:val="1"/>
    </w:lvl>
  </w:abstractNum>
  <w:abstractNum w:abstractNumId="20">
    <w:nsid w:val="4353D0CD"/>
    <w:multiLevelType w:val="hybridMultilevel"/>
    <w:lvl w:ilvl="0">
      <w:lvlJc w:val="left"/>
      <w:lvlText w:val="%1."/>
      <w:numFmt w:val="decimal"/>
      <w:start w:val="2"/>
    </w:lvl>
    <w:lvl w:ilvl="1">
      <w:lvlJc w:val="left"/>
      <w:lvlText w:val="%2."/>
      <w:numFmt w:val="lowerLetter"/>
      <w:start w:val="1"/>
    </w:lvl>
  </w:abstractNum>
  <w:abstractNum w:abstractNumId="21">
    <w:nsid w:val="B03E0C6"/>
    <w:multiLevelType w:val="hybridMultilevel"/>
    <w:lvl w:ilvl="0">
      <w:lvlJc w:val="left"/>
      <w:lvlText w:val="%1."/>
      <w:numFmt w:val="upperLetter"/>
      <w:start w:val="1"/>
    </w:lvl>
  </w:abstractNum>
  <w:abstractNum w:abstractNumId="22">
    <w:nsid w:val="189A769B"/>
    <w:multiLevelType w:val="hybridMultilevel"/>
    <w:lvl w:ilvl="0">
      <w:lvlJc w:val="left"/>
      <w:lvlText w:val="%1."/>
      <w:numFmt w:val="upperLetter"/>
      <w:start w:val="4"/>
    </w:lvl>
  </w:abstractNum>
  <w:abstractNum w:abstractNumId="23">
    <w:nsid w:val="54E49EB4"/>
    <w:multiLevelType w:val="hybridMultilevel"/>
    <w:lvl w:ilvl="0">
      <w:lvlJc w:val="left"/>
      <w:lvlText w:val="(%1)"/>
      <w:numFmt w:val="lowerRoman"/>
      <w:start w:val="2"/>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4"/>
    </w:lvl>
  </w:abstractNum>
  <w:abstractNum w:abstractNumId="28">
    <w:nsid w:val="3A95F874"/>
    <w:multiLevelType w:val="hybridMultilevel"/>
    <w:lvl w:ilvl="0">
      <w:lvlJc w:val="left"/>
      <w:lvlText w:val="*"/>
      <w:numFmt w:val="bullet"/>
      <w:start w:val="1"/>
    </w:lvl>
    <w:lvl w:ilvl="1">
      <w:lvlJc w:val="left"/>
      <w:lvlText w:val="%2."/>
      <w:numFmt w:val="decimal"/>
      <w:start w:val="7"/>
    </w:lvl>
  </w:abstractNum>
  <w:abstractNum w:abstractNumId="29">
    <w:nsid w:val="813864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2019-12-07T17:26:37Z</dcterms:created>
  <dcterms:modified xsi:type="dcterms:W3CDTF">2019-12-07T17:26:37Z</dcterms:modified>
</cp:coreProperties>
</file>